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7E906">
      <w:pPr>
        <w:keepNext w:val="0"/>
        <w:keepLines w:val="0"/>
        <w:widowControl w:val="0"/>
        <w:numPr>
          <w:ilvl w:val="0"/>
          <w:numId w:val="0"/>
        </w:numPr>
        <w:spacing w:line="360" w:lineRule="auto"/>
        <w:jc w:val="left"/>
        <w:textAlignment w:val="center"/>
        <w:outlineLvl w:val="2"/>
        <w:rPr>
          <w:rFonts w:hint="eastAsia" w:ascii="宋体" w:hAnsi="宋体" w:eastAsia="宋体" w:cs="宋体"/>
          <w:b/>
          <w:bCs/>
          <w:color w:val="auto"/>
          <w:kern w:val="2"/>
          <w:sz w:val="21"/>
          <w:szCs w:val="21"/>
          <w:lang w:val="en-US" w:eastAsia="zh-CN" w:bidi="ar-SA"/>
        </w:rPr>
      </w:pPr>
      <w:bookmarkStart w:id="0" w:name="_Toc11680457"/>
      <w:bookmarkStart w:id="1" w:name="_Toc9978679"/>
      <w:bookmarkStart w:id="2" w:name="_Toc15983"/>
      <w:bookmarkStart w:id="3" w:name="_Toc35875769"/>
      <w:bookmarkStart w:id="4" w:name="_Toc35875297"/>
      <w:r>
        <w:rPr>
          <w:rFonts w:hint="eastAsia" w:ascii="宋体" w:hAnsi="宋体" w:eastAsia="宋体" w:cs="宋体"/>
          <w:b/>
          <w:bCs/>
          <w:color w:val="auto"/>
          <w:kern w:val="2"/>
          <w:sz w:val="21"/>
          <w:szCs w:val="21"/>
          <w:lang w:val="en-US" w:eastAsia="zh-CN" w:bidi="ar-SA"/>
        </w:rPr>
        <w:t>一、采购内容</w:t>
      </w:r>
      <w:bookmarkEnd w:id="0"/>
      <w:bookmarkEnd w:id="1"/>
      <w:bookmarkEnd w:id="2"/>
      <w:bookmarkEnd w:id="3"/>
      <w:bookmarkEnd w:id="4"/>
    </w:p>
    <w:p w14:paraId="6B333A4F">
      <w:pPr>
        <w:spacing w:line="360" w:lineRule="auto"/>
        <w:ind w:firstLine="420" w:firstLineChars="200"/>
        <w:rPr>
          <w:rFonts w:hint="eastAsia"/>
          <w:b w:val="0"/>
          <w:bCs w:val="0"/>
          <w:color w:val="auto"/>
          <w:sz w:val="21"/>
          <w:szCs w:val="21"/>
          <w:lang w:val="en-US" w:eastAsia="zh-CN"/>
        </w:rPr>
      </w:pPr>
      <w:r>
        <w:rPr>
          <w:rFonts w:hint="eastAsia" w:ascii="Calibri" w:eastAsia="宋体"/>
          <w:b w:val="0"/>
          <w:bCs w:val="0"/>
          <w:color w:val="auto"/>
          <w:sz w:val="21"/>
          <w:szCs w:val="21"/>
          <w:lang w:val="en-US" w:eastAsia="zh-CN"/>
        </w:rPr>
        <w:t>郑州市奥体中心篮球馆器材购置，根据场馆结构和伸缩需求购置智能型电动液压式篮球架及电动伸缩座椅等。</w:t>
      </w:r>
    </w:p>
    <w:p w14:paraId="19D31012">
      <w:pPr>
        <w:spacing w:line="360" w:lineRule="auto"/>
        <w:rPr>
          <w:rFonts w:hint="eastAsia"/>
          <w:b/>
          <w:bCs/>
          <w:color w:val="auto"/>
          <w:sz w:val="21"/>
          <w:szCs w:val="21"/>
          <w:lang w:val="en-US" w:eastAsia="zh-CN"/>
        </w:rPr>
      </w:pPr>
      <w:r>
        <w:rPr>
          <w:rFonts w:hint="eastAsia" w:ascii="Calibri" w:eastAsia="宋体"/>
          <w:b/>
          <w:bCs/>
          <w:color w:val="auto"/>
          <w:sz w:val="21"/>
          <w:szCs w:val="21"/>
          <w:lang w:val="en-US" w:eastAsia="zh-CN"/>
        </w:rPr>
        <w:t>二、技术参数</w:t>
      </w:r>
    </w:p>
    <w:tbl>
      <w:tblPr>
        <w:tblStyle w:val="5"/>
        <w:tblW w:w="10396" w:type="dxa"/>
        <w:jc w:val="center"/>
        <w:tblLayout w:type="autofit"/>
        <w:tblCellMar>
          <w:top w:w="0" w:type="dxa"/>
          <w:left w:w="108" w:type="dxa"/>
          <w:bottom w:w="0" w:type="dxa"/>
          <w:right w:w="108" w:type="dxa"/>
        </w:tblCellMar>
      </w:tblPr>
      <w:tblGrid>
        <w:gridCol w:w="612"/>
        <w:gridCol w:w="819"/>
        <w:gridCol w:w="819"/>
        <w:gridCol w:w="753"/>
        <w:gridCol w:w="7393"/>
      </w:tblGrid>
      <w:tr w14:paraId="5FDC697D">
        <w:tblPrEx>
          <w:tblCellMar>
            <w:top w:w="0" w:type="dxa"/>
            <w:left w:w="108" w:type="dxa"/>
            <w:bottom w:w="0" w:type="dxa"/>
            <w:right w:w="108" w:type="dxa"/>
          </w:tblCellMar>
        </w:tblPrEx>
        <w:trPr>
          <w:trHeight w:val="372"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36CBA48A">
            <w:pPr>
              <w:widowControl/>
              <w:jc w:val="center"/>
              <w:textAlignment w:val="center"/>
              <w:rPr>
                <w:color w:val="000000"/>
                <w:sz w:val="21"/>
                <w:szCs w:val="21"/>
              </w:rPr>
            </w:pPr>
            <w:r>
              <w:rPr>
                <w:rFonts w:hint="eastAsia" w:ascii="宋体" w:hAnsi="宋体" w:cs="宋体"/>
                <w:color w:val="000000"/>
                <w:kern w:val="0"/>
                <w:sz w:val="21"/>
                <w:szCs w:val="21"/>
                <w:lang w:bidi="ar"/>
              </w:rPr>
              <w:t>序号</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0946AE39">
            <w:pPr>
              <w:widowControl/>
              <w:jc w:val="center"/>
              <w:textAlignment w:val="center"/>
              <w:rPr>
                <w:color w:val="000000"/>
                <w:sz w:val="21"/>
                <w:szCs w:val="21"/>
              </w:rPr>
            </w:pPr>
            <w:r>
              <w:rPr>
                <w:rFonts w:hint="eastAsia" w:ascii="宋体" w:hAnsi="宋体" w:cs="宋体"/>
                <w:color w:val="000000"/>
                <w:kern w:val="0"/>
                <w:sz w:val="21"/>
                <w:szCs w:val="21"/>
                <w:lang w:bidi="ar"/>
              </w:rPr>
              <w:t>名称</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63E81416">
            <w:pPr>
              <w:widowControl/>
              <w:jc w:val="center"/>
              <w:textAlignment w:val="center"/>
              <w:rPr>
                <w:color w:val="000000"/>
                <w:sz w:val="21"/>
                <w:szCs w:val="21"/>
              </w:rPr>
            </w:pPr>
            <w:r>
              <w:rPr>
                <w:rFonts w:hint="eastAsia" w:ascii="宋体" w:hAnsi="宋体" w:cs="宋体"/>
                <w:color w:val="000000"/>
                <w:kern w:val="0"/>
                <w:sz w:val="21"/>
                <w:szCs w:val="21"/>
                <w:lang w:bidi="ar"/>
              </w:rPr>
              <w:t>数量</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2DAC152A">
            <w:pPr>
              <w:widowControl/>
              <w:jc w:val="center"/>
              <w:textAlignment w:val="center"/>
              <w:rPr>
                <w:color w:val="000000"/>
                <w:sz w:val="21"/>
                <w:szCs w:val="21"/>
              </w:rPr>
            </w:pPr>
            <w:r>
              <w:rPr>
                <w:rFonts w:hint="eastAsia" w:ascii="宋体" w:hAnsi="宋体" w:cs="宋体"/>
                <w:color w:val="000000"/>
                <w:kern w:val="0"/>
                <w:sz w:val="21"/>
                <w:szCs w:val="21"/>
                <w:lang w:bidi="ar"/>
              </w:rPr>
              <w:t>单位</w:t>
            </w:r>
          </w:p>
        </w:tc>
        <w:tc>
          <w:tcPr>
            <w:tcW w:w="7393" w:type="dxa"/>
            <w:tcBorders>
              <w:top w:val="single" w:color="000000" w:sz="4" w:space="0"/>
              <w:left w:val="single" w:color="000000" w:sz="4" w:space="0"/>
              <w:bottom w:val="single" w:color="000000" w:sz="4" w:space="0"/>
              <w:right w:val="single" w:color="000000" w:sz="4" w:space="0"/>
            </w:tcBorders>
            <w:noWrap w:val="0"/>
            <w:vAlign w:val="center"/>
          </w:tcPr>
          <w:p w14:paraId="7983ABF1">
            <w:pPr>
              <w:widowControl/>
              <w:jc w:val="center"/>
              <w:textAlignment w:val="center"/>
              <w:rPr>
                <w:color w:val="000000"/>
                <w:sz w:val="21"/>
                <w:szCs w:val="21"/>
              </w:rPr>
            </w:pPr>
            <w:r>
              <w:rPr>
                <w:rFonts w:hint="eastAsia" w:ascii="宋体" w:hAnsi="宋体" w:cs="宋体"/>
                <w:color w:val="000000"/>
                <w:kern w:val="0"/>
                <w:sz w:val="21"/>
                <w:szCs w:val="21"/>
                <w:lang w:bidi="ar"/>
              </w:rPr>
              <w:t>产品技术参数</w:t>
            </w:r>
          </w:p>
        </w:tc>
      </w:tr>
      <w:tr w14:paraId="6CC5869F">
        <w:tblPrEx>
          <w:tblCellMar>
            <w:top w:w="0" w:type="dxa"/>
            <w:left w:w="108" w:type="dxa"/>
            <w:bottom w:w="0" w:type="dxa"/>
            <w:right w:w="108" w:type="dxa"/>
          </w:tblCellMar>
        </w:tblPrEx>
        <w:trPr>
          <w:trHeight w:val="1266"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4F587257">
            <w:pPr>
              <w:widowControl/>
              <w:jc w:val="center"/>
              <w:textAlignment w:val="center"/>
              <w:rPr>
                <w:color w:val="000000"/>
                <w:sz w:val="21"/>
                <w:szCs w:val="21"/>
              </w:rPr>
            </w:pPr>
            <w:r>
              <w:rPr>
                <w:rFonts w:hint="eastAsia" w:ascii="宋体" w:hAnsi="宋体" w:cs="宋体"/>
                <w:color w:val="000000"/>
                <w:kern w:val="0"/>
                <w:sz w:val="21"/>
                <w:szCs w:val="21"/>
                <w:lang w:bidi="ar"/>
              </w:rPr>
              <w:t>1</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7770C05C">
            <w:pPr>
              <w:widowControl/>
              <w:jc w:val="center"/>
              <w:textAlignment w:val="center"/>
              <w:rPr>
                <w:rFonts w:hint="eastAsia" w:eastAsia="宋体"/>
                <w:color w:val="000000"/>
                <w:sz w:val="21"/>
                <w:szCs w:val="21"/>
                <w:lang w:eastAsia="zh-CN"/>
              </w:rPr>
            </w:pPr>
            <w:r>
              <w:rPr>
                <w:rFonts w:hint="eastAsia" w:ascii="宋体" w:hAnsi="宋体" w:cs="宋体"/>
                <w:color w:val="000000"/>
                <w:kern w:val="0"/>
                <w:sz w:val="21"/>
                <w:szCs w:val="21"/>
                <w:lang w:bidi="ar"/>
              </w:rPr>
              <w:t>电动伸缩活动看台</w:t>
            </w:r>
            <w:r>
              <w:rPr>
                <w:rFonts w:hint="eastAsia" w:ascii="宋体" w:hAnsi="宋体" w:cs="宋体"/>
                <w:color w:val="000000"/>
                <w:kern w:val="0"/>
                <w:sz w:val="21"/>
                <w:szCs w:val="21"/>
                <w:lang w:eastAsia="zh-CN" w:bidi="ar"/>
              </w:rPr>
              <w:t>（</w:t>
            </w:r>
            <w:r>
              <w:rPr>
                <w:rFonts w:hint="eastAsia" w:ascii="宋体" w:hAnsi="宋体" w:cs="宋体"/>
                <w:color w:val="000000"/>
                <w:kern w:val="0"/>
                <w:sz w:val="21"/>
                <w:szCs w:val="21"/>
                <w:lang w:val="en-US" w:eastAsia="zh-CN" w:bidi="ar"/>
              </w:rPr>
              <w:t>核心产品</w:t>
            </w:r>
            <w:r>
              <w:rPr>
                <w:rFonts w:hint="eastAsia" w:ascii="宋体" w:hAnsi="宋体" w:cs="宋体"/>
                <w:color w:val="000000"/>
                <w:kern w:val="0"/>
                <w:sz w:val="21"/>
                <w:szCs w:val="21"/>
                <w:lang w:eastAsia="zh-CN" w:bidi="ar"/>
              </w:rPr>
              <w:t>）</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41301FB5">
            <w:pPr>
              <w:widowControl/>
              <w:jc w:val="center"/>
              <w:textAlignment w:val="center"/>
              <w:rPr>
                <w:color w:val="000000"/>
                <w:sz w:val="21"/>
                <w:szCs w:val="21"/>
              </w:rPr>
            </w:pPr>
            <w:r>
              <w:rPr>
                <w:rFonts w:hint="eastAsia" w:ascii="宋体" w:hAnsi="宋体" w:cs="宋体"/>
                <w:color w:val="000000"/>
                <w:kern w:val="0"/>
                <w:sz w:val="21"/>
                <w:szCs w:val="21"/>
                <w:lang w:bidi="ar"/>
              </w:rPr>
              <w:t>4</w:t>
            </w:r>
            <w:r>
              <w:rPr>
                <w:rFonts w:ascii="宋体" w:hAnsi="宋体" w:cs="宋体"/>
                <w:color w:val="000000"/>
                <w:kern w:val="0"/>
                <w:sz w:val="21"/>
                <w:szCs w:val="21"/>
                <w:lang w:bidi="ar"/>
              </w:rPr>
              <w:t>29</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46676DC2">
            <w:pPr>
              <w:widowControl/>
              <w:jc w:val="center"/>
              <w:textAlignment w:val="center"/>
              <w:rPr>
                <w:color w:val="000000"/>
                <w:sz w:val="21"/>
                <w:szCs w:val="21"/>
              </w:rPr>
            </w:pPr>
            <w:r>
              <w:rPr>
                <w:rFonts w:hint="eastAsia" w:ascii="宋体" w:hAnsi="宋体" w:cs="宋体"/>
                <w:color w:val="000000"/>
                <w:kern w:val="0"/>
                <w:sz w:val="21"/>
                <w:szCs w:val="21"/>
                <w:lang w:bidi="ar"/>
              </w:rPr>
              <w:t>位</w:t>
            </w:r>
          </w:p>
        </w:tc>
        <w:tc>
          <w:tcPr>
            <w:tcW w:w="7393" w:type="dxa"/>
            <w:tcBorders>
              <w:top w:val="single" w:color="000000" w:sz="4" w:space="0"/>
              <w:left w:val="single" w:color="000000" w:sz="4" w:space="0"/>
              <w:bottom w:val="single" w:color="000000" w:sz="4" w:space="0"/>
              <w:right w:val="single" w:color="000000" w:sz="4" w:space="0"/>
            </w:tcBorders>
            <w:noWrap w:val="0"/>
            <w:vAlign w:val="center"/>
          </w:tcPr>
          <w:p w14:paraId="093DD6C1">
            <w:pPr>
              <w:widowControl/>
              <w:textAlignment w:val="center"/>
              <w:rPr>
                <w:color w:val="000000"/>
                <w:sz w:val="21"/>
                <w:szCs w:val="21"/>
              </w:rPr>
            </w:pPr>
            <w:r>
              <w:rPr>
                <w:rFonts w:hint="eastAsia" w:ascii="宋体" w:hAnsi="宋体" w:cs="宋体"/>
                <w:color w:val="000000"/>
                <w:kern w:val="0"/>
                <w:sz w:val="21"/>
                <w:szCs w:val="21"/>
                <w:lang w:bidi="ar"/>
              </w:rPr>
              <w:t>一、产品设计标准</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看台设计符合QB/T2601-2013《体育场馆公共座椅》、JGJ57-2000/J67-2001《剧场建筑设计规范》、JGJ31-2003/J265-2003《体育建筑设计规范》、WH/T42-2011《演出场所安全技术要求 第2部分：临时搭建演出场所舞台、看台安全技术要求》、DIN 180325《体育馆体操与比赛厅活动看台》</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二、产品外形尺寸</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看台层宽（840±5mm），看台层高（310±5mm），座深（560±5mm），座椅安装间距：500±5mm。</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三、产品设计要求</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（1）看台在满足承载座椅本身重量外，还满足承受下述载荷：每平方米动载荷≮450kg；每平方米静载荷≮500kg；每米长可承受左右摆动负载≮36kg。</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（2）护栏设计满足承受水平力如下：顶端满足承受每米≮1.0KN，护栏中间满足承受每米≮1.3KN。</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（3）活动看台构架强度为：每座静载≥200㎏；床架耐冲击强度为：每座静载≮200㎏，每层中间加载≥80㎏、300㎜高度冲击，不产生永久变形。</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（4）看台两边设有安全防护栏杆，表面喷塑。</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（5）看台前沿外表美观，且装有防滑条，避免观众上下时滑倒。</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四、系统材料说明</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（1）脚轮：采用宽幅PU轮，直径≮Φ125mm，轮辐≮40mm。内层采用双滚珠轴承，中间为尼龙层，再覆以高韧性耐磨聚氨酯层，能承受巨力且不磨损地板。</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（2）驱动轮有多条加强筋PU结构，提供看台所需驱动摩擦力，可轻易克服地面缺陷，满足看台使用需求，且不磨损地板。</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（3）伸缩脚：每排伸缩脚的数量可根据场地的大小及要求设置。每只伸缩脚不少于4个脚轮。在地板上滚动时，不伤害地板并不会留下滚动痕迹。</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4）骨架：采用组合件结构，主、副梁结构材料采用≥2mm合金钢通过高强度定拉型材冷拉而成，规格≮190×50、66×50（mm）。所有荷载主、副梁结构件中间不得有焊接，采用高强螺栓连接。承重主支撑部件采用尺寸为≮口50×40×3、≮口100×50×3优质钢管和≮60×40×4梯形导向支撑杆，承重辅支撑件采用尺寸≮60×40×19×2 C型钢。承重主、辅支撑被安装在主梁和副梁之间，采用高强螺栓联接固定。辅支撑件安装的最大中心距离约700mm（±10mm），作为所有木支撑臂以及行走表面的结束元件。支撑构架之间的支撑臂，通过增加尼龙等组件消除之间的刚性滑动摩擦，减少看台伸缩摩擦阻力。</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（5）踏板：采用≮17mm厚高强度层压板复合1±0.5mm厚三聚氰胺耐磨板或其它耐磨高强度材质。</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（6）床架前沿及踏步采用≮80×60铝钛合金包边，并在型材表面附有防滑线条,并采用≮85×85角封头将边角包覆，以增加安全性。</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7）同步伸缩装置：采用双层导向设计，各驱动装置采用钢性轴连接，看台支撑结构采用机械反馈式同步伸缩装置，确保伸展与回缩同步一致，无定向跑偏。看台走轮支脚采用定拉型材，设计导向滑槽，每组看台上层增加同步滑轮导向机构，保证在伸缩及制动时，均为平衡的直线运动，运动无噪音。</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（8）看台座椅：无扶手中空塑料翻板座椅，座椅的设计、选型和安装与体育场馆设计相配合，美观舒适、安全、耐用，便于安装维护和管理 。椅面采用中空吹塑制造工艺，选用高密度聚乙烯材料（HDPE）一次成型，座椅表面棱角圆滑、分子量较集中、汇合缝处黏结强度高，较高的刚性及韧性，良好的力学性能及较高的使用温度，抗老化、抗冲击性、耐高低温、耐油性较好。椅面总重量4.1±0.1kg。座椅综合性能应符合国家标准及行业标准。</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8.1力学性能（不低于以下要求）：依据QB/T2601-2013《体育场馆公共座椅》，参照国际及国内体育场馆公共座椅检测标准，座椅静载荷1600N，10次，椅背静载荷600N，10次，座椅平衡载荷1600N；座椅耐久性：椅面载荷950N，10万次，椅背载荷330N，10万次，椅面冲击高度360mm，30次，椅背冲击高度330mm，10次；座椅翻转频率10次/min～15次/min,5万次，座椅翻转噪声≤30dB（A），座椅零部件无断裂或豁裂现象，加载部位无明显变形，座椅结构无松动，翻转机构翻转灵活自如。</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8.2耐老化性能（不低于以下要求）：依据QB/T2601-2013《体育场馆公共座椅》，老化试验≥1000h，冲击强度的保持率不应小于60%，外观颜色变色评级不小于3级。</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8.3高低温性能（不低于以下要求：在高温＋60℃、低温-50℃下72h，无局部变化、龟裂、斑点、气泡及明显变形等外观变化。</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8.4阻燃性能（不低于以下要求）：座椅的整体阻燃性能符合GB20286《公共场所阻燃制品及组件燃烧性能要求和标识》表4中公共场所阻燃家具及组件的燃烧性能阻燃2级标准。</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8.5环保性能（不低于以下要求）：座椅所使用的主辅材料符合环保标准，塑料产品中有毒有害物质限量满足GB28481《塑料家具中有害物质限量》中要求。</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座椅整体使用寿命：八年内无明显色差、变脆及非外力因素的裂纹。每个座椅有明显的座位号。</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座椅群的色彩：提供国际标准塑料色（PANTONE）经业主、设计院确定。</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（9）看台过道：每层设一个箱形踏步（工艺与看台台面制作相同），并设排号标牌。</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10）看台安全护栏：看台安全护栏采用≮φ38和φ19钢性圆管，经拼装焊接后，表面喷涂颜色同活动看台本色。护栏支架的设置应是垂直的，且相邻杆件最小有效间距不大于100mm。根据活动看台设计要求不同，护栏在伸缩过程中可以采用插拔式或固定式。</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（11）喷塑：钢构件均经抛丸-水洗-除油-水洗-磷化-水洗-烘干处理后，在自动喷涂线上完成静电粉末喷塑（环氧树脂），以增强其抗腐蚀性。</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（12）看台连接件均采用标准件。</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五、动力和电源系统说明</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（1）活动看台电动系统采用电动控制式，具备红外线遥控功能。在操作时，通过一个活动式控制开关进行前进、后退。操纵控制灵活方便。</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2）采用小型减速马达带动齿轮传动，通过特制宽幅PU摩擦轮与地板摩擦运动，推动看台运动。马达通过刚性连接轴的一系列传动，保证在遇到地面缺陷和障碍时，提供充足动力，运动不跑偏，使看台自由伸出或缩进。</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3）看台电机系统采用减速马达，驱动电机通过CE认证。整个看台须设置防漏电设计，在活动看台开启使用及无移动运行状态下，所有安全性能符合国家相关要求。根据活动看台设计不同，电机功率一般在0.4-2.2KW，电压380V。具有减速比大、效率高、噪音低、免维护等特点。</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（4）看台电气控制系统包含电机控制系统、行程限位系统、漏电保护系统和动力输出系统。所有电器元件采用通过3C认证电器，输入线路为三相五线制电缆线。</w:t>
            </w:r>
          </w:p>
        </w:tc>
      </w:tr>
      <w:tr w14:paraId="3EDD8A47">
        <w:tblPrEx>
          <w:tblCellMar>
            <w:top w:w="0" w:type="dxa"/>
            <w:left w:w="108" w:type="dxa"/>
            <w:bottom w:w="0" w:type="dxa"/>
            <w:right w:w="108" w:type="dxa"/>
          </w:tblCellMar>
        </w:tblPrEx>
        <w:trPr>
          <w:trHeight w:val="1102"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31B386F2">
            <w:pPr>
              <w:widowControl/>
              <w:jc w:val="center"/>
              <w:textAlignment w:val="center"/>
              <w:rPr>
                <w:color w:val="000000"/>
                <w:sz w:val="21"/>
                <w:szCs w:val="21"/>
              </w:rPr>
            </w:pPr>
            <w:r>
              <w:rPr>
                <w:rFonts w:hint="eastAsia" w:ascii="宋体" w:hAnsi="宋体" w:cs="宋体"/>
                <w:color w:val="000000"/>
                <w:kern w:val="0"/>
                <w:sz w:val="21"/>
                <w:szCs w:val="21"/>
                <w:lang w:bidi="ar"/>
              </w:rPr>
              <w:t>2</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2C614992">
            <w:pPr>
              <w:widowControl/>
              <w:jc w:val="center"/>
              <w:textAlignment w:val="center"/>
              <w:rPr>
                <w:color w:val="000000"/>
                <w:sz w:val="21"/>
                <w:szCs w:val="21"/>
              </w:rPr>
            </w:pPr>
            <w:r>
              <w:rPr>
                <w:rFonts w:hint="eastAsia" w:ascii="宋体" w:hAnsi="宋体" w:cs="宋体"/>
                <w:color w:val="000000"/>
                <w:kern w:val="0"/>
                <w:sz w:val="21"/>
                <w:szCs w:val="21"/>
                <w:lang w:bidi="ar"/>
              </w:rPr>
              <w:t>看台踏步</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5813CB25">
            <w:pPr>
              <w:widowControl/>
              <w:jc w:val="center"/>
              <w:textAlignment w:val="center"/>
              <w:rPr>
                <w:color w:val="000000"/>
                <w:sz w:val="21"/>
                <w:szCs w:val="21"/>
              </w:rPr>
            </w:pPr>
            <w:r>
              <w:rPr>
                <w:rFonts w:hint="eastAsia" w:ascii="宋体" w:hAnsi="宋体" w:cs="宋体"/>
                <w:color w:val="000000"/>
                <w:kern w:val="0"/>
                <w:sz w:val="21"/>
                <w:szCs w:val="21"/>
                <w:lang w:bidi="ar"/>
              </w:rPr>
              <w:t>28</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6AD8DC40">
            <w:pPr>
              <w:widowControl/>
              <w:jc w:val="center"/>
              <w:textAlignment w:val="center"/>
              <w:rPr>
                <w:color w:val="000000"/>
                <w:sz w:val="21"/>
                <w:szCs w:val="21"/>
              </w:rPr>
            </w:pPr>
            <w:r>
              <w:rPr>
                <w:rFonts w:hint="eastAsia" w:ascii="宋体" w:hAnsi="宋体" w:cs="宋体"/>
                <w:color w:val="000000"/>
                <w:kern w:val="0"/>
                <w:sz w:val="21"/>
                <w:szCs w:val="21"/>
                <w:lang w:bidi="ar"/>
              </w:rPr>
              <w:t>只</w:t>
            </w:r>
          </w:p>
        </w:tc>
        <w:tc>
          <w:tcPr>
            <w:tcW w:w="7393" w:type="dxa"/>
            <w:tcBorders>
              <w:top w:val="single" w:color="000000" w:sz="4" w:space="0"/>
              <w:left w:val="single" w:color="000000" w:sz="4" w:space="0"/>
              <w:bottom w:val="single" w:color="000000" w:sz="4" w:space="0"/>
              <w:right w:val="single" w:color="000000" w:sz="4" w:space="0"/>
            </w:tcBorders>
            <w:noWrap w:val="0"/>
            <w:vAlign w:val="center"/>
          </w:tcPr>
          <w:p w14:paraId="65E6A3EE">
            <w:pPr>
              <w:widowControl/>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1、采用≮17mm厚高强度层压板复合1±0.5mm厚三聚氰胺耐磨板或其它耐磨高强度材质制作。</w:t>
            </w:r>
          </w:p>
          <w:p w14:paraId="683AB00A">
            <w:pPr>
              <w:widowControl/>
              <w:textAlignment w:val="center"/>
              <w:rPr>
                <w:color w:val="000000"/>
                <w:sz w:val="21"/>
                <w:szCs w:val="21"/>
              </w:rPr>
            </w:pPr>
            <w:r>
              <w:rPr>
                <w:rFonts w:hint="eastAsia" w:ascii="宋体" w:hAnsi="宋体" w:cs="宋体"/>
                <w:color w:val="000000"/>
                <w:kern w:val="0"/>
                <w:sz w:val="21"/>
                <w:szCs w:val="21"/>
                <w:lang w:bidi="ar"/>
              </w:rPr>
              <w:t>2、每层设一个箱形踏步（工艺与看台台面制作相同），并设排号标牌</w:t>
            </w:r>
          </w:p>
        </w:tc>
      </w:tr>
      <w:tr w14:paraId="588940E7">
        <w:tblPrEx>
          <w:tblCellMar>
            <w:top w:w="0" w:type="dxa"/>
            <w:left w:w="108" w:type="dxa"/>
            <w:bottom w:w="0" w:type="dxa"/>
            <w:right w:w="108" w:type="dxa"/>
          </w:tblCellMar>
        </w:tblPrEx>
        <w:trPr>
          <w:trHeight w:val="841"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7083FFDD">
            <w:pPr>
              <w:widowControl/>
              <w:jc w:val="center"/>
              <w:textAlignment w:val="center"/>
              <w:rPr>
                <w:color w:val="000000"/>
                <w:sz w:val="21"/>
                <w:szCs w:val="21"/>
              </w:rPr>
            </w:pPr>
            <w:r>
              <w:rPr>
                <w:rFonts w:hint="eastAsia" w:ascii="宋体" w:hAnsi="宋体" w:cs="宋体"/>
                <w:color w:val="000000"/>
                <w:kern w:val="0"/>
                <w:sz w:val="21"/>
                <w:szCs w:val="21"/>
                <w:lang w:bidi="ar"/>
              </w:rPr>
              <w:t>3</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132A5A2F">
            <w:pPr>
              <w:widowControl/>
              <w:jc w:val="center"/>
              <w:textAlignment w:val="center"/>
              <w:rPr>
                <w:color w:val="000000"/>
                <w:sz w:val="21"/>
                <w:szCs w:val="21"/>
              </w:rPr>
            </w:pPr>
            <w:r>
              <w:rPr>
                <w:rFonts w:hint="eastAsia" w:ascii="宋体" w:hAnsi="宋体" w:cs="宋体"/>
                <w:color w:val="000000"/>
                <w:kern w:val="0"/>
                <w:sz w:val="21"/>
                <w:szCs w:val="21"/>
                <w:lang w:bidi="ar"/>
              </w:rPr>
              <w:t>篮球架</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098132D4">
            <w:pPr>
              <w:widowControl/>
              <w:jc w:val="center"/>
              <w:textAlignment w:val="center"/>
              <w:rPr>
                <w:color w:val="000000"/>
                <w:sz w:val="21"/>
                <w:szCs w:val="21"/>
              </w:rPr>
            </w:pPr>
            <w:r>
              <w:rPr>
                <w:rFonts w:hint="eastAsia" w:ascii="宋体" w:hAnsi="宋体" w:cs="宋体"/>
                <w:color w:val="000000"/>
                <w:kern w:val="0"/>
                <w:sz w:val="21"/>
                <w:szCs w:val="21"/>
                <w:lang w:bidi="ar"/>
              </w:rPr>
              <w:t>1</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2F7C26EA">
            <w:pPr>
              <w:widowControl/>
              <w:jc w:val="center"/>
              <w:textAlignment w:val="center"/>
              <w:rPr>
                <w:color w:val="000000"/>
                <w:sz w:val="21"/>
                <w:szCs w:val="21"/>
              </w:rPr>
            </w:pPr>
            <w:r>
              <w:rPr>
                <w:rFonts w:hint="eastAsia" w:ascii="宋体" w:hAnsi="宋体" w:cs="宋体"/>
                <w:color w:val="000000"/>
                <w:kern w:val="0"/>
                <w:sz w:val="21"/>
                <w:szCs w:val="21"/>
                <w:lang w:bidi="ar"/>
              </w:rPr>
              <w:t>副</w:t>
            </w:r>
          </w:p>
        </w:tc>
        <w:tc>
          <w:tcPr>
            <w:tcW w:w="7393" w:type="dxa"/>
            <w:tcBorders>
              <w:top w:val="single" w:color="000000" w:sz="4" w:space="0"/>
              <w:left w:val="single" w:color="000000" w:sz="4" w:space="0"/>
              <w:bottom w:val="single" w:color="000000" w:sz="4" w:space="0"/>
              <w:right w:val="single" w:color="000000" w:sz="4" w:space="0"/>
            </w:tcBorders>
            <w:noWrap w:val="0"/>
            <w:vAlign w:val="center"/>
          </w:tcPr>
          <w:p w14:paraId="210DA1A3">
            <w:pPr>
              <w:widowControl/>
              <w:textAlignment w:val="center"/>
              <w:rPr>
                <w:color w:val="000000"/>
                <w:sz w:val="21"/>
                <w:szCs w:val="21"/>
              </w:rPr>
            </w:pPr>
            <w:r>
              <w:rPr>
                <w:rFonts w:hint="eastAsia" w:ascii="宋体" w:hAnsi="宋体" w:cs="宋体"/>
                <w:color w:val="000000"/>
                <w:kern w:val="0"/>
                <w:sz w:val="21"/>
                <w:szCs w:val="21"/>
                <w:lang w:bidi="ar"/>
              </w:rPr>
              <w:t>1、产品规格</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篮架伸臂≥3.25m，篮圈上沿离地面高3.05m，球架底座尺寸：长×宽×前高×后高≥2.5×1.3×0.74×0.41（m）</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2、产品用材</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篮球架底座采用≥6㎜的铁板拼焊而成，底座前立柱、后立柱支撑架和油缸支撑架采用≥6 mm铁板折边制作，篮架立柱采用≥□200×70×3方管、≥□120×120×3方管、≥□120×70×3方管和≥□70×70×3方管拼焊而成，篮架伸臂采用≥δ5钢板成形拼焊而成，篮架立柱转动部位和伸臂头部连接件采用优质精密铸钢件链接，安全性必须可靠，篮架拉杆采用圆管一次成型工艺，杜绝缺陷。</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3、产品结构原理</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采用电动控制系统，设有篮架升降系统、走轮伸缩机构、走轮前进或后退、电器、液压系统。篮架主体升降采用电动液压升降方式，使用时电机接通220V、50HZ单相电源即可启动，带动油泵，经微电脑控制系统进行“功能”转换，油缸随即产生伸缩运动，从而使篮架立柱升降、底座走轮起落和走轮前进或后退。 其中，控制篮架走轮的前进或后退可采用电动操作，也可保障在无供电的情况下，依靠人力将篮球架轻松移动。</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4、篮板配用国际通用的高强度安全玻璃篮板（≥13mm厚双层夹胶玻璃），规格：1800-1830×1050-1070（mm），具有透明度高、耐侯性好、抗老化、耐腐蚀、不易模糊等特点，并在篮板下沿侧面覆盖有保护圈，保护圈前后表面高度、厚度均≥20mm，底面厚度≥50mm，符合FIBA规则，能有效保护运动员扣篮时不受伤害。篮板弹性500N/min，中心挠度≤6mm，取消外力1min后篮板恢复原状。</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5、篮圈采用≥φ19实心圆钢制作，篮圈抗弯性能好，在篮圈最远点的圈顶上施加静载荷105kg时，篮圈向下转动角度不小于10度也不大于30度，解决投篮时篮圈的稳定性和运动员扣篮时的安全性问题。</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6、防护措施：篮架前立柱、底座、伸臂配备有专用护套，能有效保护运动员免受撞击，篮架底座下部设有防震垫，后部装有专用配重，单只配重≥500kg，能保证在篮圈根部施加3200N的载荷时，篮球架不倾翻。前立柱与伸臂间装有专用保险机构，能有效保证使用时的安全性。</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7、底座除了正常移动的走轮机构，须有专用爬坡轮，具有爬坡功能，须能够应对复杂场地情况。</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8、产品具有耐酸碱、耐湿热、抗老化等优点，能适合潮湿和酸雨环境，且前处理过程以及产品涂料配方均不含有毒元素，避免损害使用者的健康。</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9、智能型篮球架，具有遥控、微电脑双控制、全自动行走、升降功能。</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10、产品通过FIBA认证，满足FIBA一级和二级比赛要求。</w:t>
            </w:r>
          </w:p>
        </w:tc>
      </w:tr>
      <w:tr w14:paraId="4C7C0870">
        <w:tblPrEx>
          <w:tblCellMar>
            <w:top w:w="0" w:type="dxa"/>
            <w:left w:w="108" w:type="dxa"/>
            <w:bottom w:w="0" w:type="dxa"/>
            <w:right w:w="108" w:type="dxa"/>
          </w:tblCellMar>
        </w:tblPrEx>
        <w:trPr>
          <w:trHeight w:val="903" w:hRule="atLeast"/>
          <w:jc w:val="center"/>
        </w:trPr>
        <w:tc>
          <w:tcPr>
            <w:tcW w:w="10396" w:type="dxa"/>
            <w:gridSpan w:val="5"/>
            <w:tcBorders>
              <w:top w:val="single" w:color="000000" w:sz="4" w:space="0"/>
              <w:left w:val="single" w:color="000000" w:sz="4" w:space="0"/>
              <w:bottom w:val="single" w:color="000000" w:sz="4" w:space="0"/>
              <w:right w:val="single" w:color="000000" w:sz="4" w:space="0"/>
            </w:tcBorders>
            <w:noWrap w:val="0"/>
            <w:vAlign w:val="center"/>
          </w:tcPr>
          <w:p w14:paraId="7378DB1B">
            <w:pPr>
              <w:widowControl/>
              <w:textAlignment w:val="center"/>
              <w:rPr>
                <w:color w:val="000000"/>
                <w:sz w:val="21"/>
                <w:szCs w:val="21"/>
              </w:rPr>
            </w:pPr>
            <w:r>
              <w:rPr>
                <w:rFonts w:hint="eastAsia" w:ascii="宋体" w:hAnsi="宋体" w:cs="宋体"/>
                <w:color w:val="000000"/>
                <w:kern w:val="0"/>
                <w:sz w:val="21"/>
                <w:szCs w:val="21"/>
                <w:lang w:bidi="ar"/>
              </w:rPr>
              <w:t>以上要求为采购人基础需求，以上文字表述无任何针对性、排他性、指向性，不代表采购人只能接受或者认可以上技术要求的产品，请各潜在响应人提供不低于或者优于以上要求的成熟产品，并提供资料佐证。</w:t>
            </w:r>
          </w:p>
        </w:tc>
      </w:tr>
    </w:tbl>
    <w:p w14:paraId="7E2DECA5">
      <w:pPr>
        <w:rPr>
          <w:rFonts w:hint="eastAsia"/>
          <w:color w:val="auto"/>
          <w:lang w:val="en-US" w:eastAsia="zh-CN"/>
        </w:rPr>
      </w:pPr>
    </w:p>
    <w:p w14:paraId="2CF67616">
      <w:pPr>
        <w:spacing w:line="360" w:lineRule="auto"/>
        <w:ind w:firstLine="422" w:firstLineChars="200"/>
        <w:rPr>
          <w:rFonts w:hint="eastAsia" w:ascii="宋体" w:hAnsi="宋体" w:cs="宋体"/>
          <w:b/>
          <w:bCs/>
          <w:color w:val="auto"/>
          <w:szCs w:val="21"/>
        </w:rPr>
      </w:pPr>
      <w:r>
        <w:rPr>
          <w:rFonts w:hint="eastAsia" w:ascii="宋体" w:hAnsi="宋体" w:cs="宋体"/>
          <w:b/>
          <w:bCs/>
          <w:color w:val="auto"/>
          <w:szCs w:val="21"/>
          <w:lang w:val="en-US" w:eastAsia="zh-CN"/>
        </w:rPr>
        <w:t>三</w:t>
      </w:r>
      <w:r>
        <w:rPr>
          <w:rFonts w:hint="eastAsia" w:ascii="宋体" w:hAnsi="宋体" w:cs="宋体"/>
          <w:b/>
          <w:bCs/>
          <w:color w:val="auto"/>
          <w:szCs w:val="21"/>
        </w:rPr>
        <w:t>、其他要求</w:t>
      </w:r>
    </w:p>
    <w:p w14:paraId="268B7A2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1、属于节能产品政府采购清单规定必须强制采购的, 必须采购当期节能产品政府采购清单内设备或产品；在技术、服务等指标同等条件下，优先采购节能、环保产品。</w:t>
      </w:r>
    </w:p>
    <w:p w14:paraId="095D9C2D">
      <w:pPr>
        <w:widowControl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2、检测、验收及抽查涉及的所有费用均由成交供应商支付。</w:t>
      </w:r>
    </w:p>
    <w:p w14:paraId="0C7B16FA">
      <w:pPr>
        <w:widowControl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3、器材必须按照国家体育总局《体育彩票公益金资助项目标牌设计及安装规范》要求制作安装标牌。</w:t>
      </w:r>
    </w:p>
    <w:p w14:paraId="20AA93A4">
      <w:pPr>
        <w:widowControl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4、成交供应商所投产品要设有标识，标识须采用拉丝印刷内容要突出“中国体育彩票资助  郑州市体育局监制”字样。</w:t>
      </w:r>
    </w:p>
    <w:p w14:paraId="1696D46C">
      <w:pPr>
        <w:keepNext w:val="0"/>
        <w:keepLines w:val="0"/>
        <w:widowControl w:val="0"/>
        <w:numPr>
          <w:ilvl w:val="1"/>
          <w:numId w:val="0"/>
        </w:numPr>
        <w:spacing w:line="360" w:lineRule="auto"/>
        <w:ind w:left="0" w:firstLine="422" w:firstLineChars="200"/>
        <w:jc w:val="both"/>
        <w:outlineLvl w:val="1"/>
        <w:rPr>
          <w:rFonts w:hint="eastAsia" w:ascii="宋体" w:hAnsi="宋体" w:eastAsia="宋体" w:cs="宋体"/>
          <w:b/>
          <w:bCs/>
          <w:color w:val="auto"/>
          <w:kern w:val="2"/>
          <w:sz w:val="21"/>
          <w:szCs w:val="21"/>
          <w:lang w:val="en-US" w:eastAsia="zh-CN" w:bidi="ar-SA"/>
        </w:rPr>
      </w:pPr>
      <w:bookmarkStart w:id="5" w:name="_Toc18676"/>
      <w:r>
        <w:rPr>
          <w:rFonts w:hint="eastAsia" w:ascii="宋体" w:hAnsi="宋体" w:eastAsia="宋体" w:cs="宋体"/>
          <w:b/>
          <w:bCs/>
          <w:color w:val="auto"/>
          <w:kern w:val="2"/>
          <w:sz w:val="21"/>
          <w:szCs w:val="21"/>
          <w:lang w:val="en-US" w:eastAsia="zh-CN" w:bidi="ar-SA"/>
        </w:rPr>
        <w:t>四、项目商务要求</w:t>
      </w:r>
      <w:bookmarkEnd w:id="5"/>
    </w:p>
    <w:tbl>
      <w:tblPr>
        <w:tblStyle w:val="5"/>
        <w:tblW w:w="975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3"/>
        <w:gridCol w:w="7752"/>
      </w:tblGrid>
      <w:tr w14:paraId="50FA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003" w:type="dxa"/>
            <w:noWrap w:val="0"/>
            <w:vAlign w:val="center"/>
          </w:tcPr>
          <w:p w14:paraId="1C8C4A34">
            <w:pPr>
              <w:spacing w:line="360" w:lineRule="auto"/>
              <w:jc w:val="center"/>
              <w:rPr>
                <w:rFonts w:hint="eastAsia" w:ascii="宋体" w:hAnsi="宋体" w:eastAsia="宋体" w:cs="宋体"/>
                <w:color w:val="0000FF"/>
                <w:szCs w:val="21"/>
                <w:lang w:eastAsia="zh-CN"/>
              </w:rPr>
            </w:pPr>
            <w:r>
              <w:rPr>
                <w:rFonts w:hint="eastAsia" w:ascii="宋体" w:hAnsi="宋体" w:cs="宋体"/>
                <w:color w:val="0000FF"/>
                <w:szCs w:val="21"/>
                <w:lang w:eastAsia="zh-CN"/>
              </w:rPr>
              <w:t>交货期</w:t>
            </w:r>
          </w:p>
        </w:tc>
        <w:tc>
          <w:tcPr>
            <w:tcW w:w="7752" w:type="dxa"/>
            <w:noWrap w:val="0"/>
            <w:vAlign w:val="center"/>
          </w:tcPr>
          <w:p w14:paraId="791CBB41">
            <w:pPr>
              <w:spacing w:line="360" w:lineRule="auto"/>
              <w:ind w:firstLine="420" w:firstLineChars="200"/>
              <w:jc w:val="center"/>
              <w:rPr>
                <w:rFonts w:hint="eastAsia" w:ascii="宋体" w:hAnsi="宋体" w:cs="宋体"/>
                <w:color w:val="0000FF"/>
                <w:szCs w:val="21"/>
              </w:rPr>
            </w:pPr>
            <w:r>
              <w:rPr>
                <w:rFonts w:hint="eastAsia" w:ascii="宋体" w:hAnsi="宋体" w:cs="宋体"/>
                <w:color w:val="0000FF"/>
                <w:szCs w:val="21"/>
              </w:rPr>
              <w:t>合同签订后</w:t>
            </w:r>
            <w:r>
              <w:rPr>
                <w:rFonts w:hint="eastAsia" w:ascii="宋体" w:hAnsi="宋体" w:cs="宋体"/>
                <w:color w:val="0000FF"/>
                <w:szCs w:val="21"/>
                <w:lang w:val="en-US" w:eastAsia="zh-CN"/>
              </w:rPr>
              <w:t>180</w:t>
            </w:r>
            <w:r>
              <w:rPr>
                <w:rFonts w:hint="eastAsia" w:ascii="宋体" w:hAnsi="宋体" w:cs="宋体"/>
                <w:color w:val="0000FF"/>
                <w:szCs w:val="21"/>
              </w:rPr>
              <w:t>日历天内完成供货安装调试完毕。</w:t>
            </w:r>
          </w:p>
        </w:tc>
      </w:tr>
      <w:tr w14:paraId="2E01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03" w:type="dxa"/>
            <w:noWrap w:val="0"/>
            <w:vAlign w:val="center"/>
          </w:tcPr>
          <w:p w14:paraId="2891B37F">
            <w:pPr>
              <w:spacing w:line="360" w:lineRule="auto"/>
              <w:jc w:val="center"/>
              <w:rPr>
                <w:rFonts w:hint="eastAsia" w:ascii="宋体" w:hAnsi="宋体" w:cs="宋体"/>
                <w:color w:val="0000FF"/>
                <w:szCs w:val="21"/>
              </w:rPr>
            </w:pPr>
            <w:r>
              <w:rPr>
                <w:rFonts w:hint="eastAsia" w:ascii="宋体" w:hAnsi="宋体" w:cs="宋体"/>
                <w:color w:val="0000FF"/>
                <w:szCs w:val="21"/>
              </w:rPr>
              <w:t>供货及安装地点</w:t>
            </w:r>
          </w:p>
        </w:tc>
        <w:tc>
          <w:tcPr>
            <w:tcW w:w="7752" w:type="dxa"/>
            <w:noWrap w:val="0"/>
            <w:vAlign w:val="center"/>
          </w:tcPr>
          <w:p w14:paraId="1806EFAC">
            <w:pPr>
              <w:spacing w:line="360" w:lineRule="auto"/>
              <w:ind w:firstLine="420" w:firstLineChars="200"/>
              <w:jc w:val="center"/>
              <w:rPr>
                <w:rFonts w:hint="eastAsia" w:ascii="宋体" w:hAnsi="宋体" w:cs="宋体"/>
                <w:color w:val="0000FF"/>
                <w:szCs w:val="21"/>
              </w:rPr>
            </w:pPr>
            <w:r>
              <w:rPr>
                <w:rFonts w:hint="eastAsia" w:ascii="宋体" w:hAnsi="宋体" w:cs="宋体"/>
                <w:color w:val="0000FF"/>
                <w:szCs w:val="21"/>
                <w:lang w:eastAsia="zh-CN"/>
              </w:rPr>
              <w:t>采购人指定地点</w:t>
            </w:r>
            <w:r>
              <w:rPr>
                <w:rFonts w:hint="eastAsia" w:ascii="宋体" w:hAnsi="宋体" w:cs="宋体"/>
                <w:color w:val="0000FF"/>
                <w:szCs w:val="21"/>
              </w:rPr>
              <w:t>。</w:t>
            </w:r>
          </w:p>
        </w:tc>
      </w:tr>
      <w:tr w14:paraId="15EBD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2003" w:type="dxa"/>
            <w:noWrap w:val="0"/>
            <w:vAlign w:val="center"/>
          </w:tcPr>
          <w:p w14:paraId="0E63F933">
            <w:pPr>
              <w:spacing w:line="360" w:lineRule="auto"/>
              <w:jc w:val="center"/>
              <w:rPr>
                <w:rFonts w:hint="eastAsia" w:ascii="宋体" w:hAnsi="宋体" w:cs="宋体"/>
                <w:color w:val="0000FF"/>
                <w:szCs w:val="21"/>
              </w:rPr>
            </w:pPr>
            <w:r>
              <w:rPr>
                <w:rFonts w:hint="eastAsia" w:ascii="宋体" w:hAnsi="宋体" w:cs="宋体"/>
                <w:color w:val="0000FF"/>
                <w:szCs w:val="21"/>
              </w:rPr>
              <w:t>安全使用寿命期及质保期</w:t>
            </w:r>
          </w:p>
        </w:tc>
        <w:tc>
          <w:tcPr>
            <w:tcW w:w="7752" w:type="dxa"/>
            <w:noWrap w:val="0"/>
            <w:vAlign w:val="top"/>
          </w:tcPr>
          <w:p w14:paraId="7E6A54DE">
            <w:pPr>
              <w:spacing w:line="360" w:lineRule="auto"/>
              <w:ind w:firstLine="210" w:firstLineChars="100"/>
              <w:jc w:val="left"/>
              <w:rPr>
                <w:rFonts w:hint="eastAsia" w:ascii="宋体" w:hAnsi="宋体" w:cs="宋体"/>
                <w:color w:val="0000FF"/>
                <w:szCs w:val="21"/>
              </w:rPr>
            </w:pPr>
            <w:r>
              <w:rPr>
                <w:rFonts w:hint="eastAsia" w:ascii="宋体" w:hAnsi="宋体" w:cs="宋体"/>
                <w:color w:val="0000FF"/>
                <w:szCs w:val="21"/>
              </w:rPr>
              <w:t>1、采购产品安全使用寿命不低于</w:t>
            </w:r>
            <w:r>
              <w:rPr>
                <w:rFonts w:hint="eastAsia" w:ascii="宋体" w:hAnsi="宋体" w:cs="宋体"/>
                <w:color w:val="0000FF"/>
                <w:szCs w:val="21"/>
                <w:lang w:val="en-US" w:eastAsia="zh-CN"/>
              </w:rPr>
              <w:t>8</w:t>
            </w:r>
            <w:r>
              <w:rPr>
                <w:rFonts w:hint="eastAsia" w:ascii="宋体" w:hAnsi="宋体" w:cs="宋体"/>
                <w:color w:val="0000FF"/>
                <w:szCs w:val="21"/>
              </w:rPr>
              <w:t>年。</w:t>
            </w:r>
          </w:p>
          <w:p w14:paraId="6684E625">
            <w:pPr>
              <w:spacing w:line="360" w:lineRule="auto"/>
              <w:ind w:firstLine="210" w:firstLineChars="100"/>
              <w:jc w:val="left"/>
              <w:rPr>
                <w:rFonts w:hint="eastAsia" w:ascii="宋体" w:hAnsi="宋体" w:cs="宋体"/>
                <w:color w:val="0000FF"/>
                <w:szCs w:val="21"/>
              </w:rPr>
            </w:pPr>
            <w:r>
              <w:rPr>
                <w:rFonts w:hint="eastAsia" w:ascii="宋体" w:hAnsi="宋体" w:cs="宋体"/>
                <w:color w:val="0000FF"/>
                <w:szCs w:val="21"/>
              </w:rPr>
              <w:t>2、质量保证期为</w:t>
            </w:r>
            <w:r>
              <w:rPr>
                <w:rFonts w:hint="eastAsia" w:ascii="宋体" w:hAnsi="宋体" w:cs="宋体"/>
                <w:color w:val="0000FF"/>
                <w:szCs w:val="21"/>
                <w:lang w:val="en-US" w:eastAsia="zh-CN"/>
              </w:rPr>
              <w:t>8</w:t>
            </w:r>
            <w:r>
              <w:rPr>
                <w:rFonts w:hint="eastAsia" w:ascii="宋体" w:hAnsi="宋体" w:cs="宋体"/>
                <w:color w:val="0000FF"/>
                <w:szCs w:val="21"/>
              </w:rPr>
              <w:t>年，质量保证期内的器材因质量问题而损坏的由器材供应商免费维修与更换。</w:t>
            </w:r>
          </w:p>
        </w:tc>
      </w:tr>
      <w:tr w14:paraId="4587B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003" w:type="dxa"/>
            <w:noWrap w:val="0"/>
            <w:vAlign w:val="center"/>
          </w:tcPr>
          <w:p w14:paraId="16D5C6DB">
            <w:pPr>
              <w:spacing w:line="360" w:lineRule="auto"/>
              <w:jc w:val="center"/>
              <w:rPr>
                <w:rFonts w:hint="eastAsia" w:ascii="宋体" w:hAnsi="宋体" w:cs="宋体"/>
                <w:color w:val="0000FF"/>
                <w:szCs w:val="21"/>
              </w:rPr>
            </w:pPr>
            <w:r>
              <w:rPr>
                <w:rFonts w:hint="eastAsia" w:ascii="宋体" w:hAnsi="宋体" w:cs="宋体"/>
                <w:color w:val="0000FF"/>
                <w:szCs w:val="21"/>
              </w:rPr>
              <w:t>售后服务</w:t>
            </w:r>
          </w:p>
        </w:tc>
        <w:tc>
          <w:tcPr>
            <w:tcW w:w="7752" w:type="dxa"/>
            <w:noWrap w:val="0"/>
            <w:vAlign w:val="top"/>
          </w:tcPr>
          <w:p w14:paraId="7268EC17">
            <w:pPr>
              <w:spacing w:line="360" w:lineRule="auto"/>
              <w:ind w:firstLine="315" w:firstLineChars="150"/>
              <w:jc w:val="left"/>
              <w:rPr>
                <w:rFonts w:hint="eastAsia" w:ascii="宋体" w:hAnsi="宋体" w:cs="宋体"/>
                <w:color w:val="0000FF"/>
                <w:szCs w:val="21"/>
              </w:rPr>
            </w:pPr>
            <w:r>
              <w:rPr>
                <w:rFonts w:hint="eastAsia" w:ascii="宋体" w:hAnsi="宋体" w:cs="宋体"/>
                <w:color w:val="0000FF"/>
                <w:szCs w:val="21"/>
              </w:rPr>
              <w:t>1、设备出现故障时，1小时作出响应，4小时内到现场，24小时内解决问题，如不能按时解决问题时提供备用设备服务。</w:t>
            </w:r>
          </w:p>
          <w:p w14:paraId="2ACC6809">
            <w:pPr>
              <w:spacing w:line="360" w:lineRule="auto"/>
              <w:ind w:firstLine="315" w:firstLineChars="150"/>
              <w:jc w:val="left"/>
              <w:rPr>
                <w:rFonts w:hint="eastAsia" w:ascii="宋体" w:hAnsi="宋体" w:cs="宋体"/>
                <w:color w:val="0000FF"/>
                <w:szCs w:val="21"/>
              </w:rPr>
            </w:pPr>
            <w:r>
              <w:rPr>
                <w:rFonts w:hint="eastAsia" w:ascii="宋体" w:hAnsi="宋体" w:cs="宋体"/>
                <w:color w:val="0000FF"/>
                <w:szCs w:val="21"/>
              </w:rPr>
              <w:t>2、在质量保证期内,成交供应商结合受赠单位对器材进行每年不少于一次的巡检维修；凡因正常使用出现的质量问题，成交供应商应提供免费维修或更换，维修或更换所产生的一切费用由中标单位承担，并从更换后重新计算该项产品质保期。</w:t>
            </w:r>
          </w:p>
        </w:tc>
      </w:tr>
    </w:tbl>
    <w:p w14:paraId="4B59E973">
      <w:pPr>
        <w:spacing w:line="360" w:lineRule="auto"/>
        <w:ind w:firstLine="422" w:firstLineChars="200"/>
        <w:rPr>
          <w:rFonts w:hint="eastAsia" w:ascii="宋体" w:hAnsi="宋体" w:cs="宋体"/>
          <w:b/>
          <w:bCs/>
          <w:color w:val="auto"/>
          <w:szCs w:val="21"/>
        </w:rPr>
      </w:pPr>
      <w:r>
        <w:rPr>
          <w:rFonts w:hint="eastAsia" w:ascii="宋体" w:hAnsi="宋体" w:cs="宋体"/>
          <w:b/>
          <w:bCs/>
          <w:color w:val="auto"/>
          <w:szCs w:val="21"/>
          <w:lang w:val="en-US" w:eastAsia="zh-CN"/>
        </w:rPr>
        <w:t>五</w:t>
      </w:r>
      <w:r>
        <w:rPr>
          <w:rFonts w:hint="eastAsia" w:ascii="宋体" w:hAnsi="宋体" w:cs="宋体"/>
          <w:b/>
          <w:bCs/>
          <w:color w:val="auto"/>
          <w:szCs w:val="21"/>
        </w:rPr>
        <w:t>、技术要求</w:t>
      </w:r>
    </w:p>
    <w:p w14:paraId="6588B98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（1）投标产品技术响应程度，符合本项目的采购需求。</w:t>
      </w:r>
    </w:p>
    <w:p w14:paraId="1F1E233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（2）项目实施计划方案内容完整、描述详细，符合本项目的采购需求。</w:t>
      </w:r>
    </w:p>
    <w:p w14:paraId="00EBD69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kern w:val="0"/>
          <w:szCs w:val="21"/>
          <w:highlight w:val="none"/>
        </w:rPr>
        <w:t>质量控制方案</w:t>
      </w:r>
      <w:r>
        <w:rPr>
          <w:rFonts w:hint="eastAsia" w:ascii="宋体" w:hAnsi="宋体" w:cs="宋体"/>
          <w:color w:val="auto"/>
          <w:szCs w:val="21"/>
          <w:highlight w:val="none"/>
        </w:rPr>
        <w:t>内容完整、描述详细，符合本项目的采购需求。</w:t>
      </w:r>
    </w:p>
    <w:p w14:paraId="00CC28F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（4）本项目须提供样品，描述详细，符合本项目的采购需求。</w:t>
      </w:r>
    </w:p>
    <w:p w14:paraId="70724E5E">
      <w:pPr>
        <w:spacing w:line="360" w:lineRule="auto"/>
        <w:ind w:firstLine="422" w:firstLineChars="200"/>
        <w:rPr>
          <w:rFonts w:ascii="宋体" w:hAnsi="宋体" w:cs="宋体"/>
          <w:b/>
          <w:bCs/>
          <w:color w:val="0000FF"/>
          <w:szCs w:val="21"/>
          <w:highlight w:val="none"/>
        </w:rPr>
      </w:pPr>
      <w:r>
        <w:rPr>
          <w:rFonts w:hint="eastAsia" w:ascii="宋体" w:hAnsi="宋体" w:cs="宋体"/>
          <w:b/>
          <w:bCs/>
          <w:color w:val="0000FF"/>
          <w:szCs w:val="21"/>
          <w:highlight w:val="none"/>
          <w:lang w:val="en-US" w:eastAsia="zh-CN"/>
        </w:rPr>
        <w:t>六</w:t>
      </w:r>
      <w:r>
        <w:rPr>
          <w:rFonts w:hint="eastAsia" w:ascii="宋体" w:hAnsi="宋体" w:cs="宋体"/>
          <w:b/>
          <w:bCs/>
          <w:color w:val="0000FF"/>
          <w:szCs w:val="21"/>
          <w:highlight w:val="none"/>
        </w:rPr>
        <w:t>、本项目样品为：</w:t>
      </w:r>
    </w:p>
    <w:p w14:paraId="4CF71181">
      <w:pPr>
        <w:spacing w:line="360" w:lineRule="auto"/>
        <w:ind w:firstLine="843" w:firstLineChars="400"/>
        <w:rPr>
          <w:rFonts w:hint="eastAsia" w:ascii="宋体" w:hAnsi="宋体" w:cs="宋体"/>
          <w:b/>
          <w:bCs/>
          <w:color w:val="0000FF"/>
          <w:szCs w:val="21"/>
          <w:highlight w:val="none"/>
          <w:lang w:val="en-US" w:eastAsia="zh-CN"/>
        </w:rPr>
      </w:pPr>
      <w:r>
        <w:rPr>
          <w:rFonts w:hint="eastAsia" w:ascii="宋体" w:hAnsi="宋体" w:cs="宋体"/>
          <w:b/>
          <w:bCs/>
          <w:color w:val="0000FF"/>
          <w:szCs w:val="21"/>
          <w:highlight w:val="none"/>
          <w:lang w:val="en-US" w:eastAsia="zh-CN"/>
        </w:rPr>
        <w:t>看台座椅：不小于435mm（座宽）X555mm（座深）X540mm（背长）</w:t>
      </w:r>
    </w:p>
    <w:p w14:paraId="658E0B1E">
      <w:pPr>
        <w:ind w:firstLine="422" w:firstLineChars="200"/>
      </w:pPr>
      <w:bookmarkStart w:id="6" w:name="_GoBack"/>
      <w:bookmarkEnd w:id="6"/>
      <w:r>
        <w:rPr>
          <w:rFonts w:hint="eastAsia" w:ascii="宋体" w:hAnsi="宋体" w:cs="宋体"/>
          <w:b/>
          <w:bCs/>
          <w:color w:val="0000FF"/>
          <w:szCs w:val="21"/>
          <w:highlight w:val="none"/>
          <w:lang w:val="en-US" w:eastAsia="zh-CN"/>
        </w:rPr>
        <w:t>七</w:t>
      </w:r>
      <w:r>
        <w:rPr>
          <w:rFonts w:hint="eastAsia" w:ascii="宋体" w:hAnsi="宋体" w:cs="宋体"/>
          <w:b/>
          <w:bCs/>
          <w:color w:val="0000FF"/>
          <w:szCs w:val="21"/>
          <w:highlight w:val="none"/>
        </w:rPr>
        <w:t>、本项目核心产品为</w:t>
      </w:r>
      <w:r>
        <w:rPr>
          <w:rFonts w:hint="eastAsia" w:ascii="宋体" w:hAnsi="宋体" w:cs="宋体"/>
          <w:b/>
          <w:bCs/>
          <w:color w:val="0000FF"/>
          <w:szCs w:val="21"/>
          <w:highlight w:val="none"/>
          <w:u w:val="single"/>
          <w:lang w:val="en-US" w:eastAsia="zh-CN"/>
        </w:rPr>
        <w:t xml:space="preserve">  看台座椅。</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3921A2"/>
    <w:rsid w:val="58392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next w:val="1"/>
    <w:qFormat/>
    <w:uiPriority w:val="99"/>
    <w:pPr>
      <w:keepNext/>
      <w:keepLines/>
      <w:widowControl w:val="0"/>
      <w:numPr>
        <w:ilvl w:val="1"/>
        <w:numId w:val="0"/>
      </w:numPr>
      <w:spacing w:line="360" w:lineRule="auto"/>
      <w:ind w:left="0" w:firstLine="0"/>
      <w:jc w:val="left"/>
      <w:outlineLvl w:val="1"/>
    </w:pPr>
    <w:rPr>
      <w:rFonts w:ascii="Arial" w:hAnsi="Arial" w:eastAsia="宋体" w:cs="Times New Roman"/>
      <w:b/>
      <w:kern w:val="2"/>
      <w:sz w:val="24"/>
      <w:szCs w:val="20"/>
      <w:lang w:val="en-US" w:eastAsia="zh-CN" w:bidi="ar-SA"/>
    </w:rPr>
  </w:style>
  <w:style w:type="paragraph" w:styleId="3">
    <w:name w:val="heading 3"/>
    <w:next w:val="1"/>
    <w:qFormat/>
    <w:uiPriority w:val="99"/>
    <w:pPr>
      <w:keepNext/>
      <w:keepLines/>
      <w:widowControl w:val="0"/>
      <w:spacing w:line="360" w:lineRule="auto"/>
      <w:jc w:val="left"/>
      <w:outlineLvl w:val="2"/>
    </w:pPr>
    <w:rPr>
      <w:rFonts w:ascii="宋体" w:hAnsi="宋体" w:eastAsia="宋体" w:cs="宋体"/>
      <w:b/>
      <w:kern w:val="2"/>
      <w:sz w:val="21"/>
      <w:szCs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Plain Text"/>
    <w:uiPriority w:val="0"/>
    <w:pPr>
      <w:widowControl w:val="0"/>
      <w:jc w:val="both"/>
    </w:pPr>
    <w:rPr>
      <w:rFonts w:ascii="宋体" w:hAnsi="Courier New" w:eastAsia="宋体" w:cs="Courier New"/>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2026-04-13T07:56:00Z</dcterms:created>
  <dc:creator>刘😀</dc:creator>
  <cp:lastModifiedBy>刘😀</cp:lastModifiedBy>
  <dcterms:modified xsi:type="dcterms:W3CDTF">2026-04-13T07:57:12Z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19591A3C8B974645AA6AB4D96CCF412D_11</vt:lpwstr>
  </property>
  <property fmtid="{D5CDD505-2E9C-101B-9397-08002B2CF9AE}" pid="4" name="KSOTemplateDocerSaveRecord">
    <vt:lpwstr>eyJoZGlkIjoiMzEwNTM5NzYwMDRjMzkwZTVkZjY2ODkwMGIxNGU0OTUiLCJ1c2VySWQiOiIyNjg0OTk5NTgifQ==</vt:lpwstr>
  </property>
</Properties>
</file>