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napToGrid w:val="0"/>
        <w:spacing w:line="360" w:lineRule="auto"/>
        <w:jc w:val="center"/>
        <w:rPr>
          <w:rFonts w:hint="eastAsia" w:ascii="宋体" w:hAnsi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郑州市八十三中学运动场改造建设项目</w:t>
      </w:r>
    </w:p>
    <w:p>
      <w:pPr>
        <w:snapToGrid w:val="0"/>
        <w:spacing w:line="360" w:lineRule="auto"/>
        <w:jc w:val="center"/>
        <w:rPr>
          <w:rFonts w:hint="eastAsia"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  <w:lang w:val="en-US" w:eastAsia="zh-CN"/>
        </w:rPr>
        <w:t>工程量清单</w:t>
      </w:r>
      <w:r>
        <w:rPr>
          <w:rFonts w:hint="eastAsia" w:ascii="宋体" w:hAnsi="宋体" w:eastAsia="宋体" w:cs="宋体"/>
          <w:b/>
          <w:sz w:val="32"/>
          <w:szCs w:val="32"/>
        </w:rPr>
        <w:t>编制说明</w:t>
      </w:r>
    </w:p>
    <w:p>
      <w:pPr>
        <w:snapToGrid w:val="0"/>
        <w:spacing w:line="360" w:lineRule="auto"/>
        <w:jc w:val="left"/>
        <w:rPr>
          <w:rFonts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一、项目概况</w:t>
      </w:r>
    </w:p>
    <w:p>
      <w:pPr>
        <w:snapToGrid w:val="0"/>
        <w:spacing w:line="360" w:lineRule="auto"/>
        <w:ind w:firstLine="560" w:firstLineChars="200"/>
        <w:jc w:val="left"/>
        <w:rPr>
          <w:rFonts w:hint="default" w:ascii="宋体" w:hAnsi="宋体" w:eastAsia="宋体"/>
          <w:sz w:val="28"/>
          <w:lang w:val="en-US" w:eastAsia="zh-CN"/>
        </w:rPr>
      </w:pPr>
      <w:r>
        <w:rPr>
          <w:rFonts w:hint="eastAsia" w:ascii="宋体" w:hAnsi="宋体"/>
          <w:sz w:val="28"/>
        </w:rPr>
        <w:t>本次建设</w:t>
      </w:r>
      <w:r>
        <w:rPr>
          <w:rFonts w:hint="eastAsia" w:ascii="宋体" w:hAnsi="宋体"/>
          <w:sz w:val="28"/>
          <w:lang w:eastAsia="zh-CN"/>
        </w:rPr>
        <w:t>地点：</w:t>
      </w:r>
      <w:r>
        <w:rPr>
          <w:rFonts w:hint="eastAsia" w:ascii="宋体" w:hAnsi="宋体"/>
          <w:sz w:val="28"/>
          <w:lang w:val="en-US" w:eastAsia="zh-CN"/>
        </w:rPr>
        <w:t>郑州市管城回族区郑航北路与紫荆山路交叉口西140米</w:t>
      </w:r>
      <w:r>
        <w:rPr>
          <w:rFonts w:hint="eastAsia" w:ascii="宋体" w:hAnsi="宋体"/>
          <w:sz w:val="28"/>
          <w:lang w:eastAsia="zh-CN"/>
        </w:rPr>
        <w:t>，建设单位：</w:t>
      </w:r>
      <w:r>
        <w:rPr>
          <w:rFonts w:hint="eastAsia" w:ascii="宋体" w:hAnsi="宋体"/>
          <w:sz w:val="28"/>
          <w:lang w:val="en-US" w:eastAsia="zh-CN"/>
        </w:rPr>
        <w:t>郑州市八十三中学</w:t>
      </w:r>
      <w:r>
        <w:rPr>
          <w:rFonts w:hint="eastAsia" w:ascii="宋体" w:hAnsi="宋体"/>
          <w:sz w:val="28"/>
          <w:lang w:eastAsia="zh-CN"/>
        </w:rPr>
        <w:t>。</w:t>
      </w:r>
    </w:p>
    <w:p>
      <w:pPr>
        <w:snapToGrid w:val="0"/>
        <w:spacing w:before="156" w:beforeLines="50" w:line="360" w:lineRule="auto"/>
        <w:jc w:val="left"/>
        <w:rPr>
          <w:rFonts w:ascii="宋体" w:hAnsi="宋体"/>
          <w:sz w:val="28"/>
        </w:rPr>
      </w:pPr>
      <w:r>
        <w:rPr>
          <w:rFonts w:hint="eastAsia" w:ascii="宋体" w:hAnsi="宋体"/>
          <w:sz w:val="28"/>
        </w:rPr>
        <w:t>二、</w:t>
      </w:r>
      <w:r>
        <w:rPr>
          <w:rFonts w:hint="eastAsia" w:ascii="宋体" w:hAnsi="宋体"/>
          <w:b/>
          <w:sz w:val="28"/>
        </w:rPr>
        <w:t>编制范围</w:t>
      </w:r>
      <w:bookmarkStart w:id="0" w:name="_GoBack"/>
      <w:bookmarkEnd w:id="0"/>
    </w:p>
    <w:p>
      <w:pPr>
        <w:snapToGrid w:val="0"/>
        <w:spacing w:before="156" w:beforeLines="50" w:line="360" w:lineRule="auto"/>
        <w:ind w:firstLine="560" w:firstLineChars="200"/>
        <w:rPr>
          <w:rFonts w:hint="eastAsia" w:ascii="宋体" w:hAnsi="宋体" w:cs="Times New Roman"/>
          <w:sz w:val="28"/>
          <w:lang w:val="en-US" w:eastAsia="zh-CN"/>
        </w:rPr>
      </w:pPr>
      <w:r>
        <w:rPr>
          <w:rFonts w:hint="eastAsia" w:ascii="宋体" w:hAnsi="宋体" w:cs="Times New Roman"/>
          <w:sz w:val="28"/>
          <w:lang w:val="en-US" w:eastAsia="zh-CN"/>
        </w:rPr>
        <w:t>郑州市八十三中学运动场改造建设项目图纸内包含的全部内容</w:t>
      </w:r>
    </w:p>
    <w:p>
      <w:pPr>
        <w:snapToGrid w:val="0"/>
        <w:spacing w:before="156" w:beforeLines="50" w:line="360" w:lineRule="auto"/>
        <w:rPr>
          <w:rFonts w:ascii="宋体" w:hAnsi="宋体"/>
          <w:sz w:val="28"/>
        </w:rPr>
      </w:pPr>
      <w:r>
        <w:rPr>
          <w:rFonts w:hint="eastAsia" w:ascii="宋体" w:hAnsi="宋体"/>
          <w:b/>
          <w:sz w:val="28"/>
        </w:rPr>
        <w:t>三、编制依据</w:t>
      </w:r>
    </w:p>
    <w:p>
      <w:pPr>
        <w:autoSpaceDE w:val="0"/>
        <w:autoSpaceDN w:val="0"/>
        <w:snapToGrid w:val="0"/>
        <w:spacing w:line="360" w:lineRule="auto"/>
        <w:ind w:firstLine="565" w:firstLineChars="202"/>
        <w:rPr>
          <w:rFonts w:cs="楷体_GB2312" w:asciiTheme="minorEastAsia" w:hAnsiTheme="minorEastAsia" w:eastAsiaTheme="minorEastAsia"/>
          <w:kern w:val="0"/>
          <w:sz w:val="28"/>
          <w:szCs w:val="28"/>
        </w:rPr>
      </w:pPr>
      <w:r>
        <w:rPr>
          <w:rFonts w:hint="eastAsia" w:cs="楷体_GB2312" w:asciiTheme="minorEastAsia" w:hAnsiTheme="minorEastAsia" w:eastAsiaTheme="minorEastAsia"/>
          <w:kern w:val="0"/>
          <w:sz w:val="28"/>
          <w:szCs w:val="28"/>
        </w:rPr>
        <w:t>1、《施工图设计》、图纸答疑、补充说明</w:t>
      </w:r>
      <w:r>
        <w:rPr>
          <w:rFonts w:hint="eastAsia" w:ascii="宋体" w:hAnsi="宋体"/>
          <w:sz w:val="28"/>
        </w:rPr>
        <w:t>等</w:t>
      </w:r>
      <w:r>
        <w:rPr>
          <w:rFonts w:hint="eastAsia" w:cs="楷体_GB2312" w:asciiTheme="minorEastAsia" w:hAnsiTheme="minorEastAsia" w:eastAsiaTheme="minorEastAsia"/>
          <w:kern w:val="0"/>
          <w:sz w:val="28"/>
          <w:szCs w:val="28"/>
        </w:rPr>
        <w:t>；</w:t>
      </w:r>
    </w:p>
    <w:p>
      <w:pPr>
        <w:autoSpaceDE w:val="0"/>
        <w:autoSpaceDN w:val="0"/>
        <w:snapToGrid w:val="0"/>
        <w:spacing w:line="360" w:lineRule="auto"/>
        <w:ind w:firstLine="565" w:firstLineChars="202"/>
        <w:rPr>
          <w:rFonts w:cs="楷体_GB2312" w:asciiTheme="minorEastAsia" w:hAnsiTheme="minorEastAsia" w:eastAsiaTheme="minorEastAsia"/>
          <w:kern w:val="0"/>
          <w:sz w:val="28"/>
          <w:szCs w:val="28"/>
        </w:rPr>
      </w:pPr>
      <w:r>
        <w:rPr>
          <w:rFonts w:hint="eastAsia" w:cs="楷体_GB2312" w:asciiTheme="minorEastAsia" w:hAnsiTheme="minorEastAsia" w:eastAsiaTheme="minorEastAsia"/>
          <w:kern w:val="0"/>
          <w:sz w:val="28"/>
          <w:szCs w:val="28"/>
        </w:rPr>
        <w:t>2、招标文件；</w:t>
      </w:r>
    </w:p>
    <w:p>
      <w:pPr>
        <w:autoSpaceDE w:val="0"/>
        <w:autoSpaceDN w:val="0"/>
        <w:snapToGrid w:val="0"/>
        <w:spacing w:line="360" w:lineRule="auto"/>
        <w:ind w:firstLine="565" w:firstLineChars="202"/>
        <w:rPr>
          <w:rFonts w:cs="楷体_GB2312" w:asciiTheme="minorEastAsia" w:hAnsiTheme="minorEastAsia" w:eastAsiaTheme="minorEastAsia"/>
          <w:kern w:val="0"/>
          <w:sz w:val="28"/>
          <w:szCs w:val="28"/>
        </w:rPr>
      </w:pPr>
      <w:r>
        <w:rPr>
          <w:rFonts w:hint="eastAsia" w:cs="楷体_GB2312" w:asciiTheme="minorEastAsia" w:hAnsiTheme="minorEastAsia" w:eastAsiaTheme="minorEastAsia"/>
          <w:kern w:val="0"/>
          <w:sz w:val="28"/>
          <w:szCs w:val="28"/>
        </w:rPr>
        <w:t>3、《建设工程工程量清单计价规范》（GB50500-2013）、《市政工程工程量计算规范》GB50857-2013及《通用安装工程工程量计算规范》GB50856-2013及相关配套文件；</w:t>
      </w:r>
    </w:p>
    <w:p>
      <w:pPr>
        <w:autoSpaceDE w:val="0"/>
        <w:autoSpaceDN w:val="0"/>
        <w:snapToGrid w:val="0"/>
        <w:spacing w:line="360" w:lineRule="auto"/>
        <w:ind w:firstLine="565" w:firstLineChars="202"/>
        <w:rPr>
          <w:rFonts w:cs="楷体_GB2312" w:asciiTheme="minorEastAsia" w:hAnsiTheme="minorEastAsia" w:eastAsiaTheme="minorEastAsia"/>
          <w:kern w:val="0"/>
          <w:sz w:val="28"/>
          <w:szCs w:val="28"/>
        </w:rPr>
      </w:pPr>
      <w:r>
        <w:rPr>
          <w:rFonts w:hint="eastAsia" w:cs="楷体_GB2312" w:asciiTheme="minorEastAsia" w:hAnsiTheme="minorEastAsia" w:eastAsiaTheme="minorEastAsia"/>
          <w:kern w:val="0"/>
          <w:sz w:val="28"/>
          <w:szCs w:val="28"/>
        </w:rPr>
        <w:t>4、《河南省建设工程工程量清单综合单价》（2008）（E.园林绿化工程）、《河南省市政工程预算定额》（2016）、《河南省通用安装工程预算定额》（HA 02-31-2016）及其相关配套文件、解释和勘误等；</w:t>
      </w:r>
    </w:p>
    <w:p>
      <w:pPr>
        <w:autoSpaceDE w:val="0"/>
        <w:autoSpaceDN w:val="0"/>
        <w:snapToGrid w:val="0"/>
        <w:spacing w:line="360" w:lineRule="auto"/>
        <w:ind w:firstLine="565" w:firstLineChars="202"/>
        <w:rPr>
          <w:rFonts w:cs="楷体_GB2312" w:asciiTheme="minorEastAsia" w:hAnsiTheme="minorEastAsia" w:eastAsiaTheme="minorEastAsia"/>
          <w:kern w:val="0"/>
          <w:sz w:val="28"/>
          <w:szCs w:val="28"/>
        </w:rPr>
      </w:pPr>
      <w:r>
        <w:rPr>
          <w:rFonts w:hint="eastAsia" w:cs="楷体_GB2312" w:asciiTheme="minorEastAsia" w:hAnsiTheme="minorEastAsia" w:eastAsiaTheme="minorEastAsia"/>
          <w:kern w:val="0"/>
          <w:sz w:val="28"/>
          <w:szCs w:val="28"/>
        </w:rPr>
        <w:t>5、《建设工程招标控制价编审规程》（CECA/GC 6-2011）；</w:t>
      </w:r>
    </w:p>
    <w:p>
      <w:pPr>
        <w:autoSpaceDE w:val="0"/>
        <w:autoSpaceDN w:val="0"/>
        <w:snapToGrid w:val="0"/>
        <w:spacing w:line="360" w:lineRule="auto"/>
        <w:ind w:firstLine="565" w:firstLineChars="202"/>
        <w:rPr>
          <w:rFonts w:cs="楷体_GB2312" w:asciiTheme="minorEastAsia" w:hAnsiTheme="minorEastAsia" w:eastAsiaTheme="minorEastAsia"/>
          <w:kern w:val="0"/>
          <w:sz w:val="28"/>
          <w:szCs w:val="28"/>
        </w:rPr>
      </w:pPr>
      <w:r>
        <w:rPr>
          <w:rFonts w:hint="eastAsia" w:cs="楷体_GB2312" w:asciiTheme="minorEastAsia" w:hAnsiTheme="minorEastAsia" w:eastAsiaTheme="minorEastAsia"/>
          <w:kern w:val="0"/>
          <w:sz w:val="28"/>
          <w:szCs w:val="28"/>
        </w:rPr>
        <w:t>6、《建设工程造价咨询成果文件质量标准》（CECA/GC 7-2012）；</w:t>
      </w:r>
    </w:p>
    <w:p>
      <w:pPr>
        <w:autoSpaceDE w:val="0"/>
        <w:autoSpaceDN w:val="0"/>
        <w:snapToGrid w:val="0"/>
        <w:spacing w:line="360" w:lineRule="auto"/>
        <w:ind w:firstLine="565" w:firstLineChars="202"/>
        <w:rPr>
          <w:rFonts w:cs="楷体_GB2312" w:asciiTheme="minorEastAsia" w:hAnsiTheme="minorEastAsia" w:eastAsiaTheme="minorEastAsia"/>
          <w:kern w:val="0"/>
          <w:sz w:val="28"/>
          <w:szCs w:val="28"/>
        </w:rPr>
      </w:pPr>
      <w:r>
        <w:rPr>
          <w:rFonts w:hint="eastAsia" w:cs="楷体_GB2312" w:asciiTheme="minorEastAsia" w:hAnsiTheme="minorEastAsia" w:eastAsiaTheme="minorEastAsia"/>
          <w:kern w:val="0"/>
          <w:sz w:val="28"/>
          <w:szCs w:val="28"/>
        </w:rPr>
        <w:t>7、河南省、郑州市现行与工程造价相关的政策文件，与建设项目相关的标准（包括标准图集）、规定、规范等技术资料；</w:t>
      </w:r>
    </w:p>
    <w:p>
      <w:pPr>
        <w:autoSpaceDE w:val="0"/>
        <w:autoSpaceDN w:val="0"/>
        <w:snapToGrid w:val="0"/>
        <w:spacing w:line="360" w:lineRule="auto"/>
        <w:ind w:firstLine="565" w:firstLineChars="202"/>
        <w:rPr>
          <w:rFonts w:cs="楷体_GB2312" w:asciiTheme="minorEastAsia" w:hAnsiTheme="minorEastAsia" w:eastAsiaTheme="minorEastAsia"/>
          <w:kern w:val="0"/>
          <w:sz w:val="28"/>
          <w:szCs w:val="28"/>
        </w:rPr>
      </w:pPr>
      <w:r>
        <w:rPr>
          <w:rFonts w:hint="eastAsia" w:cs="楷体_GB2312" w:asciiTheme="minorEastAsia" w:hAnsiTheme="minorEastAsia" w:eastAsiaTheme="minorEastAsia"/>
          <w:kern w:val="0"/>
          <w:sz w:val="28"/>
          <w:szCs w:val="28"/>
        </w:rPr>
        <w:t>8、</w:t>
      </w:r>
      <w:r>
        <w:rPr>
          <w:rFonts w:hint="eastAsia" w:ascii="宋体" w:hAnsi="宋体"/>
          <w:sz w:val="28"/>
        </w:rPr>
        <w:t>业主提供的相关批复文件。</w:t>
      </w:r>
    </w:p>
    <w:p>
      <w:pPr>
        <w:autoSpaceDE w:val="0"/>
        <w:autoSpaceDN w:val="0"/>
        <w:snapToGrid w:val="0"/>
        <w:spacing w:line="360" w:lineRule="auto"/>
        <w:ind w:firstLine="568" w:firstLineChars="202"/>
        <w:rPr>
          <w:rFonts w:cs="楷体_GB2312" w:asciiTheme="minorEastAsia" w:hAnsiTheme="minorEastAsia" w:eastAsiaTheme="minorEastAsia"/>
          <w:kern w:val="0"/>
          <w:sz w:val="28"/>
          <w:szCs w:val="28"/>
        </w:rPr>
      </w:pPr>
      <w:r>
        <w:rPr>
          <w:rFonts w:hint="eastAsia" w:ascii="宋体" w:hAnsi="宋体"/>
          <w:b/>
          <w:sz w:val="28"/>
        </w:rPr>
        <w:t>四、取费说明</w:t>
      </w:r>
    </w:p>
    <w:p>
      <w:pPr>
        <w:numPr>
          <w:ilvl w:val="0"/>
          <w:numId w:val="0"/>
        </w:numPr>
        <w:tabs>
          <w:tab w:val="left" w:pos="0"/>
        </w:tabs>
        <w:spacing w:line="480" w:lineRule="exact"/>
        <w:ind w:leftChars="0" w:firstLine="560" w:firstLineChars="200"/>
        <w:rPr>
          <w:rFonts w:cs="楷体_GB2312" w:asciiTheme="minorEastAsia" w:hAnsiTheme="minorEastAsia" w:eastAsiaTheme="minorEastAsia"/>
          <w:kern w:val="0"/>
          <w:sz w:val="28"/>
          <w:szCs w:val="28"/>
        </w:rPr>
      </w:pPr>
      <w:r>
        <w:rPr>
          <w:rFonts w:hint="eastAsia" w:cs="楷体_GB2312" w:asciiTheme="minorEastAsia" w:hAnsiTheme="minorEastAsia" w:eastAsiaTheme="minorEastAsia"/>
          <w:kern w:val="0"/>
          <w:sz w:val="28"/>
          <w:szCs w:val="28"/>
        </w:rPr>
        <w:t>1、</w:t>
      </w:r>
      <w:r>
        <w:rPr>
          <w:rFonts w:hint="eastAsia" w:ascii="宋体" w:hAnsi="宋体" w:cs="Times New Roman"/>
          <w:sz w:val="28"/>
          <w:lang w:val="en-US" w:eastAsia="zh-CN"/>
        </w:rPr>
        <w:t>依据豫建消技[2023]26号文执行第14期（2023年7-12月）价格指数调整；</w:t>
      </w:r>
    </w:p>
    <w:p>
      <w:pPr>
        <w:autoSpaceDE w:val="0"/>
        <w:autoSpaceDN w:val="0"/>
        <w:snapToGrid w:val="0"/>
        <w:spacing w:line="360" w:lineRule="auto"/>
        <w:ind w:firstLine="565" w:firstLineChars="202"/>
        <w:rPr>
          <w:rFonts w:cs="楷体_GB2312" w:asciiTheme="minorEastAsia" w:hAnsiTheme="minorEastAsia" w:eastAsiaTheme="minorEastAsia"/>
          <w:kern w:val="0"/>
          <w:sz w:val="28"/>
          <w:szCs w:val="28"/>
        </w:rPr>
      </w:pPr>
      <w:r>
        <w:rPr>
          <w:rFonts w:hint="eastAsia" w:cs="楷体_GB2312" w:asciiTheme="minorEastAsia" w:hAnsiTheme="minorEastAsia" w:eastAsiaTheme="minorEastAsia"/>
          <w:kern w:val="0"/>
          <w:sz w:val="28"/>
          <w:szCs w:val="28"/>
        </w:rPr>
        <w:t>2、安全文明施工费、规费按定额及有关规定足额计取；</w:t>
      </w:r>
    </w:p>
    <w:p>
      <w:pPr>
        <w:autoSpaceDE w:val="0"/>
        <w:autoSpaceDN w:val="0"/>
        <w:snapToGrid w:val="0"/>
        <w:spacing w:line="360" w:lineRule="auto"/>
        <w:ind w:firstLine="565" w:firstLineChars="202"/>
        <w:rPr>
          <w:rFonts w:cs="楷体_GB2312" w:asciiTheme="minorEastAsia" w:hAnsiTheme="minorEastAsia" w:eastAsiaTheme="minorEastAsia"/>
          <w:kern w:val="0"/>
          <w:sz w:val="28"/>
          <w:szCs w:val="28"/>
        </w:rPr>
      </w:pPr>
      <w:r>
        <w:rPr>
          <w:rFonts w:hint="eastAsia" w:cs="楷体_GB2312" w:asciiTheme="minorEastAsia" w:hAnsiTheme="minorEastAsia" w:eastAsiaTheme="minorEastAsia"/>
          <w:kern w:val="0"/>
          <w:sz w:val="28"/>
          <w:szCs w:val="28"/>
        </w:rPr>
        <w:t>3、建筑安装工程税金执行建办标函【2019】193号文,按一般计税方法的9%增值税税率计取；</w:t>
      </w:r>
    </w:p>
    <w:p>
      <w:pPr>
        <w:autoSpaceDE w:val="0"/>
        <w:autoSpaceDN w:val="0"/>
        <w:snapToGrid w:val="0"/>
        <w:spacing w:line="360" w:lineRule="auto"/>
        <w:ind w:firstLine="565" w:firstLineChars="202"/>
        <w:rPr>
          <w:rFonts w:cs="楷体_GB2312" w:asciiTheme="minorEastAsia" w:hAnsiTheme="minorEastAsia" w:eastAsiaTheme="minorEastAsia"/>
          <w:kern w:val="0"/>
          <w:sz w:val="28"/>
          <w:szCs w:val="28"/>
        </w:rPr>
      </w:pPr>
      <w:r>
        <w:rPr>
          <w:rFonts w:hint="eastAsia" w:cs="楷体_GB2312" w:asciiTheme="minorEastAsia" w:hAnsiTheme="minorEastAsia" w:eastAsiaTheme="minorEastAsia"/>
          <w:kern w:val="0"/>
          <w:sz w:val="28"/>
          <w:szCs w:val="28"/>
        </w:rPr>
        <w:t>4、其他措施费（费率类）按定额及有关规定足额计取；</w:t>
      </w:r>
    </w:p>
    <w:p>
      <w:pPr>
        <w:snapToGrid w:val="0"/>
        <w:spacing w:before="156" w:beforeLines="50" w:line="360" w:lineRule="auto"/>
        <w:ind w:firstLine="560" w:firstLineChars="200"/>
        <w:jc w:val="left"/>
        <w:rPr>
          <w:rFonts w:ascii="宋体" w:hAnsi="宋体"/>
          <w:b/>
          <w:sz w:val="28"/>
        </w:rPr>
      </w:pPr>
      <w:r>
        <w:rPr>
          <w:rFonts w:hint="eastAsia" w:cs="楷体_GB2312" w:asciiTheme="minorEastAsia" w:hAnsiTheme="minorEastAsia" w:eastAsiaTheme="minorEastAsia"/>
          <w:kern w:val="0"/>
          <w:sz w:val="28"/>
          <w:szCs w:val="28"/>
        </w:rPr>
        <w:t>5、材料价格参考郑州市202</w:t>
      </w:r>
      <w:r>
        <w:rPr>
          <w:rFonts w:hint="eastAsia" w:cs="楷体_GB2312" w:asciiTheme="minorEastAsia" w:hAnsiTheme="minorEastAsia" w:eastAsiaTheme="minorEastAsia"/>
          <w:kern w:val="0"/>
          <w:sz w:val="28"/>
          <w:szCs w:val="28"/>
          <w:lang w:val="en-US" w:eastAsia="zh-CN"/>
        </w:rPr>
        <w:t>4</w:t>
      </w:r>
      <w:r>
        <w:rPr>
          <w:rFonts w:hint="eastAsia" w:cs="楷体_GB2312" w:asciiTheme="minorEastAsia" w:hAnsiTheme="minorEastAsia" w:eastAsiaTheme="minorEastAsia"/>
          <w:kern w:val="0"/>
          <w:sz w:val="28"/>
          <w:szCs w:val="28"/>
        </w:rPr>
        <w:t>年</w:t>
      </w:r>
      <w:r>
        <w:rPr>
          <w:rFonts w:hint="eastAsia" w:cs="楷体_GB2312" w:asciiTheme="minorEastAsia" w:hAnsiTheme="minorEastAsia" w:eastAsiaTheme="minorEastAsia"/>
          <w:kern w:val="0"/>
          <w:sz w:val="28"/>
          <w:szCs w:val="28"/>
          <w:lang w:val="en-US" w:eastAsia="zh-CN"/>
        </w:rPr>
        <w:t>一季度</w:t>
      </w:r>
      <w:r>
        <w:rPr>
          <w:rFonts w:hint="eastAsia" w:cs="楷体_GB2312" w:asciiTheme="minorEastAsia" w:hAnsiTheme="minorEastAsia" w:eastAsiaTheme="minorEastAsia"/>
          <w:kern w:val="0"/>
          <w:sz w:val="28"/>
          <w:szCs w:val="28"/>
        </w:rPr>
        <w:t>《郑州市建设工程材料基准价格信息》中相应材料基准价，不足部分参考202</w:t>
      </w:r>
      <w:r>
        <w:rPr>
          <w:rFonts w:hint="eastAsia" w:cs="楷体_GB2312" w:asciiTheme="minorEastAsia" w:hAnsiTheme="minorEastAsia" w:eastAsiaTheme="minorEastAsia"/>
          <w:kern w:val="0"/>
          <w:sz w:val="28"/>
          <w:szCs w:val="28"/>
          <w:lang w:val="en-US" w:eastAsia="zh-CN"/>
        </w:rPr>
        <w:t>4年4月份</w:t>
      </w:r>
      <w:r>
        <w:rPr>
          <w:rFonts w:hint="eastAsia" w:cs="楷体_GB2312" w:asciiTheme="minorEastAsia" w:hAnsiTheme="minorEastAsia" w:eastAsiaTheme="minorEastAsia"/>
          <w:kern w:val="0"/>
          <w:sz w:val="28"/>
          <w:szCs w:val="28"/>
        </w:rPr>
        <w:t>《郑州市建设工程材料基准价格信息》中相应材料基准价，信息价中没有的按市场询价确定</w:t>
      </w:r>
      <w:r>
        <w:rPr>
          <w:rFonts w:hint="eastAsia" w:ascii="宋体" w:hAnsi="宋体"/>
          <w:sz w:val="28"/>
        </w:rPr>
        <w:t>。</w:t>
      </w:r>
    </w:p>
    <w:p>
      <w:pPr>
        <w:numPr>
          <w:ilvl w:val="0"/>
          <w:numId w:val="0"/>
        </w:numPr>
        <w:snapToGrid w:val="0"/>
        <w:spacing w:before="156" w:beforeLines="50" w:line="360" w:lineRule="auto"/>
        <w:ind w:leftChars="0"/>
        <w:jc w:val="left"/>
        <w:rPr>
          <w:rFonts w:hint="default" w:ascii="宋体" w:hAnsi="宋体"/>
          <w:b/>
          <w:sz w:val="28"/>
          <w:lang w:val="en-US" w:eastAsia="zh-CN"/>
        </w:rPr>
      </w:pPr>
    </w:p>
    <w:p>
      <w:pPr>
        <w:snapToGrid w:val="0"/>
        <w:spacing w:before="156" w:beforeLines="50" w:line="360" w:lineRule="auto"/>
        <w:ind w:firstLine="562"/>
        <w:jc w:val="left"/>
        <w:rPr>
          <w:rFonts w:hint="eastAsia" w:ascii="宋体" w:hAnsi="宋体"/>
          <w:b/>
          <w:bCs w:val="0"/>
          <w:sz w:val="28"/>
          <w:lang w:val="en-US" w:eastAsia="zh-CN"/>
        </w:rPr>
      </w:pPr>
    </w:p>
    <w:p>
      <w:pPr>
        <w:snapToGrid w:val="0"/>
        <w:spacing w:before="156" w:beforeLines="50" w:line="360" w:lineRule="auto"/>
        <w:ind w:firstLine="562"/>
        <w:jc w:val="left"/>
        <w:rPr>
          <w:rFonts w:hint="default" w:ascii="宋体" w:hAnsi="宋体"/>
          <w:bCs/>
          <w:sz w:val="28"/>
          <w:lang w:val="en-US" w:eastAsia="zh-CN"/>
        </w:rPr>
      </w:pPr>
    </w:p>
    <w:sectPr>
      <w:headerReference r:id="rId3" w:type="default"/>
      <w:footerReference r:id="rId4" w:type="default"/>
      <w:footerReference r:id="rId5" w:type="even"/>
      <w:pgSz w:w="11907" w:h="16839"/>
      <w:pgMar w:top="1418" w:right="1474" w:bottom="1843" w:left="1474" w:header="851" w:footer="992" w:gutter="0"/>
      <w:cols w:space="420" w:num="1"/>
      <w:docGrid w:type="lines" w:linePitch="312" w:charSpace="-430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center" w:y="1"/>
      <w:jc w:val="center"/>
    </w:pPr>
    <w:r>
      <w:rPr>
        <w:lang w:val="zh-CN"/>
      </w:rPr>
      <w:t xml:space="preserve"> </w:t>
    </w:r>
    <w:r>
      <w:rPr>
        <w:b/>
        <w:sz w:val="24"/>
        <w:szCs w:val="24"/>
      </w:rPr>
      <w:fldChar w:fldCharType="begin"/>
    </w:r>
    <w:r>
      <w:rPr>
        <w:b/>
      </w:rPr>
      <w:instrText xml:space="preserve">PAGE</w:instrText>
    </w:r>
    <w:r>
      <w:rPr>
        <w:b/>
        <w:sz w:val="24"/>
        <w:szCs w:val="24"/>
      </w:rPr>
      <w:fldChar w:fldCharType="separate"/>
    </w:r>
    <w:r>
      <w:rPr>
        <w:b/>
      </w:rPr>
      <w:t>3</w:t>
    </w:r>
    <w:r>
      <w:rPr>
        <w:b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sz w:val="24"/>
        <w:szCs w:val="24"/>
      </w:rPr>
      <w:fldChar w:fldCharType="begin"/>
    </w:r>
    <w:r>
      <w:rPr>
        <w:b/>
      </w:rPr>
      <w:instrText xml:space="preserve">NUMPAGES</w:instrText>
    </w:r>
    <w:r>
      <w:rPr>
        <w:b/>
        <w:sz w:val="24"/>
        <w:szCs w:val="24"/>
      </w:rPr>
      <w:fldChar w:fldCharType="separate"/>
    </w:r>
    <w:r>
      <w:rPr>
        <w:b/>
      </w:rPr>
      <w:t>3</w:t>
    </w:r>
    <w:r>
      <w:rPr>
        <w:b/>
        <w:sz w:val="24"/>
        <w:szCs w:val="24"/>
      </w:rPr>
      <w:fldChar w:fldCharType="end"/>
    </w:r>
  </w:p>
  <w:p>
    <w:pPr>
      <w:pStyle w:val="5"/>
      <w:framePr w:wrap="around" w:vAnchor="text" w:hAnchor="margin" w:xAlign="center" w:y="1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right" w:y="1"/>
      <w:rPr>
        <w:rStyle w:val="11"/>
      </w:rPr>
    </w:pPr>
    <w:r>
      <w:fldChar w:fldCharType="begin"/>
    </w:r>
    <w:r>
      <w:rPr>
        <w:rStyle w:val="11"/>
      </w:rPr>
      <w:instrText xml:space="preserve">PAGE  </w:instrText>
    </w:r>
    <w:r>
      <w:fldChar w:fldCharType="end"/>
    </w:r>
  </w:p>
  <w:p>
    <w:pPr>
      <w:pStyle w:val="5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8"/>
  <w:bordersDoNotSurroundHeader w:val="0"/>
  <w:bordersDoNotSurroundFooter w:val="0"/>
  <w:documentProtection w:enforcement="0"/>
  <w:defaultTabStop w:val="425"/>
  <w:drawingGridHorizontalSpacing w:val="189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VmZGY3YjdhZTA1ZGYyYjIyYzE3NDQwNmNjZmNjNjEifQ=="/>
  </w:docVars>
  <w:rsids>
    <w:rsidRoot w:val="00172A27"/>
    <w:rsid w:val="000020CF"/>
    <w:rsid w:val="00010EBF"/>
    <w:rsid w:val="00011105"/>
    <w:rsid w:val="00031483"/>
    <w:rsid w:val="000408AE"/>
    <w:rsid w:val="00043823"/>
    <w:rsid w:val="00043921"/>
    <w:rsid w:val="0004728A"/>
    <w:rsid w:val="00056111"/>
    <w:rsid w:val="0006480B"/>
    <w:rsid w:val="000675D6"/>
    <w:rsid w:val="000717C3"/>
    <w:rsid w:val="00072EF2"/>
    <w:rsid w:val="000A794E"/>
    <w:rsid w:val="000A7AAF"/>
    <w:rsid w:val="000B4BF7"/>
    <w:rsid w:val="000C1F25"/>
    <w:rsid w:val="000C3E51"/>
    <w:rsid w:val="000E65D8"/>
    <w:rsid w:val="000F0DF6"/>
    <w:rsid w:val="000F7A3F"/>
    <w:rsid w:val="00104D04"/>
    <w:rsid w:val="00105B69"/>
    <w:rsid w:val="00105B97"/>
    <w:rsid w:val="00106F19"/>
    <w:rsid w:val="001140DF"/>
    <w:rsid w:val="00115A80"/>
    <w:rsid w:val="0011719C"/>
    <w:rsid w:val="00121DBC"/>
    <w:rsid w:val="001260B0"/>
    <w:rsid w:val="00141C43"/>
    <w:rsid w:val="0015203E"/>
    <w:rsid w:val="00167331"/>
    <w:rsid w:val="00172A27"/>
    <w:rsid w:val="00181051"/>
    <w:rsid w:val="001864C0"/>
    <w:rsid w:val="00192AE8"/>
    <w:rsid w:val="001B2B1D"/>
    <w:rsid w:val="001B4685"/>
    <w:rsid w:val="001B6966"/>
    <w:rsid w:val="001C3628"/>
    <w:rsid w:val="001C488C"/>
    <w:rsid w:val="001D0A36"/>
    <w:rsid w:val="001D3B2C"/>
    <w:rsid w:val="001F411C"/>
    <w:rsid w:val="001F54F5"/>
    <w:rsid w:val="001F6DE3"/>
    <w:rsid w:val="00203804"/>
    <w:rsid w:val="0020749F"/>
    <w:rsid w:val="0021193E"/>
    <w:rsid w:val="00230FBB"/>
    <w:rsid w:val="0023296B"/>
    <w:rsid w:val="00235230"/>
    <w:rsid w:val="0023701D"/>
    <w:rsid w:val="00240B3D"/>
    <w:rsid w:val="0025138A"/>
    <w:rsid w:val="002615BD"/>
    <w:rsid w:val="00265DE4"/>
    <w:rsid w:val="00265FB5"/>
    <w:rsid w:val="00270232"/>
    <w:rsid w:val="00270F0C"/>
    <w:rsid w:val="00284576"/>
    <w:rsid w:val="00294D39"/>
    <w:rsid w:val="002A19DE"/>
    <w:rsid w:val="002A7879"/>
    <w:rsid w:val="002B0111"/>
    <w:rsid w:val="002B4CC9"/>
    <w:rsid w:val="002D7524"/>
    <w:rsid w:val="002E3189"/>
    <w:rsid w:val="002F7775"/>
    <w:rsid w:val="00301D42"/>
    <w:rsid w:val="003212FC"/>
    <w:rsid w:val="00321446"/>
    <w:rsid w:val="00330266"/>
    <w:rsid w:val="00333428"/>
    <w:rsid w:val="00337062"/>
    <w:rsid w:val="00341CC1"/>
    <w:rsid w:val="003439D7"/>
    <w:rsid w:val="00344E03"/>
    <w:rsid w:val="00356DFF"/>
    <w:rsid w:val="00360AA6"/>
    <w:rsid w:val="003625B9"/>
    <w:rsid w:val="00365C1D"/>
    <w:rsid w:val="00366AA9"/>
    <w:rsid w:val="00375A6F"/>
    <w:rsid w:val="003804A8"/>
    <w:rsid w:val="003818B1"/>
    <w:rsid w:val="003828A1"/>
    <w:rsid w:val="00392491"/>
    <w:rsid w:val="003A23F5"/>
    <w:rsid w:val="003A4D29"/>
    <w:rsid w:val="003A5BEC"/>
    <w:rsid w:val="003A6119"/>
    <w:rsid w:val="003B1C68"/>
    <w:rsid w:val="003B2E12"/>
    <w:rsid w:val="003B3F27"/>
    <w:rsid w:val="003C350E"/>
    <w:rsid w:val="003C42AC"/>
    <w:rsid w:val="003D05A3"/>
    <w:rsid w:val="003D3D8D"/>
    <w:rsid w:val="003E0B90"/>
    <w:rsid w:val="003E15DA"/>
    <w:rsid w:val="003E2F23"/>
    <w:rsid w:val="003E4089"/>
    <w:rsid w:val="003E5CAB"/>
    <w:rsid w:val="003F5489"/>
    <w:rsid w:val="003F6354"/>
    <w:rsid w:val="00403C54"/>
    <w:rsid w:val="00411C58"/>
    <w:rsid w:val="00414828"/>
    <w:rsid w:val="00417900"/>
    <w:rsid w:val="00417BBD"/>
    <w:rsid w:val="00421A21"/>
    <w:rsid w:val="00424A75"/>
    <w:rsid w:val="0043449F"/>
    <w:rsid w:val="0044002F"/>
    <w:rsid w:val="00442921"/>
    <w:rsid w:val="00443045"/>
    <w:rsid w:val="004704CF"/>
    <w:rsid w:val="00473B29"/>
    <w:rsid w:val="0047667E"/>
    <w:rsid w:val="0048517C"/>
    <w:rsid w:val="004905CB"/>
    <w:rsid w:val="004B782B"/>
    <w:rsid w:val="004C7E7B"/>
    <w:rsid w:val="004D1820"/>
    <w:rsid w:val="004D4993"/>
    <w:rsid w:val="004D6977"/>
    <w:rsid w:val="004D6CD2"/>
    <w:rsid w:val="004E1A54"/>
    <w:rsid w:val="004E4E75"/>
    <w:rsid w:val="004E7679"/>
    <w:rsid w:val="004F33DA"/>
    <w:rsid w:val="00500D78"/>
    <w:rsid w:val="00513CA3"/>
    <w:rsid w:val="005155FB"/>
    <w:rsid w:val="00537F55"/>
    <w:rsid w:val="00547300"/>
    <w:rsid w:val="00547D95"/>
    <w:rsid w:val="005567E6"/>
    <w:rsid w:val="00561033"/>
    <w:rsid w:val="005746BC"/>
    <w:rsid w:val="00574A78"/>
    <w:rsid w:val="00576F3A"/>
    <w:rsid w:val="00587C3D"/>
    <w:rsid w:val="00593BBB"/>
    <w:rsid w:val="005A32FE"/>
    <w:rsid w:val="005B1652"/>
    <w:rsid w:val="005B3AD2"/>
    <w:rsid w:val="005C39E0"/>
    <w:rsid w:val="005C5D04"/>
    <w:rsid w:val="005D2943"/>
    <w:rsid w:val="005D574E"/>
    <w:rsid w:val="005D63DA"/>
    <w:rsid w:val="005E1721"/>
    <w:rsid w:val="005E1D79"/>
    <w:rsid w:val="005F4714"/>
    <w:rsid w:val="005F6B51"/>
    <w:rsid w:val="00612549"/>
    <w:rsid w:val="00617708"/>
    <w:rsid w:val="00622A4C"/>
    <w:rsid w:val="00626BFA"/>
    <w:rsid w:val="00630911"/>
    <w:rsid w:val="0063434F"/>
    <w:rsid w:val="0066002E"/>
    <w:rsid w:val="00671762"/>
    <w:rsid w:val="006858FC"/>
    <w:rsid w:val="00696BDC"/>
    <w:rsid w:val="006A017F"/>
    <w:rsid w:val="006A0499"/>
    <w:rsid w:val="006B3EAF"/>
    <w:rsid w:val="006B7E69"/>
    <w:rsid w:val="006C2F89"/>
    <w:rsid w:val="006C6C2A"/>
    <w:rsid w:val="006D6C74"/>
    <w:rsid w:val="006E1E50"/>
    <w:rsid w:val="006E2175"/>
    <w:rsid w:val="006E2A6D"/>
    <w:rsid w:val="006E3EAE"/>
    <w:rsid w:val="006E4C02"/>
    <w:rsid w:val="006F7E41"/>
    <w:rsid w:val="00700991"/>
    <w:rsid w:val="007011CF"/>
    <w:rsid w:val="00703024"/>
    <w:rsid w:val="0071208D"/>
    <w:rsid w:val="00741F28"/>
    <w:rsid w:val="00742194"/>
    <w:rsid w:val="00743042"/>
    <w:rsid w:val="00752E70"/>
    <w:rsid w:val="00760DB2"/>
    <w:rsid w:val="00763D55"/>
    <w:rsid w:val="00773EBE"/>
    <w:rsid w:val="007746D0"/>
    <w:rsid w:val="00775CF6"/>
    <w:rsid w:val="0077773F"/>
    <w:rsid w:val="00785D91"/>
    <w:rsid w:val="00795428"/>
    <w:rsid w:val="007B2D5C"/>
    <w:rsid w:val="007C26FC"/>
    <w:rsid w:val="007C3208"/>
    <w:rsid w:val="007C61CD"/>
    <w:rsid w:val="007C7431"/>
    <w:rsid w:val="007D0156"/>
    <w:rsid w:val="007E5F39"/>
    <w:rsid w:val="007F67C3"/>
    <w:rsid w:val="00801CF5"/>
    <w:rsid w:val="00814634"/>
    <w:rsid w:val="00821719"/>
    <w:rsid w:val="00821FB5"/>
    <w:rsid w:val="008269F9"/>
    <w:rsid w:val="0083145E"/>
    <w:rsid w:val="00835161"/>
    <w:rsid w:val="00836555"/>
    <w:rsid w:val="00841685"/>
    <w:rsid w:val="00846B55"/>
    <w:rsid w:val="00847341"/>
    <w:rsid w:val="008535A0"/>
    <w:rsid w:val="00854A9D"/>
    <w:rsid w:val="00860745"/>
    <w:rsid w:val="0086074E"/>
    <w:rsid w:val="00871B02"/>
    <w:rsid w:val="008929AF"/>
    <w:rsid w:val="00892D49"/>
    <w:rsid w:val="00897200"/>
    <w:rsid w:val="008A6BC3"/>
    <w:rsid w:val="008B10DD"/>
    <w:rsid w:val="008B5D6C"/>
    <w:rsid w:val="008B66A6"/>
    <w:rsid w:val="008D7DE0"/>
    <w:rsid w:val="008E3C64"/>
    <w:rsid w:val="008E7645"/>
    <w:rsid w:val="00916709"/>
    <w:rsid w:val="009212A8"/>
    <w:rsid w:val="00933244"/>
    <w:rsid w:val="009340AA"/>
    <w:rsid w:val="0093589B"/>
    <w:rsid w:val="00941D98"/>
    <w:rsid w:val="00953844"/>
    <w:rsid w:val="0096625E"/>
    <w:rsid w:val="00976136"/>
    <w:rsid w:val="009830B3"/>
    <w:rsid w:val="0099046A"/>
    <w:rsid w:val="00991290"/>
    <w:rsid w:val="009925A4"/>
    <w:rsid w:val="00994446"/>
    <w:rsid w:val="009A62D2"/>
    <w:rsid w:val="009B4C71"/>
    <w:rsid w:val="009C0949"/>
    <w:rsid w:val="009C60AF"/>
    <w:rsid w:val="009C6872"/>
    <w:rsid w:val="009C7EE2"/>
    <w:rsid w:val="009D6CF1"/>
    <w:rsid w:val="009D7710"/>
    <w:rsid w:val="009D7F1D"/>
    <w:rsid w:val="009E024A"/>
    <w:rsid w:val="009E6C25"/>
    <w:rsid w:val="009E781F"/>
    <w:rsid w:val="00A02C1D"/>
    <w:rsid w:val="00A318F1"/>
    <w:rsid w:val="00A34478"/>
    <w:rsid w:val="00A46540"/>
    <w:rsid w:val="00A46C59"/>
    <w:rsid w:val="00A56D7B"/>
    <w:rsid w:val="00A576CF"/>
    <w:rsid w:val="00A6384A"/>
    <w:rsid w:val="00A63E91"/>
    <w:rsid w:val="00A71971"/>
    <w:rsid w:val="00A74FB3"/>
    <w:rsid w:val="00A83C2D"/>
    <w:rsid w:val="00A85C45"/>
    <w:rsid w:val="00A944D0"/>
    <w:rsid w:val="00AA22E7"/>
    <w:rsid w:val="00AA628A"/>
    <w:rsid w:val="00AB703F"/>
    <w:rsid w:val="00AC129F"/>
    <w:rsid w:val="00AC500C"/>
    <w:rsid w:val="00AC52DA"/>
    <w:rsid w:val="00AC69A8"/>
    <w:rsid w:val="00AD06F0"/>
    <w:rsid w:val="00AD2613"/>
    <w:rsid w:val="00AD33DA"/>
    <w:rsid w:val="00AE487D"/>
    <w:rsid w:val="00AE6AEF"/>
    <w:rsid w:val="00AF02C9"/>
    <w:rsid w:val="00B01C68"/>
    <w:rsid w:val="00B028AA"/>
    <w:rsid w:val="00B041E8"/>
    <w:rsid w:val="00B13771"/>
    <w:rsid w:val="00B3074F"/>
    <w:rsid w:val="00B34A47"/>
    <w:rsid w:val="00B35A72"/>
    <w:rsid w:val="00B433B3"/>
    <w:rsid w:val="00B5083B"/>
    <w:rsid w:val="00B50EB8"/>
    <w:rsid w:val="00B6406D"/>
    <w:rsid w:val="00B647AD"/>
    <w:rsid w:val="00B733FF"/>
    <w:rsid w:val="00B766C9"/>
    <w:rsid w:val="00B80494"/>
    <w:rsid w:val="00B90116"/>
    <w:rsid w:val="00B933FE"/>
    <w:rsid w:val="00B95DDA"/>
    <w:rsid w:val="00BB7D71"/>
    <w:rsid w:val="00BC1499"/>
    <w:rsid w:val="00BC3F20"/>
    <w:rsid w:val="00BF0A40"/>
    <w:rsid w:val="00C12501"/>
    <w:rsid w:val="00C151BB"/>
    <w:rsid w:val="00C25A41"/>
    <w:rsid w:val="00C276EB"/>
    <w:rsid w:val="00C27AD3"/>
    <w:rsid w:val="00C360F3"/>
    <w:rsid w:val="00C57423"/>
    <w:rsid w:val="00C5797B"/>
    <w:rsid w:val="00C65D73"/>
    <w:rsid w:val="00C66BFC"/>
    <w:rsid w:val="00C717B5"/>
    <w:rsid w:val="00C758F3"/>
    <w:rsid w:val="00C75B24"/>
    <w:rsid w:val="00C803BD"/>
    <w:rsid w:val="00C82475"/>
    <w:rsid w:val="00C95964"/>
    <w:rsid w:val="00CA596A"/>
    <w:rsid w:val="00CA5E61"/>
    <w:rsid w:val="00CA6466"/>
    <w:rsid w:val="00CB071B"/>
    <w:rsid w:val="00CB6575"/>
    <w:rsid w:val="00CB7BCF"/>
    <w:rsid w:val="00CC4682"/>
    <w:rsid w:val="00CD014D"/>
    <w:rsid w:val="00CD5337"/>
    <w:rsid w:val="00CD6961"/>
    <w:rsid w:val="00CE135C"/>
    <w:rsid w:val="00CF1D27"/>
    <w:rsid w:val="00CF3F78"/>
    <w:rsid w:val="00CF5E9D"/>
    <w:rsid w:val="00D06BC8"/>
    <w:rsid w:val="00D070C7"/>
    <w:rsid w:val="00D077AE"/>
    <w:rsid w:val="00D1278F"/>
    <w:rsid w:val="00D15EC6"/>
    <w:rsid w:val="00D22951"/>
    <w:rsid w:val="00D22BDD"/>
    <w:rsid w:val="00D24BCC"/>
    <w:rsid w:val="00D26AD4"/>
    <w:rsid w:val="00D278D3"/>
    <w:rsid w:val="00D30515"/>
    <w:rsid w:val="00D44698"/>
    <w:rsid w:val="00D4562D"/>
    <w:rsid w:val="00D579E1"/>
    <w:rsid w:val="00D60F00"/>
    <w:rsid w:val="00D61653"/>
    <w:rsid w:val="00D64521"/>
    <w:rsid w:val="00D84B2D"/>
    <w:rsid w:val="00D91CF1"/>
    <w:rsid w:val="00D96185"/>
    <w:rsid w:val="00DA0928"/>
    <w:rsid w:val="00DA15DF"/>
    <w:rsid w:val="00DA1CF7"/>
    <w:rsid w:val="00DA5A3B"/>
    <w:rsid w:val="00DA637A"/>
    <w:rsid w:val="00DB39C1"/>
    <w:rsid w:val="00DB51FB"/>
    <w:rsid w:val="00DF1B15"/>
    <w:rsid w:val="00E01EB5"/>
    <w:rsid w:val="00E130F9"/>
    <w:rsid w:val="00E218BF"/>
    <w:rsid w:val="00E22992"/>
    <w:rsid w:val="00E23C66"/>
    <w:rsid w:val="00E27300"/>
    <w:rsid w:val="00E42FB9"/>
    <w:rsid w:val="00E435A9"/>
    <w:rsid w:val="00E464C1"/>
    <w:rsid w:val="00E55D2C"/>
    <w:rsid w:val="00E55F05"/>
    <w:rsid w:val="00E82E5B"/>
    <w:rsid w:val="00E86FEC"/>
    <w:rsid w:val="00EA0897"/>
    <w:rsid w:val="00EA1B06"/>
    <w:rsid w:val="00EB5E26"/>
    <w:rsid w:val="00EB5F74"/>
    <w:rsid w:val="00ED4A13"/>
    <w:rsid w:val="00EE6065"/>
    <w:rsid w:val="00EE6FC5"/>
    <w:rsid w:val="00EF1A93"/>
    <w:rsid w:val="00EF67A4"/>
    <w:rsid w:val="00F02B57"/>
    <w:rsid w:val="00F05040"/>
    <w:rsid w:val="00F156FA"/>
    <w:rsid w:val="00F17D89"/>
    <w:rsid w:val="00F23B14"/>
    <w:rsid w:val="00F24FC7"/>
    <w:rsid w:val="00F26CA5"/>
    <w:rsid w:val="00F26D05"/>
    <w:rsid w:val="00F31D19"/>
    <w:rsid w:val="00F46A46"/>
    <w:rsid w:val="00F5774E"/>
    <w:rsid w:val="00F604FF"/>
    <w:rsid w:val="00F61AC9"/>
    <w:rsid w:val="00F73CDF"/>
    <w:rsid w:val="00F77B35"/>
    <w:rsid w:val="00F81A13"/>
    <w:rsid w:val="00F924D2"/>
    <w:rsid w:val="00F92D07"/>
    <w:rsid w:val="00F94A51"/>
    <w:rsid w:val="00F973A4"/>
    <w:rsid w:val="00FA101A"/>
    <w:rsid w:val="00FA7DAD"/>
    <w:rsid w:val="00FC04F1"/>
    <w:rsid w:val="00FC1B55"/>
    <w:rsid w:val="00FC1CB8"/>
    <w:rsid w:val="00FC2391"/>
    <w:rsid w:val="00FC3822"/>
    <w:rsid w:val="00FE1F93"/>
    <w:rsid w:val="00FE3B15"/>
    <w:rsid w:val="00FF2089"/>
    <w:rsid w:val="00FF3DD9"/>
    <w:rsid w:val="00FF5F6F"/>
    <w:rsid w:val="00FF6ABE"/>
    <w:rsid w:val="00FF77F9"/>
    <w:rsid w:val="02DF3ADC"/>
    <w:rsid w:val="03CB70FD"/>
    <w:rsid w:val="040F4E7F"/>
    <w:rsid w:val="07BE5DEC"/>
    <w:rsid w:val="08B554F1"/>
    <w:rsid w:val="0A701F03"/>
    <w:rsid w:val="0AAE0A26"/>
    <w:rsid w:val="0C52214C"/>
    <w:rsid w:val="0D0206BC"/>
    <w:rsid w:val="0F7C1CE5"/>
    <w:rsid w:val="12930E21"/>
    <w:rsid w:val="19D64525"/>
    <w:rsid w:val="1DA311EA"/>
    <w:rsid w:val="1F444016"/>
    <w:rsid w:val="230355E8"/>
    <w:rsid w:val="231955D9"/>
    <w:rsid w:val="24512D3A"/>
    <w:rsid w:val="28C65EF5"/>
    <w:rsid w:val="2AC51B1F"/>
    <w:rsid w:val="2E8F42D1"/>
    <w:rsid w:val="34300EA5"/>
    <w:rsid w:val="395915E7"/>
    <w:rsid w:val="41164F6E"/>
    <w:rsid w:val="435C4B99"/>
    <w:rsid w:val="4599593B"/>
    <w:rsid w:val="45CF3713"/>
    <w:rsid w:val="45EA3344"/>
    <w:rsid w:val="4688261B"/>
    <w:rsid w:val="472307A6"/>
    <w:rsid w:val="47564AC4"/>
    <w:rsid w:val="4AF10852"/>
    <w:rsid w:val="4D230B01"/>
    <w:rsid w:val="4F512DA5"/>
    <w:rsid w:val="4F741C27"/>
    <w:rsid w:val="4FF10233"/>
    <w:rsid w:val="51B25298"/>
    <w:rsid w:val="52C928E0"/>
    <w:rsid w:val="535E1DA2"/>
    <w:rsid w:val="5672585C"/>
    <w:rsid w:val="56796F82"/>
    <w:rsid w:val="59B95834"/>
    <w:rsid w:val="5A5F72E2"/>
    <w:rsid w:val="61521213"/>
    <w:rsid w:val="617A4044"/>
    <w:rsid w:val="64E547BA"/>
    <w:rsid w:val="653E4B6E"/>
    <w:rsid w:val="669F3FB0"/>
    <w:rsid w:val="66F82BB7"/>
    <w:rsid w:val="67B84EAF"/>
    <w:rsid w:val="68C357EA"/>
    <w:rsid w:val="6956104A"/>
    <w:rsid w:val="69D85560"/>
    <w:rsid w:val="6DF0026C"/>
    <w:rsid w:val="6E2F7D5B"/>
    <w:rsid w:val="6FB24BF1"/>
    <w:rsid w:val="72467815"/>
    <w:rsid w:val="73D51400"/>
    <w:rsid w:val="77A8040B"/>
    <w:rsid w:val="7D944228"/>
    <w:rsid w:val="7E896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1"/>
    <w:next w:val="1"/>
    <w:autoRedefine/>
    <w:qFormat/>
    <w:uiPriority w:val="0"/>
    <w:pPr>
      <w:keepNext/>
      <w:keepLines/>
      <w:tabs>
        <w:tab w:val="left" w:pos="720"/>
      </w:tabs>
      <w:spacing w:line="480" w:lineRule="exact"/>
      <w:outlineLvl w:val="2"/>
    </w:pPr>
    <w:rPr>
      <w:rFonts w:cs="宋体"/>
      <w:bCs/>
      <w:color w:val="000000"/>
      <w:kern w:val="0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2"/>
    <w:autoRedefine/>
    <w:qFormat/>
    <w:uiPriority w:val="0"/>
    <w:pPr>
      <w:ind w:firstLine="538" w:firstLineChars="192"/>
    </w:pPr>
    <w:rPr>
      <w:rFonts w:ascii="Times New Roman" w:hAnsi="Times New Roman" w:eastAsia="宋体" w:cs="Times New Roman"/>
      <w:sz w:val="28"/>
      <w:lang w:val="en-US" w:eastAsia="zh-CN" w:bidi="ar-SA"/>
    </w:rPr>
  </w:style>
  <w:style w:type="paragraph" w:styleId="4">
    <w:name w:val="Balloon Text"/>
    <w:basedOn w:val="1"/>
    <w:link w:val="15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6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link w:val="13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9">
    <w:name w:val="Table Grid"/>
    <w:basedOn w:val="8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page number"/>
    <w:basedOn w:val="10"/>
    <w:autoRedefine/>
    <w:qFormat/>
    <w:uiPriority w:val="0"/>
  </w:style>
  <w:style w:type="paragraph" w:customStyle="1" w:styleId="12">
    <w:name w:val="Char Char Char Char Char Char Char Char Char Char"/>
    <w:basedOn w:val="1"/>
    <w:autoRedefine/>
    <w:qFormat/>
    <w:uiPriority w:val="0"/>
    <w:pPr>
      <w:adjustRightInd w:val="0"/>
      <w:snapToGrid w:val="0"/>
      <w:spacing w:line="360" w:lineRule="auto"/>
      <w:ind w:firstLine="200"/>
      <w:jc w:val="left"/>
    </w:pPr>
    <w:rPr>
      <w:rFonts w:ascii="宋体" w:hAnsi="宋体" w:cs="宋体"/>
      <w:color w:val="0000FF"/>
      <w:sz w:val="24"/>
      <w:szCs w:val="24"/>
    </w:rPr>
  </w:style>
  <w:style w:type="character" w:customStyle="1" w:styleId="13">
    <w:name w:val="页眉 字符"/>
    <w:link w:val="6"/>
    <w:autoRedefine/>
    <w:qFormat/>
    <w:uiPriority w:val="0"/>
    <w:rPr>
      <w:kern w:val="2"/>
      <w:sz w:val="18"/>
      <w:szCs w:val="18"/>
    </w:rPr>
  </w:style>
  <w:style w:type="paragraph" w:customStyle="1" w:styleId="14">
    <w:name w:val="Char Char Char Char"/>
    <w:basedOn w:val="1"/>
    <w:autoRedefine/>
    <w:qFormat/>
    <w:uiPriority w:val="0"/>
    <w:rPr>
      <w:szCs w:val="24"/>
    </w:rPr>
  </w:style>
  <w:style w:type="character" w:customStyle="1" w:styleId="15">
    <w:name w:val="批注框文本 字符"/>
    <w:link w:val="4"/>
    <w:autoRedefine/>
    <w:qFormat/>
    <w:uiPriority w:val="0"/>
    <w:rPr>
      <w:kern w:val="2"/>
      <w:sz w:val="18"/>
      <w:szCs w:val="18"/>
    </w:rPr>
  </w:style>
  <w:style w:type="character" w:customStyle="1" w:styleId="16">
    <w:name w:val="页脚 字符"/>
    <w:basedOn w:val="10"/>
    <w:link w:val="5"/>
    <w:autoRedefine/>
    <w:qFormat/>
    <w:uiPriority w:val="99"/>
    <w:rPr>
      <w:kern w:val="2"/>
      <w:sz w:val="18"/>
    </w:rPr>
  </w:style>
  <w:style w:type="paragraph" w:customStyle="1" w:styleId="17">
    <w:name w:val="样式 标题 3 + 首行缩进:  1.65 字符"/>
    <w:basedOn w:val="2"/>
    <w:autoRedefine/>
    <w:qFormat/>
    <w:uiPriority w:val="0"/>
    <w:pPr>
      <w:spacing w:before="20" w:after="20" w:line="360" w:lineRule="auto"/>
      <w:ind w:firstLine="464" w:firstLineChars="165"/>
    </w:pPr>
    <w:rPr>
      <w:rFonts w:ascii="宋体" w:hAnsi="宋体" w:cs="Times New Roman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YTKJGS</Company>
  <Pages>2</Pages>
  <Words>623</Words>
  <Characters>723</Characters>
  <Lines>22</Lines>
  <Paragraphs>6</Paragraphs>
  <TotalTime>139</TotalTime>
  <ScaleCrop>false</ScaleCrop>
  <LinksUpToDate>false</LinksUpToDate>
  <CharactersWithSpaces>726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2019-03-07T11:56:00Z</dcterms:created>
  <dc:creator>YT</dc:creator>
  <cp:lastModifiedBy>Administrator</cp:lastModifiedBy>
  <cp:lastPrinted>2017-06-09T02:41:00Z</cp:lastPrinted>
  <dcterms:modified xsi:type="dcterms:W3CDTF">2024-05-22T08:35:56Z</dcterms:modified>
  <dc:title>说   明   书</dc:title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FB3D430F07FA4276A936B99251B4BE54_13</vt:lpwstr>
  </property>
</Properties>
</file>