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120" w:after="120" w:line="360" w:lineRule="auto"/>
        <w:jc w:val="center"/>
        <w:rPr>
          <w:rFonts w:hint="eastAsia" w:ascii="宋体" w:hAnsi="宋体" w:cs="宋体"/>
          <w:bCs w:val="0"/>
        </w:rPr>
      </w:pPr>
      <w:bookmarkStart w:id="0" w:name="_Toc32256"/>
      <w:r>
        <w:rPr>
          <w:rFonts w:hint="eastAsia" w:ascii="宋体" w:hAnsi="宋体" w:cs="宋体"/>
          <w:b/>
          <w:bCs/>
          <w:sz w:val="32"/>
        </w:rPr>
        <w:t>第四章 项目概况及采购要求</w:t>
      </w:r>
      <w:bookmarkEnd w:id="0"/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1、本次磋商项目：</w:t>
      </w:r>
      <w:r>
        <w:rPr>
          <w:rFonts w:hint="eastAsia" w:ascii="宋体" w:hAnsi="宋体" w:cs="宋体"/>
          <w:szCs w:val="21"/>
          <w:lang w:eastAsia="zh-CN"/>
        </w:rPr>
        <w:t>郑州市金水区城市管理局2026年度金水区环卫中转站压缩设备维修维护服务外包项目</w:t>
      </w:r>
      <w:r>
        <w:rPr>
          <w:rFonts w:hint="eastAsia" w:ascii="宋体" w:hAnsi="宋体" w:cs="宋体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2、控制预算价（最高限价）：</w:t>
      </w:r>
      <w:r>
        <w:rPr>
          <w:rFonts w:hint="eastAsia" w:ascii="宋体" w:hAnsi="宋体" w:cs="宋体"/>
          <w:szCs w:val="21"/>
          <w:lang w:eastAsia="zh-CN"/>
        </w:rPr>
        <w:t>1690000元</w:t>
      </w:r>
      <w:r>
        <w:rPr>
          <w:rFonts w:hint="eastAsia" w:ascii="宋体" w:hAnsi="宋体" w:cs="宋体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cs="宋体"/>
          <w:szCs w:val="21"/>
          <w:lang w:val="en-US" w:eastAsia="zh-CN"/>
        </w:rPr>
      </w:pPr>
      <w:r>
        <w:rPr>
          <w:rFonts w:hint="default" w:ascii="宋体" w:hAnsi="宋体" w:cs="宋体"/>
          <w:szCs w:val="21"/>
          <w:lang w:val="en-US" w:eastAsia="zh-CN"/>
        </w:rPr>
        <w:t>3、</w:t>
      </w:r>
      <w:r>
        <w:rPr>
          <w:rFonts w:hint="eastAsia" w:ascii="宋体" w:hAnsi="宋体" w:cs="宋体"/>
          <w:szCs w:val="21"/>
          <w:lang w:val="en-US" w:eastAsia="zh-CN"/>
        </w:rPr>
        <w:t>磋商</w:t>
      </w:r>
      <w:r>
        <w:rPr>
          <w:rFonts w:hint="default" w:ascii="宋体" w:hAnsi="宋体" w:cs="宋体"/>
          <w:szCs w:val="21"/>
          <w:lang w:val="en-US" w:eastAsia="zh-CN"/>
        </w:rPr>
        <w:t>报价应是完成</w:t>
      </w:r>
      <w:r>
        <w:rPr>
          <w:rFonts w:hint="eastAsia" w:ascii="宋体" w:hAnsi="宋体" w:cs="宋体"/>
          <w:szCs w:val="21"/>
          <w:lang w:val="en-US" w:eastAsia="zh-CN"/>
        </w:rPr>
        <w:t>磋商采购</w:t>
      </w:r>
      <w:r>
        <w:rPr>
          <w:rFonts w:hint="default" w:ascii="宋体" w:hAnsi="宋体" w:cs="宋体"/>
          <w:szCs w:val="21"/>
          <w:lang w:val="en-US" w:eastAsia="zh-CN"/>
        </w:rPr>
        <w:t>文件规定的服务</w:t>
      </w:r>
      <w:r>
        <w:rPr>
          <w:rFonts w:hint="eastAsia" w:ascii="宋体" w:hAnsi="宋体" w:cs="宋体"/>
          <w:szCs w:val="21"/>
          <w:lang w:val="en-US" w:eastAsia="zh-CN"/>
        </w:rPr>
        <w:t>范围内</w:t>
      </w:r>
      <w:r>
        <w:rPr>
          <w:rFonts w:hint="default" w:ascii="宋体" w:hAnsi="宋体" w:cs="宋体"/>
          <w:szCs w:val="21"/>
          <w:lang w:val="en-US" w:eastAsia="zh-CN"/>
        </w:rPr>
        <w:t>的所有费用，包括由投标人承担的各类费用、税金以及应由投标人承担的义务、责任和风险所发生的一切费用。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4、供应商应具备的条件：见供应商须知前附表1.5.1。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</w:t>
      </w:r>
      <w:r>
        <w:rPr>
          <w:rFonts w:hint="eastAsia" w:ascii="宋体" w:hAnsi="宋体" w:cs="宋体"/>
          <w:szCs w:val="21"/>
          <w:lang w:val="en-US" w:eastAsia="zh-CN"/>
        </w:rPr>
        <w:t>服务期限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>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、付款方式的要求：合同签订之日起每季度（每三个月）验收一次，每个季度服务费用=实际投入使用的中转站设备数量×每台每年服务费用×25%。乙方每半年（每六个月）向甲方开具实际支付金额的修理费发票，甲方在收到乙方发票后将相应款项汇入乙方指定账户。</w:t>
      </w:r>
    </w:p>
    <w:p>
      <w:pPr>
        <w:pStyle w:val="2"/>
        <w:rPr>
          <w:rFonts w:hint="eastAsia"/>
        </w:rPr>
      </w:pPr>
    </w:p>
    <w:p>
      <w:pPr>
        <w:pStyle w:val="15"/>
        <w:rPr>
          <w:rFonts w:hint="default"/>
          <w:lang w:val="en-US" w:eastAsia="zh-CN"/>
        </w:rPr>
      </w:pPr>
    </w:p>
    <w:p>
      <w:pPr>
        <w:pStyle w:val="4"/>
        <w:rPr>
          <w:rFonts w:hint="eastAsia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  <w:sectPr>
          <w:headerReference r:id="rId3" w:type="default"/>
          <w:footerReference r:id="rId4" w:type="default"/>
          <w:pgSz w:w="11906" w:h="16838"/>
          <w:pgMar w:top="1247" w:right="1304" w:bottom="1247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13"/>
        <w:jc w:val="left"/>
        <w:rPr>
          <w:rStyle w:val="14"/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郑州市金水区城市管理局2026年度金水区环卫中转站压缩设备维修维护服务外包项目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3" w:firstLineChars="200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）服务清单</w:t>
      </w:r>
    </w:p>
    <w:p>
      <w:pPr>
        <w:rPr>
          <w:rFonts w:hint="eastAsia"/>
        </w:rPr>
      </w:pPr>
    </w:p>
    <w:tbl>
      <w:tblPr>
        <w:tblStyle w:val="12"/>
        <w:tblW w:w="1364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268"/>
        <w:gridCol w:w="2536"/>
        <w:gridCol w:w="5232"/>
        <w:gridCol w:w="805"/>
        <w:gridCol w:w="1405"/>
        <w:gridCol w:w="165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3646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垃圾中转站信息统计表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区别</w:t>
            </w:r>
          </w:p>
        </w:tc>
        <w:tc>
          <w:tcPr>
            <w:tcW w:w="2536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232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位置</w:t>
            </w:r>
          </w:p>
        </w:tc>
        <w:tc>
          <w:tcPr>
            <w:tcW w:w="80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机位（个）</w:t>
            </w:r>
          </w:p>
        </w:tc>
        <w:tc>
          <w:tcPr>
            <w:tcW w:w="140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运行方式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（压缩/吊装）</w:t>
            </w:r>
          </w:p>
        </w:tc>
        <w:tc>
          <w:tcPr>
            <w:tcW w:w="1659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开放时间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渠西路环卫中转站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东风路与渠西路交叉口向北100米路西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文化路环卫中转站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文化路与文劳路交叉口西南角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天明路环卫中转站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天明路与宋砦南街交叉口向北50米路西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探矿厂环卫中转站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群办路西段路南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群英路环卫中转站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南阳路与农业路交叉口向北100米路东铁路小区院内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丰乐路环卫中转站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丰乐路与南丰街交叉口向北50米路西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南阳路环卫中转站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南阳路路西（太极公馆对面）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黄河路西段环卫中转站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黄河路铁路桥北侧铁路沿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同乐路环卫中转站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同乐路与东三街交叉口向东200米路南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优胜路环卫中转站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优胜南路与南阳路交叉口向东150路北胡同内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石桥街环卫中转站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石桥街与防疫路交叉口向西100米路南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红旗路环卫中转站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红旗路与东明路西南角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文北环卫中转站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文化路与国基路交叉口向北300米路东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二七路环卫中转站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北二七路与张寨街交叉口向南100米路东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人民路环卫中转站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人民路金水河桥头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1992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城北路环卫中转站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城北路与城东路交叉口向西50米路北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建业路环卫中转站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建业路熊耳河桥南100米路西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中州大道环卫中转站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中州大道与石化路口向北400米路西王庄社区内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水科路环卫中转站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水科路中段路南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沙口路环卫中转站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沙口路与黄河路向北400米路西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1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2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金水区</w:t>
            </w:r>
          </w:p>
        </w:tc>
        <w:tc>
          <w:tcPr>
            <w:tcW w:w="25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魏河桥北环卫中转站</w:t>
            </w:r>
          </w:p>
        </w:tc>
        <w:tc>
          <w:tcPr>
            <w:tcW w:w="52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中州大道魏河北岸</w:t>
            </w:r>
          </w:p>
        </w:tc>
        <w:tc>
          <w:tcPr>
            <w:tcW w:w="8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0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646" w:type="dxa"/>
            <w:gridSpan w:val="7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9"/>
        <w:ind w:firstLine="560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rPr>
          <w:rFonts w:hint="eastAsia"/>
        </w:rPr>
        <w:sectPr>
          <w:pgSz w:w="16838" w:h="11906" w:orient="landscape"/>
          <w:pgMar w:top="1083" w:right="1440" w:bottom="1083" w:left="1440" w:header="851" w:footer="1587" w:gutter="0"/>
          <w:pgNumType w:fmt="decimal"/>
          <w:cols w:space="720" w:num="1"/>
          <w:docGrid w:type="lines" w:linePitch="314" w:charSpace="0"/>
        </w:sect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12"/>
        <w:tblW w:w="1194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2"/>
        <w:gridCol w:w="2083"/>
        <w:gridCol w:w="2525"/>
        <w:gridCol w:w="2530"/>
        <w:gridCol w:w="37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维修项目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型号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配件费用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液压油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L-HM46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压头滑块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高分子聚乙烯,120x40x40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调整垫片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Q235A;40x120 t2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大摆杆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Q345B;L=230;40x270 t8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小摆杆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Q345B;L=130;40x170 t8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吊箱轴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40Cr; </w:t>
            </w:r>
            <w:r>
              <w:rPr>
                <w:rStyle w:val="16"/>
                <w:rFonts w:hint="eastAsia" w:ascii="宋体" w:hAnsi="宋体" w:cs="宋体"/>
                <w:szCs w:val="21"/>
                <w:lang w:bidi="ar"/>
              </w:rPr>
              <w:t>∅</w:t>
            </w:r>
            <w:r>
              <w:rPr>
                <w:rStyle w:val="17"/>
                <w:rFonts w:hint="default"/>
                <w:szCs w:val="21"/>
                <w:lang w:bidi="ar"/>
              </w:rPr>
              <w:t>60x290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高压泵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叶片泵;高压;PFE-31022/1DU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低压泵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叶片泵;低压;PFE-41070/1DU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吸油滤芯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WU-250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回油滤芯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RFA250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液压胶管大拖链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拖链 TZ35.175X3200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液压油缸维修费用</w:t>
            </w:r>
          </w:p>
        </w:tc>
        <w:tc>
          <w:tcPr>
            <w:tcW w:w="2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压缩油缸更换密封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轴用U型圈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SUMPS 170X150X15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孔用U型圈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SUMPS 250X230X15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防尘圈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DH150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GB3452 O形圈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236X7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GB3452 O形圈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118X3.55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O形圈挡圈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250X238.5X2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斯特封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CKS150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支承环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250X245X29.7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推铲油缸更换密封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支承环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90X85X9.4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支承环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145X140X9.4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支承环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80X75X9.4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支承环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120X115X9.4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支承环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115X110X9.4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支承环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150X145X9.4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防尘圈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DH 140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防尘圈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SF839 110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防尘圈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DH75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GB3452 O形圈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Φ53X3.55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GB3452 O形圈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Φ145X3.55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格来圈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CKW90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格来圈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CKW150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格来圈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CKW120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斯特封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CKS75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斯特封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CKS140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斯特封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CKS110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闸门油缸更换密封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KR密封圈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63X52X4.2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支撑环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63X8X2.5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活塞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复合轴套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30X35X2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O形圈 HS90度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26X2.65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O形圈 HS90度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63X2.65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PFC导向环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45X10X3.1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轴用斯特封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45X55.7X4.2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挂箱油缸更换密封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组合圈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40X30X16.3/6.4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防尘圈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DH20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GB3452 O形圈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33.5X3.55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GB3452 O形圈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11.2X2.65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斯特封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CKS20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支承环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25X20X6.1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轴用U型圈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28X20X5.7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结构件维修费用</w:t>
            </w:r>
          </w:p>
        </w:tc>
        <w:tc>
          <w:tcPr>
            <w:tcW w:w="2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压头、导向架、闸门、推铲、压缩箱体、立柱滑道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钢板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Q345B 1200KG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矩形管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80x80;t8  300KG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油管更换及电气维修费用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液压油管更换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胶管总成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2T-06-20491-18-4600V180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电控系统维修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限位开关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两组触点，NC，NO各一组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交流接触器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40A;线圈电压AC220V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三档自锁旋钮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DC24V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电缆,动力电缆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BVR,4芯, 16*3+1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推铲油缸</w:t>
            </w:r>
          </w:p>
        </w:tc>
        <w:tc>
          <w:tcPr>
            <w:tcW w:w="2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压缩油缸</w:t>
            </w:r>
          </w:p>
        </w:tc>
        <w:tc>
          <w:tcPr>
            <w:tcW w:w="2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/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</w:rPr>
      </w:pPr>
    </w:p>
    <w:p>
      <w:pPr>
        <w:pStyle w:val="13"/>
        <w:jc w:val="left"/>
        <w:rPr>
          <w:rStyle w:val="14"/>
          <w:rFonts w:hint="eastAsia" w:ascii="宋体" w:hAnsi="宋体" w:eastAsia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eastAsia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eastAsia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eastAsia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eastAsia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eastAsia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eastAsia="宋体" w:cs="宋体"/>
          <w:color w:val="auto"/>
          <w:szCs w:val="21"/>
        </w:rPr>
      </w:pPr>
    </w:p>
    <w:p>
      <w:pPr>
        <w:pStyle w:val="13"/>
        <w:jc w:val="left"/>
        <w:rPr>
          <w:rStyle w:val="14"/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sectPr>
          <w:pgSz w:w="16838" w:h="11906" w:orient="landscape"/>
          <w:pgMar w:top="1304" w:right="1247" w:bottom="1304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1.服务期限：1年；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2.质保期：1年服务期内保证没有质量问题,服务期最后三个月更换的配件延保至服务期满后三个月。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3.专项服务：乙方为甲方配置专项服务人员两名，服务车2台，每天24小时提供服务。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4.服务方案包括：①问题筛查；②维修流程；③维修标准；④质量验收；⑤试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运行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5.维修安全保障措施包括：①风险识别；②安全防护；③紧急情况处理。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6.维修现场环境保护措施包括：①危险废物处置；②非危险废旧料处理；③噪声控制。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废弃物处置：维修过程中产生的废弃物由维修企业处置，废液压油等危险废物，由维修企业委托具备资质的环保处理单位进行处置。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7.配件管理制度包括：①零配件管理制度；②配件质量保证；③配件储备。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乙方为甲方设立常用配件储备，对维修设备的配件、材料的质量进行负责把关，使用合格的配件及液压油，不得使用假冒、伪劣配件材料。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8.维修档案管理措施包括：①日常记录；②故障维修记录；③资料整理报送及电子化数据。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9.供应商服务规范制度保障包括：①仪容仪表；②行为举止；③文明用语。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10.应急措施包括：①具有完善的项目组织机构；②应急资源保障；③应急响应流程。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①项目组织机构：专门的项目应急指挥部门，明确总指挥及成员职责，负责全面协调资源调配和决策响应,分工协作确保各环节无缝衔接。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②应急资源保障：配备手动工具、电动与气动工具、专用设备与检测工具及安全与辅助设备等。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③应急响应流程：发现异常后立即响应，并启动预案。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11.故障响应：乙方接到维修通知后15分钟内响应，2小时内到达现场，一般故障3小时内解决，全天24小时服务在线，大型故障解决不超过5天。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12.乙方有义务对甲方用户进行操作、安全、使用注意事项方面的指导与培训。培训方案包括：①培训方式；②培训内容；③培训资源。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13.供应商需具备同类项目经验。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Droid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仿宋 Std R">
    <w:altName w:val="仿宋"/>
    <w:panose1 w:val="02020400000000000000"/>
    <w:charset w:val="7A"/>
    <w:family w:val="roman"/>
    <w:pitch w:val="default"/>
    <w:sig w:usb0="00000000" w:usb1="00000000" w:usb2="00000016" w:usb3="00000000" w:csb0="00060007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- 40 -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- 40 -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 w:tentative="0">
      <w:start w:val="1"/>
      <w:numFmt w:val="decimal"/>
      <w:pStyle w:val="3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459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C5D24"/>
    <w:rsid w:val="3AFC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next w:val="1"/>
    <w:qFormat/>
    <w:uiPriority w:val="0"/>
    <w:pPr>
      <w:ind w:firstLine="420" w:firstLineChars="200"/>
    </w:pPr>
    <w:rPr>
      <w:rFonts w:ascii="Calibri" w:hAnsi="Calibri" w:cs="Times New Roman"/>
      <w:szCs w:val="22"/>
    </w:rPr>
  </w:style>
  <w:style w:type="paragraph" w:styleId="4">
    <w:name w:val="Body Text"/>
    <w:basedOn w:val="1"/>
    <w:next w:val="5"/>
    <w:uiPriority w:val="0"/>
    <w:pPr>
      <w:spacing w:line="560" w:lineRule="atLeast"/>
    </w:pPr>
    <w:rPr>
      <w:kern w:val="0"/>
      <w:sz w:val="20"/>
    </w:rPr>
  </w:style>
  <w:style w:type="paragraph" w:customStyle="1" w:styleId="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uiPriority w:val="0"/>
    <w:pPr>
      <w:spacing w:line="360" w:lineRule="auto"/>
      <w:ind w:firstLine="480"/>
    </w:pPr>
    <w:rPr>
      <w:kern w:val="0"/>
      <w:sz w:val="20"/>
    </w:rPr>
  </w:style>
  <w:style w:type="paragraph" w:customStyle="1" w:styleId="7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Body Text First Indent 2"/>
    <w:basedOn w:val="6"/>
    <w:next w:val="1"/>
    <w:uiPriority w:val="0"/>
    <w:pPr>
      <w:ind w:firstLine="420" w:firstLineChars="200"/>
    </w:p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 w:val="0"/>
      <w:spacing w:line="360" w:lineRule="auto"/>
      <w:jc w:val="both"/>
    </w:pPr>
    <w:rPr>
      <w:rFonts w:ascii="Arial Unicode MS" w:hAnsi="Arial Unicode MS" w:cs="Arial Unicode MS"/>
      <w:color w:val="000000"/>
      <w:kern w:val="2"/>
    </w:rPr>
  </w:style>
  <w:style w:type="character" w:customStyle="1" w:styleId="14">
    <w:name w:val="15"/>
    <w:qFormat/>
    <w:uiPriority w:val="0"/>
    <w:rPr>
      <w:rFonts w:hint="default" w:ascii="Times New Roman" w:hAnsi="Times New Roman" w:cs="Times New Roman"/>
      <w:color w:val="464445"/>
      <w:u w:val="none"/>
    </w:rPr>
  </w:style>
  <w:style w:type="paragraph" w:customStyle="1" w:styleId="15">
    <w:name w:val="List Paragraph"/>
    <w:basedOn w:val="1"/>
    <w:uiPriority w:val="0"/>
    <w:pPr>
      <w:spacing w:line="360" w:lineRule="auto"/>
      <w:ind w:left="200" w:leftChars="200" w:firstLine="420" w:firstLineChars="200"/>
      <w:jc w:val="left"/>
    </w:pPr>
    <w:rPr>
      <w:sz w:val="24"/>
      <w:szCs w:val="22"/>
    </w:rPr>
  </w:style>
  <w:style w:type="character" w:customStyle="1" w:styleId="16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5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项目采购需求</dc:title>
  <dc:creator>NTKO</dc:creator>
  <cp:lastModifiedBy>NTKO</cp:lastModifiedBy>
  <cp:revision>1</cp:revision>
  <dcterms:created xsi:type="dcterms:W3CDTF">2026-01-16T04:50:00Z</dcterms:created>
  <dcterms:modified xsi:type="dcterms:W3CDTF">2026-01-16T04:51:51Z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