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6DB36">
      <w:pPr>
        <w:spacing w:line="360" w:lineRule="auto"/>
        <w:jc w:val="center"/>
        <w:rPr>
          <w:rFonts w:hint="eastAsia" w:ascii="宋体" w:hAnsi="宋体" w:eastAsia="宋体" w:cs="宋体"/>
          <w:b/>
          <w:color w:val="000000" w:themeColor="text1"/>
          <w:sz w:val="48"/>
          <w:szCs w:val="48"/>
          <w:highlight w:val="none"/>
          <w:lang w:val="en-US" w:eastAsia="zh-CN"/>
          <w14:textFill>
            <w14:solidFill>
              <w14:schemeClr w14:val="tx1"/>
            </w14:solidFill>
          </w14:textFill>
        </w:rPr>
      </w:pPr>
      <w:r>
        <w:rPr>
          <w:rFonts w:hint="eastAsia" w:ascii="宋体" w:hAnsi="宋体" w:eastAsia="宋体" w:cs="宋体"/>
          <w:b/>
          <w:bCs w:val="0"/>
          <w:color w:val="000000" w:themeColor="text1"/>
          <w:sz w:val="30"/>
          <w:szCs w:val="30"/>
          <w:highlight w:val="none"/>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-446405</wp:posOffset>
            </wp:positionH>
            <wp:positionV relativeFrom="paragraph">
              <wp:posOffset>-294640</wp:posOffset>
            </wp:positionV>
            <wp:extent cx="6555105" cy="9304020"/>
            <wp:effectExtent l="0" t="0" r="17145" b="11430"/>
            <wp:wrapNone/>
            <wp:docPr id="11" name="图片 11" descr="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文件封面"/>
                    <pic:cNvPicPr>
                      <a:picLocks noChangeAspect="1"/>
                    </pic:cNvPicPr>
                  </pic:nvPicPr>
                  <pic:blipFill>
                    <a:blip r:embed="rId22"/>
                    <a:stretch>
                      <a:fillRect/>
                    </a:stretch>
                  </pic:blipFill>
                  <pic:spPr>
                    <a:xfrm>
                      <a:off x="0" y="0"/>
                      <a:ext cx="6555105" cy="9304020"/>
                    </a:xfrm>
                    <a:prstGeom prst="rect">
                      <a:avLst/>
                    </a:prstGeom>
                  </pic:spPr>
                </pic:pic>
              </a:graphicData>
            </a:graphic>
          </wp:anchor>
        </w:drawing>
      </w:r>
      <w:r>
        <w:rPr>
          <w:rFonts w:hint="eastAsia" w:ascii="宋体" w:hAnsi="宋体" w:eastAsia="宋体" w:cs="宋体"/>
          <w:b/>
          <w:color w:val="000000" w:themeColor="text1"/>
          <w:sz w:val="48"/>
          <w:szCs w:val="48"/>
          <w:highlight w:val="none"/>
          <w:lang w:val="en-US" w:eastAsia="zh-CN"/>
          <w14:textFill>
            <w14:solidFill>
              <w14:schemeClr w14:val="tx1"/>
            </w14:solidFill>
          </w14:textFill>
        </w:rPr>
        <w:t>内乡县水利局内乡县禁止开垦陡坡地范围划定工作项目</w:t>
      </w:r>
    </w:p>
    <w:p w14:paraId="25743F3D">
      <w:pPr>
        <w:spacing w:line="360" w:lineRule="auto"/>
        <w:jc w:val="center"/>
        <w:rPr>
          <w:rFonts w:hint="eastAsia" w:ascii="宋体" w:hAnsi="宋体" w:eastAsia="宋体" w:cs="宋体"/>
          <w:b/>
          <w:bCs w:val="0"/>
          <w:color w:val="000000" w:themeColor="text1"/>
          <w:sz w:val="30"/>
          <w:szCs w:val="30"/>
          <w:highlight w:val="none"/>
          <w:lang w:val="en-US" w:eastAsia="zh-CN"/>
          <w14:textFill>
            <w14:solidFill>
              <w14:schemeClr w14:val="tx1"/>
            </w14:solidFill>
          </w14:textFill>
        </w:rPr>
      </w:pPr>
    </w:p>
    <w:p w14:paraId="279B59DF">
      <w:pPr>
        <w:spacing w:line="360" w:lineRule="auto"/>
        <w:jc w:val="center"/>
        <w:rPr>
          <w:rFonts w:hint="eastAsia" w:ascii="宋体" w:hAnsi="宋体" w:eastAsia="宋体" w:cs="宋体"/>
          <w:b/>
          <w:bCs w:val="0"/>
          <w:color w:val="000000" w:themeColor="text1"/>
          <w:sz w:val="30"/>
          <w:szCs w:val="30"/>
          <w:highlight w:val="none"/>
          <w:lang w:val="en-US" w:eastAsia="zh-CN"/>
          <w14:textFill>
            <w14:solidFill>
              <w14:schemeClr w14:val="tx1"/>
            </w14:solidFill>
          </w14:textFill>
        </w:rPr>
      </w:pPr>
    </w:p>
    <w:p w14:paraId="78B4F3FB">
      <w:pPr>
        <w:spacing w:line="360" w:lineRule="auto"/>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val="0"/>
          <w:color w:val="000000" w:themeColor="text1"/>
          <w:sz w:val="30"/>
          <w:szCs w:val="30"/>
          <w:highlight w:val="none"/>
          <w:lang w:val="en-US" w:eastAsia="zh-CN"/>
          <w14:textFill>
            <w14:solidFill>
              <w14:schemeClr w14:val="tx1"/>
            </w14:solidFill>
          </w14:textFill>
        </w:rPr>
        <w:t xml:space="preserve"> </w:t>
      </w:r>
    </w:p>
    <w:p w14:paraId="3F42AC27">
      <w:pPr>
        <w:spacing w:line="360" w:lineRule="auto"/>
        <w:jc w:val="center"/>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72"/>
          <w:szCs w:val="72"/>
          <w:highlight w:val="none"/>
          <w14:textFill>
            <w14:solidFill>
              <w14:schemeClr w14:val="tx1"/>
            </w14:solidFill>
          </w14:textFill>
        </w:rPr>
        <w:t>竞争性磋商文件</w:t>
      </w:r>
    </w:p>
    <w:p w14:paraId="4B476328">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14:paraId="167BF16A">
      <w:pPr>
        <w:spacing w:line="360" w:lineRule="auto"/>
        <w:jc w:val="center"/>
        <w:rPr>
          <w:rFonts w:hint="eastAsia" w:ascii="宋体" w:hAnsi="宋体" w:eastAsia="宋体" w:cs="宋体"/>
          <w:b/>
          <w:color w:val="000000" w:themeColor="text1"/>
          <w:sz w:val="30"/>
          <w:szCs w:val="30"/>
          <w:highlight w:val="none"/>
          <w14:textFill>
            <w14:solidFill>
              <w14:schemeClr w14:val="tx1"/>
            </w14:solidFill>
          </w14:textFill>
        </w:rPr>
      </w:pPr>
    </w:p>
    <w:p w14:paraId="4DCCDA9C">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14:paraId="4B565CCA">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14:paraId="2B7ACCFB">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14:paraId="44CB3F88">
      <w:pPr>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14:paraId="55BEAC1C">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eastAsia" w:ascii="宋体" w:hAnsi="宋体" w:eastAsia="宋体" w:cs="宋体"/>
          <w:b/>
          <w:bCs/>
          <w:color w:val="000000" w:themeColor="text1"/>
          <w:spacing w:val="-17"/>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pacing w:val="-17"/>
          <w:sz w:val="32"/>
          <w:szCs w:val="32"/>
          <w:highlight w:val="none"/>
          <w14:textFill>
            <w14:solidFill>
              <w14:schemeClr w14:val="tx1"/>
            </w14:solidFill>
          </w14:textFill>
        </w:rPr>
        <w:t>项目名称：</w:t>
      </w:r>
      <w:r>
        <w:rPr>
          <w:rFonts w:hint="eastAsia" w:ascii="宋体" w:hAnsi="宋体" w:eastAsia="宋体" w:cs="宋体"/>
          <w:b/>
          <w:bCs/>
          <w:color w:val="000000" w:themeColor="text1"/>
          <w:spacing w:val="-17"/>
          <w:sz w:val="32"/>
          <w:szCs w:val="32"/>
          <w:highlight w:val="none"/>
          <w:u w:val="single"/>
          <w:lang w:val="en-US" w:eastAsia="zh-CN"/>
          <w14:textFill>
            <w14:solidFill>
              <w14:schemeClr w14:val="tx1"/>
            </w14:solidFill>
          </w14:textFill>
        </w:rPr>
        <w:t xml:space="preserve"> 内乡县水利局内乡县禁止开垦陡坡地范围划定工作项目</w:t>
      </w:r>
    </w:p>
    <w:p w14:paraId="716D7837">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eastAsia" w:ascii="宋体" w:hAnsi="宋体" w:eastAsia="宋体" w:cs="宋体"/>
          <w:b/>
          <w:bCs/>
          <w:color w:val="000000" w:themeColor="text1"/>
          <w:spacing w:val="-17"/>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pacing w:val="-17"/>
          <w:sz w:val="32"/>
          <w:szCs w:val="32"/>
          <w:highlight w:val="none"/>
          <w14:textFill>
            <w14:solidFill>
              <w14:schemeClr w14:val="tx1"/>
            </w14:solidFill>
          </w14:textFill>
        </w:rPr>
        <w:t>项目编号</w:t>
      </w:r>
      <w:r>
        <w:rPr>
          <w:rFonts w:hint="eastAsia" w:ascii="宋体" w:hAnsi="宋体" w:eastAsia="宋体" w:cs="宋体"/>
          <w:b/>
          <w:bCs/>
          <w:color w:val="000000" w:themeColor="text1"/>
          <w:spacing w:val="-17"/>
          <w:sz w:val="32"/>
          <w:szCs w:val="32"/>
          <w:highlight w:val="none"/>
          <w:lang w:eastAsia="zh-CN"/>
          <w14:textFill>
            <w14:solidFill>
              <w14:schemeClr w14:val="tx1"/>
            </w14:solidFill>
          </w14:textFill>
        </w:rPr>
        <w:t>：</w:t>
      </w:r>
      <w:r>
        <w:rPr>
          <w:rFonts w:hint="eastAsia" w:ascii="宋体" w:hAnsi="宋体" w:eastAsia="宋体" w:cs="宋体"/>
          <w:b/>
          <w:bCs/>
          <w:color w:val="000000" w:themeColor="text1"/>
          <w:spacing w:val="-17"/>
          <w:sz w:val="32"/>
          <w:szCs w:val="32"/>
          <w:highlight w:val="none"/>
          <w:u w:val="single"/>
          <w:lang w:val="en-US" w:eastAsia="zh-CN"/>
          <w14:textFill>
            <w14:solidFill>
              <w14:schemeClr w14:val="tx1"/>
            </w14:solidFill>
          </w14:textFill>
        </w:rPr>
        <w:t xml:space="preserve"> 内乡政采磋商-2025- 54               </w:t>
      </w:r>
    </w:p>
    <w:p w14:paraId="7A8E7346">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eastAsia" w:ascii="宋体" w:hAnsi="宋体" w:eastAsia="宋体" w:cs="宋体"/>
          <w:b/>
          <w:bCs/>
          <w:color w:val="000000" w:themeColor="text1"/>
          <w:spacing w:val="-17"/>
          <w:sz w:val="32"/>
          <w:szCs w:val="32"/>
          <w:highlight w:val="none"/>
          <w14:textFill>
            <w14:solidFill>
              <w14:schemeClr w14:val="tx1"/>
            </w14:solidFill>
          </w14:textFill>
        </w:rPr>
      </w:pPr>
      <w:r>
        <w:rPr>
          <w:rFonts w:hint="eastAsia" w:ascii="宋体" w:hAnsi="宋体" w:eastAsia="宋体" w:cs="宋体"/>
          <w:b/>
          <w:bCs/>
          <w:color w:val="000000" w:themeColor="text1"/>
          <w:spacing w:val="-17"/>
          <w:sz w:val="32"/>
          <w:szCs w:val="32"/>
          <w:highlight w:val="none"/>
          <w:lang w:val="en-US" w:eastAsia="zh-CN"/>
          <w14:textFill>
            <w14:solidFill>
              <w14:schemeClr w14:val="tx1"/>
            </w14:solidFill>
          </w14:textFill>
        </w:rPr>
        <w:t>标段编号</w:t>
      </w:r>
      <w:r>
        <w:rPr>
          <w:rFonts w:hint="eastAsia" w:ascii="宋体" w:hAnsi="宋体" w:eastAsia="宋体" w:cs="宋体"/>
          <w:b/>
          <w:bCs/>
          <w:color w:val="000000" w:themeColor="text1"/>
          <w:spacing w:val="-17"/>
          <w:sz w:val="32"/>
          <w:szCs w:val="32"/>
          <w:highlight w:val="none"/>
          <w14:textFill>
            <w14:solidFill>
              <w14:schemeClr w14:val="tx1"/>
            </w14:solidFill>
          </w14:textFill>
        </w:rPr>
        <w:t>：</w:t>
      </w:r>
      <w:r>
        <w:rPr>
          <w:rFonts w:hint="eastAsia" w:ascii="宋体" w:hAnsi="宋体" w:eastAsia="宋体" w:cs="宋体"/>
          <w:b/>
          <w:bCs/>
          <w:color w:val="000000" w:themeColor="text1"/>
          <w:spacing w:val="-17"/>
          <w:sz w:val="32"/>
          <w:szCs w:val="32"/>
          <w:highlight w:val="none"/>
          <w:u w:val="single"/>
          <w:lang w:val="en-US" w:eastAsia="zh-CN"/>
          <w14:textFill>
            <w14:solidFill>
              <w14:schemeClr w14:val="tx1"/>
            </w14:solidFill>
          </w14:textFill>
        </w:rPr>
        <w:t xml:space="preserve"> 内乡政采磋商-2025-54-1           </w:t>
      </w:r>
    </w:p>
    <w:p w14:paraId="47C25343">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eastAsia" w:ascii="宋体" w:hAnsi="宋体" w:eastAsia="宋体" w:cs="宋体"/>
          <w:b/>
          <w:bCs/>
          <w:color w:val="000000" w:themeColor="text1"/>
          <w:spacing w:val="-17"/>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pacing w:val="-17"/>
          <w:sz w:val="32"/>
          <w:szCs w:val="32"/>
          <w:highlight w:val="none"/>
          <w14:textFill>
            <w14:solidFill>
              <w14:schemeClr w14:val="tx1"/>
            </w14:solidFill>
          </w14:textFill>
        </w:rPr>
        <w:t>采</w:t>
      </w:r>
      <w:r>
        <w:rPr>
          <w:rFonts w:hint="eastAsia" w:ascii="宋体" w:hAnsi="宋体" w:eastAsia="宋体" w:cs="宋体"/>
          <w:b/>
          <w:bCs/>
          <w:color w:val="000000" w:themeColor="text1"/>
          <w:spacing w:val="-17"/>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7"/>
          <w:sz w:val="32"/>
          <w:szCs w:val="32"/>
          <w:highlight w:val="none"/>
          <w14:textFill>
            <w14:solidFill>
              <w14:schemeClr w14:val="tx1"/>
            </w14:solidFill>
          </w14:textFill>
        </w:rPr>
        <w:t>购</w:t>
      </w:r>
      <w:r>
        <w:rPr>
          <w:rFonts w:hint="eastAsia" w:ascii="宋体" w:hAnsi="宋体" w:eastAsia="宋体" w:cs="宋体"/>
          <w:b/>
          <w:bCs/>
          <w:color w:val="000000" w:themeColor="text1"/>
          <w:spacing w:val="-17"/>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7"/>
          <w:sz w:val="32"/>
          <w:szCs w:val="32"/>
          <w:highlight w:val="none"/>
          <w14:textFill>
            <w14:solidFill>
              <w14:schemeClr w14:val="tx1"/>
            </w14:solidFill>
          </w14:textFill>
        </w:rPr>
        <w:t>人：</w:t>
      </w:r>
      <w:r>
        <w:rPr>
          <w:rFonts w:hint="eastAsia" w:ascii="宋体" w:hAnsi="宋体" w:eastAsia="宋体" w:cs="宋体"/>
          <w:b/>
          <w:bCs/>
          <w:color w:val="000000" w:themeColor="text1"/>
          <w:spacing w:val="-17"/>
          <w:sz w:val="32"/>
          <w:szCs w:val="32"/>
          <w:highlight w:val="none"/>
          <w:u w:val="single"/>
          <w:lang w:val="en-US" w:eastAsia="zh-CN"/>
          <w14:textFill>
            <w14:solidFill>
              <w14:schemeClr w14:val="tx1"/>
            </w14:solidFill>
          </w14:textFill>
        </w:rPr>
        <w:t xml:space="preserve"> 内乡县水利局                  </w:t>
      </w:r>
    </w:p>
    <w:p w14:paraId="0B85E264">
      <w:pPr>
        <w:keepNext w:val="0"/>
        <w:keepLines w:val="0"/>
        <w:pageBreakBefore w:val="0"/>
        <w:widowControl/>
        <w:kinsoku/>
        <w:wordWrap w:val="0"/>
        <w:overflowPunct/>
        <w:topLinePunct w:val="0"/>
        <w:autoSpaceDE w:val="0"/>
        <w:autoSpaceDN w:val="0"/>
        <w:bidi w:val="0"/>
        <w:adjustRightInd w:val="0"/>
        <w:snapToGrid w:val="0"/>
        <w:spacing w:line="360" w:lineRule="auto"/>
        <w:ind w:firstLine="862" w:firstLineChars="300"/>
        <w:jc w:val="both"/>
        <w:textAlignment w:val="baseline"/>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b/>
          <w:bCs/>
          <w:color w:val="000000" w:themeColor="text1"/>
          <w:spacing w:val="-17"/>
          <w:sz w:val="32"/>
          <w:szCs w:val="32"/>
          <w:highlight w:val="none"/>
          <w14:textFill>
            <w14:solidFill>
              <w14:schemeClr w14:val="tx1"/>
            </w14:solidFill>
          </w14:textFill>
        </w:rPr>
        <w:t>采购代理机构：</w:t>
      </w:r>
      <w:r>
        <w:rPr>
          <w:rFonts w:hint="eastAsia" w:ascii="宋体" w:hAnsi="宋体" w:eastAsia="宋体" w:cs="宋体"/>
          <w:b/>
          <w:bCs/>
          <w:color w:val="000000" w:themeColor="text1"/>
          <w:spacing w:val="-17"/>
          <w:sz w:val="32"/>
          <w:szCs w:val="32"/>
          <w:highlight w:val="none"/>
          <w:u w:val="single"/>
          <w:lang w:val="en-US" w:eastAsia="zh-CN"/>
          <w14:textFill>
            <w14:solidFill>
              <w14:schemeClr w14:val="tx1"/>
            </w14:solidFill>
          </w14:textFill>
        </w:rPr>
        <w:t xml:space="preserve"> 河南省启元招标代理有限公司     </w:t>
      </w:r>
    </w:p>
    <w:p w14:paraId="042988EC">
      <w:pPr>
        <w:keepNext w:val="0"/>
        <w:keepLines w:val="0"/>
        <w:pageBreakBefore w:val="0"/>
        <w:kinsoku/>
        <w:wordWrap w:val="0"/>
        <w:overflowPunct/>
        <w:topLinePunct w:val="0"/>
        <w:bidi w:val="0"/>
        <w:spacing w:line="219" w:lineRule="auto"/>
        <w:jc w:val="both"/>
        <w:rPr>
          <w:rFonts w:hint="eastAsia" w:ascii="宋体" w:hAnsi="宋体" w:eastAsia="宋体" w:cs="宋体"/>
          <w:snapToGrid w:val="0"/>
          <w:color w:val="000000" w:themeColor="text1"/>
          <w:kern w:val="0"/>
          <w:sz w:val="21"/>
          <w:szCs w:val="24"/>
          <w:highlight w:val="none"/>
          <w:lang w:val="en-US" w:eastAsia="en-US" w:bidi="ar-SA"/>
          <w14:textFill>
            <w14:solidFill>
              <w14:schemeClr w14:val="tx1"/>
            </w14:solidFill>
          </w14:textFill>
        </w:rPr>
      </w:pPr>
    </w:p>
    <w:p w14:paraId="01789437">
      <w:pPr>
        <w:bidi w:val="0"/>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pPr>
    </w:p>
    <w:p w14:paraId="598F43E4">
      <w:pPr>
        <w:bidi w:val="0"/>
        <w:jc w:val="center"/>
        <w:rPr>
          <w:rFonts w:hint="eastAsia" w:ascii="宋体" w:hAnsi="宋体" w:eastAsia="宋体" w:cs="宋体"/>
          <w:color w:val="000000" w:themeColor="text1"/>
          <w:highlight w:val="none"/>
          <w:lang w:val="en-US" w:eastAsia="en-US"/>
          <w14:textFill>
            <w14:solidFill>
              <w14:schemeClr w14:val="tx1"/>
            </w14:solidFill>
          </w14:textFill>
        </w:rPr>
      </w:pPr>
      <w:r>
        <w:rPr>
          <w:rFonts w:hint="eastAsia" w:ascii="宋体" w:hAnsi="宋体" w:eastAsia="宋体" w:cs="宋体"/>
          <w:b/>
          <w:color w:val="000000" w:themeColor="text1"/>
          <w:sz w:val="36"/>
          <w:szCs w:val="36"/>
          <w:highlight w:val="none"/>
          <w:lang w:val="en-US" w:eastAsia="zh-CN"/>
          <w14:textFill>
            <w14:solidFill>
              <w14:schemeClr w14:val="tx1"/>
            </w14:solidFill>
          </w14:textFill>
        </w:rPr>
        <w:t>2025</w:t>
      </w:r>
      <w:r>
        <w:rPr>
          <w:rFonts w:hint="eastAsia" w:ascii="宋体" w:hAnsi="宋体" w:eastAsia="宋体" w:cs="宋体"/>
          <w:b/>
          <w:color w:val="000000" w:themeColor="text1"/>
          <w:sz w:val="36"/>
          <w:szCs w:val="36"/>
          <w:highlight w:val="none"/>
          <w14:textFill>
            <w14:solidFill>
              <w14:schemeClr w14:val="tx1"/>
            </w14:solidFill>
          </w14:textFill>
        </w:rPr>
        <w:t>年</w:t>
      </w:r>
      <w:r>
        <w:rPr>
          <w:rFonts w:hint="eastAsia" w:ascii="宋体" w:hAnsi="宋体" w:eastAsia="宋体" w:cs="宋体"/>
          <w:b/>
          <w:color w:val="000000" w:themeColor="text1"/>
          <w:sz w:val="36"/>
          <w:szCs w:val="36"/>
          <w:highlight w:val="none"/>
          <w:lang w:val="en-US" w:eastAsia="zh-CN"/>
          <w14:textFill>
            <w14:solidFill>
              <w14:schemeClr w14:val="tx1"/>
            </w14:solidFill>
          </w14:textFill>
        </w:rPr>
        <w:t>10</w:t>
      </w:r>
      <w:r>
        <w:rPr>
          <w:rFonts w:hint="eastAsia" w:ascii="宋体" w:hAnsi="宋体" w:eastAsia="宋体" w:cs="宋体"/>
          <w:b/>
          <w:color w:val="000000" w:themeColor="text1"/>
          <w:sz w:val="36"/>
          <w:szCs w:val="36"/>
          <w:highlight w:val="none"/>
          <w14:textFill>
            <w14:solidFill>
              <w14:schemeClr w14:val="tx1"/>
            </w14:solidFill>
          </w14:textFill>
        </w:rPr>
        <w:t>月</w:t>
      </w:r>
    </w:p>
    <w:p w14:paraId="79DA5CEF">
      <w:pPr>
        <w:bidi w:val="0"/>
        <w:rPr>
          <w:rFonts w:hint="eastAsia" w:ascii="宋体" w:hAnsi="宋体" w:eastAsia="宋体" w:cs="宋体"/>
          <w:color w:val="000000" w:themeColor="text1"/>
          <w:highlight w:val="none"/>
          <w:lang w:val="en-US" w:eastAsia="en-US"/>
          <w14:textFill>
            <w14:solidFill>
              <w14:schemeClr w14:val="tx1"/>
            </w14:solidFill>
          </w14:textFill>
        </w:rPr>
      </w:pPr>
    </w:p>
    <w:p w14:paraId="548F346E">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480" w:lineRule="auto"/>
        <w:ind w:left="0" w:leftChars="0" w:right="0" w:rightChars="0" w:firstLine="0" w:firstLineChars="0"/>
        <w:jc w:val="center"/>
        <w:textAlignment w:val="baseline"/>
        <w:rPr>
          <w:rFonts w:ascii="宋体" w:hAnsi="宋体" w:eastAsia="宋体" w:cs="Arial"/>
          <w:b/>
          <w:bCs/>
          <w:snapToGrid w:val="0"/>
          <w:color w:val="000000" w:themeColor="text1"/>
          <w:kern w:val="0"/>
          <w:sz w:val="32"/>
          <w:szCs w:val="32"/>
          <w:highlight w:val="none"/>
          <w:lang w:val="en-US" w:eastAsia="en-US" w:bidi="ar-SA"/>
          <w14:textFill>
            <w14:solidFill>
              <w14:schemeClr w14:val="tx1"/>
            </w14:solidFill>
          </w14:textFill>
        </w:rPr>
        <w:sectPr>
          <w:headerReference r:id="rId5" w:type="default"/>
          <w:footerReference r:id="rId6" w:type="default"/>
          <w:pgSz w:w="11907" w:h="16840"/>
          <w:pgMar w:top="1440" w:right="1474" w:bottom="1440" w:left="1474" w:header="878" w:footer="886" w:gutter="0"/>
          <w:pgNumType w:fmt="decimal" w:start="1"/>
          <w:cols w:space="720" w:num="1"/>
        </w:sectPr>
      </w:pPr>
    </w:p>
    <w:sdt>
      <w:sdtPr>
        <w:rPr>
          <w:rFonts w:ascii="宋体" w:hAnsi="宋体" w:eastAsia="宋体" w:cs="Arial"/>
          <w:b/>
          <w:bCs/>
          <w:snapToGrid w:val="0"/>
          <w:color w:val="000000" w:themeColor="text1"/>
          <w:kern w:val="0"/>
          <w:sz w:val="32"/>
          <w:szCs w:val="32"/>
          <w:highlight w:val="none"/>
          <w:lang w:val="en-US" w:eastAsia="en-US" w:bidi="ar-SA"/>
          <w14:textFill>
            <w14:solidFill>
              <w14:schemeClr w14:val="tx1"/>
            </w14:solidFill>
          </w14:textFill>
        </w:rPr>
        <w:id w:val="147471098"/>
        <w15:color w:val="DBDBDB"/>
        <w:docPartObj>
          <w:docPartGallery w:val="Table of Contents"/>
          <w:docPartUnique/>
        </w:docPartObj>
      </w:sdtPr>
      <w:sdtEndPr>
        <w:rPr>
          <w:rFonts w:hint="eastAsia" w:ascii="黑体" w:hAnsi="Calibri" w:eastAsia="黑体" w:cs="黑体"/>
          <w:b/>
          <w:bCs/>
          <w:snapToGrid w:val="0"/>
          <w:color w:val="000000" w:themeColor="text1"/>
          <w:kern w:val="0"/>
          <w:sz w:val="24"/>
          <w:szCs w:val="24"/>
          <w:highlight w:val="none"/>
          <w:lang w:val="en-US" w:eastAsia="zh-CN" w:bidi="ar-SA"/>
          <w14:textFill>
            <w14:solidFill>
              <w14:schemeClr w14:val="tx1"/>
            </w14:solidFill>
          </w14:textFill>
        </w:rPr>
      </w:sdtEndPr>
      <w:sdtContent>
        <w:p w14:paraId="22795690">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480" w:lineRule="auto"/>
            <w:ind w:left="0" w:leftChars="0" w:right="0" w:rightChars="0" w:firstLine="0" w:firstLineChars="0"/>
            <w:jc w:val="center"/>
            <w:textAlignment w:val="baseline"/>
            <w:rPr>
              <w:rFonts w:ascii="宋体" w:hAnsi="宋体" w:eastAsia="宋体" w:cs="Arial"/>
              <w:b/>
              <w:bCs/>
              <w:snapToGrid w:val="0"/>
              <w:color w:val="000000" w:themeColor="text1"/>
              <w:kern w:val="0"/>
              <w:sz w:val="32"/>
              <w:szCs w:val="32"/>
              <w:highlight w:val="none"/>
              <w:lang w:val="en-US" w:eastAsia="en-US" w:bidi="ar-SA"/>
              <w14:textFill>
                <w14:solidFill>
                  <w14:schemeClr w14:val="tx1"/>
                </w14:solidFill>
              </w14:textFill>
            </w:rPr>
          </w:pPr>
        </w:p>
        <w:p w14:paraId="7BE278AB">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auto"/>
            <w:ind w:left="0" w:leftChars="0" w:right="0" w:rightChars="0" w:firstLine="0" w:firstLineChars="0"/>
            <w:jc w:val="center"/>
            <w:textAlignment w:val="baseline"/>
            <w:rPr>
              <w:b/>
              <w:bCs/>
              <w:color w:val="000000" w:themeColor="text1"/>
              <w:sz w:val="52"/>
              <w:szCs w:val="52"/>
              <w:highlight w:val="none"/>
              <w14:textFill>
                <w14:solidFill>
                  <w14:schemeClr w14:val="tx1"/>
                </w14:solidFill>
              </w14:textFill>
            </w:rPr>
          </w:pPr>
          <w:r>
            <w:rPr>
              <w:rFonts w:ascii="宋体" w:hAnsi="宋体" w:eastAsia="宋体"/>
              <w:b/>
              <w:bCs/>
              <w:color w:val="000000" w:themeColor="text1"/>
              <w:sz w:val="52"/>
              <w:szCs w:val="52"/>
              <w:highlight w:val="none"/>
              <w14:textFill>
                <w14:solidFill>
                  <w14:schemeClr w14:val="tx1"/>
                </w14:solidFill>
              </w14:textFill>
            </w:rPr>
            <w:t>目录</w:t>
          </w:r>
        </w:p>
        <w:p w14:paraId="5A5AA426">
          <w:pPr>
            <w:pStyle w:val="10"/>
            <w:tabs>
              <w:tab w:val="right" w:leader="dot" w:pos="8959"/>
            </w:tabs>
          </w:pPr>
          <w:r>
            <w:rPr>
              <w:rFonts w:hint="eastAsia"/>
              <w:b w:val="0"/>
              <w:bCs w:val="0"/>
              <w:color w:val="000000" w:themeColor="text1"/>
              <w:sz w:val="28"/>
              <w:szCs w:val="22"/>
              <w:highlight w:val="none"/>
              <w14:textFill>
                <w14:solidFill>
                  <w14:schemeClr w14:val="tx1"/>
                </w14:solidFill>
              </w14:textFill>
            </w:rPr>
            <w:fldChar w:fldCharType="begin"/>
          </w:r>
          <w:r>
            <w:rPr>
              <w:rFonts w:hint="eastAsia"/>
              <w:b w:val="0"/>
              <w:bCs w:val="0"/>
              <w:color w:val="000000" w:themeColor="text1"/>
              <w:sz w:val="28"/>
              <w:szCs w:val="22"/>
              <w:highlight w:val="none"/>
              <w14:textFill>
                <w14:solidFill>
                  <w14:schemeClr w14:val="tx1"/>
                </w14:solidFill>
              </w14:textFill>
            </w:rPr>
            <w:instrText xml:space="preserve">TOC \o "1-1" \h \u </w:instrText>
          </w:r>
          <w:r>
            <w:rPr>
              <w:rFonts w:hint="eastAsia"/>
              <w:b w:val="0"/>
              <w:bCs w:val="0"/>
              <w:color w:val="000000" w:themeColor="text1"/>
              <w:sz w:val="28"/>
              <w:szCs w:val="22"/>
              <w:highlight w:val="none"/>
              <w14:textFill>
                <w14:solidFill>
                  <w14:schemeClr w14:val="tx1"/>
                </w14:solidFill>
              </w14:textFill>
            </w:rPr>
            <w:fldChar w:fldCharType="separate"/>
          </w:r>
          <w:r>
            <w:rPr>
              <w:rFonts w:hint="eastAsia"/>
              <w:bCs w:val="0"/>
              <w:color w:val="000000" w:themeColor="text1"/>
              <w:szCs w:val="22"/>
              <w:highlight w:val="none"/>
              <w14:textFill>
                <w14:solidFill>
                  <w14:schemeClr w14:val="tx1"/>
                </w14:solidFill>
              </w14:textFill>
            </w:rPr>
            <w:fldChar w:fldCharType="begin"/>
          </w:r>
          <w:r>
            <w:rPr>
              <w:rFonts w:hint="eastAsia"/>
              <w:bCs w:val="0"/>
              <w:szCs w:val="22"/>
              <w:highlight w:val="none"/>
            </w:rPr>
            <w:instrText xml:space="preserve"> HYPERLINK \l _Toc9623 </w:instrText>
          </w:r>
          <w:r>
            <w:rPr>
              <w:rFonts w:hint="eastAsia"/>
              <w:bCs w:val="0"/>
              <w:szCs w:val="22"/>
              <w:highlight w:val="none"/>
            </w:rPr>
            <w:fldChar w:fldCharType="separate"/>
          </w:r>
          <w:r>
            <w:rPr>
              <w:rFonts w:hint="eastAsia" w:ascii="宋体" w:hAnsi="宋体" w:eastAsia="宋体" w:cs="宋体"/>
              <w:spacing w:val="-1"/>
              <w:szCs w:val="36"/>
              <w:highlight w:val="none"/>
              <w14:textOutline w14:w="2306" w14:cap="flat" w14:cmpd="sng">
                <w14:solidFill>
                  <w14:srgbClr w14:val="000000"/>
                </w14:solidFill>
                <w14:prstDash w14:val="solid"/>
                <w14:miter w14:val="0"/>
              </w14:textOutline>
            </w:rPr>
            <w:t>第一章</w:t>
          </w:r>
          <w:r>
            <w:rPr>
              <w:rFonts w:hint="eastAsia" w:ascii="宋体" w:hAnsi="宋体" w:eastAsia="宋体" w:cs="宋体"/>
              <w:spacing w:val="-1"/>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Cs w:val="36"/>
              <w:highlight w:val="none"/>
              <w:lang w:eastAsia="zh-CN"/>
              <w14:textOutline w14:w="2306" w14:cap="flat" w14:cmpd="sng">
                <w14:solidFill>
                  <w14:srgbClr w14:val="000000"/>
                </w14:solidFill>
                <w14:prstDash w14:val="solid"/>
                <w14:miter w14:val="0"/>
              </w14:textOutline>
            </w:rPr>
            <w:t>竞争性磋商公告</w:t>
          </w:r>
          <w:r>
            <w:tab/>
          </w:r>
          <w:r>
            <w:fldChar w:fldCharType="begin"/>
          </w:r>
          <w:r>
            <w:instrText xml:space="preserve"> PAGEREF _Toc9623 \h </w:instrText>
          </w:r>
          <w:r>
            <w:fldChar w:fldCharType="separate"/>
          </w:r>
          <w:r>
            <w:t>2</w:t>
          </w:r>
          <w:r>
            <w:fldChar w:fldCharType="end"/>
          </w:r>
          <w:r>
            <w:rPr>
              <w:rFonts w:hint="eastAsia"/>
              <w:bCs w:val="0"/>
              <w:color w:val="000000" w:themeColor="text1"/>
              <w:szCs w:val="22"/>
              <w:highlight w:val="none"/>
              <w14:textFill>
                <w14:solidFill>
                  <w14:schemeClr w14:val="tx1"/>
                </w14:solidFill>
              </w14:textFill>
            </w:rPr>
            <w:fldChar w:fldCharType="end"/>
          </w:r>
        </w:p>
        <w:p w14:paraId="54718E30">
          <w:pPr>
            <w:pStyle w:val="10"/>
            <w:tabs>
              <w:tab w:val="right" w:leader="dot" w:pos="8959"/>
            </w:tabs>
          </w:pPr>
          <w:r>
            <w:rPr>
              <w:rFonts w:hint="eastAsia"/>
              <w:bCs w:val="0"/>
              <w:color w:val="000000" w:themeColor="text1"/>
              <w:szCs w:val="28"/>
              <w:highlight w:val="none"/>
              <w14:textFill>
                <w14:solidFill>
                  <w14:schemeClr w14:val="tx1"/>
                </w14:solidFill>
              </w14:textFill>
            </w:rPr>
            <w:fldChar w:fldCharType="begin"/>
          </w:r>
          <w:r>
            <w:rPr>
              <w:rFonts w:hint="eastAsia"/>
              <w:bCs w:val="0"/>
              <w:szCs w:val="28"/>
              <w:highlight w:val="none"/>
            </w:rPr>
            <w:instrText xml:space="preserve"> HYPERLINK \l _Toc18792 </w:instrText>
          </w:r>
          <w:r>
            <w:rPr>
              <w:rFonts w:hint="eastAsia"/>
              <w:bCs w:val="0"/>
              <w:szCs w:val="28"/>
              <w:highlight w:val="none"/>
            </w:rPr>
            <w:fldChar w:fldCharType="separate"/>
          </w:r>
          <w:r>
            <w:rPr>
              <w:rFonts w:hint="eastAsia" w:ascii="宋体" w:hAnsi="宋体" w:eastAsia="宋体" w:cs="宋体"/>
              <w:spacing w:val="-1"/>
              <w:szCs w:val="36"/>
              <w:highlight w:val="none"/>
              <w14:textOutline w14:w="2306" w14:cap="flat" w14:cmpd="sng">
                <w14:solidFill>
                  <w14:srgbClr w14:val="000000"/>
                </w14:solidFill>
                <w14:prstDash w14:val="solid"/>
                <w14:miter w14:val="0"/>
              </w14:textOutline>
            </w:rPr>
            <w:t>第二章</w:t>
          </w:r>
          <w:r>
            <w:rPr>
              <w:rFonts w:hint="eastAsia" w:ascii="宋体" w:hAnsi="宋体" w:eastAsia="宋体" w:cs="宋体"/>
              <w:spacing w:val="-1"/>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Cs w:val="36"/>
              <w:highlight w:val="none"/>
              <w14:textOutline w14:w="2306" w14:cap="flat" w14:cmpd="sng">
                <w14:solidFill>
                  <w14:srgbClr w14:val="000000"/>
                </w14:solidFill>
                <w14:prstDash w14:val="solid"/>
                <w14:miter w14:val="0"/>
              </w14:textOutline>
            </w:rPr>
            <w:t>采购需求</w:t>
          </w:r>
          <w:r>
            <w:tab/>
          </w:r>
          <w:r>
            <w:fldChar w:fldCharType="begin"/>
          </w:r>
          <w:r>
            <w:instrText xml:space="preserve"> PAGEREF _Toc18792 \h </w:instrText>
          </w:r>
          <w:r>
            <w:fldChar w:fldCharType="separate"/>
          </w:r>
          <w:r>
            <w:t>6</w:t>
          </w:r>
          <w:r>
            <w:fldChar w:fldCharType="end"/>
          </w:r>
          <w:r>
            <w:rPr>
              <w:rFonts w:hint="eastAsia"/>
              <w:bCs w:val="0"/>
              <w:color w:val="000000" w:themeColor="text1"/>
              <w:szCs w:val="28"/>
              <w:highlight w:val="none"/>
              <w14:textFill>
                <w14:solidFill>
                  <w14:schemeClr w14:val="tx1"/>
                </w14:solidFill>
              </w14:textFill>
            </w:rPr>
            <w:fldChar w:fldCharType="end"/>
          </w:r>
        </w:p>
        <w:p w14:paraId="61A9E97B">
          <w:pPr>
            <w:pStyle w:val="10"/>
            <w:tabs>
              <w:tab w:val="right" w:leader="dot" w:pos="8959"/>
            </w:tabs>
          </w:pPr>
          <w:r>
            <w:rPr>
              <w:rFonts w:hint="eastAsia"/>
              <w:bCs w:val="0"/>
              <w:color w:val="000000" w:themeColor="text1"/>
              <w:szCs w:val="28"/>
              <w:highlight w:val="none"/>
              <w14:textFill>
                <w14:solidFill>
                  <w14:schemeClr w14:val="tx1"/>
                </w14:solidFill>
              </w14:textFill>
            </w:rPr>
            <w:fldChar w:fldCharType="begin"/>
          </w:r>
          <w:r>
            <w:rPr>
              <w:rFonts w:hint="eastAsia"/>
              <w:bCs w:val="0"/>
              <w:szCs w:val="28"/>
              <w:highlight w:val="none"/>
            </w:rPr>
            <w:instrText xml:space="preserve"> HYPERLINK \l _Toc23403 </w:instrText>
          </w:r>
          <w:r>
            <w:rPr>
              <w:rFonts w:hint="eastAsia"/>
              <w:bCs w:val="0"/>
              <w:szCs w:val="28"/>
              <w:highlight w:val="none"/>
            </w:rPr>
            <w:fldChar w:fldCharType="separate"/>
          </w:r>
          <w:r>
            <w:rPr>
              <w:rFonts w:hint="eastAsia" w:ascii="宋体" w:hAnsi="宋体" w:eastAsia="宋体" w:cs="宋体"/>
              <w:spacing w:val="-1"/>
              <w:szCs w:val="36"/>
              <w:highlight w:val="none"/>
              <w14:textOutline w14:w="2306" w14:cap="flat" w14:cmpd="sng">
                <w14:solidFill>
                  <w14:srgbClr w14:val="000000"/>
                </w14:solidFill>
                <w14:prstDash w14:val="solid"/>
                <w14:miter w14:val="0"/>
              </w14:textOutline>
            </w:rPr>
            <w:t>第</w:t>
          </w:r>
          <w:r>
            <w:rPr>
              <w:rFonts w:hint="eastAsia" w:ascii="宋体" w:hAnsi="宋体" w:eastAsia="宋体" w:cs="宋体"/>
              <w:spacing w:val="-1"/>
              <w:szCs w:val="36"/>
              <w:highlight w:val="none"/>
              <w:lang w:val="en-US" w:eastAsia="zh-CN"/>
              <w14:textOutline w14:w="2306" w14:cap="flat" w14:cmpd="sng">
                <w14:solidFill>
                  <w14:srgbClr w14:val="000000"/>
                </w14:solidFill>
                <w14:prstDash w14:val="solid"/>
                <w14:miter w14:val="0"/>
              </w14:textOutline>
            </w:rPr>
            <w:t>三</w:t>
          </w:r>
          <w:r>
            <w:rPr>
              <w:rFonts w:hint="eastAsia" w:ascii="宋体" w:hAnsi="宋体" w:eastAsia="宋体" w:cs="宋体"/>
              <w:spacing w:val="-1"/>
              <w:szCs w:val="36"/>
              <w:highlight w:val="none"/>
              <w14:textOutline w14:w="2306" w14:cap="flat" w14:cmpd="sng">
                <w14:solidFill>
                  <w14:srgbClr w14:val="000000"/>
                </w14:solidFill>
                <w14:prstDash w14:val="solid"/>
                <w14:miter w14:val="0"/>
              </w14:textOutline>
            </w:rPr>
            <w:t>章</w:t>
          </w:r>
          <w:r>
            <w:rPr>
              <w:rFonts w:hint="eastAsia" w:ascii="宋体" w:hAnsi="宋体" w:eastAsia="宋体" w:cs="宋体"/>
              <w:spacing w:val="-1"/>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Cs w:val="36"/>
              <w:highlight w:val="none"/>
              <w14:textOutline w14:w="2306" w14:cap="flat" w14:cmpd="sng">
                <w14:solidFill>
                  <w14:srgbClr w14:val="000000"/>
                </w14:solidFill>
                <w14:prstDash w14:val="solid"/>
                <w14:miter w14:val="0"/>
              </w14:textOutline>
            </w:rPr>
            <w:t>供应商须知</w:t>
          </w:r>
          <w:r>
            <w:tab/>
          </w:r>
          <w:r>
            <w:fldChar w:fldCharType="begin"/>
          </w:r>
          <w:r>
            <w:instrText xml:space="preserve"> PAGEREF _Toc23403 \h </w:instrText>
          </w:r>
          <w:r>
            <w:fldChar w:fldCharType="separate"/>
          </w:r>
          <w:r>
            <w:t>13</w:t>
          </w:r>
          <w:r>
            <w:fldChar w:fldCharType="end"/>
          </w:r>
          <w:r>
            <w:rPr>
              <w:rFonts w:hint="eastAsia"/>
              <w:bCs w:val="0"/>
              <w:color w:val="000000" w:themeColor="text1"/>
              <w:szCs w:val="28"/>
              <w:highlight w:val="none"/>
              <w14:textFill>
                <w14:solidFill>
                  <w14:schemeClr w14:val="tx1"/>
                </w14:solidFill>
              </w14:textFill>
            </w:rPr>
            <w:fldChar w:fldCharType="end"/>
          </w:r>
        </w:p>
        <w:p w14:paraId="2BA404BE">
          <w:pPr>
            <w:pStyle w:val="10"/>
            <w:tabs>
              <w:tab w:val="right" w:leader="dot" w:pos="8959"/>
            </w:tabs>
          </w:pPr>
          <w:r>
            <w:rPr>
              <w:rFonts w:hint="eastAsia"/>
              <w:bCs w:val="0"/>
              <w:color w:val="000000" w:themeColor="text1"/>
              <w:szCs w:val="28"/>
              <w:highlight w:val="none"/>
              <w14:textFill>
                <w14:solidFill>
                  <w14:schemeClr w14:val="tx1"/>
                </w14:solidFill>
              </w14:textFill>
            </w:rPr>
            <w:fldChar w:fldCharType="begin"/>
          </w:r>
          <w:r>
            <w:rPr>
              <w:rFonts w:hint="eastAsia"/>
              <w:bCs w:val="0"/>
              <w:szCs w:val="28"/>
              <w:highlight w:val="none"/>
            </w:rPr>
            <w:instrText xml:space="preserve"> HYPERLINK \l _Toc31404 </w:instrText>
          </w:r>
          <w:r>
            <w:rPr>
              <w:rFonts w:hint="eastAsia"/>
              <w:bCs w:val="0"/>
              <w:szCs w:val="28"/>
              <w:highlight w:val="none"/>
            </w:rPr>
            <w:fldChar w:fldCharType="separate"/>
          </w:r>
          <w:r>
            <w:rPr>
              <w:rFonts w:hint="eastAsia" w:ascii="宋体" w:hAnsi="宋体" w:eastAsia="宋体" w:cs="宋体"/>
              <w:spacing w:val="-1"/>
              <w:szCs w:val="36"/>
              <w:highlight w:val="none"/>
              <w14:textOutline w14:w="2306" w14:cap="flat" w14:cmpd="sng">
                <w14:solidFill>
                  <w14:srgbClr w14:val="000000"/>
                </w14:solidFill>
                <w14:prstDash w14:val="solid"/>
                <w14:miter w14:val="0"/>
              </w14:textOutline>
            </w:rPr>
            <w:t>第</w:t>
          </w:r>
          <w:r>
            <w:rPr>
              <w:rFonts w:hint="eastAsia" w:ascii="宋体" w:hAnsi="宋体" w:eastAsia="宋体" w:cs="宋体"/>
              <w:spacing w:val="-1"/>
              <w:szCs w:val="36"/>
              <w:highlight w:val="none"/>
              <w:lang w:val="en-US" w:eastAsia="zh-CN"/>
              <w14:textOutline w14:w="2306" w14:cap="flat" w14:cmpd="sng">
                <w14:solidFill>
                  <w14:srgbClr w14:val="000000"/>
                </w14:solidFill>
                <w14:prstDash w14:val="solid"/>
                <w14:miter w14:val="0"/>
              </w14:textOutline>
            </w:rPr>
            <w:t>四</w:t>
          </w:r>
          <w:r>
            <w:rPr>
              <w:rFonts w:hint="eastAsia" w:ascii="宋体" w:hAnsi="宋体" w:eastAsia="宋体" w:cs="宋体"/>
              <w:spacing w:val="-1"/>
              <w:szCs w:val="36"/>
              <w:highlight w:val="none"/>
              <w14:textOutline w14:w="2306" w14:cap="flat" w14:cmpd="sng">
                <w14:solidFill>
                  <w14:srgbClr w14:val="000000"/>
                </w14:solidFill>
                <w14:prstDash w14:val="solid"/>
                <w14:miter w14:val="0"/>
              </w14:textOutline>
            </w:rPr>
            <w:t>章</w:t>
          </w:r>
          <w:r>
            <w:rPr>
              <w:rFonts w:hint="eastAsia" w:ascii="宋体" w:hAnsi="宋体" w:eastAsia="宋体" w:cs="宋体"/>
              <w:spacing w:val="-1"/>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Cs w:val="36"/>
              <w:highlight w:val="none"/>
              <w14:textOutline w14:w="2306" w14:cap="flat" w14:cmpd="sng">
                <w14:solidFill>
                  <w14:srgbClr w14:val="000000"/>
                </w14:solidFill>
                <w14:prstDash w14:val="solid"/>
                <w14:miter w14:val="0"/>
              </w14:textOutline>
            </w:rPr>
            <w:t>评</w:t>
          </w:r>
          <w:r>
            <w:rPr>
              <w:rFonts w:hint="eastAsia" w:ascii="宋体" w:hAnsi="宋体" w:eastAsia="宋体" w:cs="宋体"/>
              <w:spacing w:val="-1"/>
              <w:szCs w:val="36"/>
              <w:highlight w:val="none"/>
              <w:lang w:val="en-US" w:eastAsia="zh-CN"/>
              <w14:textOutline w14:w="2306" w14:cap="flat" w14:cmpd="sng">
                <w14:solidFill>
                  <w14:srgbClr w14:val="000000"/>
                </w14:solidFill>
                <w14:prstDash w14:val="solid"/>
                <w14:miter w14:val="0"/>
              </w14:textOutline>
            </w:rPr>
            <w:t>审</w:t>
          </w:r>
          <w:r>
            <w:rPr>
              <w:rFonts w:hint="eastAsia" w:ascii="宋体" w:hAnsi="宋体" w:eastAsia="宋体" w:cs="宋体"/>
              <w:spacing w:val="-1"/>
              <w:szCs w:val="36"/>
              <w:highlight w:val="none"/>
              <w14:textOutline w14:w="2306" w14:cap="flat" w14:cmpd="sng">
                <w14:solidFill>
                  <w14:srgbClr w14:val="000000"/>
                </w14:solidFill>
                <w14:prstDash w14:val="solid"/>
                <w14:miter w14:val="0"/>
              </w14:textOutline>
            </w:rPr>
            <w:t>程序、评审方法和评审标准</w:t>
          </w:r>
          <w:r>
            <w:tab/>
          </w:r>
          <w:r>
            <w:fldChar w:fldCharType="begin"/>
          </w:r>
          <w:r>
            <w:instrText xml:space="preserve"> PAGEREF _Toc31404 \h </w:instrText>
          </w:r>
          <w:r>
            <w:fldChar w:fldCharType="separate"/>
          </w:r>
          <w:r>
            <w:t>24</w:t>
          </w:r>
          <w:r>
            <w:fldChar w:fldCharType="end"/>
          </w:r>
          <w:r>
            <w:rPr>
              <w:rFonts w:hint="eastAsia"/>
              <w:bCs w:val="0"/>
              <w:color w:val="000000" w:themeColor="text1"/>
              <w:szCs w:val="28"/>
              <w:highlight w:val="none"/>
              <w14:textFill>
                <w14:solidFill>
                  <w14:schemeClr w14:val="tx1"/>
                </w14:solidFill>
              </w14:textFill>
            </w:rPr>
            <w:fldChar w:fldCharType="end"/>
          </w:r>
        </w:p>
        <w:p w14:paraId="2C348BBD">
          <w:pPr>
            <w:pStyle w:val="10"/>
            <w:tabs>
              <w:tab w:val="right" w:leader="dot" w:pos="8959"/>
            </w:tabs>
          </w:pPr>
          <w:r>
            <w:rPr>
              <w:rFonts w:hint="eastAsia"/>
              <w:bCs w:val="0"/>
              <w:color w:val="000000" w:themeColor="text1"/>
              <w:szCs w:val="28"/>
              <w:highlight w:val="none"/>
              <w14:textFill>
                <w14:solidFill>
                  <w14:schemeClr w14:val="tx1"/>
                </w14:solidFill>
              </w14:textFill>
            </w:rPr>
            <w:fldChar w:fldCharType="begin"/>
          </w:r>
          <w:r>
            <w:rPr>
              <w:rFonts w:hint="eastAsia"/>
              <w:bCs w:val="0"/>
              <w:szCs w:val="28"/>
              <w:highlight w:val="none"/>
            </w:rPr>
            <w:instrText xml:space="preserve"> HYPERLINK \l _Toc29692 </w:instrText>
          </w:r>
          <w:r>
            <w:rPr>
              <w:rFonts w:hint="eastAsia"/>
              <w:bCs w:val="0"/>
              <w:szCs w:val="28"/>
              <w:highlight w:val="none"/>
            </w:rPr>
            <w:fldChar w:fldCharType="separate"/>
          </w:r>
          <w:r>
            <w:rPr>
              <w:rFonts w:hint="eastAsia" w:ascii="宋体" w:hAnsi="宋体" w:eastAsia="宋体" w:cs="宋体"/>
              <w:spacing w:val="-1"/>
              <w:szCs w:val="36"/>
              <w14:textOutline w14:w="2306" w14:cap="flat" w14:cmpd="sng">
                <w14:solidFill>
                  <w14:srgbClr w14:val="000000"/>
                </w14:solidFill>
                <w14:prstDash w14:val="solid"/>
                <w14:miter w14:val="0"/>
              </w14:textOutline>
            </w:rPr>
            <w:t xml:space="preserve">第五章 </w:t>
          </w:r>
          <w:r>
            <w:rPr>
              <w:rFonts w:hint="eastAsia" w:ascii="宋体" w:hAnsi="宋体" w:eastAsia="宋体" w:cs="宋体"/>
              <w:spacing w:val="-1"/>
              <w:szCs w:val="36"/>
              <w:highlight w:val="none"/>
              <w14:textOutline w14:w="2306" w14:cap="flat" w14:cmpd="sng">
                <w14:solidFill>
                  <w14:srgbClr w14:val="000000"/>
                </w14:solidFill>
                <w14:prstDash w14:val="solid"/>
                <w14:miter w14:val="0"/>
              </w14:textOutline>
            </w:rPr>
            <w:t>合同草案条款</w:t>
          </w:r>
          <w:r>
            <w:tab/>
          </w:r>
          <w:r>
            <w:fldChar w:fldCharType="begin"/>
          </w:r>
          <w:r>
            <w:instrText xml:space="preserve"> PAGEREF _Toc29692 \h </w:instrText>
          </w:r>
          <w:r>
            <w:fldChar w:fldCharType="separate"/>
          </w:r>
          <w:r>
            <w:t>34</w:t>
          </w:r>
          <w:r>
            <w:fldChar w:fldCharType="end"/>
          </w:r>
          <w:r>
            <w:rPr>
              <w:rFonts w:hint="eastAsia"/>
              <w:bCs w:val="0"/>
              <w:color w:val="000000" w:themeColor="text1"/>
              <w:szCs w:val="28"/>
              <w:highlight w:val="none"/>
              <w14:textFill>
                <w14:solidFill>
                  <w14:schemeClr w14:val="tx1"/>
                </w14:solidFill>
              </w14:textFill>
            </w:rPr>
            <w:fldChar w:fldCharType="end"/>
          </w:r>
        </w:p>
        <w:p w14:paraId="14B454AB">
          <w:pPr>
            <w:pStyle w:val="10"/>
            <w:tabs>
              <w:tab w:val="right" w:leader="dot" w:pos="8959"/>
            </w:tabs>
          </w:pPr>
          <w:r>
            <w:rPr>
              <w:rFonts w:hint="eastAsia"/>
              <w:bCs w:val="0"/>
              <w:color w:val="000000" w:themeColor="text1"/>
              <w:szCs w:val="28"/>
              <w:highlight w:val="none"/>
              <w14:textFill>
                <w14:solidFill>
                  <w14:schemeClr w14:val="tx1"/>
                </w14:solidFill>
              </w14:textFill>
            </w:rPr>
            <w:fldChar w:fldCharType="begin"/>
          </w:r>
          <w:r>
            <w:rPr>
              <w:rFonts w:hint="eastAsia"/>
              <w:bCs w:val="0"/>
              <w:szCs w:val="28"/>
              <w:highlight w:val="none"/>
            </w:rPr>
            <w:instrText xml:space="preserve"> HYPERLINK \l _Toc15870 </w:instrText>
          </w:r>
          <w:r>
            <w:rPr>
              <w:rFonts w:hint="eastAsia"/>
              <w:bCs w:val="0"/>
              <w:szCs w:val="28"/>
              <w:highlight w:val="none"/>
            </w:rPr>
            <w:fldChar w:fldCharType="separate"/>
          </w:r>
          <w:r>
            <w:rPr>
              <w:rFonts w:hint="eastAsia" w:ascii="宋体" w:hAnsi="宋体" w:eastAsia="宋体" w:cs="宋体"/>
              <w:spacing w:val="-1"/>
              <w:szCs w:val="36"/>
              <w:highlight w:val="none"/>
              <w14:textOutline w14:w="2306" w14:cap="flat" w14:cmpd="sng">
                <w14:solidFill>
                  <w14:srgbClr w14:val="000000"/>
                </w14:solidFill>
                <w14:prstDash w14:val="solid"/>
                <w14:miter w14:val="0"/>
              </w14:textOutline>
            </w:rPr>
            <w:t>第六章</w:t>
          </w:r>
          <w:r>
            <w:rPr>
              <w:rFonts w:hint="eastAsia" w:ascii="宋体" w:hAnsi="宋体" w:eastAsia="宋体" w:cs="宋体"/>
              <w:spacing w:val="-1"/>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Cs w:val="36"/>
              <w:highlight w:val="none"/>
              <w14:textOutline w14:w="2306" w14:cap="flat" w14:cmpd="sng">
                <w14:solidFill>
                  <w14:srgbClr w14:val="000000"/>
                </w14:solidFill>
                <w14:prstDash w14:val="solid"/>
                <w14:miter w14:val="0"/>
              </w14:textOutline>
            </w:rPr>
            <w:t>响应文件格式</w:t>
          </w:r>
          <w:r>
            <w:tab/>
          </w:r>
          <w:r>
            <w:fldChar w:fldCharType="begin"/>
          </w:r>
          <w:r>
            <w:instrText xml:space="preserve"> PAGEREF _Toc15870 \h </w:instrText>
          </w:r>
          <w:r>
            <w:fldChar w:fldCharType="separate"/>
          </w:r>
          <w:r>
            <w:t>38</w:t>
          </w:r>
          <w:r>
            <w:fldChar w:fldCharType="end"/>
          </w:r>
          <w:r>
            <w:rPr>
              <w:rFonts w:hint="eastAsia"/>
              <w:bCs w:val="0"/>
              <w:color w:val="000000" w:themeColor="text1"/>
              <w:szCs w:val="28"/>
              <w:highlight w:val="none"/>
              <w14:textFill>
                <w14:solidFill>
                  <w14:schemeClr w14:val="tx1"/>
                </w14:solidFill>
              </w14:textFill>
            </w:rPr>
            <w:fldChar w:fldCharType="end"/>
          </w:r>
        </w:p>
        <w:p w14:paraId="37243EDA">
          <w:pPr>
            <w:pStyle w:val="6"/>
            <w:spacing w:line="600" w:lineRule="auto"/>
            <w:rPr>
              <w:rFonts w:hint="eastAsia" w:ascii="黑体" w:hAnsi="Calibri" w:eastAsia="黑体" w:cs="黑体"/>
              <w:color w:val="000000" w:themeColor="text1"/>
              <w:sz w:val="24"/>
              <w:szCs w:val="24"/>
              <w:highlight w:val="none"/>
              <w:lang w:val="en-US" w:eastAsia="zh-CN" w:bidi="ar-SA"/>
              <w14:textFill>
                <w14:solidFill>
                  <w14:schemeClr w14:val="tx1"/>
                </w14:solidFill>
              </w14:textFill>
            </w:rPr>
          </w:pPr>
          <w:r>
            <w:rPr>
              <w:rFonts w:hint="eastAsia"/>
              <w:bCs w:val="0"/>
              <w:color w:val="000000" w:themeColor="text1"/>
              <w:szCs w:val="28"/>
              <w:highlight w:val="none"/>
              <w14:textFill>
                <w14:solidFill>
                  <w14:schemeClr w14:val="tx1"/>
                </w14:solidFill>
              </w14:textFill>
            </w:rPr>
            <w:fldChar w:fldCharType="end"/>
          </w:r>
        </w:p>
      </w:sdtContent>
    </w:sdt>
    <w:p w14:paraId="5D217FA2">
      <w:pPr>
        <w:rPr>
          <w:rFonts w:hint="eastAsia"/>
          <w:color w:val="000000" w:themeColor="text1"/>
          <w:highlight w:val="none"/>
          <w14:textFill>
            <w14:solidFill>
              <w14:schemeClr w14:val="tx1"/>
            </w14:solidFill>
          </w14:textFill>
        </w:rPr>
      </w:pPr>
    </w:p>
    <w:p w14:paraId="16BD1E67">
      <w:pPr>
        <w:pStyle w:val="5"/>
        <w:keepNext w:val="0"/>
        <w:keepLines w:val="0"/>
        <w:pageBreakBefore w:val="0"/>
        <w:kinsoku/>
        <w:wordWrap w:val="0"/>
        <w:overflowPunct/>
        <w:topLinePunct w:val="0"/>
        <w:bidi w:val="0"/>
        <w:spacing w:before="358" w:line="360" w:lineRule="auto"/>
        <w:jc w:val="center"/>
        <w:rPr>
          <w:rFonts w:hint="eastAsia" w:ascii="宋体" w:hAnsi="宋体" w:eastAsia="宋体" w:cs="宋体"/>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pPr>
    </w:p>
    <w:p w14:paraId="56C930DD">
      <w:pPr>
        <w:pStyle w:val="5"/>
        <w:keepNext w:val="0"/>
        <w:keepLines w:val="0"/>
        <w:pageBreakBefore w:val="0"/>
        <w:kinsoku/>
        <w:wordWrap w:val="0"/>
        <w:overflowPunct/>
        <w:topLinePunct w:val="0"/>
        <w:bidi w:val="0"/>
        <w:spacing w:before="358" w:line="360" w:lineRule="auto"/>
        <w:jc w:val="center"/>
        <w:rPr>
          <w:rFonts w:hint="eastAsia" w:ascii="宋体" w:hAnsi="宋体" w:eastAsia="宋体" w:cs="宋体"/>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pPr>
    </w:p>
    <w:p w14:paraId="1CA6337C">
      <w:pPr>
        <w:pStyle w:val="5"/>
        <w:keepNext w:val="0"/>
        <w:keepLines w:val="0"/>
        <w:pageBreakBefore w:val="0"/>
        <w:kinsoku/>
        <w:wordWrap w:val="0"/>
        <w:overflowPunct/>
        <w:topLinePunct w:val="0"/>
        <w:bidi w:val="0"/>
        <w:spacing w:before="358" w:line="360" w:lineRule="auto"/>
        <w:jc w:val="center"/>
        <w:rPr>
          <w:rFonts w:hint="eastAsia" w:ascii="宋体" w:hAnsi="宋体" w:eastAsia="宋体" w:cs="宋体"/>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pPr>
    </w:p>
    <w:p w14:paraId="3C17CD54">
      <w:pPr>
        <w:pStyle w:val="5"/>
        <w:keepNext w:val="0"/>
        <w:keepLines w:val="0"/>
        <w:pageBreakBefore w:val="0"/>
        <w:kinsoku/>
        <w:wordWrap w:val="0"/>
        <w:overflowPunct/>
        <w:topLinePunct w:val="0"/>
        <w:bidi w:val="0"/>
        <w:spacing w:before="358" w:line="360" w:lineRule="auto"/>
        <w:jc w:val="center"/>
        <w:rPr>
          <w:rFonts w:hint="eastAsia" w:ascii="宋体" w:hAnsi="宋体" w:eastAsia="宋体" w:cs="宋体"/>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pPr>
    </w:p>
    <w:p w14:paraId="2696E82E">
      <w:pPr>
        <w:rPr>
          <w:rFonts w:hint="eastAsia" w:ascii="宋体" w:hAnsi="宋体" w:eastAsia="宋体" w:cs="宋体"/>
          <w:b/>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b/>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br w:type="page"/>
      </w:r>
    </w:p>
    <w:p w14:paraId="3E435E0F">
      <w:pPr>
        <w:pStyle w:val="3"/>
        <w:bidi w:val="0"/>
        <w:rPr>
          <w:rFonts w:hint="eastAsia" w:ascii="宋体" w:hAnsi="宋体" w:eastAsia="宋体" w:cs="宋体"/>
          <w:b/>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pPr>
      <w:bookmarkStart w:id="0" w:name="_Toc9623"/>
      <w:r>
        <w:rPr>
          <w:rFonts w:hint="eastAsia" w:ascii="宋体" w:hAnsi="宋体" w:eastAsia="宋体" w:cs="宋体"/>
          <w:b/>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t>第一章</w:t>
      </w:r>
      <w:r>
        <w:rPr>
          <w:rFonts w:hint="eastAsia" w:ascii="宋体" w:hAnsi="宋体" w:eastAsia="宋体" w:cs="宋体"/>
          <w:b/>
          <w:color w:val="000000" w:themeColor="text1"/>
          <w:spacing w:val="-1"/>
          <w:sz w:val="36"/>
          <w:szCs w:val="36"/>
          <w:highlight w:val="none"/>
          <w:lang w:val="en-US" w:eastAsia="zh-CN"/>
          <w14:textOutline w14:w="2306" w14:cap="flat" w14:cmpd="sng">
            <w14:solidFill>
              <w14:srgbClr w14:val="000000"/>
            </w14:solidFill>
            <w14:prstDash w14:val="solid"/>
            <w14:miter w14:val="0"/>
          </w14:textOutline>
          <w14:textFill>
            <w14:solidFill>
              <w14:schemeClr w14:val="tx1"/>
            </w14:solidFill>
          </w14:textFill>
        </w:rPr>
        <w:t xml:space="preserve"> </w:t>
      </w:r>
      <w:r>
        <w:rPr>
          <w:rFonts w:hint="eastAsia" w:ascii="宋体" w:hAnsi="宋体" w:eastAsia="宋体" w:cs="宋体"/>
          <w:b/>
          <w:color w:val="000000" w:themeColor="text1"/>
          <w:spacing w:val="-1"/>
          <w:sz w:val="36"/>
          <w:szCs w:val="36"/>
          <w:highlight w:val="none"/>
          <w:lang w:eastAsia="zh-CN"/>
          <w14:textOutline w14:w="2306" w14:cap="flat" w14:cmpd="sng">
            <w14:solidFill>
              <w14:srgbClr w14:val="000000"/>
            </w14:solidFill>
            <w14:prstDash w14:val="solid"/>
            <w14:miter w14:val="0"/>
          </w14:textOutline>
          <w14:textFill>
            <w14:solidFill>
              <w14:schemeClr w14:val="tx1"/>
            </w14:solidFill>
          </w14:textFill>
        </w:rPr>
        <w:t>竞争性磋商公告</w:t>
      </w:r>
      <w:bookmarkEnd w:id="0"/>
    </w:p>
    <w:p w14:paraId="6113C985">
      <w:pPr>
        <w:spacing w:line="450" w:lineRule="exact"/>
        <w:jc w:val="center"/>
        <w:rPr>
          <w:rFonts w:hint="eastAsia" w:ascii="宋体" w:hAnsi="宋体" w:eastAsia="宋体" w:cs="宋体"/>
          <w:b/>
          <w:color w:val="000000" w:themeColor="text1"/>
          <w:kern w:val="0"/>
          <w:sz w:val="28"/>
          <w:szCs w:val="28"/>
          <w:highlight w:val="none"/>
          <w:lang w:eastAsia="zh-CN"/>
          <w14:textFill>
            <w14:solidFill>
              <w14:schemeClr w14:val="tx1"/>
            </w14:solidFill>
          </w14:textFill>
        </w:rPr>
      </w:pPr>
      <w:bookmarkStart w:id="1" w:name="OLE_LINK2"/>
      <w:bookmarkStart w:id="2" w:name="OLE_LINK4"/>
      <w:bookmarkStart w:id="3" w:name="OLE_LINK8"/>
      <w:bookmarkStart w:id="4" w:name="OLE_LINK6"/>
      <w:bookmarkStart w:id="5" w:name="OLE_LINK7"/>
      <w:bookmarkStart w:id="6" w:name="OLE_LINK1"/>
      <w:bookmarkStart w:id="7" w:name="OLE_LINK5"/>
      <w:bookmarkStart w:id="8" w:name="OLE_LINK3"/>
      <w:r>
        <w:rPr>
          <w:rFonts w:hint="eastAsia" w:ascii="宋体" w:hAnsi="宋体" w:eastAsia="宋体" w:cs="宋体"/>
          <w:b/>
          <w:color w:val="000000" w:themeColor="text1"/>
          <w:kern w:val="0"/>
          <w:sz w:val="28"/>
          <w:szCs w:val="28"/>
          <w:highlight w:val="none"/>
          <w:lang w:eastAsia="zh-CN"/>
          <w14:textFill>
            <w14:solidFill>
              <w14:schemeClr w14:val="tx1"/>
            </w14:solidFill>
          </w14:textFill>
        </w:rPr>
        <w:t>内乡县水利局内乡县禁止开垦陡坡地范围划定工作项目</w:t>
      </w: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w:t>
      </w:r>
      <w:r>
        <w:rPr>
          <w:rFonts w:hint="eastAsia" w:ascii="宋体" w:hAnsi="宋体" w:eastAsia="宋体" w:cs="宋体"/>
          <w:b/>
          <w:color w:val="000000" w:themeColor="text1"/>
          <w:kern w:val="0"/>
          <w:sz w:val="28"/>
          <w:szCs w:val="28"/>
          <w:highlight w:val="none"/>
          <w:lang w:eastAsia="zh-CN"/>
          <w14:textFill>
            <w14:solidFill>
              <w14:schemeClr w14:val="tx1"/>
            </w14:solidFill>
          </w14:textFill>
        </w:rPr>
        <w:t>竞争性磋商公告</w:t>
      </w:r>
    </w:p>
    <w:p w14:paraId="59D6FF97">
      <w:pPr>
        <w:keepNext w:val="0"/>
        <w:keepLines w:val="0"/>
        <w:pageBreakBefore w:val="0"/>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t>项目概况</w:t>
      </w:r>
    </w:p>
    <w:p w14:paraId="02E53C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内乡县水利局内乡县禁止开垦陡坡地范围划定工作项目</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招标项目的潜在投标人应在《全国公共资源交易平台(河南省·南阳内乡分平台)》电子交易平台获取招标文件，并于2025年</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日09时00分（北京时间）前递交响应文件。</w:t>
      </w:r>
    </w:p>
    <w:p w14:paraId="4C71DD53">
      <w:pPr>
        <w:keepNext w:val="0"/>
        <w:keepLines w:val="0"/>
        <w:pageBreakBefore w:val="0"/>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t xml:space="preserve">一、项目基本情况 </w:t>
      </w:r>
    </w:p>
    <w:p w14:paraId="622665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1、项目编号：内乡政采磋商-2025-</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 xml:space="preserve">54 </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 </w:t>
      </w:r>
    </w:p>
    <w:p w14:paraId="521BF9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2、项目名称：</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内乡县水利局内乡县禁止开垦陡坡地范围划定工作项目</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 </w:t>
      </w:r>
    </w:p>
    <w:p w14:paraId="498282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3、采购方式：竞争性磋商 </w:t>
      </w:r>
    </w:p>
    <w:p w14:paraId="5F5A3B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4、预算金额：</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450000.00</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元  </w:t>
      </w:r>
    </w:p>
    <w:p w14:paraId="03B14D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最高限价：</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450000</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元</w:t>
      </w:r>
    </w:p>
    <w:tbl>
      <w:tblPr>
        <w:tblStyle w:val="14"/>
        <w:tblW w:w="9240" w:type="dxa"/>
        <w:tblCellSpacing w:w="0"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9"/>
        <w:gridCol w:w="1552"/>
        <w:gridCol w:w="3645"/>
        <w:gridCol w:w="1579"/>
        <w:gridCol w:w="1945"/>
      </w:tblGrid>
      <w:tr w14:paraId="2D3B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blCellSpacing w:w="0" w:type="dxa"/>
        </w:trPr>
        <w:tc>
          <w:tcPr>
            <w:tcW w:w="519" w:type="dxa"/>
            <w:noWrap w:val="0"/>
            <w:tcMar>
              <w:top w:w="120" w:type="dxa"/>
            </w:tcMar>
            <w:vAlign w:val="center"/>
          </w:tcPr>
          <w:p w14:paraId="28C34CF0">
            <w:pPr>
              <w:keepNext w:val="0"/>
              <w:keepLines w:val="0"/>
              <w:pageBreakBefore w:val="0"/>
              <w:widowControl/>
              <w:suppressLineNumbers w:val="0"/>
              <w:wordWrap w:val="0"/>
              <w:overflowPunct/>
              <w:topLinePunct w:val="0"/>
              <w:bidi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序号</w:t>
            </w:r>
          </w:p>
        </w:tc>
        <w:tc>
          <w:tcPr>
            <w:tcW w:w="1552" w:type="dxa"/>
            <w:noWrap w:val="0"/>
            <w:tcMar>
              <w:top w:w="120" w:type="dxa"/>
            </w:tcMar>
            <w:vAlign w:val="center"/>
          </w:tcPr>
          <w:p w14:paraId="15B82BF0">
            <w:pPr>
              <w:keepNext w:val="0"/>
              <w:keepLines w:val="0"/>
              <w:pageBreakBefore w:val="0"/>
              <w:widowControl/>
              <w:suppressLineNumbers w:val="0"/>
              <w:wordWrap w:val="0"/>
              <w:overflowPunct/>
              <w:topLinePunct w:val="0"/>
              <w:bidi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包号</w:t>
            </w:r>
          </w:p>
        </w:tc>
        <w:tc>
          <w:tcPr>
            <w:tcW w:w="3645" w:type="dxa"/>
            <w:noWrap w:val="0"/>
            <w:tcMar>
              <w:top w:w="120" w:type="dxa"/>
            </w:tcMar>
            <w:vAlign w:val="center"/>
          </w:tcPr>
          <w:p w14:paraId="00FD3A4B">
            <w:pPr>
              <w:keepNext w:val="0"/>
              <w:keepLines w:val="0"/>
              <w:pageBreakBefore w:val="0"/>
              <w:widowControl/>
              <w:suppressLineNumbers w:val="0"/>
              <w:wordWrap w:val="0"/>
              <w:overflowPunct/>
              <w:topLinePunct w:val="0"/>
              <w:bidi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包名称</w:t>
            </w:r>
          </w:p>
        </w:tc>
        <w:tc>
          <w:tcPr>
            <w:tcW w:w="1579" w:type="dxa"/>
            <w:noWrap w:val="0"/>
            <w:tcMar>
              <w:top w:w="120" w:type="dxa"/>
            </w:tcMar>
            <w:vAlign w:val="center"/>
          </w:tcPr>
          <w:p w14:paraId="7B2D184B">
            <w:pPr>
              <w:keepNext w:val="0"/>
              <w:keepLines w:val="0"/>
              <w:pageBreakBefore w:val="0"/>
              <w:widowControl/>
              <w:suppressLineNumbers w:val="0"/>
              <w:wordWrap w:val="0"/>
              <w:overflowPunct/>
              <w:topLinePunct w:val="0"/>
              <w:bidi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包预算（元）</w:t>
            </w:r>
          </w:p>
        </w:tc>
        <w:tc>
          <w:tcPr>
            <w:tcW w:w="1945" w:type="dxa"/>
            <w:noWrap w:val="0"/>
            <w:tcMar>
              <w:top w:w="120" w:type="dxa"/>
            </w:tcMar>
            <w:vAlign w:val="center"/>
          </w:tcPr>
          <w:p w14:paraId="30EF4EA8">
            <w:pPr>
              <w:keepNext w:val="0"/>
              <w:keepLines w:val="0"/>
              <w:pageBreakBefore w:val="0"/>
              <w:widowControl/>
              <w:suppressLineNumbers w:val="0"/>
              <w:wordWrap w:val="0"/>
              <w:overflowPunct/>
              <w:topLinePunct w:val="0"/>
              <w:bidi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包最高限价（元）</w:t>
            </w:r>
          </w:p>
        </w:tc>
      </w:tr>
      <w:tr w14:paraId="1D39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19" w:type="dxa"/>
            <w:noWrap w:val="0"/>
            <w:tcMar>
              <w:top w:w="120" w:type="dxa"/>
            </w:tcMar>
            <w:vAlign w:val="center"/>
          </w:tcPr>
          <w:p w14:paraId="39B7C2D2">
            <w:pPr>
              <w:keepNext w:val="0"/>
              <w:keepLines w:val="0"/>
              <w:pageBreakBefore w:val="0"/>
              <w:widowControl/>
              <w:suppressLineNumbers w:val="0"/>
              <w:wordWrap w:val="0"/>
              <w:overflowPunct/>
              <w:topLinePunct w:val="0"/>
              <w:bidi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552" w:type="dxa"/>
            <w:noWrap w:val="0"/>
            <w:tcMar>
              <w:top w:w="120" w:type="dxa"/>
            </w:tcMar>
            <w:vAlign w:val="center"/>
          </w:tcPr>
          <w:p w14:paraId="7E721FEC">
            <w:pPr>
              <w:keepNext w:val="0"/>
              <w:keepLines w:val="0"/>
              <w:pageBreakBefore w:val="0"/>
              <w:widowControl/>
              <w:suppressLineNumbers w:val="0"/>
              <w:wordWrap w:val="0"/>
              <w:overflowPunct/>
              <w:topLinePunct w:val="0"/>
              <w:bidi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内乡政采磋商-2025-</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54-1</w:t>
            </w:r>
          </w:p>
        </w:tc>
        <w:tc>
          <w:tcPr>
            <w:tcW w:w="3645" w:type="dxa"/>
            <w:noWrap w:val="0"/>
            <w:tcMar>
              <w:top w:w="120" w:type="dxa"/>
            </w:tcMar>
            <w:vAlign w:val="center"/>
          </w:tcPr>
          <w:p w14:paraId="65434F19">
            <w:pPr>
              <w:keepNext w:val="0"/>
              <w:keepLines w:val="0"/>
              <w:pageBreakBefore w:val="0"/>
              <w:widowControl/>
              <w:suppressLineNumbers w:val="0"/>
              <w:wordWrap w:val="0"/>
              <w:overflowPunct/>
              <w:topLinePunct w:val="0"/>
              <w:bidi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内乡县水利局内乡县禁止开垦陡坡地范围划定工作项目一标段</w:t>
            </w:r>
          </w:p>
        </w:tc>
        <w:tc>
          <w:tcPr>
            <w:tcW w:w="1579" w:type="dxa"/>
            <w:noWrap w:val="0"/>
            <w:tcMar>
              <w:top w:w="120" w:type="dxa"/>
            </w:tcMar>
            <w:vAlign w:val="center"/>
          </w:tcPr>
          <w:p w14:paraId="7586567D">
            <w:pPr>
              <w:keepNext w:val="0"/>
              <w:keepLines w:val="0"/>
              <w:pageBreakBefore w:val="0"/>
              <w:widowControl/>
              <w:suppressLineNumbers w:val="0"/>
              <w:wordWrap w:val="0"/>
              <w:overflowPunct/>
              <w:topLinePunct w:val="0"/>
              <w:bidi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450000</w:t>
            </w:r>
          </w:p>
        </w:tc>
        <w:tc>
          <w:tcPr>
            <w:tcW w:w="1945" w:type="dxa"/>
            <w:noWrap w:val="0"/>
            <w:tcMar>
              <w:top w:w="120" w:type="dxa"/>
            </w:tcMar>
            <w:vAlign w:val="center"/>
          </w:tcPr>
          <w:p w14:paraId="3F3F85DD">
            <w:pPr>
              <w:keepNext w:val="0"/>
              <w:keepLines w:val="0"/>
              <w:pageBreakBefore w:val="0"/>
              <w:widowControl/>
              <w:suppressLineNumbers w:val="0"/>
              <w:wordWrap w:val="0"/>
              <w:overflowPunct/>
              <w:topLinePunct w:val="0"/>
              <w:bidi w:val="0"/>
              <w:spacing w:before="0" w:beforeAutospacing="0" w:after="0" w:afterAutospacing="0" w:line="440" w:lineRule="exact"/>
              <w:ind w:left="0" w:leftChars="0" w:right="0" w:right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450000</w:t>
            </w:r>
          </w:p>
        </w:tc>
      </w:tr>
      <w:bookmarkEnd w:id="1"/>
      <w:bookmarkEnd w:id="2"/>
      <w:bookmarkEnd w:id="3"/>
      <w:bookmarkEnd w:id="4"/>
      <w:bookmarkEnd w:id="5"/>
      <w:bookmarkEnd w:id="6"/>
      <w:bookmarkEnd w:id="7"/>
      <w:bookmarkEnd w:id="8"/>
    </w:tbl>
    <w:p w14:paraId="7E68A6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5、采购需求（包括但不限于标的的名称、数量、简要技术需求或服务要求等） </w:t>
      </w:r>
    </w:p>
    <w:p w14:paraId="228EEE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（1）标段划分：本项目共划分为1个标段；</w:t>
      </w:r>
    </w:p>
    <w:p w14:paraId="38EBC9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default"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（2）采购内容：</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内乡县禁止开垦</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陡坡地范围划定技术报告、图件、表格和数据库；</w:t>
      </w:r>
    </w:p>
    <w:p w14:paraId="47D3EB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（3）资金来源：财政资金，已落实；</w:t>
      </w:r>
    </w:p>
    <w:p w14:paraId="30F672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（4）质量要求：符合国家、地方及行业规范相关标准；</w:t>
      </w:r>
    </w:p>
    <w:p w14:paraId="304BA0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（5）完成时间：合同签订后</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日历天</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内完成。 </w:t>
      </w:r>
    </w:p>
    <w:p w14:paraId="37D79A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6、合同履行期限：合同签订后</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日历天内</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 </w:t>
      </w:r>
    </w:p>
    <w:p w14:paraId="1E68C4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7、本项目是否接受联合体投标：</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否</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 </w:t>
      </w:r>
    </w:p>
    <w:p w14:paraId="1E13E6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8、是否接受进口产品：否 </w:t>
      </w:r>
    </w:p>
    <w:p w14:paraId="265AB0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9、是否专门面向中小企业：否 </w:t>
      </w:r>
    </w:p>
    <w:p w14:paraId="55AB75BC">
      <w:pPr>
        <w:keepNext w:val="0"/>
        <w:keepLines w:val="0"/>
        <w:pageBreakBefore w:val="0"/>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t xml:space="preserve">二、申请人资格要求： </w:t>
      </w:r>
    </w:p>
    <w:p w14:paraId="254E32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1、满足《中华人民共和国政府采购法》第二十二条规定； </w:t>
      </w:r>
    </w:p>
    <w:p w14:paraId="51E0EC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2、落实政府采购政策满足的资格要求： </w:t>
      </w:r>
    </w:p>
    <w:p w14:paraId="4611C2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节能产品、环境标志产品、促进中小微企业、监狱企业及残疾人福利性单位发展等政府采购政策。 </w:t>
      </w:r>
    </w:p>
    <w:p w14:paraId="68A2C0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3、本项目的特定资格要求 </w:t>
      </w:r>
    </w:p>
    <w:p w14:paraId="27AF4A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3.1 注册于中华人民共和国境内，具有独立承担民事责任能力；</w:t>
      </w:r>
    </w:p>
    <w:p w14:paraId="7ADDB0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3.2 具有良好的商业信誉和健全的财务会计制度；</w:t>
      </w:r>
    </w:p>
    <w:p w14:paraId="408BD9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3.3 具有履行合同所必需的设备和专业技术能力；</w:t>
      </w:r>
    </w:p>
    <w:p w14:paraId="0521C5E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3.4 有依法缴纳税收和社会保障资金的良好记录；</w:t>
      </w:r>
    </w:p>
    <w:p w14:paraId="63CD2F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3.5 参加政府采购活动前三年内，在经营活动中没有重大违法记录；</w:t>
      </w:r>
    </w:p>
    <w:p w14:paraId="642CE4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3.6 遵守国家有关法律、法规、规章。</w:t>
      </w:r>
    </w:p>
    <w:p w14:paraId="28675D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3.7</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供应商</w:t>
      </w:r>
      <w:r>
        <w:rPr>
          <w:rFonts w:ascii="宋体" w:hAnsi="宋体" w:eastAsia="宋体" w:cs="宋体"/>
          <w:b w:val="0"/>
          <w:bCs w:val="0"/>
          <w:color w:val="000000" w:themeColor="text1"/>
          <w:sz w:val="24"/>
          <w:szCs w:val="24"/>
          <w:highlight w:val="none"/>
          <w14:textFill>
            <w14:solidFill>
              <w14:schemeClr w14:val="tx1"/>
            </w14:solidFill>
          </w14:textFill>
        </w:rPr>
        <w:t>须具备行政主管部门核发的的乙级（含）及以上测绘资质；</w:t>
      </w:r>
    </w:p>
    <w:p w14:paraId="2F1C9F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3.8</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供应商须提供无行贿犯罪记录承诺函（承诺对象包括：投标企业、法定代表人或负责人、授权代表）,并对其真实性负责，若承诺不实，造成的后果由供应商自行负责；</w:t>
      </w:r>
    </w:p>
    <w:p w14:paraId="6BF9DB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按照《财政部关于在政府采购活动中查询及使用信用记录有关问题的通知》(财库(2016)125号)的要求，对列入失信被执行人、重大税收违法失信主体、政府采购严重违法失信行为记录名单的投标人，拒绝参与本项目招标。投标人需提供规范的信用报告和《无行贿犯罪记录承诺函》，信用报告应通过“信用中国”网站(www.creditchina.gov.cn)下载。在河南省注册的市场主体仅需提供规范的《无违法违规记录证明版专项信用报告》，无需提供《无行贿犯罪记录承诺函》，专项信用报告应通过“信用河南”网站(https://credit.henan.gov.cn)下载。上述信用报告的生成日期为本项目递交投标文件截止时间前10日内。</w:t>
      </w:r>
    </w:p>
    <w:p w14:paraId="734924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单位负责人为同一人或存在直接控股、管理关系的不同供应商，不得参加同一包的投标或者未划分包的同一招标项目的投标。违反上述规定的相关投标均无效。</w:t>
      </w:r>
    </w:p>
    <w:p w14:paraId="6FC40D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3.1</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本项目实行资格后审，营业执照、资质、业绩、人员、财务、证书等内容，须在市场主体信息库中已登记的信息中选取，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 </w:t>
      </w:r>
    </w:p>
    <w:p w14:paraId="1760ED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3.12</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本项目</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不</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接受联合体投标。</w:t>
      </w:r>
    </w:p>
    <w:p w14:paraId="5D9F4F37">
      <w:pPr>
        <w:keepNext w:val="0"/>
        <w:keepLines w:val="0"/>
        <w:pageBreakBefore w:val="0"/>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t xml:space="preserve">三、获取采购文件 </w:t>
      </w:r>
    </w:p>
    <w:p w14:paraId="097D70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1.时间：2025年</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24</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日至2025年</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日，每天上午08:00至12:00，下午12:00至1</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0（北京时间，法定节假日除外。） </w:t>
      </w:r>
    </w:p>
    <w:p w14:paraId="751804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2.地点：《全国公共资源交易平台(河南省·南阳内乡分平台)》下载。 </w:t>
      </w:r>
    </w:p>
    <w:p w14:paraId="78AC26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3.方式：潜在供应商自行登录内乡县公共资源交易系统（</w:t>
      </w:r>
      <w:r>
        <w:rPr>
          <w:rFonts w:hint="eastAsia" w:ascii="宋体" w:hAnsi="宋体" w:eastAsia="宋体" w:cs="宋体"/>
          <w:color w:val="000000" w:themeColor="text1"/>
          <w:sz w:val="24"/>
          <w:highlight w:val="none"/>
          <w14:textFill>
            <w14:solidFill>
              <w14:schemeClr w14:val="tx1"/>
            </w14:solidFill>
          </w14:textFill>
        </w:rPr>
        <w:t>http://ggzyjyzx.neixiangxian.gov.cn/</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）从下面“交易平台登录”下载竞争性磋商文件(*.nyzf格式)及资料。若因为自身原因错过文件下载时间，造成损失由潜在投标人自行承担。（操作过程中，请务必保持CA证书在电脑端的正常接入） </w:t>
      </w:r>
    </w:p>
    <w:p w14:paraId="3F5C94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4.售价：0元 </w:t>
      </w:r>
    </w:p>
    <w:p w14:paraId="2F6CB38C">
      <w:pPr>
        <w:keepNext w:val="0"/>
        <w:keepLines w:val="0"/>
        <w:pageBreakBefore w:val="0"/>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t xml:space="preserve">四、响应文件提交 </w:t>
      </w:r>
    </w:p>
    <w:p w14:paraId="016850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1.截止时间：2025年</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日09时00分（北京时间） </w:t>
      </w:r>
    </w:p>
    <w:p w14:paraId="27C381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2.地点：《全国公共资源交易平台(河南省·南阳内乡分平台)》电子交易平台 </w:t>
      </w:r>
    </w:p>
    <w:p w14:paraId="0C9DBE94">
      <w:pPr>
        <w:keepNext w:val="0"/>
        <w:keepLines w:val="0"/>
        <w:pageBreakBefore w:val="0"/>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t xml:space="preserve">五、响应文件开启 </w:t>
      </w:r>
    </w:p>
    <w:p w14:paraId="3C2769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1.时间：2025年</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日09时00分（北京时间） </w:t>
      </w:r>
    </w:p>
    <w:p w14:paraId="10E2AF5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2.地点：《全国公共资源交易平台(河南省·南阳内乡分平台)》不见面开标大厅 </w:t>
      </w:r>
    </w:p>
    <w:p w14:paraId="0356631E">
      <w:pPr>
        <w:keepNext w:val="0"/>
        <w:keepLines w:val="0"/>
        <w:pageBreakBefore w:val="0"/>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t xml:space="preserve">六、发布公告的媒介及招标公告期限 </w:t>
      </w:r>
    </w:p>
    <w:p w14:paraId="316227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本次招标公告在《河南省政府采购网》《全国公共资源交易平台(河南省·南阳内乡分平台)》上发布， 招标公告期限为三个工作日 。  </w:t>
      </w:r>
    </w:p>
    <w:p w14:paraId="12049FB2">
      <w:pPr>
        <w:keepNext w:val="0"/>
        <w:keepLines w:val="0"/>
        <w:pageBreakBefore w:val="0"/>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t xml:space="preserve">七、其他补充事宜 </w:t>
      </w:r>
    </w:p>
    <w:p w14:paraId="0D19F6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使用普通电子交易系统的。投标人须上传加密电子投标文件，电子投标文件需要使用投标文件制作工具制作，制作工具及操作手册可在南阳市公共资源交易中心网站“下载专区”中下载。加密电子投标文件应在招标文件规定的投标截止时间前到达交易系统。逾期到达交易系统的电子投标文件视为放弃本次投标。</w:t>
      </w:r>
    </w:p>
    <w:p w14:paraId="3ADF66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因投标人无需现场参与开标，所有准备工作需要自行到位。开标过程中如遇到紧急事项，可在不见面开标大厅中进行提出异议或文字交流，严重问题可拨打技术支持电话</w:t>
      </w: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0512-58188538</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。不见面开标过程中，如因投标人准备不到位、网络问题等情况（30分钟内）无法及时解密，造成开标无法继续的，视为该投标人自动放弃投标，将被退回投标文件”。</w:t>
      </w:r>
    </w:p>
    <w:p w14:paraId="5FCBA4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二次报价时间及报价注意事项：请供应商在签到结束后，时刻注意系统提示信息，磋商小组会在系统上发起二次报价，请供应商及时在规定的时间段内填报二次报价。最后报价结束后方可离开。</w:t>
      </w:r>
    </w:p>
    <w:p w14:paraId="7C4AF9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监督部门：内乡县财政局政府采购监督管理办公室</w:t>
      </w:r>
    </w:p>
    <w:p w14:paraId="3D8590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地 址：内乡县城关镇县衙西路228号</w:t>
      </w:r>
    </w:p>
    <w:p w14:paraId="73FA7F2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联系电话：0377-65350901 </w:t>
      </w:r>
    </w:p>
    <w:p w14:paraId="76CA78ED">
      <w:pPr>
        <w:keepNext w:val="0"/>
        <w:keepLines w:val="0"/>
        <w:pageBreakBefore w:val="0"/>
        <w:numPr>
          <w:ilvl w:val="0"/>
          <w:numId w:val="0"/>
        </w:numPr>
        <w:kinsoku/>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shd w:val="clear" w:color="auto" w:fill="FFFFFF"/>
          <w14:textFill>
            <w14:solidFill>
              <w14:schemeClr w14:val="tx1"/>
            </w14:solidFill>
          </w14:textFill>
        </w:rPr>
        <w:t xml:space="preserve">八、凡对本次招标提出询问，请按照以下方式联系 </w:t>
      </w:r>
    </w:p>
    <w:p w14:paraId="5B799E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1. 采购人信息 </w:t>
      </w:r>
    </w:p>
    <w:p w14:paraId="54ADE1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名称：</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内乡县水利局</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 </w:t>
      </w:r>
    </w:p>
    <w:p w14:paraId="2D2378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地址：</w:t>
      </w:r>
      <w:r>
        <w:rPr>
          <w:rFonts w:hint="default" w:ascii="SourceHanSansCN-Regular" w:hAnsi="SourceHanSansCN-Regular" w:eastAsia="SourceHanSansCN-Regular" w:cs="SourceHanSansCN-Regular"/>
          <w:color w:val="000000" w:themeColor="text1"/>
          <w:sz w:val="24"/>
          <w:szCs w:val="24"/>
          <w:highlight w:val="none"/>
          <w14:textFill>
            <w14:solidFill>
              <w14:schemeClr w14:val="tx1"/>
            </w14:solidFill>
          </w14:textFill>
        </w:rPr>
        <w:t>内乡县宾馆院内</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 </w:t>
      </w:r>
    </w:p>
    <w:p w14:paraId="3B9A82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联系人：</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周雅</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 </w:t>
      </w:r>
    </w:p>
    <w:p w14:paraId="77B729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联系方式：0377-65351991</w:t>
      </w:r>
    </w:p>
    <w:p w14:paraId="42EF893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2.采购代理机构信息（如有） </w:t>
      </w:r>
    </w:p>
    <w:p w14:paraId="695FC0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名称：</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河南省启元招标代理有限公司</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 </w:t>
      </w:r>
    </w:p>
    <w:p w14:paraId="037936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南阳市宛城区孔明南路建业凯旋广场20号楼11层1114号</w:t>
      </w:r>
    </w:p>
    <w:p w14:paraId="237B09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联系人：张洋</w:t>
      </w:r>
    </w:p>
    <w:p w14:paraId="4F6374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18613773623</w:t>
      </w:r>
    </w:p>
    <w:p w14:paraId="3485AC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 xml:space="preserve">3.项目联系方式 </w:t>
      </w:r>
    </w:p>
    <w:p w14:paraId="2CC246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联系人：张洋</w:t>
      </w:r>
    </w:p>
    <w:p w14:paraId="03BFC3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18613773623</w:t>
      </w:r>
    </w:p>
    <w:p w14:paraId="6B5D07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br w:type="page"/>
      </w:r>
    </w:p>
    <w:p w14:paraId="3B27BB62">
      <w:pPr>
        <w:pStyle w:val="3"/>
        <w:bidi w:val="0"/>
        <w:rPr>
          <w:rFonts w:hint="eastAsia" w:ascii="宋体" w:hAnsi="宋体" w:eastAsia="宋体" w:cs="宋体"/>
          <w:color w:val="000000" w:themeColor="text1"/>
          <w:sz w:val="21"/>
          <w:highlight w:val="none"/>
          <w14:textFill>
            <w14:solidFill>
              <w14:schemeClr w14:val="tx1"/>
            </w14:solidFill>
          </w14:textFill>
        </w:rPr>
      </w:pPr>
      <w:bookmarkStart w:id="9" w:name="_Toc18792"/>
      <w:r>
        <w:rPr>
          <w:rFonts w:hint="eastAsia" w:ascii="宋体" w:hAnsi="宋体" w:eastAsia="宋体" w:cs="宋体"/>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t>第二章</w:t>
      </w:r>
      <w:r>
        <w:rPr>
          <w:rFonts w:hint="eastAsia" w:ascii="宋体" w:hAnsi="宋体" w:eastAsia="宋体" w:cs="宋体"/>
          <w:color w:val="000000" w:themeColor="text1"/>
          <w:spacing w:val="-1"/>
          <w:sz w:val="36"/>
          <w:szCs w:val="36"/>
          <w:highlight w:val="none"/>
          <w:lang w:val="en-US" w:eastAsia="zh-CN"/>
          <w14:textOutline w14:w="2306" w14:cap="flat" w14:cmpd="sng">
            <w14:solidFill>
              <w14:srgbClr w14:val="000000"/>
            </w14:solidFill>
            <w14:prstDash w14:val="solid"/>
            <w14:miter w14:val="0"/>
          </w14:textOutline>
          <w14:textFill>
            <w14:solidFill>
              <w14:schemeClr w14:val="tx1"/>
            </w14:solidFill>
          </w14:textFill>
        </w:rPr>
        <w:t xml:space="preserve"> </w:t>
      </w:r>
      <w:r>
        <w:rPr>
          <w:rFonts w:hint="eastAsia" w:ascii="宋体" w:hAnsi="宋体" w:eastAsia="宋体" w:cs="宋体"/>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t>采购需求</w:t>
      </w:r>
      <w:bookmarkEnd w:id="9"/>
    </w:p>
    <w:p w14:paraId="0050B83E">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宋体" w:hAnsi="宋体" w:eastAsia="宋体" w:cs="宋体"/>
          <w:b w:val="0"/>
          <w:bCs w:val="0"/>
          <w:color w:val="000000" w:themeColor="text1"/>
          <w:spacing w:val="-1"/>
          <w:sz w:val="24"/>
          <w:szCs w:val="24"/>
          <w:highlight w:val="none"/>
          <w14:textOutline w14:w="2306"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1"/>
          <w:sz w:val="24"/>
          <w:szCs w:val="24"/>
          <w:highlight w:val="none"/>
          <w14:textOutline w14:w="1537" w14:cap="flat" w14:cmpd="sng">
            <w14:solidFill>
              <w14:srgbClr w14:val="000000"/>
            </w14:solidFill>
            <w14:prstDash w14:val="solid"/>
            <w14:miter w14:val="0"/>
          </w14:textOutline>
          <w14:textFill>
            <w14:solidFill>
              <w14:schemeClr w14:val="tx1"/>
            </w14:solidFill>
          </w14:textFill>
        </w:rPr>
        <w:t>一、采购</w:t>
      </w:r>
      <w:r>
        <w:rPr>
          <w:rFonts w:hint="eastAsia" w:ascii="宋体" w:hAnsi="宋体" w:eastAsia="宋体" w:cs="宋体"/>
          <w:color w:val="000000" w:themeColor="text1"/>
          <w:spacing w:val="-1"/>
          <w:sz w:val="24"/>
          <w:szCs w:val="24"/>
          <w:highlight w:val="none"/>
          <w:lang w:val="en-US" w:eastAsia="zh-CN"/>
          <w14:textOutline w14:w="1537" w14:cap="flat" w14:cmpd="sng">
            <w14:solidFill>
              <w14:srgbClr w14:val="000000"/>
            </w14:solidFill>
            <w14:prstDash w14:val="solid"/>
            <w14:miter w14:val="0"/>
          </w14:textOutline>
          <w14:textFill>
            <w14:solidFill>
              <w14:schemeClr w14:val="tx1"/>
            </w14:solidFill>
          </w14:textFill>
        </w:rPr>
        <w:t>内容及要求</w:t>
      </w:r>
    </w:p>
    <w:p w14:paraId="621C99EF">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2" w:firstLineChars="200"/>
        <w:jc w:val="center"/>
        <w:textAlignment w:val="baseline"/>
        <w:outlineLvl w:val="9"/>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1 总 则</w:t>
      </w:r>
    </w:p>
    <w:p w14:paraId="6FB118B1">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1.0.1 为加强水土保持空间管控，强化农林开发等生产建设活动的监督管理，指导各省份以县为单位依法划定和公告禁止开垦陡坡地的范围，特制定本指南。 </w:t>
      </w:r>
    </w:p>
    <w:p w14:paraId="1619BCD0">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1.0.2 本指南适用于禁止开垦陡坡地范围划定工作。 </w:t>
      </w:r>
    </w:p>
    <w:p w14:paraId="1C681366">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1.0.3 禁止开垦陡坡地范围划定基础数据主要包括最新水土流失动态监测成果、第三次全国国土调查成果等。 </w:t>
      </w:r>
    </w:p>
    <w:p w14:paraId="08821F1D">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1.0.4 禁止开垦陡坡地划定范围与生态保护红线、自然保护地重叠的区域 ，除禁止开垦的要求外，还应执行生态保护红线、自然保护地等相关管控要 求。 </w:t>
      </w:r>
    </w:p>
    <w:p w14:paraId="4892540E">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1.0.5 禁止开垦陡坡地范围划定遵循科学划定、落地准确、边界清晰、便于管理的原则，采用定量判别为主、定性判定为辅的方法进行划定。 </w:t>
      </w:r>
    </w:p>
    <w:p w14:paraId="4CD58D2C">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2" w:firstLineChars="200"/>
        <w:jc w:val="center"/>
        <w:textAlignment w:val="baseline"/>
        <w:outlineLvl w:val="9"/>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2 术语和定义</w:t>
      </w:r>
    </w:p>
    <w:p w14:paraId="4A43B54E">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2.0.1 禁止开垦陡坡地范围是指法律法规规定的禁止开垦坡度以上且位于耕地保护红线外的的土地¹。 </w:t>
      </w:r>
    </w:p>
    <w:p w14:paraId="48823333">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2.0.2 禁止开垦坡度是指根据水土保持法、省级水土保持条例或水土保持法实施办法规定，确定的禁止开垦种植农作物的陡坡地最小坡度。 </w:t>
      </w:r>
    </w:p>
    <w:p w14:paraId="4E64F98C">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2" w:firstLineChars="200"/>
        <w:jc w:val="center"/>
        <w:textAlignment w:val="baseline"/>
        <w:outlineLvl w:val="9"/>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3 划定方法</w:t>
      </w:r>
    </w:p>
    <w:p w14:paraId="2EAF091E">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2" w:firstLineChars="200"/>
        <w:jc w:val="left"/>
        <w:textAlignment w:val="baseline"/>
        <w:outlineLvl w:val="9"/>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3.1 基础资料收集 </w:t>
      </w:r>
    </w:p>
    <w:p w14:paraId="37FADA58">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3.1.1 收集县级行政区划矢量边界、乡镇行政区划矢量边界、数字高程数据(DEM) 、高分辨率遥感影像、第三次全国国土调查数据(林地、草地、裸土地图斑矢量边界，以及坡度分级数据)、 生态保护红线矢量边界以及各省(自治</w:t>
      </w:r>
      <w:r>
        <w:rPr>
          <w:rFonts w:ascii="TimesNewRomanPSMT" w:hAnsi="TimesNewRomanPSMT" w:eastAsia="TimesNewRomanPSMT" w:cs="TimesNewRomanPSMT"/>
          <w:b w:val="0"/>
          <w:bCs w:val="0"/>
          <w:color w:val="000000" w:themeColor="text1"/>
          <w:sz w:val="14"/>
          <w:szCs w:val="14"/>
          <w:highlight w:val="none"/>
          <w14:textFill>
            <w14:solidFill>
              <w14:schemeClr w14:val="tx1"/>
            </w14:solidFill>
          </w14:textFill>
        </w:rPr>
        <w:t xml:space="preserve">5 </w:t>
      </w:r>
      <w:r>
        <w:rPr>
          <w:rFonts w:ascii="宋体" w:hAnsi="宋体" w:eastAsia="宋体" w:cs="宋体"/>
          <w:b w:val="0"/>
          <w:bCs w:val="0"/>
          <w:color w:val="000000" w:themeColor="text1"/>
          <w:sz w:val="24"/>
          <w:szCs w:val="24"/>
          <w:highlight w:val="none"/>
          <w14:textFill>
            <w14:solidFill>
              <w14:schemeClr w14:val="tx1"/>
            </w14:solidFill>
          </w14:textFill>
        </w:rPr>
        <w:t xml:space="preserve">区、直辖市)规定禁止开垦陡坡地涉及的大中型水库周边汇水区域、饮用水水源一级保护区等特定区域矢量边界数据。 </w:t>
      </w:r>
    </w:p>
    <w:p w14:paraId="411550A6">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2"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3.1.2 </w:t>
      </w:r>
      <w:r>
        <w:rPr>
          <w:rFonts w:ascii="宋体" w:hAnsi="宋体" w:eastAsia="宋体" w:cs="宋体"/>
          <w:b w:val="0"/>
          <w:bCs w:val="0"/>
          <w:color w:val="000000" w:themeColor="text1"/>
          <w:sz w:val="24"/>
          <w:szCs w:val="24"/>
          <w:highlight w:val="none"/>
          <w14:textFill>
            <w14:solidFill>
              <w14:schemeClr w14:val="tx1"/>
            </w14:solidFill>
          </w14:textFill>
        </w:rPr>
        <w:t xml:space="preserve">数字高程数据(DEM)分辨率应不低于30m, 高分辨率遥感影像空间分辨率应优于2.0米，有条件的地区可使用更高精度的数据；涉及的其他相关空间数据应满足禁止开垦陡坡地范围划定要求，原则上比例尺不低于1:1万。 </w:t>
      </w:r>
    </w:p>
    <w:p w14:paraId="49AE7562">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2" w:firstLineChars="200"/>
        <w:jc w:val="left"/>
        <w:textAlignment w:val="baseline"/>
        <w:outlineLvl w:val="9"/>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3.2 生产坡度分级数据 </w:t>
      </w:r>
    </w:p>
    <w:p w14:paraId="12BC2A03">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3.2.1 禁止开垦陡坡地范围划定基本单元优先使用第三次全国国土调查成果坡度分级数据。第三次全国国土调查成果坡度分级数据不满足要求情况下，可利用数字高程数据 (DEM),计算生成坡度栅格数据。 </w:t>
      </w:r>
    </w:p>
    <w:p w14:paraId="72A1F005">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3.2.2 根据水土保持法和省级地方人民政府颁布的水土保持条例或水土保持法实施办法有关禁止开垦坡度的规定，对坡度栅格数据进行分级处理，提取禁止开垦坡度栅格数据。 </w:t>
      </w:r>
    </w:p>
    <w:p w14:paraId="03A7EE45">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3.2.3 对提取的禁止开垦坡度栅格数据进行栅格转矢量处理，生成禁止开垦坡度 矢量数据，规定两种及以上类别禁止开垦坡度的县级行政区，坡度分级按照各类别禁止开垦坡度分别确定。 </w:t>
      </w:r>
    </w:p>
    <w:p w14:paraId="286C21C6">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2" w:firstLineChars="200"/>
        <w:jc w:val="left"/>
        <w:textAlignment w:val="baseline"/>
        <w:outlineLvl w:val="9"/>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3.3 初步划定禁止开垦陡坡地范围 </w:t>
      </w:r>
    </w:p>
    <w:p w14:paraId="548D9552">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3.3.1将禁止开垦坡度矢量数据与第三次全国国土调查数据中的林地、草地和裸土地图斑矢量数据叠加分析，提取林地、草地和裸土地图斑内禁止开垦的范围。 </w:t>
      </w:r>
    </w:p>
    <w:p w14:paraId="57F0B441">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3.3.2对大中型水库周边汇水区域、饮用水水源一级保护区、河湖管理范围 、特殊基岩母质(风化花岗岩、紫色砂页岩、红砂岩、泥质页岩)等区域有特定禁止开垦要求的，综合考虑特定要求，明确以上区域内禁止开垦陡坡地的范围。 </w:t>
      </w:r>
    </w:p>
    <w:p w14:paraId="524A0404">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2" w:firstLineChars="200"/>
        <w:jc w:val="left"/>
        <w:textAlignment w:val="baseline"/>
        <w:outlineLvl w:val="9"/>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3.4 禁止开垦陡坡地范围边界修正与复核验证 </w:t>
      </w:r>
    </w:p>
    <w:p w14:paraId="44F3AAAB">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hint="default" w:ascii="TimesNewRomanPSMT" w:hAnsi="TimesNewRomanPSMT" w:eastAsia="TimesNewRomanPSMT" w:cs="TimesNewRomanPSMT"/>
          <w:b w:val="0"/>
          <w:bCs w:val="0"/>
          <w:color w:val="000000" w:themeColor="text1"/>
          <w:sz w:val="14"/>
          <w:szCs w:val="1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3.4.1 结合高分辨率遥感影像地物特征，统筹考虑自然生态整体性，结合山脉、河流、地貌单元、植被等自然边界，以及生态保护红线矢量边界，逐个图斑对禁止开垦陡坡地范围边界进行修正。</w:t>
      </w:r>
      <w:r>
        <w:rPr>
          <w:rFonts w:hint="default" w:ascii="TimesNewRomanPSMT" w:hAnsi="TimesNewRomanPSMT" w:eastAsia="TimesNewRomanPSMT" w:cs="TimesNewRomanPSMT"/>
          <w:b w:val="0"/>
          <w:bCs w:val="0"/>
          <w:color w:val="000000" w:themeColor="text1"/>
          <w:sz w:val="14"/>
          <w:szCs w:val="14"/>
          <w:highlight w:val="none"/>
          <w14:textFill>
            <w14:solidFill>
              <w14:schemeClr w14:val="tx1"/>
            </w14:solidFill>
          </w14:textFill>
        </w:rPr>
        <w:t xml:space="preserve">5 </w:t>
      </w:r>
    </w:p>
    <w:p w14:paraId="477E92EC">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3.4.2 原则上抽取不低于3%的禁止开垦陡坡地范围图斑进行现场复核验证，重点选取近山、村镇周边、道路两侧等人为活动集中区域，以及集中连片面积在5hm²以上的图斑，根据现场复核验证结果对初步划定的禁止开垦陡坡地范围进行调整，将相邻图斑进行合并处理，剔除面积小于5hm²的图斑，形成最终禁止开垦陡坡地范围矢量数据。 </w:t>
      </w:r>
    </w:p>
    <w:p w14:paraId="03C4B492">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2" w:firstLineChars="200"/>
        <w:jc w:val="center"/>
        <w:textAlignment w:val="baseline"/>
        <w:outlineLvl w:val="9"/>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4 划定程序</w:t>
      </w:r>
    </w:p>
    <w:p w14:paraId="2460AFF3">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4.0.1 禁止开垦陡坡地范围采取自上而下和自下而上相结合的方式划定。 </w:t>
      </w:r>
    </w:p>
    <w:p w14:paraId="3BAA3032">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2"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4.0.2 </w:t>
      </w:r>
      <w:r>
        <w:rPr>
          <w:rFonts w:ascii="宋体" w:hAnsi="宋体" w:eastAsia="宋体" w:cs="宋体"/>
          <w:b w:val="0"/>
          <w:bCs w:val="0"/>
          <w:color w:val="000000" w:themeColor="text1"/>
          <w:sz w:val="24"/>
          <w:szCs w:val="24"/>
          <w:highlight w:val="none"/>
          <w14:textFill>
            <w14:solidFill>
              <w14:schemeClr w14:val="tx1"/>
            </w14:solidFill>
          </w14:textFill>
        </w:rPr>
        <w:t xml:space="preserve">各省(自治区、直辖市)水行政主管部门根据印发的技术指南，组织各县级人民政府开展禁止开垦陡坡地范围划定工作，工作中应开展现场实地调查复核，征求地方有关部门意见，形成初步划定成果。 </w:t>
      </w:r>
    </w:p>
    <w:p w14:paraId="7F58B703">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2"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4.0.3 </w:t>
      </w:r>
      <w:r>
        <w:rPr>
          <w:rFonts w:ascii="宋体" w:hAnsi="宋体" w:eastAsia="宋体" w:cs="宋体"/>
          <w:b w:val="0"/>
          <w:bCs w:val="0"/>
          <w:color w:val="000000" w:themeColor="text1"/>
          <w:sz w:val="24"/>
          <w:szCs w:val="24"/>
          <w:highlight w:val="none"/>
          <w14:textFill>
            <w14:solidFill>
              <w14:schemeClr w14:val="tx1"/>
            </w14:solidFill>
          </w14:textFill>
        </w:rPr>
        <w:t xml:space="preserve">划定成果经省级审核通过后，由县级人民政府公告。 </w:t>
      </w:r>
    </w:p>
    <w:p w14:paraId="36771653">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2"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4.0.4 </w:t>
      </w:r>
      <w:r>
        <w:rPr>
          <w:rFonts w:ascii="宋体" w:hAnsi="宋体" w:eastAsia="宋体" w:cs="宋体"/>
          <w:b w:val="0"/>
          <w:bCs w:val="0"/>
          <w:color w:val="000000" w:themeColor="text1"/>
          <w:sz w:val="24"/>
          <w:szCs w:val="24"/>
          <w:highlight w:val="none"/>
          <w14:textFill>
            <w14:solidFill>
              <w14:schemeClr w14:val="tx1"/>
            </w14:solidFill>
          </w14:textFill>
        </w:rPr>
        <w:t>禁止开垦陡坡地范围划定工作流程如图4.0.1。</w:t>
      </w:r>
    </w:p>
    <w:p w14:paraId="49C24D11">
      <w:pPr>
        <w:pStyle w:val="6"/>
        <w:keepNext w:val="0"/>
        <w:keepLines w:val="0"/>
        <w:pageBreakBefore w:val="0"/>
        <w:widowControl w:val="0"/>
        <w:kinsoku/>
        <w:wordWrap/>
        <w:overflowPunct w:val="0"/>
        <w:topLinePunct w:val="0"/>
        <w:autoSpaceDE w:val="0"/>
        <w:autoSpaceDN w:val="0"/>
        <w:bidi w:val="0"/>
        <w:adjustRightInd w:val="0"/>
        <w:jc w:val="center"/>
        <w:rPr>
          <w:color w:val="000000" w:themeColor="text1"/>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图4.0. 1 禁止开垦陡坡地范围划定工作流程图</w:t>
      </w:r>
    </w:p>
    <w:p w14:paraId="7D767CC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0" w:firstLineChars="200"/>
        <w:jc w:val="left"/>
        <w:textAlignment w:val="baseline"/>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4924425" cy="45148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4924425" cy="4514850"/>
                    </a:xfrm>
                    <a:prstGeom prst="rect">
                      <a:avLst/>
                    </a:prstGeom>
                    <a:noFill/>
                    <a:ln>
                      <a:noFill/>
                    </a:ln>
                  </pic:spPr>
                </pic:pic>
              </a:graphicData>
            </a:graphic>
          </wp:inline>
        </w:drawing>
      </w:r>
    </w:p>
    <w:p w14:paraId="3725F9DB">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color w:val="000000" w:themeColor="text1"/>
          <w:spacing w:val="1"/>
          <w:sz w:val="24"/>
          <w:szCs w:val="24"/>
          <w:highlight w:val="none"/>
          <w14:textOutline w14:w="1537"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1"/>
          <w:sz w:val="24"/>
          <w:szCs w:val="24"/>
          <w:highlight w:val="none"/>
          <w14:textOutline w14:w="1537" w14:cap="flat" w14:cmpd="sng">
            <w14:solidFill>
              <w14:srgbClr w14:val="000000"/>
            </w14:solidFill>
            <w14:prstDash w14:val="solid"/>
            <w14:miter w14:val="0"/>
          </w14:textOutline>
          <w14:textFill>
            <w14:solidFill>
              <w14:schemeClr w14:val="tx1"/>
            </w14:solidFill>
          </w14:textFill>
        </w:rPr>
        <w:br w:type="page"/>
      </w:r>
    </w:p>
    <w:p w14:paraId="4A094CEE">
      <w:pPr>
        <w:keepNext w:val="0"/>
        <w:keepLines w:val="0"/>
        <w:pageBreakBefore w:val="0"/>
        <w:widowControl w:val="0"/>
        <w:kinsoku/>
        <w:wordWrap/>
        <w:overflowPunct w:val="0"/>
        <w:topLinePunct w:val="0"/>
        <w:autoSpaceDE w:val="0"/>
        <w:autoSpaceDN w:val="0"/>
        <w:bidi w:val="0"/>
        <w:adjustRightInd w:val="0"/>
        <w:snapToGrid w:val="0"/>
        <w:spacing w:line="360" w:lineRule="auto"/>
        <w:jc w:val="center"/>
        <w:textAlignment w:val="baseline"/>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5 成果要求</w:t>
      </w:r>
    </w:p>
    <w:p w14:paraId="5369CA07">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5.0.1禁止开垦陡坡地范围划定成果包括技术报告、图件、表格和数据库。 </w:t>
      </w:r>
    </w:p>
    <w:p w14:paraId="2DFEFB32">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5.0.2 技术报告主要内容包括前言、基本情况、划分依据与技术路线、划定方法、划定成果等，技术报告编写提纲详见附件。 </w:t>
      </w:r>
    </w:p>
    <w:p w14:paraId="7ABC9A25">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5.0.3图件主要包括禁止开垦陡坡地范围图和分布示意图， 其中范围图应为矢量文件，比例尺不低于1:5万，采用2000国家大地坐标系，高斯-克吕格投影(3度分带),1985国家高程基准。 </w:t>
      </w:r>
    </w:p>
    <w:p w14:paraId="08CA3C07">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5.0.4 以乡镇为基本单元，编制禁止开垦陡坡地面积统计表，主要包括乡镇名称、禁止开垦陡坡地面积、国土面积等基本信息。详见附表1。 </w:t>
      </w:r>
    </w:p>
    <w:p w14:paraId="271B467E">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5.0.5 数据库以图斑为单元构建，每个禁止开垦陡坡地范围图斑明确空间矢量边界，其数据属性应包括图斑编号、省、市、县、县行政区划代码、坡度级别、土地利用类型、面积 以及乡镇等，数据属性表结构见附表2。 </w:t>
      </w:r>
    </w:p>
    <w:p w14:paraId="40B7D0DA">
      <w:pPr>
        <w:keepNext w:val="0"/>
        <w:keepLines w:val="0"/>
        <w:pageBreakBefore w:val="0"/>
        <w:widowControl w:val="0"/>
        <w:kinsoku/>
        <w:wordWrap/>
        <w:overflowPunct w:val="0"/>
        <w:topLinePunct w:val="0"/>
        <w:autoSpaceDE w:val="0"/>
        <w:autoSpaceDN w:val="0"/>
        <w:bidi w:val="0"/>
        <w:adjustRightInd w:val="0"/>
        <w:snapToGrid w:val="0"/>
        <w:spacing w:line="360" w:lineRule="auto"/>
        <w:jc w:val="center"/>
        <w:textAlignment w:val="baseline"/>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6 附表附件 </w:t>
      </w:r>
    </w:p>
    <w:p w14:paraId="53A62102">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6.0.1 附表 </w:t>
      </w:r>
    </w:p>
    <w:p w14:paraId="71996E1F">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附表1 </w:t>
      </w:r>
      <w:r>
        <w:rPr>
          <w:rFonts w:hint="eastAsia"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 xml:space="preserve">****县禁止开垦陡坡地面积统计表 </w:t>
      </w:r>
    </w:p>
    <w:p w14:paraId="52453477">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附表2 </w:t>
      </w:r>
      <w:r>
        <w:rPr>
          <w:rFonts w:hint="eastAsia" w:cs="宋体"/>
          <w:b w:val="0"/>
          <w:bCs w:val="0"/>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val="0"/>
          <w:bCs w:val="0"/>
          <w:color w:val="000000" w:themeColor="text1"/>
          <w:sz w:val="24"/>
          <w:szCs w:val="24"/>
          <w:highlight w:val="none"/>
          <w14:textFill>
            <w14:solidFill>
              <w14:schemeClr w14:val="tx1"/>
            </w14:solidFill>
          </w14:textFill>
        </w:rPr>
        <w:t xml:space="preserve">禁止开垦陡坡地范围矢量数据属性表结构 </w:t>
      </w:r>
    </w:p>
    <w:p w14:paraId="01DBC027">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6.0.2 附件 </w:t>
      </w:r>
    </w:p>
    <w:p w14:paraId="2ED55863">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禁止开垦陡坡地范围划定技术报告编写提纲</w:t>
      </w:r>
    </w:p>
    <w:p w14:paraId="0FA6E0DA">
      <w:pPr>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br w:type="page"/>
      </w:r>
    </w:p>
    <w:p w14:paraId="2DAD1E94">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683885" cy="6645275"/>
            <wp:effectExtent l="0" t="0" r="12065" b="317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4"/>
                    <a:srcRect b="542"/>
                    <a:stretch>
                      <a:fillRect/>
                    </a:stretch>
                  </pic:blipFill>
                  <pic:spPr>
                    <a:xfrm>
                      <a:off x="0" y="0"/>
                      <a:ext cx="5683885" cy="6645275"/>
                    </a:xfrm>
                    <a:prstGeom prst="rect">
                      <a:avLst/>
                    </a:prstGeom>
                    <a:noFill/>
                    <a:ln>
                      <a:noFill/>
                    </a:ln>
                  </pic:spPr>
                </pic:pic>
              </a:graphicData>
            </a:graphic>
          </wp:inline>
        </w:drawing>
      </w:r>
    </w:p>
    <w:p w14:paraId="454E285E">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right="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注：1.图斑编号：按照县行政区划代码+0001、0002、0003……顺序编号； </w:t>
      </w:r>
    </w:p>
    <w:p w14:paraId="18E12703">
      <w:pPr>
        <w:pStyle w:val="5"/>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60" w:lineRule="auto"/>
        <w:ind w:right="0" w:rightChars="0" w:firstLine="482"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ascii="宋体" w:hAnsi="宋体" w:eastAsia="宋体" w:cs="宋体"/>
          <w:b/>
          <w:bCs/>
          <w:color w:val="000000" w:themeColor="text1"/>
          <w:sz w:val="24"/>
          <w:szCs w:val="24"/>
          <w:highlight w:val="none"/>
          <w14:textFill>
            <w14:solidFill>
              <w14:schemeClr w14:val="tx1"/>
            </w14:solidFill>
          </w14:textFill>
        </w:rPr>
        <w:t>坡度级别：</w:t>
      </w:r>
      <w:r>
        <w:rPr>
          <w:rFonts w:ascii="宋体" w:hAnsi="宋体" w:eastAsia="宋体" w:cs="宋体"/>
          <w:b w:val="0"/>
          <w:bCs w:val="0"/>
          <w:color w:val="000000" w:themeColor="text1"/>
          <w:sz w:val="24"/>
          <w:szCs w:val="24"/>
          <w:highlight w:val="none"/>
          <w14:textFill>
            <w14:solidFill>
              <w14:schemeClr w14:val="tx1"/>
            </w14:solidFill>
          </w14:textFill>
        </w:rPr>
        <w:t xml:space="preserve">按照“禁止开垦坡度1(≥25°)”、“禁止开垦坡度2(20°~25°) ”、 …… 填 写 ； </w:t>
      </w:r>
    </w:p>
    <w:p w14:paraId="40E7B36F">
      <w:pPr>
        <w:pStyle w:val="5"/>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60" w:lineRule="auto"/>
        <w:ind w:right="0" w:rightChars="0" w:firstLine="482" w:firstLineChars="200"/>
        <w:jc w:val="left"/>
        <w:textAlignment w:val="baseline"/>
        <w:outlineLvl w:val="9"/>
        <w:rPr>
          <w:color w:val="000000" w:themeColor="text1"/>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3.土地利用类型： </w:t>
      </w:r>
      <w:r>
        <w:rPr>
          <w:rFonts w:ascii="宋体" w:hAnsi="宋体" w:eastAsia="宋体" w:cs="宋体"/>
          <w:b w:val="0"/>
          <w:bCs w:val="0"/>
          <w:color w:val="000000" w:themeColor="text1"/>
          <w:sz w:val="24"/>
          <w:szCs w:val="24"/>
          <w:highlight w:val="none"/>
          <w14:textFill>
            <w14:solidFill>
              <w14:schemeClr w14:val="tx1"/>
            </w14:solidFill>
          </w14:textFill>
        </w:rPr>
        <w:t xml:space="preserve">填写林地、草地； </w:t>
      </w:r>
    </w:p>
    <w:p w14:paraId="3DB67CD9">
      <w:pPr>
        <w:pStyle w:val="5"/>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60" w:lineRule="auto"/>
        <w:ind w:right="0" w:rightChars="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4.</w:t>
      </w:r>
      <w:r>
        <w:rPr>
          <w:rFonts w:ascii="宋体" w:hAnsi="宋体" w:eastAsia="宋体" w:cs="宋体"/>
          <w:b/>
          <w:bCs/>
          <w:color w:val="000000" w:themeColor="text1"/>
          <w:sz w:val="24"/>
          <w:szCs w:val="24"/>
          <w:highlight w:val="none"/>
          <w14:textFill>
            <w14:solidFill>
              <w14:schemeClr w14:val="tx1"/>
            </w14:solidFill>
          </w14:textFill>
        </w:rPr>
        <w:t>面积：</w:t>
      </w:r>
      <w:r>
        <w:rPr>
          <w:rFonts w:ascii="宋体" w:hAnsi="宋体" w:eastAsia="宋体" w:cs="宋体"/>
          <w:b w:val="0"/>
          <w:bCs w:val="0"/>
          <w:color w:val="000000" w:themeColor="text1"/>
          <w:sz w:val="24"/>
          <w:szCs w:val="24"/>
          <w:highlight w:val="none"/>
          <w14:textFill>
            <w14:solidFill>
              <w14:schemeClr w14:val="tx1"/>
            </w14:solidFill>
          </w14:textFill>
        </w:rPr>
        <w:t xml:space="preserve">为该图斑的平面投影面积，单位hm²,保留2位小数位； </w:t>
      </w:r>
    </w:p>
    <w:p w14:paraId="6C38C144">
      <w:pPr>
        <w:pStyle w:val="5"/>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60" w:lineRule="auto"/>
        <w:ind w:right="0" w:rightChars="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5.</w:t>
      </w:r>
      <w:r>
        <w:rPr>
          <w:rFonts w:ascii="宋体" w:hAnsi="宋体" w:eastAsia="宋体" w:cs="宋体"/>
          <w:b/>
          <w:bCs/>
          <w:color w:val="000000" w:themeColor="text1"/>
          <w:sz w:val="24"/>
          <w:szCs w:val="24"/>
          <w:highlight w:val="none"/>
          <w14:textFill>
            <w14:solidFill>
              <w14:schemeClr w14:val="tx1"/>
            </w14:solidFill>
          </w14:textFill>
        </w:rPr>
        <w:t>乡镇 ：</w:t>
      </w:r>
      <w:r>
        <w:rPr>
          <w:rFonts w:ascii="宋体" w:hAnsi="宋体" w:eastAsia="宋体" w:cs="宋体"/>
          <w:b w:val="0"/>
          <w:bCs w:val="0"/>
          <w:color w:val="000000" w:themeColor="text1"/>
          <w:sz w:val="24"/>
          <w:szCs w:val="24"/>
          <w:highlight w:val="none"/>
          <w14:textFill>
            <w14:solidFill>
              <w14:schemeClr w14:val="tx1"/>
            </w14:solidFill>
          </w14:textFill>
        </w:rPr>
        <w:t xml:space="preserve">为图斑所属乡镇全称，根据实际情况填写； </w:t>
      </w:r>
    </w:p>
    <w:p w14:paraId="32AA472E">
      <w:pPr>
        <w:pStyle w:val="5"/>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60" w:lineRule="auto"/>
        <w:ind w:right="0" w:rightChars="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6.</w:t>
      </w:r>
      <w:r>
        <w:rPr>
          <w:rFonts w:ascii="宋体" w:hAnsi="宋体" w:eastAsia="宋体" w:cs="宋体"/>
          <w:b/>
          <w:bCs/>
          <w:color w:val="000000" w:themeColor="text1"/>
          <w:sz w:val="24"/>
          <w:szCs w:val="24"/>
          <w:highlight w:val="none"/>
          <w14:textFill>
            <w14:solidFill>
              <w14:schemeClr w14:val="tx1"/>
            </w14:solidFill>
          </w14:textFill>
        </w:rPr>
        <w:t>备注：</w:t>
      </w:r>
      <w:r>
        <w:rPr>
          <w:rFonts w:ascii="宋体" w:hAnsi="宋体" w:eastAsia="宋体" w:cs="宋体"/>
          <w:b w:val="0"/>
          <w:bCs w:val="0"/>
          <w:color w:val="000000" w:themeColor="text1"/>
          <w:sz w:val="24"/>
          <w:szCs w:val="24"/>
          <w:highlight w:val="none"/>
          <w14:textFill>
            <w14:solidFill>
              <w14:schemeClr w14:val="tx1"/>
            </w14:solidFill>
          </w14:textFill>
        </w:rPr>
        <w:t>填写其他需要说明的内容。</w:t>
      </w:r>
    </w:p>
    <w:p w14:paraId="6C96C1A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outlineLvl w:val="9"/>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附件 </w:t>
      </w:r>
    </w:p>
    <w:p w14:paraId="06C3EE8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2" w:firstLineChars="200"/>
        <w:jc w:val="left"/>
        <w:textAlignment w:val="baseline"/>
        <w:outlineLvl w:val="9"/>
        <w:rPr>
          <w:rFonts w:ascii="宋体" w:hAnsi="宋体" w:eastAsia="宋体" w:cs="宋体"/>
          <w:b/>
          <w:bCs/>
          <w:color w:val="000000" w:themeColor="text1"/>
          <w:sz w:val="24"/>
          <w:szCs w:val="24"/>
          <w:highlight w:val="none"/>
          <w14:textFill>
            <w14:solidFill>
              <w14:schemeClr w14:val="tx1"/>
            </w14:solidFill>
          </w14:textFill>
        </w:rPr>
      </w:pPr>
    </w:p>
    <w:p w14:paraId="17BB52B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2" w:firstLineChars="200"/>
        <w:jc w:val="left"/>
        <w:textAlignment w:val="baseline"/>
        <w:outlineLvl w:val="9"/>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禁止开垦陡坡地范围划定技术报告编写提纲 </w:t>
      </w:r>
    </w:p>
    <w:p w14:paraId="7889A0B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2" w:firstLineChars="200"/>
        <w:jc w:val="left"/>
        <w:textAlignment w:val="baseline"/>
        <w:outlineLvl w:val="9"/>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前言 </w:t>
      </w:r>
    </w:p>
    <w:p w14:paraId="350FFB4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介绍工作任务来源、目的和意义、划定过程等。 </w:t>
      </w:r>
    </w:p>
    <w:p w14:paraId="32B3B49C">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rightChars="0" w:firstLine="482"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基本概况 </w:t>
      </w:r>
    </w:p>
    <w:p w14:paraId="023E000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介绍区域自然、经济社会、水土流失与水土保持状况。 </w:t>
      </w:r>
    </w:p>
    <w:p w14:paraId="51900BDD">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rightChars="0" w:firstLine="482" w:firstLineChars="200"/>
        <w:jc w:val="left"/>
        <w:textAlignment w:val="baseline"/>
        <w:outlineLvl w:val="9"/>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划定依据与技术路线 </w:t>
      </w:r>
    </w:p>
    <w:p w14:paraId="6D88F7D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right="0" w:rightChars="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明确划定依据的法律法规及规范性文件，批复的相关规划文件等。介绍 划定技术路线。 </w:t>
      </w:r>
    </w:p>
    <w:p w14:paraId="51CAE36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rightChars="0" w:firstLine="482" w:firstLineChars="200"/>
        <w:jc w:val="left"/>
        <w:textAlignment w:val="baseline"/>
        <w:outlineLvl w:val="9"/>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划定方法 </w:t>
      </w:r>
    </w:p>
    <w:p w14:paraId="7656001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right="0" w:rightChars="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阐述禁止开垦陡坡地划定的原则，采用的数据，划定的方法和具体步骤</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ascii="宋体" w:hAnsi="宋体" w:eastAsia="宋体" w:cs="宋体"/>
          <w:b w:val="0"/>
          <w:bCs w:val="0"/>
          <w:color w:val="000000" w:themeColor="text1"/>
          <w:sz w:val="24"/>
          <w:szCs w:val="24"/>
          <w:highlight w:val="none"/>
          <w14:textFill>
            <w14:solidFill>
              <w14:schemeClr w14:val="tx1"/>
            </w14:solidFill>
          </w14:textFill>
        </w:rPr>
        <w:t xml:space="preserve"> </w:t>
      </w:r>
    </w:p>
    <w:p w14:paraId="054316D8">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rightChars="0" w:firstLine="482" w:firstLineChars="200"/>
        <w:jc w:val="left"/>
        <w:textAlignment w:val="baseline"/>
        <w:outlineLvl w:val="9"/>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划定成果 </w:t>
      </w:r>
    </w:p>
    <w:p w14:paraId="38B57E0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right="0" w:rightChars="0"/>
        <w:jc w:val="left"/>
        <w:textAlignment w:val="baseline"/>
        <w:outlineLvl w:val="9"/>
        <w:rPr>
          <w:rFonts w:ascii="宋体" w:hAnsi="宋体" w:eastAsia="宋体" w:cs="宋体"/>
          <w:b w:val="0"/>
          <w:bCs w:val="0"/>
          <w:color w:val="000000" w:themeColor="text1"/>
          <w:sz w:val="24"/>
          <w:szCs w:val="24"/>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 xml:space="preserve">阐述复核调整的方法、过程和形成的初步划定成果。 </w:t>
      </w:r>
    </w:p>
    <w:p w14:paraId="023DC6A8">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rightChars="0" w:firstLine="482" w:firstLineChars="200"/>
        <w:jc w:val="left"/>
        <w:textAlignment w:val="baseline"/>
        <w:outlineLvl w:val="9"/>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 xml:space="preserve">附件 </w:t>
      </w:r>
    </w:p>
    <w:p w14:paraId="6B45513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right="0" w:rightChars="0"/>
        <w:jc w:val="left"/>
        <w:textAlignment w:val="baseline"/>
        <w:outlineLvl w:val="9"/>
        <w:rPr>
          <w:color w:val="000000" w:themeColor="text1"/>
          <w:highlight w:val="none"/>
          <w14:textFill>
            <w14:solidFill>
              <w14:schemeClr w14:val="tx1"/>
            </w14:solidFill>
          </w14:textFill>
        </w:rPr>
      </w:pPr>
      <w:r>
        <w:rPr>
          <w:rFonts w:ascii="宋体" w:hAnsi="宋体" w:eastAsia="宋体" w:cs="宋体"/>
          <w:b w:val="0"/>
          <w:bCs w:val="0"/>
          <w:color w:val="000000" w:themeColor="text1"/>
          <w:sz w:val="24"/>
          <w:szCs w:val="24"/>
          <w:highlight w:val="none"/>
          <w14:textFill>
            <w14:solidFill>
              <w14:schemeClr w14:val="tx1"/>
            </w14:solidFill>
          </w14:textFill>
        </w:rPr>
        <w:t>包括与划定相关的技术资料、管理文件等。</w:t>
      </w:r>
    </w:p>
    <w:p w14:paraId="39DD7DC5">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color w:val="000000" w:themeColor="text1"/>
          <w:spacing w:val="1"/>
          <w:sz w:val="24"/>
          <w:szCs w:val="24"/>
          <w:highlight w:val="none"/>
          <w14:textOutline w14:w="1537"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1"/>
          <w:sz w:val="24"/>
          <w:szCs w:val="24"/>
          <w:highlight w:val="none"/>
          <w14:textOutline w14:w="1537" w14:cap="flat" w14:cmpd="sng">
            <w14:solidFill>
              <w14:srgbClr w14:val="000000"/>
            </w14:solidFill>
            <w14:prstDash w14:val="solid"/>
            <w14:miter w14:val="0"/>
          </w14:textOutline>
          <w14:textFill>
            <w14:solidFill>
              <w14:schemeClr w14:val="tx1"/>
            </w14:solidFill>
          </w14:textFill>
        </w:rPr>
        <w:br w:type="page"/>
      </w:r>
    </w:p>
    <w:p w14:paraId="744F036E">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Outline w14:w="1537" w14:cap="flat" w14:cmpd="sng">
            <w14:solidFill>
              <w14:srgbClr w14:val="000000"/>
            </w14:solidFill>
            <w14:prstDash w14:val="solid"/>
            <w14:miter w14:val="0"/>
          </w14:textOutline>
          <w14:textFill>
            <w14:solidFill>
              <w14:schemeClr w14:val="tx1"/>
            </w14:solidFill>
          </w14:textFill>
        </w:rPr>
        <w:t>二、</w:t>
      </w:r>
      <w:r>
        <w:rPr>
          <w:rFonts w:hint="eastAsia" w:ascii="宋体" w:hAnsi="宋体" w:eastAsia="宋体" w:cs="宋体"/>
          <w:color w:val="000000" w:themeColor="text1"/>
          <w:spacing w:val="1"/>
          <w:sz w:val="24"/>
          <w:szCs w:val="24"/>
          <w:highlight w:val="none"/>
          <w:lang w:val="en-US" w:eastAsia="zh-CN"/>
          <w14:textOutline w14:w="1537" w14:cap="flat" w14:cmpd="sng">
            <w14:solidFill>
              <w14:srgbClr w14:val="000000"/>
            </w14:solidFill>
            <w14:prstDash w14:val="solid"/>
            <w14:miter w14:val="0"/>
          </w14:textOutline>
          <w14:textFill>
            <w14:solidFill>
              <w14:schemeClr w14:val="tx1"/>
            </w14:solidFill>
          </w14:textFill>
        </w:rPr>
        <w:t>项目</w:t>
      </w:r>
      <w:r>
        <w:rPr>
          <w:rFonts w:hint="eastAsia" w:ascii="宋体" w:hAnsi="宋体" w:eastAsia="宋体" w:cs="宋体"/>
          <w:color w:val="000000" w:themeColor="text1"/>
          <w:spacing w:val="1"/>
          <w:sz w:val="24"/>
          <w:szCs w:val="24"/>
          <w:highlight w:val="none"/>
          <w14:textOutline w14:w="1537" w14:cap="flat" w14:cmpd="sng">
            <w14:solidFill>
              <w14:srgbClr w14:val="000000"/>
            </w14:solidFill>
            <w14:prstDash w14:val="solid"/>
            <w14:miter w14:val="0"/>
          </w14:textOutline>
          <w14:textFill>
            <w14:solidFill>
              <w14:schemeClr w14:val="tx1"/>
            </w14:solidFill>
          </w14:textFill>
        </w:rPr>
        <w:t>商务要求</w:t>
      </w:r>
    </w:p>
    <w:p w14:paraId="72C26390">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1.完成时间：合同签订后</w:t>
      </w:r>
      <w:r>
        <w:rPr>
          <w:rFonts w:hint="eastAsia" w:cs="宋体"/>
          <w:color w:val="000000" w:themeColor="text1"/>
          <w:spacing w:val="-2"/>
          <w:sz w:val="24"/>
          <w:szCs w:val="24"/>
          <w:highlight w:val="none"/>
          <w:lang w:val="en-US" w:eastAsia="zh-CN"/>
          <w14:textFill>
            <w14:solidFill>
              <w14:schemeClr w14:val="tx1"/>
            </w14:solidFill>
          </w14:textFill>
        </w:rPr>
        <w:t>30日历天</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内完成。</w:t>
      </w:r>
    </w:p>
    <w:p w14:paraId="662FE14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2.</w:t>
      </w:r>
      <w:r>
        <w:rPr>
          <w:rFonts w:hint="eastAsia" w:cs="宋体"/>
          <w:color w:val="000000" w:themeColor="text1"/>
          <w:spacing w:val="-2"/>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地点：</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采购人指定地点</w:t>
      </w:r>
    </w:p>
    <w:p w14:paraId="07DE971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3.验收标准：中标人在验收活动中必须遵守采购人的有关规定。依照国家有关规定以及招标文件、投标文件、中标承诺和合同约定的标准等要求进行验收；经采购人完全确认后，完成验收。</w:t>
      </w:r>
    </w:p>
    <w:p w14:paraId="185FE15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4.验收方式：现场验收</w:t>
      </w:r>
    </w:p>
    <w:p w14:paraId="0EF731B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30"/>
          <w:sz w:val="24"/>
          <w:szCs w:val="24"/>
          <w:highlight w:val="none"/>
          <w14:textFill>
            <w14:solidFill>
              <w14:schemeClr w14:val="tx1"/>
            </w14:solidFill>
          </w14:textFill>
        </w:rPr>
        <w:t>□</w:t>
      </w:r>
      <w:r>
        <w:rPr>
          <w:rFonts w:hint="eastAsia" w:ascii="宋体" w:hAnsi="宋体" w:eastAsia="宋体" w:cs="宋体"/>
          <w:color w:val="000000" w:themeColor="text1"/>
          <w:spacing w:val="30"/>
          <w:sz w:val="24"/>
          <w:szCs w:val="24"/>
          <w:highlight w:val="none"/>
          <w:lang w:val="en-US" w:eastAsia="zh-CN"/>
          <w14:textFill>
            <w14:solidFill>
              <w14:schemeClr w14:val="tx1"/>
            </w14:solidFill>
          </w14:textFill>
        </w:rPr>
        <w:t>有</w:t>
      </w:r>
      <w:r>
        <w:rPr>
          <w:rFonts w:hint="eastAsia" w:ascii="宋体" w:hAnsi="宋体" w:eastAsia="宋体" w:cs="宋体"/>
          <w:color w:val="000000" w:themeColor="text1"/>
          <w:sz w:val="24"/>
          <w:szCs w:val="24"/>
          <w:highlight w:val="none"/>
          <w:lang w:val="en-US" w:eastAsia="zh-CN"/>
          <w14:textFill>
            <w14:solidFill>
              <w14:schemeClr w14:val="tx1"/>
            </w14:solidFill>
          </w14:textFill>
        </w:rPr>
        <w:t>样品，样品提供要求、方式、摆放时间及地点</w:t>
      </w:r>
    </w:p>
    <w:p w14:paraId="614B0C3F">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0"/>
          <w:sz w:val="24"/>
          <w:szCs w:val="24"/>
          <w:highlight w:val="none"/>
          <w:lang w:val="en-US" w:eastAsia="zh-CN"/>
          <w14:textFill>
            <w14:solidFill>
              <w14:schemeClr w14:val="tx1"/>
            </w14:solidFill>
          </w14:textFill>
        </w:rPr>
        <w:t>无</w:t>
      </w:r>
      <w:r>
        <w:rPr>
          <w:rFonts w:hint="eastAsia" w:ascii="宋体" w:hAnsi="宋体" w:eastAsia="宋体" w:cs="宋体"/>
          <w:color w:val="000000" w:themeColor="text1"/>
          <w:sz w:val="24"/>
          <w:szCs w:val="24"/>
          <w:highlight w:val="none"/>
          <w:lang w:val="en-US" w:eastAsia="zh-CN"/>
          <w14:textFill>
            <w14:solidFill>
              <w14:schemeClr w14:val="tx1"/>
            </w14:solidFill>
          </w14:textFill>
        </w:rPr>
        <w:t>样品。</w:t>
      </w:r>
    </w:p>
    <w:p w14:paraId="0F75157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30"/>
          <w:sz w:val="24"/>
          <w:szCs w:val="24"/>
          <w:highlight w:val="none"/>
          <w14:textFill>
            <w14:solidFill>
              <w14:schemeClr w14:val="tx1"/>
            </w14:solidFill>
          </w14:textFill>
        </w:rPr>
        <w:t>□</w:t>
      </w:r>
      <w:r>
        <w:rPr>
          <w:rFonts w:hint="eastAsia" w:ascii="宋体" w:hAnsi="宋体" w:eastAsia="宋体" w:cs="宋体"/>
          <w:color w:val="000000" w:themeColor="text1"/>
          <w:spacing w:val="30"/>
          <w:sz w:val="24"/>
          <w:szCs w:val="24"/>
          <w:highlight w:val="none"/>
          <w:lang w:val="en-US" w:eastAsia="zh-CN"/>
          <w14:textFill>
            <w14:solidFill>
              <w14:schemeClr w14:val="tx1"/>
            </w14:solidFill>
          </w14:textFill>
        </w:rPr>
        <w:t>有</w:t>
      </w:r>
      <w:r>
        <w:rPr>
          <w:rFonts w:hint="eastAsia" w:ascii="宋体" w:hAnsi="宋体" w:eastAsia="宋体" w:cs="宋体"/>
          <w:color w:val="000000" w:themeColor="text1"/>
          <w:sz w:val="24"/>
          <w:szCs w:val="24"/>
          <w:highlight w:val="none"/>
          <w:lang w:val="en-US" w:eastAsia="zh-CN"/>
          <w14:textFill>
            <w14:solidFill>
              <w14:schemeClr w14:val="tx1"/>
            </w14:solidFill>
          </w14:textFill>
        </w:rPr>
        <w:t>演示，演示要求、内容、方式及地点。鼓励使用不见面演示。</w:t>
      </w:r>
    </w:p>
    <w:p w14:paraId="019F8CAD">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0"/>
          <w:sz w:val="24"/>
          <w:szCs w:val="24"/>
          <w:highlight w:val="none"/>
          <w:lang w:val="en-US" w:eastAsia="zh-CN"/>
          <w14:textFill>
            <w14:solidFill>
              <w14:schemeClr w14:val="tx1"/>
            </w14:solidFill>
          </w14:textFill>
        </w:rPr>
        <w:t>无</w:t>
      </w:r>
      <w:r>
        <w:rPr>
          <w:rFonts w:hint="eastAsia" w:ascii="宋体" w:hAnsi="宋体" w:eastAsia="宋体" w:cs="宋体"/>
          <w:color w:val="000000" w:themeColor="text1"/>
          <w:sz w:val="24"/>
          <w:szCs w:val="24"/>
          <w:highlight w:val="none"/>
          <w:lang w:val="en-US" w:eastAsia="zh-CN"/>
          <w14:textFill>
            <w14:solidFill>
              <w14:schemeClr w14:val="tx1"/>
            </w14:solidFill>
          </w14:textFill>
        </w:rPr>
        <w:t>演示。</w:t>
      </w:r>
    </w:p>
    <w:p w14:paraId="12E849B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7.质量要求：</w:t>
      </w: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符合国家、地方及行业规范相关标准。</w:t>
      </w:r>
    </w:p>
    <w:p w14:paraId="5B5D4EA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default"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付款方式：</w:t>
      </w:r>
      <w:r>
        <w:rPr>
          <w:rFonts w:hint="eastAsia" w:ascii="宋体" w:hAnsi="宋体" w:eastAsia="宋体" w:cs="宋体"/>
          <w:color w:val="auto"/>
          <w:sz w:val="24"/>
          <w:szCs w:val="24"/>
          <w:highlight w:val="none"/>
          <w:lang w:val="en-US" w:eastAsia="zh-CN"/>
        </w:rPr>
        <w:t>合同签订后5日内，预付合同价款的50%，项目完成并验收合格后10日内支付剩余价款的50%</w:t>
      </w:r>
      <w:r>
        <w:rPr>
          <w:rFonts w:hint="eastAsia" w:ascii="宋体" w:hAnsi="宋体" w:eastAsia="宋体" w:cs="宋体"/>
          <w:color w:val="auto"/>
          <w:sz w:val="24"/>
          <w:highlight w:val="none"/>
          <w:lang w:eastAsia="zh-CN"/>
        </w:rPr>
        <w:t>。</w:t>
      </w:r>
    </w:p>
    <w:p w14:paraId="244BC57C">
      <w:pPr>
        <w:rPr>
          <w:rFonts w:hint="eastAsia" w:ascii="宋体" w:hAnsi="宋体" w:eastAsia="宋体" w:cs="宋体"/>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pPr>
    </w:p>
    <w:p w14:paraId="53B40D84">
      <w:pPr>
        <w:rPr>
          <w:rFonts w:hint="eastAsia" w:ascii="宋体" w:hAnsi="宋体" w:eastAsia="宋体" w:cs="宋体"/>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br w:type="page"/>
      </w:r>
    </w:p>
    <w:p w14:paraId="32117C6C">
      <w:pPr>
        <w:pStyle w:val="3"/>
        <w:bidi w:val="0"/>
        <w:rPr>
          <w:rFonts w:hint="eastAsia" w:ascii="宋体" w:hAnsi="宋体" w:eastAsia="宋体" w:cs="宋体"/>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pPr>
      <w:bookmarkStart w:id="10" w:name="_Toc23403"/>
      <w:r>
        <w:rPr>
          <w:rFonts w:hint="eastAsia" w:ascii="宋体" w:hAnsi="宋体" w:eastAsia="宋体" w:cs="宋体"/>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t>第</w:t>
      </w:r>
      <w:r>
        <w:rPr>
          <w:rFonts w:hint="eastAsia" w:ascii="宋体" w:hAnsi="宋体" w:eastAsia="宋体" w:cs="宋体"/>
          <w:color w:val="000000" w:themeColor="text1"/>
          <w:spacing w:val="-1"/>
          <w:sz w:val="36"/>
          <w:szCs w:val="36"/>
          <w:highlight w:val="none"/>
          <w:lang w:val="en-US" w:eastAsia="zh-CN"/>
          <w14:textOutline w14:w="2306" w14:cap="flat" w14:cmpd="sng">
            <w14:solidFill>
              <w14:srgbClr w14:val="000000"/>
            </w14:solidFill>
            <w14:prstDash w14:val="solid"/>
            <w14:miter w14:val="0"/>
          </w14:textOutline>
          <w14:textFill>
            <w14:solidFill>
              <w14:schemeClr w14:val="tx1"/>
            </w14:solidFill>
          </w14:textFill>
        </w:rPr>
        <w:t>三</w:t>
      </w:r>
      <w:r>
        <w:rPr>
          <w:rFonts w:hint="eastAsia" w:ascii="宋体" w:hAnsi="宋体" w:eastAsia="宋体" w:cs="宋体"/>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t>章</w:t>
      </w:r>
      <w:r>
        <w:rPr>
          <w:rFonts w:hint="eastAsia" w:ascii="宋体" w:hAnsi="宋体" w:eastAsia="宋体" w:cs="宋体"/>
          <w:color w:val="000000" w:themeColor="text1"/>
          <w:spacing w:val="-1"/>
          <w:sz w:val="36"/>
          <w:szCs w:val="36"/>
          <w:highlight w:val="none"/>
          <w:lang w:val="en-US" w:eastAsia="zh-CN"/>
          <w14:textOutline w14:w="2306" w14:cap="flat" w14:cmpd="sng">
            <w14:solidFill>
              <w14:srgbClr w14:val="000000"/>
            </w14:solidFill>
            <w14:prstDash w14:val="solid"/>
            <w14:miter w14:val="0"/>
          </w14:textOutline>
          <w14:textFill>
            <w14:solidFill>
              <w14:schemeClr w14:val="tx1"/>
            </w14:solidFill>
          </w14:textFill>
        </w:rPr>
        <w:t xml:space="preserve"> </w:t>
      </w:r>
      <w:r>
        <w:rPr>
          <w:rFonts w:hint="eastAsia" w:ascii="宋体" w:hAnsi="宋体" w:eastAsia="宋体" w:cs="宋体"/>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t>供应商须知</w:t>
      </w:r>
      <w:bookmarkEnd w:id="10"/>
    </w:p>
    <w:p w14:paraId="4A84CDE3">
      <w:pPr>
        <w:pStyle w:val="5"/>
        <w:keepNext w:val="0"/>
        <w:keepLines w:val="0"/>
        <w:pageBreakBefore w:val="0"/>
        <w:kinsoku/>
        <w:wordWrap w:val="0"/>
        <w:overflowPunct/>
        <w:topLinePunct w:val="0"/>
        <w:bidi w:val="0"/>
        <w:spacing w:line="220" w:lineRule="auto"/>
        <w:ind w:left="3861"/>
        <w:jc w:val="both"/>
        <w:rPr>
          <w:rFonts w:hint="eastAsia" w:ascii="宋体" w:hAnsi="宋体" w:eastAsia="宋体" w:cs="宋体"/>
          <w:color w:val="000000" w:themeColor="text1"/>
          <w:spacing w:val="-1"/>
          <w:sz w:val="28"/>
          <w:szCs w:val="28"/>
          <w:highlight w:val="none"/>
          <w14:textOutline w14:w="1800" w14:cap="flat" w14:cmpd="sng">
            <w14:solidFill>
              <w14:srgbClr w14:val="000000"/>
            </w14:solidFill>
            <w14:prstDash w14:val="solid"/>
            <w14:miter w14:val="0"/>
          </w14:textOutline>
          <w14:textFill>
            <w14:solidFill>
              <w14:schemeClr w14:val="tx1"/>
            </w14:solidFill>
          </w14:textFill>
        </w:rPr>
      </w:pPr>
    </w:p>
    <w:p w14:paraId="430D9796">
      <w:pPr>
        <w:pStyle w:val="5"/>
        <w:keepNext w:val="0"/>
        <w:keepLines w:val="0"/>
        <w:pageBreakBefore w:val="0"/>
        <w:kinsoku/>
        <w:wordWrap w:val="0"/>
        <w:overflowPunct/>
        <w:topLinePunct w:val="0"/>
        <w:bidi w:val="0"/>
        <w:spacing w:line="220" w:lineRule="auto"/>
        <w:ind w:left="3861"/>
        <w:jc w:val="both"/>
        <w:rPr>
          <w:rFonts w:hint="eastAsia" w:ascii="宋体" w:hAnsi="宋体" w:eastAsia="宋体" w:cs="宋体"/>
          <w:color w:val="000000" w:themeColor="text1"/>
          <w:spacing w:val="-1"/>
          <w:sz w:val="28"/>
          <w:szCs w:val="28"/>
          <w:highlight w:val="none"/>
          <w14:textOutline w14:w="1800"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1"/>
          <w:sz w:val="28"/>
          <w:szCs w:val="28"/>
          <w:highlight w:val="none"/>
          <w14:textOutline w14:w="1800" w14:cap="flat" w14:cmpd="sng">
            <w14:solidFill>
              <w14:srgbClr w14:val="000000"/>
            </w14:solidFill>
            <w14:prstDash w14:val="solid"/>
            <w14:miter w14:val="0"/>
          </w14:textOutline>
          <w14:textFill>
            <w14:solidFill>
              <w14:schemeClr w14:val="tx1"/>
            </w14:solidFill>
          </w14:textFill>
        </w:rPr>
        <w:t>供应商须知表</w:t>
      </w:r>
    </w:p>
    <w:tbl>
      <w:tblPr>
        <w:tblStyle w:val="14"/>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6E41F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32440B1B">
            <w:pPr>
              <w:keepNext w:val="0"/>
              <w:keepLines w:val="0"/>
              <w:pageBreakBefore w:val="0"/>
              <w:kinsoku/>
              <w:wordWrap w:val="0"/>
              <w:overflowPunct/>
              <w:topLinePunct w:val="0"/>
              <w:bidi w:val="0"/>
              <w:spacing w:line="240" w:lineRule="atLeast"/>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w:t>
            </w:r>
            <w:r>
              <w:rPr>
                <w:rFonts w:hint="eastAsia" w:ascii="宋体" w:hAnsi="宋体" w:eastAsia="宋体" w:cs="宋体"/>
                <w:color w:val="000000" w:themeColor="text1"/>
                <w:sz w:val="24"/>
                <w:szCs w:val="24"/>
                <w:highlight w:val="none"/>
                <w:lang w:eastAsia="zh-CN"/>
                <w14:textFill>
                  <w14:solidFill>
                    <w14:schemeClr w14:val="tx1"/>
                  </w14:solidFill>
                </w14:textFill>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2F9E0414">
            <w:pPr>
              <w:keepNext w:val="0"/>
              <w:keepLines w:val="0"/>
              <w:pageBreakBefore w:val="0"/>
              <w:kinsoku/>
              <w:wordWrap w:val="0"/>
              <w:overflowPunct/>
              <w:topLinePunct w:val="0"/>
              <w:bidi w:val="0"/>
              <w:spacing w:line="240" w:lineRule="atLeas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内容</w:t>
            </w:r>
          </w:p>
        </w:tc>
      </w:tr>
      <w:tr w14:paraId="75C66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639D9A">
            <w:pPr>
              <w:keepNext w:val="0"/>
              <w:keepLines w:val="0"/>
              <w:pageBreakBefore w:val="0"/>
              <w:kinsoku/>
              <w:wordWrap w:val="0"/>
              <w:overflowPunct/>
              <w:topLinePunct w:val="0"/>
              <w:bidi w:val="0"/>
              <w:spacing w:before="78" w:line="221"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05F4EB6">
            <w:pPr>
              <w:pStyle w:val="31"/>
              <w:keepNext w:val="0"/>
              <w:keepLines w:val="0"/>
              <w:pageBreakBefore w:val="0"/>
              <w:kinsoku/>
              <w:wordWrap w:val="0"/>
              <w:overflowPunct/>
              <w:topLinePunct w:val="0"/>
              <w:bidi w:val="0"/>
              <w:spacing w:line="220" w:lineRule="auto"/>
              <w:ind w:left="126"/>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9"/>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9"/>
                <w:sz w:val="24"/>
                <w:szCs w:val="24"/>
                <w:highlight w:val="none"/>
                <w14:textFill>
                  <w14:solidFill>
                    <w14:schemeClr w14:val="tx1"/>
                  </w14:solidFill>
                </w14:textFill>
              </w:rPr>
              <w:t>服务</w:t>
            </w:r>
          </w:p>
          <w:p w14:paraId="68A06954">
            <w:pPr>
              <w:pStyle w:val="31"/>
              <w:keepNext w:val="0"/>
              <w:keepLines w:val="0"/>
              <w:pageBreakBefore w:val="0"/>
              <w:kinsoku/>
              <w:wordWrap w:val="0"/>
              <w:overflowPunct/>
              <w:topLinePunct w:val="0"/>
              <w:bidi w:val="0"/>
              <w:spacing w:before="25" w:line="207" w:lineRule="auto"/>
              <w:ind w:left="126" w:leftChars="0"/>
              <w:jc w:val="both"/>
              <w:rPr>
                <w:rFonts w:hint="eastAsia" w:ascii="宋体" w:hAnsi="宋体" w:eastAsia="宋体" w:cs="宋体"/>
                <w:color w:val="000000" w:themeColor="text1"/>
                <w:spacing w:val="19"/>
                <w:sz w:val="24"/>
                <w:szCs w:val="24"/>
                <w:highlight w:val="none"/>
                <w14:textFill>
                  <w14:solidFill>
                    <w14:schemeClr w14:val="tx1"/>
                  </w14:solidFill>
                </w14:textFill>
              </w:rPr>
            </w:pPr>
            <w:r>
              <w:rPr>
                <w:rFonts w:hint="eastAsia" w:ascii="宋体" w:hAnsi="宋体" w:eastAsia="宋体" w:cs="宋体"/>
                <w:color w:val="000000" w:themeColor="text1"/>
                <w:spacing w:val="19"/>
                <w:sz w:val="24"/>
                <w:szCs w:val="24"/>
                <w:highlight w:val="none"/>
                <w14:textFill>
                  <w14:solidFill>
                    <w14:schemeClr w14:val="tx1"/>
                  </w14:solidFill>
                </w14:textFill>
              </w:rPr>
              <w:t>□货物</w:t>
            </w:r>
          </w:p>
          <w:p w14:paraId="6F56740A">
            <w:pPr>
              <w:pStyle w:val="31"/>
              <w:keepNext w:val="0"/>
              <w:keepLines w:val="0"/>
              <w:pageBreakBefore w:val="0"/>
              <w:kinsoku/>
              <w:wordWrap w:val="0"/>
              <w:overflowPunct/>
              <w:topLinePunct w:val="0"/>
              <w:bidi w:val="0"/>
              <w:spacing w:before="25" w:line="207" w:lineRule="auto"/>
              <w:ind w:left="126" w:leftChars="0"/>
              <w:jc w:val="both"/>
              <w:rPr>
                <w:rFonts w:hint="eastAsia" w:ascii="宋体" w:hAnsi="宋体" w:eastAsia="宋体" w:cs="宋体"/>
                <w:color w:val="000000" w:themeColor="text1"/>
                <w:spacing w:val="19"/>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9"/>
                <w:sz w:val="24"/>
                <w:szCs w:val="24"/>
                <w:highlight w:val="none"/>
                <w14:textFill>
                  <w14:solidFill>
                    <w14:schemeClr w14:val="tx1"/>
                  </w14:solidFill>
                </w14:textFill>
              </w:rPr>
              <w:t>□</w:t>
            </w:r>
            <w:r>
              <w:rPr>
                <w:rFonts w:hint="eastAsia" w:ascii="宋体" w:hAnsi="宋体" w:eastAsia="宋体" w:cs="宋体"/>
                <w:color w:val="000000" w:themeColor="text1"/>
                <w:spacing w:val="19"/>
                <w:sz w:val="24"/>
                <w:szCs w:val="24"/>
                <w:highlight w:val="none"/>
                <w:lang w:val="en-US" w:eastAsia="zh-CN"/>
                <w14:textFill>
                  <w14:solidFill>
                    <w14:schemeClr w14:val="tx1"/>
                  </w14:solidFill>
                </w14:textFill>
              </w:rPr>
              <w:t>工程</w:t>
            </w:r>
          </w:p>
        </w:tc>
      </w:tr>
      <w:tr w14:paraId="639C2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FE681CC">
            <w:pPr>
              <w:keepNext w:val="0"/>
              <w:keepLines w:val="0"/>
              <w:pageBreakBefore w:val="0"/>
              <w:kinsoku/>
              <w:wordWrap w:val="0"/>
              <w:overflowPunct/>
              <w:topLinePunct w:val="0"/>
              <w:bidi w:val="0"/>
              <w:spacing w:before="78" w:line="219"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4F8C4EFE">
            <w:pPr>
              <w:keepNext w:val="0"/>
              <w:keepLines w:val="0"/>
              <w:pageBreakBefore w:val="0"/>
              <w:kinsoku/>
              <w:wordWrap w:val="0"/>
              <w:overflowPunct/>
              <w:topLinePunct w:val="0"/>
              <w:bidi w:val="0"/>
              <w:spacing w:before="37" w:line="238" w:lineRule="auto"/>
              <w:ind w:left="118"/>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是否属于科研仪器设备采购项目：</w:t>
            </w:r>
          </w:p>
          <w:p w14:paraId="53FD81DC">
            <w:pPr>
              <w:pStyle w:val="31"/>
              <w:keepNext w:val="0"/>
              <w:keepLines w:val="0"/>
              <w:pageBreakBefore w:val="0"/>
              <w:kinsoku/>
              <w:wordWrap w:val="0"/>
              <w:overflowPunct/>
              <w:topLinePunct w:val="0"/>
              <w:bidi w:val="0"/>
              <w:spacing w:line="223" w:lineRule="auto"/>
              <w:ind w:left="126"/>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9"/>
                <w:sz w:val="24"/>
                <w:szCs w:val="24"/>
                <w:highlight w:val="none"/>
                <w14:textFill>
                  <w14:solidFill>
                    <w14:schemeClr w14:val="tx1"/>
                  </w14:solidFill>
                </w14:textFill>
              </w:rPr>
              <w:t>□是</w:t>
            </w:r>
          </w:p>
          <w:p w14:paraId="1CF35318">
            <w:pPr>
              <w:pStyle w:val="31"/>
              <w:keepNext w:val="0"/>
              <w:keepLines w:val="0"/>
              <w:pageBreakBefore w:val="0"/>
              <w:kinsoku/>
              <w:wordWrap w:val="0"/>
              <w:overflowPunct/>
              <w:topLinePunct w:val="0"/>
              <w:bidi w:val="0"/>
              <w:spacing w:before="21" w:line="207" w:lineRule="auto"/>
              <w:ind w:left="126" w:leftChars="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9"/>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9"/>
                <w:sz w:val="24"/>
                <w:szCs w:val="24"/>
                <w:highlight w:val="none"/>
                <w14:textFill>
                  <w14:solidFill>
                    <w14:schemeClr w14:val="tx1"/>
                  </w14:solidFill>
                </w14:textFill>
              </w:rPr>
              <w:t>否</w:t>
            </w:r>
          </w:p>
        </w:tc>
      </w:tr>
      <w:tr w14:paraId="5DD02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1B1C438E">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000000" w:themeColor="text1"/>
                <w:highlight w:val="none"/>
                <w14:textFill>
                  <w14:solidFill>
                    <w14:schemeClr w14:val="tx1"/>
                  </w14:solidFill>
                </w14:textFill>
              </w:rPr>
            </w:pPr>
          </w:p>
          <w:p w14:paraId="36DDE30C">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4E7E2A2">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4"/>
                <w:sz w:val="24"/>
                <w:szCs w:val="24"/>
                <w:highlight w:val="none"/>
                <w14:textFill>
                  <w14:solidFill>
                    <w14:schemeClr w14:val="tx1"/>
                  </w14:solidFill>
                </w14:textFill>
              </w:rPr>
              <w:t>不组织</w:t>
            </w:r>
          </w:p>
          <w:p w14:paraId="198B84A9">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□组织，考察时间：</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pacing w:val="-12"/>
                <w:sz w:val="24"/>
                <w:szCs w:val="24"/>
                <w:highlight w:val="none"/>
                <w14:textFill>
                  <w14:solidFill>
                    <w14:schemeClr w14:val="tx1"/>
                  </w14:solidFill>
                </w14:textFill>
              </w:rPr>
              <w:t>年</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pacing w:val="-12"/>
                <w:sz w:val="24"/>
                <w:szCs w:val="24"/>
                <w:highlight w:val="none"/>
                <w14:textFill>
                  <w14:solidFill>
                    <w14:schemeClr w14:val="tx1"/>
                  </w14:solidFill>
                </w14:textFill>
              </w:rPr>
              <w:t>月</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pacing w:val="-12"/>
                <w:sz w:val="24"/>
                <w:szCs w:val="24"/>
                <w:highlight w:val="none"/>
                <w14:textFill>
                  <w14:solidFill>
                    <w14:schemeClr w14:val="tx1"/>
                  </w14:solidFill>
                </w14:textFill>
              </w:rPr>
              <w:t>日</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pacing w:val="-12"/>
                <w:sz w:val="24"/>
                <w:szCs w:val="24"/>
                <w:highlight w:val="none"/>
                <w14:textFill>
                  <w14:solidFill>
                    <w14:schemeClr w14:val="tx1"/>
                  </w14:solidFill>
                </w14:textFill>
              </w:rPr>
              <w:t>点</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pacing w:val="-12"/>
                <w:sz w:val="24"/>
                <w:szCs w:val="24"/>
                <w:highlight w:val="none"/>
                <w14:textFill>
                  <w14:solidFill>
                    <w14:schemeClr w14:val="tx1"/>
                  </w14:solidFill>
                </w14:textFill>
              </w:rPr>
              <w:t>分</w:t>
            </w:r>
          </w:p>
          <w:p w14:paraId="6FDC98EB">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5"/>
                <w:sz w:val="24"/>
                <w:szCs w:val="24"/>
                <w:highlight w:val="none"/>
                <w14:textFill>
                  <w14:solidFill>
                    <w14:schemeClr w14:val="tx1"/>
                  </w14:solidFill>
                </w14:textFill>
              </w:rPr>
              <w:t>考察地点：</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pacing w:val="-25"/>
                <w:sz w:val="24"/>
                <w:szCs w:val="24"/>
                <w:highlight w:val="none"/>
                <w14:textFill>
                  <w14:solidFill>
                    <w14:schemeClr w14:val="tx1"/>
                  </w14:solidFill>
                </w14:textFill>
              </w:rPr>
              <w:t>。</w:t>
            </w:r>
          </w:p>
        </w:tc>
      </w:tr>
      <w:tr w14:paraId="42AE4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5E78705">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2"/>
                <w:sz w:val="24"/>
                <w:szCs w:val="24"/>
                <w:highlight w:val="none"/>
                <w14:textFill>
                  <w14:solidFill>
                    <w14:schemeClr w14:val="tx1"/>
                  </w14:solidFill>
                </w14:textFill>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7881AED">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4"/>
                <w:sz w:val="24"/>
                <w:szCs w:val="24"/>
                <w:highlight w:val="none"/>
                <w14:textFill>
                  <w14:solidFill>
                    <w14:schemeClr w14:val="tx1"/>
                  </w14:solidFill>
                </w14:textFill>
              </w:rPr>
              <w:t>不召开</w:t>
            </w:r>
          </w:p>
          <w:p w14:paraId="0A954BB7">
            <w:pPr>
              <w:pStyle w:val="3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□召开，召开时间：</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pacing w:val="-12"/>
                <w:sz w:val="24"/>
                <w:szCs w:val="24"/>
                <w:highlight w:val="none"/>
                <w14:textFill>
                  <w14:solidFill>
                    <w14:schemeClr w14:val="tx1"/>
                  </w14:solidFill>
                </w14:textFill>
              </w:rPr>
              <w:t>年</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pacing w:val="-12"/>
                <w:sz w:val="24"/>
                <w:szCs w:val="24"/>
                <w:highlight w:val="none"/>
                <w14:textFill>
                  <w14:solidFill>
                    <w14:schemeClr w14:val="tx1"/>
                  </w14:solidFill>
                </w14:textFill>
              </w:rPr>
              <w:t>月</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pacing w:val="-12"/>
                <w:sz w:val="24"/>
                <w:szCs w:val="24"/>
                <w:highlight w:val="none"/>
                <w14:textFill>
                  <w14:solidFill>
                    <w14:schemeClr w14:val="tx1"/>
                  </w14:solidFill>
                </w14:textFill>
              </w:rPr>
              <w:t>日</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pacing w:val="-12"/>
                <w:sz w:val="24"/>
                <w:szCs w:val="24"/>
                <w:highlight w:val="none"/>
                <w14:textFill>
                  <w14:solidFill>
                    <w14:schemeClr w14:val="tx1"/>
                  </w14:solidFill>
                </w14:textFill>
              </w:rPr>
              <w:t>点</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pacing w:val="-12"/>
                <w:sz w:val="24"/>
                <w:szCs w:val="24"/>
                <w:highlight w:val="none"/>
                <w14:textFill>
                  <w14:solidFill>
                    <w14:schemeClr w14:val="tx1"/>
                  </w14:solidFill>
                </w14:textFill>
              </w:rPr>
              <w:t>分</w:t>
            </w:r>
          </w:p>
          <w:p w14:paraId="11F97CD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6"/>
                <w:sz w:val="24"/>
                <w:szCs w:val="24"/>
                <w:highlight w:val="none"/>
                <w14:textFill>
                  <w14:solidFill>
                    <w14:schemeClr w14:val="tx1"/>
                  </w14:solidFill>
                </w14:textFill>
              </w:rPr>
              <w:t>召开地点：</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pacing w:val="-25"/>
                <w:sz w:val="24"/>
                <w:szCs w:val="24"/>
                <w:highlight w:val="none"/>
                <w14:textFill>
                  <w14:solidFill>
                    <w14:schemeClr w14:val="tx1"/>
                  </w14:solidFill>
                </w14:textFill>
              </w:rPr>
              <w:t>。</w:t>
            </w:r>
          </w:p>
        </w:tc>
      </w:tr>
      <w:tr w14:paraId="0A0C0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379C985">
            <w:pPr>
              <w:keepNext w:val="0"/>
              <w:keepLines w:val="0"/>
              <w:pageBreakBefore w:val="0"/>
              <w:kinsoku/>
              <w:wordWrap w:val="0"/>
              <w:overflowPunct/>
              <w:topLinePunct w:val="0"/>
              <w:bidi w:val="0"/>
              <w:spacing w:line="240" w:lineRule="atLeas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EC7A032">
            <w:pPr>
              <w:pStyle w:val="31"/>
              <w:keepNext w:val="0"/>
              <w:keepLines w:val="0"/>
              <w:pageBreakBefore w:val="0"/>
              <w:widowControl/>
              <w:numPr>
                <w:ilvl w:val="0"/>
                <w:numId w:val="2"/>
              </w:numPr>
              <w:kinsoku/>
              <w:wordWrap w:val="0"/>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000000" w:themeColor="text1"/>
                <w:spacing w:val="14"/>
                <w:kern w:val="0"/>
                <w:sz w:val="24"/>
                <w:szCs w:val="24"/>
                <w:highlight w:val="none"/>
                <w:u w:val="single"/>
                <w:lang w:val="en-US" w:eastAsia="zh-CN" w:bidi="ar-SA"/>
                <w14:textFill>
                  <w14:solidFill>
                    <w14:schemeClr w14:val="tx1"/>
                  </w14:solidFill>
                </w14:textFill>
              </w:rPr>
            </w:pP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本项目采购标的按照中小企业划分标准属于：</w:t>
            </w:r>
            <w:r>
              <w:rPr>
                <w:rFonts w:hint="eastAsia" w:ascii="宋体" w:hAnsi="宋体" w:eastAsia="宋体" w:cs="宋体"/>
                <w:b/>
                <w:bCs/>
                <w:snapToGrid w:val="0"/>
                <w:color w:val="000000" w:themeColor="text1"/>
                <w:spacing w:val="14"/>
                <w:kern w:val="0"/>
                <w:sz w:val="24"/>
                <w:szCs w:val="24"/>
                <w:highlight w:val="none"/>
                <w:u w:val="single"/>
                <w:lang w:val="en-US" w:eastAsia="zh-CN" w:bidi="ar-SA"/>
                <w14:textFill>
                  <w14:solidFill>
                    <w14:schemeClr w14:val="tx1"/>
                  </w14:solidFill>
                </w14:textFill>
              </w:rPr>
              <w:t>其他未列明行业</w:t>
            </w:r>
          </w:p>
          <w:p w14:paraId="40C7C861">
            <w:pPr>
              <w:pStyle w:val="31"/>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□本项目专门面向中小企业采购。</w:t>
            </w:r>
          </w:p>
          <w:p w14:paraId="30DDC2D0">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3"/>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spacing w:val="29"/>
                <w:kern w:val="0"/>
                <w:sz w:val="24"/>
                <w:szCs w:val="24"/>
                <w:highlight w:val="none"/>
                <w:lang w:val="en-US" w:eastAsia="zh-CN" w:bidi="ar-SA"/>
                <w14:textFill>
                  <w14:solidFill>
                    <w14:schemeClr w14:val="tx1"/>
                  </w14:solidFill>
                </w14:textFill>
              </w:rPr>
              <w:t>本项目小微企业价格折扣比例</w:t>
            </w:r>
            <w:r>
              <w:rPr>
                <w:rFonts w:hint="eastAsia" w:ascii="宋体" w:hAnsi="宋体" w:eastAsia="宋体" w:cs="宋体"/>
                <w:snapToGrid w:val="0"/>
                <w:color w:val="000000" w:themeColor="text1"/>
                <w:spacing w:val="29"/>
                <w:kern w:val="0"/>
                <w:sz w:val="24"/>
                <w:szCs w:val="24"/>
                <w:highlight w:val="none"/>
                <w:u w:val="single"/>
                <w:lang w:val="en-US" w:eastAsia="zh-CN" w:bidi="ar-SA"/>
                <w14:textFill>
                  <w14:solidFill>
                    <w14:schemeClr w14:val="tx1"/>
                  </w14:solidFill>
                </w14:textFill>
              </w:rPr>
              <w:t xml:space="preserve"> 20 </w:t>
            </w:r>
            <w:r>
              <w:rPr>
                <w:rFonts w:hint="eastAsia" w:ascii="宋体" w:hAnsi="宋体" w:eastAsia="宋体" w:cs="宋体"/>
                <w:snapToGrid w:val="0"/>
                <w:color w:val="000000" w:themeColor="text1"/>
                <w:spacing w:val="29"/>
                <w:kern w:val="0"/>
                <w:sz w:val="24"/>
                <w:szCs w:val="24"/>
                <w:highlight w:val="none"/>
                <w:lang w:val="en-US" w:eastAsia="zh-CN" w:bidi="ar-SA"/>
                <w14:textFill>
                  <w14:solidFill>
                    <w14:schemeClr w14:val="tx1"/>
                  </w14:solidFill>
                </w14:textFill>
              </w:rPr>
              <w:t>%。</w:t>
            </w:r>
          </w:p>
          <w:p w14:paraId="7CF4D1DB">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2、中标供应商享受《政府采购促进中小企业发展管理办法》规定的中小企业扶持政策的，采购人、采购代理机构将随中标结果公开中标供应商的《中小企业声明函》。</w:t>
            </w:r>
          </w:p>
        </w:tc>
      </w:tr>
      <w:tr w14:paraId="3127C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00F79E1F">
            <w:pPr>
              <w:pStyle w:val="31"/>
              <w:keepNext w:val="0"/>
              <w:keepLines w:val="0"/>
              <w:pageBreakBefore w:val="0"/>
              <w:kinsoku/>
              <w:wordWrap w:val="0"/>
              <w:overflowPunct/>
              <w:topLinePunct w:val="0"/>
              <w:bidi w:val="0"/>
              <w:spacing w:line="269" w:lineRule="auto"/>
              <w:jc w:val="both"/>
              <w:rPr>
                <w:rFonts w:hint="eastAsia" w:ascii="宋体" w:hAnsi="宋体" w:eastAsia="宋体" w:cs="宋体"/>
                <w:color w:val="000000" w:themeColor="text1"/>
                <w:highlight w:val="none"/>
                <w14:textFill>
                  <w14:solidFill>
                    <w14:schemeClr w14:val="tx1"/>
                  </w14:solidFill>
                </w14:textFill>
              </w:rPr>
            </w:pPr>
          </w:p>
          <w:p w14:paraId="3411F839">
            <w:pPr>
              <w:keepNext w:val="0"/>
              <w:keepLines w:val="0"/>
              <w:pageBreakBefore w:val="0"/>
              <w:kinsoku/>
              <w:wordWrap w:val="0"/>
              <w:overflowPunct/>
              <w:topLinePunct w:val="0"/>
              <w:bidi w:val="0"/>
              <w:spacing w:before="78" w:line="219"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3"/>
                <w:sz w:val="24"/>
                <w:szCs w:val="24"/>
                <w:highlight w:val="none"/>
                <w14:textFill>
                  <w14:solidFill>
                    <w14:schemeClr w14:val="tx1"/>
                  </w14:solidFill>
                </w14:textFill>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92041DD">
            <w:pPr>
              <w:keepNext w:val="0"/>
              <w:keepLines w:val="0"/>
              <w:pageBreakBefore w:val="0"/>
              <w:kinsoku/>
              <w:wordWrap w:val="0"/>
              <w:overflowPunct/>
              <w:topLinePunct w:val="0"/>
              <w:bidi w:val="0"/>
              <w:spacing w:before="40"/>
              <w:ind w:left="11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7"/>
                <w:sz w:val="24"/>
                <w:szCs w:val="24"/>
                <w:highlight w:val="none"/>
                <w14:textFill>
                  <w14:solidFill>
                    <w14:schemeClr w14:val="tx1"/>
                  </w14:solidFill>
                </w14:textFill>
              </w:rPr>
              <w:t>报价的特殊规定：</w:t>
            </w:r>
          </w:p>
          <w:p w14:paraId="4005EB84">
            <w:pPr>
              <w:pStyle w:val="31"/>
              <w:keepNext w:val="0"/>
              <w:keepLines w:val="0"/>
              <w:pageBreakBefore w:val="0"/>
              <w:kinsoku/>
              <w:wordWrap w:val="0"/>
              <w:overflowPunct/>
              <w:topLinePunct w:val="0"/>
              <w:bidi w:val="0"/>
              <w:spacing w:before="1" w:line="220" w:lineRule="auto"/>
              <w:ind w:left="126"/>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9"/>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9"/>
                <w:sz w:val="24"/>
                <w:szCs w:val="24"/>
                <w:highlight w:val="none"/>
                <w14:textFill>
                  <w14:solidFill>
                    <w14:schemeClr w14:val="tx1"/>
                  </w14:solidFill>
                </w14:textFill>
              </w:rPr>
              <w:t>无</w:t>
            </w:r>
          </w:p>
          <w:p w14:paraId="50B31563">
            <w:pPr>
              <w:pStyle w:val="31"/>
              <w:keepNext w:val="0"/>
              <w:keepLines w:val="0"/>
              <w:pageBreakBefore w:val="0"/>
              <w:kinsoku/>
              <w:wordWrap w:val="0"/>
              <w:overflowPunct/>
              <w:topLinePunct w:val="0"/>
              <w:bidi w:val="0"/>
              <w:spacing w:before="23" w:line="189" w:lineRule="auto"/>
              <w:ind w:left="126"/>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3"/>
                <w:sz w:val="24"/>
                <w:szCs w:val="24"/>
                <w:highlight w:val="none"/>
                <w14:textFill>
                  <w14:solidFill>
                    <w14:schemeClr w14:val="tx1"/>
                  </w14:solidFill>
                </w14:textFill>
              </w:rPr>
              <w:t>□有，具体情形：</w:t>
            </w:r>
          </w:p>
        </w:tc>
      </w:tr>
      <w:tr w14:paraId="6220F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ABCD8EF">
            <w:pPr>
              <w:keepNext w:val="0"/>
              <w:keepLines w:val="0"/>
              <w:pageBreakBefore w:val="0"/>
              <w:kinsoku/>
              <w:wordWrap w:val="0"/>
              <w:overflowPunct/>
              <w:topLinePunct w:val="0"/>
              <w:bidi w:val="0"/>
              <w:spacing w:line="240" w:lineRule="atLeas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A5BE0A7">
            <w:pPr>
              <w:keepNext w:val="0"/>
              <w:keepLines w:val="0"/>
              <w:pageBreakBefore w:val="0"/>
              <w:kinsoku/>
              <w:wordWrap w:val="0"/>
              <w:overflowPunct/>
              <w:topLinePunct w:val="0"/>
              <w:bidi w:val="0"/>
              <w:spacing w:line="240" w:lineRule="atLeast"/>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lang w:val="en-US" w:eastAsia="zh-CN"/>
                <w14:textFill>
                  <w14:solidFill>
                    <w14:schemeClr w14:val="tx1"/>
                  </w14:solidFill>
                </w14:textFill>
              </w:rPr>
              <w:t>450000.00</w:t>
            </w:r>
            <w:r>
              <w:rPr>
                <w:rFonts w:hint="eastAsia" w:ascii="宋体" w:hAnsi="宋体" w:eastAsia="宋体" w:cs="宋体"/>
                <w:color w:val="000000" w:themeColor="text1"/>
                <w:sz w:val="24"/>
                <w:szCs w:val="24"/>
                <w:highlight w:val="none"/>
                <w14:textFill>
                  <w14:solidFill>
                    <w14:schemeClr w14:val="tx1"/>
                  </w14:solidFill>
                </w14:textFill>
              </w:rPr>
              <w:t>元</w:t>
            </w:r>
          </w:p>
        </w:tc>
      </w:tr>
      <w:tr w14:paraId="11F47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EEDF70">
            <w:pPr>
              <w:keepNext w:val="0"/>
              <w:keepLines w:val="0"/>
              <w:pageBreakBefore w:val="0"/>
              <w:kinsoku/>
              <w:wordWrap w:val="0"/>
              <w:overflowPunct/>
              <w:topLinePunct w:val="0"/>
              <w:bidi w:val="0"/>
              <w:spacing w:line="240" w:lineRule="atLeas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43CCF39">
            <w:pPr>
              <w:keepNext w:val="0"/>
              <w:keepLines w:val="0"/>
              <w:pageBreakBefore w:val="0"/>
              <w:kinsoku/>
              <w:wordWrap w:val="0"/>
              <w:overflowPunct/>
              <w:topLinePunct w:val="0"/>
              <w:bidi w:val="0"/>
              <w:spacing w:line="240" w:lineRule="atLeas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开标之日起</w:t>
            </w:r>
            <w:r>
              <w:rPr>
                <w:rFonts w:hint="eastAsia" w:ascii="宋体" w:hAnsi="宋体" w:eastAsia="宋体" w:cs="宋体"/>
                <w:color w:val="000000" w:themeColor="text1"/>
                <w:sz w:val="24"/>
                <w:szCs w:val="24"/>
                <w:highlight w:val="none"/>
                <w:lang w:eastAsia="zh-CN"/>
                <w14:textFill>
                  <w14:solidFill>
                    <w14:schemeClr w14:val="tx1"/>
                  </w14:solidFill>
                </w14:textFill>
              </w:rPr>
              <w:t>60</w:t>
            </w:r>
            <w:r>
              <w:rPr>
                <w:rFonts w:hint="eastAsia" w:ascii="宋体" w:hAnsi="宋体" w:eastAsia="宋体" w:cs="宋体"/>
                <w:color w:val="000000" w:themeColor="text1"/>
                <w:sz w:val="24"/>
                <w:szCs w:val="24"/>
                <w:highlight w:val="none"/>
                <w14:textFill>
                  <w14:solidFill>
                    <w14:schemeClr w14:val="tx1"/>
                  </w14:solidFill>
                </w14:textFill>
              </w:rPr>
              <w:t>日历日</w:t>
            </w:r>
          </w:p>
        </w:tc>
      </w:tr>
      <w:tr w14:paraId="79941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9D46ED9">
            <w:pPr>
              <w:keepNext w:val="0"/>
              <w:keepLines w:val="0"/>
              <w:pageBreakBefore w:val="0"/>
              <w:kinsoku/>
              <w:wordWrap w:val="0"/>
              <w:overflowPunct/>
              <w:topLinePunct w:val="0"/>
              <w:bidi w:val="0"/>
              <w:spacing w:line="240" w:lineRule="atLeast"/>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w:t>
            </w:r>
            <w:r>
              <w:rPr>
                <w:rFonts w:hint="eastAsia" w:ascii="宋体" w:hAnsi="宋体" w:eastAsia="宋体" w:cs="宋体"/>
                <w:color w:val="000000" w:themeColor="text1"/>
                <w:sz w:val="24"/>
                <w:szCs w:val="24"/>
                <w:highlight w:val="none"/>
                <w:lang w:eastAsia="zh-CN"/>
                <w14:textFill>
                  <w14:solidFill>
                    <w14:schemeClr w14:val="tx1"/>
                  </w14:solidFill>
                </w14:textFill>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E2A97C">
            <w:pPr>
              <w:keepNext w:val="0"/>
              <w:keepLines w:val="0"/>
              <w:pageBreakBefore w:val="0"/>
              <w:kinsoku/>
              <w:wordWrap w:val="0"/>
              <w:overflowPunct/>
              <w:topLinePunct w:val="0"/>
              <w:bidi w:val="0"/>
              <w:spacing w:line="240" w:lineRule="atLeast"/>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电子</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eastAsia="zh-CN"/>
                <w14:textFill>
                  <w14:solidFill>
                    <w14:schemeClr w14:val="tx1"/>
                  </w14:solidFill>
                </w14:textFill>
              </w:rPr>
              <w:t>文件：1份</w:t>
            </w:r>
          </w:p>
        </w:tc>
      </w:tr>
      <w:tr w14:paraId="7FF6A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F35EA89">
            <w:pPr>
              <w:keepNext w:val="0"/>
              <w:keepLines w:val="0"/>
              <w:pageBreakBefore w:val="0"/>
              <w:kinsoku/>
              <w:wordWrap w:val="0"/>
              <w:overflowPunct/>
              <w:topLinePunct w:val="0"/>
              <w:bidi w:val="0"/>
              <w:spacing w:line="240" w:lineRule="atLeas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F56AD71">
            <w:pPr>
              <w:keepNext w:val="0"/>
              <w:keepLines w:val="0"/>
              <w:pageBreakBefore w:val="0"/>
              <w:kinsoku/>
              <w:wordWrap w:val="0"/>
              <w:overflowPunct/>
              <w:topLinePunct w:val="0"/>
              <w:bidi w:val="0"/>
              <w:spacing w:line="240" w:lineRule="atLeast"/>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2025 </w:t>
            </w:r>
            <w:r>
              <w:rPr>
                <w:rFonts w:hint="eastAsia" w:ascii="宋体" w:hAnsi="宋体" w:eastAsia="宋体" w:cs="宋体"/>
                <w:color w:val="000000" w:themeColor="text1"/>
                <w:spacing w:val="-12"/>
                <w:sz w:val="24"/>
                <w:szCs w:val="24"/>
                <w:highlight w:val="none"/>
                <w14:textFill>
                  <w14:solidFill>
                    <w14:schemeClr w14:val="tx1"/>
                  </w14:solidFill>
                </w14:textFill>
              </w:rPr>
              <w:t>年</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11 </w:t>
            </w:r>
            <w:r>
              <w:rPr>
                <w:rFonts w:hint="eastAsia" w:ascii="宋体" w:hAnsi="宋体" w:eastAsia="宋体" w:cs="宋体"/>
                <w:color w:val="000000" w:themeColor="text1"/>
                <w:spacing w:val="-12"/>
                <w:sz w:val="24"/>
                <w:szCs w:val="24"/>
                <w:highlight w:val="none"/>
                <w14:textFill>
                  <w14:solidFill>
                    <w14:schemeClr w14:val="tx1"/>
                  </w14:solidFill>
                </w14:textFill>
              </w:rPr>
              <w:t>月</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pacing w:val="-12"/>
                <w:sz w:val="24"/>
                <w:szCs w:val="24"/>
                <w:highlight w:val="none"/>
                <w14:textFill>
                  <w14:solidFill>
                    <w14:schemeClr w14:val="tx1"/>
                  </w14:solidFill>
                </w14:textFill>
              </w:rPr>
              <w:t>日</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09 </w:t>
            </w:r>
            <w:r>
              <w:rPr>
                <w:rFonts w:hint="eastAsia" w:ascii="宋体" w:hAnsi="宋体" w:eastAsia="宋体" w:cs="宋体"/>
                <w:color w:val="000000" w:themeColor="text1"/>
                <w:spacing w:val="-12"/>
                <w:sz w:val="24"/>
                <w:szCs w:val="24"/>
                <w:highlight w:val="none"/>
                <w14:textFill>
                  <w14:solidFill>
                    <w14:schemeClr w14:val="tx1"/>
                  </w14:solidFill>
                </w14:textFill>
              </w:rPr>
              <w:t>点</w:t>
            </w:r>
            <w:r>
              <w:rPr>
                <w:rFonts w:hint="eastAsia" w:ascii="宋体" w:hAnsi="宋体" w:eastAsia="宋体" w:cs="宋体"/>
                <w:color w:val="000000" w:themeColor="text1"/>
                <w:spacing w:val="-12"/>
                <w:sz w:val="24"/>
                <w:szCs w:val="24"/>
                <w:highlight w:val="none"/>
                <w:u w:val="single"/>
                <w:lang w:val="en-US" w:eastAsia="zh-CN"/>
                <w14:textFill>
                  <w14:solidFill>
                    <w14:schemeClr w14:val="tx1"/>
                  </w14:solidFill>
                </w14:textFill>
              </w:rPr>
              <w:t xml:space="preserve"> 00 </w:t>
            </w:r>
            <w:r>
              <w:rPr>
                <w:rFonts w:hint="eastAsia" w:ascii="宋体" w:hAnsi="宋体" w:eastAsia="宋体" w:cs="宋体"/>
                <w:color w:val="000000" w:themeColor="text1"/>
                <w:spacing w:val="-12"/>
                <w:sz w:val="24"/>
                <w:szCs w:val="24"/>
                <w:highlight w:val="none"/>
                <w14:textFill>
                  <w14:solidFill>
                    <w14:schemeClr w14:val="tx1"/>
                  </w14:solidFill>
                </w14:textFill>
              </w:rPr>
              <w:t>分</w:t>
            </w: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（北京时间）</w:t>
            </w:r>
          </w:p>
        </w:tc>
      </w:tr>
      <w:tr w14:paraId="27C97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2C72B22">
            <w:pPr>
              <w:keepNext w:val="0"/>
              <w:keepLines w:val="0"/>
              <w:pageBreakBefore w:val="0"/>
              <w:kinsoku/>
              <w:wordWrap w:val="0"/>
              <w:overflowPunct/>
              <w:topLinePunct w:val="0"/>
              <w:bidi w:val="0"/>
              <w:spacing w:line="240" w:lineRule="atLeas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7713D1A">
            <w:pPr>
              <w:keepNext w:val="0"/>
              <w:keepLines w:val="0"/>
              <w:pageBreakBefore w:val="0"/>
              <w:kinsoku/>
              <w:wordWrap w:val="0"/>
              <w:overflowPunct/>
              <w:topLinePunct w:val="0"/>
              <w:bidi w:val="0"/>
              <w:spacing w:line="240" w:lineRule="atLeast"/>
              <w:jc w:val="both"/>
              <w:rPr>
                <w:rFonts w:hint="eastAsia" w:ascii="宋体" w:hAnsi="宋体" w:eastAsia="宋体" w:cs="宋体"/>
                <w:i/>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综合评分法</w:t>
            </w:r>
          </w:p>
        </w:tc>
      </w:tr>
      <w:tr w14:paraId="067F6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FDFE">
            <w:pPr>
              <w:keepNext w:val="0"/>
              <w:keepLines w:val="0"/>
              <w:pageBreakBefore w:val="0"/>
              <w:kinsoku/>
              <w:wordWrap w:val="0"/>
              <w:overflowPunct/>
              <w:topLinePunct w:val="0"/>
              <w:bidi w:val="0"/>
              <w:spacing w:line="240" w:lineRule="atLeas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DAED691">
            <w:pPr>
              <w:keepNext w:val="0"/>
              <w:keepLines w:val="0"/>
              <w:pageBreakBefore w:val="0"/>
              <w:kinsoku/>
              <w:wordWrap w:val="0"/>
              <w:overflowPunct/>
              <w:topLinePunct w:val="0"/>
              <w:bidi w:val="0"/>
              <w:spacing w:line="240" w:lineRule="atLeast"/>
              <w:jc w:val="both"/>
              <w:rPr>
                <w:rFonts w:hint="eastAsia" w:ascii="宋体" w:hAnsi="宋体" w:eastAsia="宋体" w:cs="宋体"/>
                <w:color w:val="000000" w:themeColor="text1"/>
                <w:spacing w:val="14"/>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lang w:eastAsia="zh-CN"/>
                <w14:textFill>
                  <w14:solidFill>
                    <w14:schemeClr w14:val="tx1"/>
                  </w14:solidFill>
                </w14:textFill>
              </w:rPr>
              <w:t>是否委托</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lang w:eastAsia="zh-CN"/>
                <w14:textFill>
                  <w14:solidFill>
                    <w14:schemeClr w14:val="tx1"/>
                  </w14:solidFill>
                </w14:textFill>
              </w:rPr>
              <w:t>直接确定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是</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4"/>
                <w:sz w:val="24"/>
                <w:szCs w:val="24"/>
                <w:highlight w:val="none"/>
                <w:lang w:val="en-US" w:eastAsia="zh-CN"/>
                <w14:textFill>
                  <w14:solidFill>
                    <w14:schemeClr w14:val="tx1"/>
                  </w14:solidFill>
                </w14:textFill>
              </w:rPr>
              <w:t>否</w:t>
            </w:r>
          </w:p>
          <w:p w14:paraId="6ED5E61D">
            <w:pPr>
              <w:keepNext w:val="0"/>
              <w:keepLines w:val="0"/>
              <w:pageBreakBefore w:val="0"/>
              <w:kinsoku/>
              <w:wordWrap w:val="0"/>
              <w:overflowPunct/>
              <w:topLinePunct w:val="0"/>
              <w:bidi w:val="0"/>
              <w:spacing w:line="240" w:lineRule="atLeast"/>
              <w:jc w:val="both"/>
              <w:rPr>
                <w:rFonts w:hint="eastAsia" w:ascii="宋体" w:hAnsi="宋体" w:eastAsia="宋体" w:cs="宋体"/>
                <w:color w:val="000000" w:themeColor="text1"/>
                <w:spacing w:val="14"/>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推荐的中标候选人数：</w:t>
            </w:r>
            <w:r>
              <w:rPr>
                <w:rFonts w:hint="eastAsia" w:ascii="宋体" w:hAnsi="宋体" w:eastAsia="宋体" w:cs="宋体"/>
                <w:color w:val="000000" w:themeColor="text1"/>
                <w:sz w:val="24"/>
                <w:szCs w:val="24"/>
                <w:highlight w:val="none"/>
                <w14:textFill>
                  <w14:solidFill>
                    <w14:schemeClr w14:val="tx1"/>
                  </w14:solidFill>
                </w14:textFill>
              </w:rPr>
              <w:t>3名</w:t>
            </w:r>
          </w:p>
        </w:tc>
      </w:tr>
      <w:tr w14:paraId="2703C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0EA9A55">
            <w:pPr>
              <w:keepNext w:val="0"/>
              <w:keepLines w:val="0"/>
              <w:pageBreakBefore w:val="0"/>
              <w:kinsoku/>
              <w:wordWrap w:val="0"/>
              <w:overflowPunct/>
              <w:topLinePunct w:val="0"/>
              <w:bidi w:val="0"/>
              <w:spacing w:line="240" w:lineRule="atLeas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1F6DE38">
            <w:pPr>
              <w:pStyle w:val="31"/>
              <w:keepNext w:val="0"/>
              <w:keepLines w:val="0"/>
              <w:pageBreakBefore w:val="0"/>
              <w:kinsoku/>
              <w:wordWrap w:val="0"/>
              <w:overflowPunct/>
              <w:topLinePunct w:val="0"/>
              <w:bidi w:val="0"/>
              <w:spacing w:before="1" w:line="220" w:lineRule="auto"/>
              <w:ind w:left="126"/>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9"/>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集中采购机构不收费</w:t>
            </w:r>
          </w:p>
          <w:p w14:paraId="3D7716C5">
            <w:pPr>
              <w:pStyle w:val="31"/>
              <w:keepNext w:val="0"/>
              <w:keepLines w:val="0"/>
              <w:pageBreakBefore w:val="0"/>
              <w:kinsoku/>
              <w:wordWrap w:val="0"/>
              <w:overflowPunct/>
              <w:topLinePunct w:val="0"/>
              <w:bidi w:val="0"/>
              <w:spacing w:before="1" w:line="220" w:lineRule="auto"/>
              <w:ind w:left="126"/>
              <w:jc w:val="both"/>
              <w:rPr>
                <w:rFonts w:hint="eastAsia" w:ascii="宋体" w:hAnsi="宋体" w:eastAsia="宋体" w:cs="宋体"/>
                <w:color w:val="000000" w:themeColor="text1"/>
                <w:spacing w:val="-13"/>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收费对象：</w:t>
            </w:r>
            <w:r>
              <w:rPr>
                <w:rFonts w:hint="eastAsia" w:ascii="宋体" w:hAnsi="宋体" w:eastAsia="宋体" w:cs="宋体"/>
                <w:color w:val="000000" w:themeColor="text1"/>
                <w:spacing w:val="29"/>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29"/>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3"/>
                <w:sz w:val="24"/>
                <w:szCs w:val="24"/>
                <w:highlight w:val="none"/>
                <w:lang w:val="en-US" w:eastAsia="zh-CN"/>
                <w14:textFill>
                  <w14:solidFill>
                    <w14:schemeClr w14:val="tx1"/>
                  </w14:solidFill>
                </w14:textFill>
              </w:rPr>
              <w:t>中标人</w:t>
            </w:r>
          </w:p>
          <w:p w14:paraId="05AB4D05">
            <w:pPr>
              <w:pStyle w:val="31"/>
              <w:keepNext w:val="0"/>
              <w:keepLines w:val="0"/>
              <w:pageBreakBefore w:val="0"/>
              <w:kinsoku/>
              <w:wordWrap w:val="0"/>
              <w:overflowPunct/>
              <w:topLinePunct w:val="0"/>
              <w:bidi w:val="0"/>
              <w:spacing w:before="1" w:line="220" w:lineRule="auto"/>
              <w:ind w:left="126" w:leftChars="0"/>
              <w:jc w:val="both"/>
              <w:rPr>
                <w:rFonts w:hint="eastAsia" w:ascii="宋体" w:hAnsi="宋体" w:eastAsia="宋体" w:cs="宋体"/>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3"/>
                <w:sz w:val="24"/>
                <w:szCs w:val="24"/>
                <w:highlight w:val="none"/>
                <w:lang w:val="en-US" w:eastAsia="zh-CN"/>
                <w14:textFill>
                  <w14:solidFill>
                    <w14:schemeClr w14:val="tx1"/>
                  </w14:solidFill>
                </w14:textFill>
              </w:rPr>
              <w:t>收费标准：</w:t>
            </w:r>
            <w:r>
              <w:rPr>
                <w:rFonts w:hint="eastAsia" w:ascii="宋体" w:hAnsi="宋体" w:eastAsia="宋体" w:cs="宋体"/>
                <w:color w:val="000000" w:themeColor="text1"/>
                <w:sz w:val="24"/>
                <w:highlight w:val="none"/>
                <w:lang w:val="en-US" w:eastAsia="zh-CN"/>
                <w14:textFill>
                  <w14:solidFill>
                    <w14:schemeClr w14:val="tx1"/>
                  </w14:solidFill>
                </w14:textFill>
              </w:rPr>
              <w:t>参照河南省招标投标协会关于印发《河南省招标代理服务收费指导意见》的通知（豫招协[2023]002号）的规定以现金或转账形式交纳。</w:t>
            </w:r>
          </w:p>
        </w:tc>
      </w:tr>
      <w:tr w14:paraId="1387B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6E80E3EF">
            <w:pPr>
              <w:keepNext w:val="0"/>
              <w:keepLines w:val="0"/>
              <w:pageBreakBefore w:val="0"/>
              <w:kinsoku/>
              <w:wordWrap w:val="0"/>
              <w:overflowPunct/>
              <w:topLinePunct w:val="0"/>
              <w:bidi w:val="0"/>
              <w:spacing w:line="240" w:lineRule="atLeast"/>
              <w:jc w:val="both"/>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电子</w:t>
            </w:r>
            <w:r>
              <w:rPr>
                <w:rFonts w:hint="eastAsia" w:ascii="宋体" w:hAnsi="宋体" w:eastAsia="宋体" w:cs="宋体"/>
                <w:color w:val="000000" w:themeColor="text1"/>
                <w:sz w:val="24"/>
                <w:highlight w:val="none"/>
                <w:lang w:eastAsia="zh-CN"/>
                <w14:textFill>
                  <w14:solidFill>
                    <w14:schemeClr w14:val="tx1"/>
                  </w14:solidFill>
                </w14:textFill>
              </w:rPr>
              <w:t>投标文件</w:t>
            </w:r>
          </w:p>
          <w:p w14:paraId="78DFA9C7">
            <w:pPr>
              <w:keepNext w:val="0"/>
              <w:keepLines w:val="0"/>
              <w:pageBreakBefore w:val="0"/>
              <w:kinsoku/>
              <w:wordWrap w:val="0"/>
              <w:overflowPunct/>
              <w:topLinePunct w:val="0"/>
              <w:bidi w:val="0"/>
              <w:spacing w:line="240" w:lineRule="atLeas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递交</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4AF48411">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1.投标人应在南阳市公共资源交易中心交易系统下载“电子投标文件制作工具”，并按照招标文件要求编制和上传递交加密的电子投标文件。投标人上传时必须得到系统“上传成功”的确认回复，并认真检查电子投标文件是否完整、正确。递交网址：</w:t>
            </w:r>
            <w:r>
              <w:rPr>
                <w:rFonts w:hint="eastAsia" w:ascii="宋体" w:hAnsi="宋体" w:eastAsia="宋体" w:cs="宋体"/>
                <w:color w:val="000000" w:themeColor="text1"/>
                <w:sz w:val="24"/>
                <w:highlight w:val="none"/>
                <w14:textFill>
                  <w14:solidFill>
                    <w14:schemeClr w14:val="tx1"/>
                  </w14:solidFill>
                </w14:textFill>
              </w:rPr>
              <w:t>http://ggzyjyzx.neixiangxian.gov.cn/</w:t>
            </w: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w:t>
            </w:r>
          </w:p>
          <w:p w14:paraId="25306B43">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2.投标人的电子投标文件应在招标文件规定的投标文件递交截止时间前到达交易系统。逾期到达交易系统的电子投标文件视为放弃参加本项目采购。</w:t>
            </w:r>
          </w:p>
          <w:p w14:paraId="0D0A78BB">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3.投标人所递交的电子投标文件在投标文件递交截止时间之后不予退回。</w:t>
            </w:r>
          </w:p>
        </w:tc>
      </w:tr>
      <w:tr w14:paraId="24778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61F2E3B5">
            <w:pPr>
              <w:spacing w:line="240" w:lineRule="auto"/>
              <w:ind w:left="18" w:leftChars="0"/>
              <w:jc w:val="cente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递交电子投标文件地点</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4F1F21D5">
            <w:pPr>
              <w:spacing w:line="360" w:lineRule="auto"/>
              <w:jc w:val="left"/>
              <w:rPr>
                <w:rFonts w:hint="eastAsia" w:ascii="宋体" w:hAnsi="宋体" w:eastAsia="宋体" w:cs="宋体"/>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《全国公共资源交易平台(河南省·南阳内乡分平台)》</w:t>
            </w:r>
          </w:p>
        </w:tc>
      </w:tr>
      <w:tr w14:paraId="7D2FF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3A56751">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开标时间</w:t>
            </w:r>
          </w:p>
          <w:p w14:paraId="326C3A19">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和地点</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340C37C6">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开标时间：电子投标文件递交截止时间</w:t>
            </w:r>
          </w:p>
          <w:p w14:paraId="0E079215">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开标地点：</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《全国公共资源交易平台(河南省·南阳内乡分平台)》</w:t>
            </w:r>
            <w:bookmarkStart w:id="30" w:name="_GoBack"/>
            <w:bookmarkEnd w:id="30"/>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不见面开标大厅</w:t>
            </w:r>
          </w:p>
          <w:p w14:paraId="1808208E">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注：（1）该项目需要使用不见面开标，投标人无需前往现场参与投标。各投标人根据手册要求，提前做好相关准备工作。附件：操作手册地址(下载专区中自行下载)、不见面开标大厅地址</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https://ggzyjy.nanyang.gov.cn/BidOpening/bidopeninghallaction/hall/login</w:t>
            </w: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w:t>
            </w:r>
          </w:p>
          <w:p w14:paraId="02C7A890">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2）该项目自行上传投标文件，无需寄送和递交非加密投标文件光盘等。需要注意开标前登录不见面系统；电子投标文件应在采购文件规定的投标截止时间前到达交易系统，逾期到达交易系统的电子投标文件视为放弃本次投标，采购人不予受理。</w:t>
            </w:r>
          </w:p>
          <w:p w14:paraId="3C4D641F">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（3）因投标人无需现场参与开标，所有准备工作需要自行到位。开标过程中如遇到紧急事项，可在不见面开标大厅中进行提出异议或文字交流，严重问题可拨打技术支持电话0512-58188538。</w:t>
            </w:r>
          </w:p>
          <w:p w14:paraId="7DE842BA">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（4）不见面开标过程中，如投标人准备不到位，造成无法及时解密、网络问题等情况造成开标无法继续的，视为该投标人自动放弃投标（30分钟内），将被退回投标文件。</w:t>
            </w:r>
          </w:p>
          <w:p w14:paraId="544675B1">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（5）二次报价时间及报价注意事项：请供应商在签到结束后，时刻注意系统提示信息，磋商小组会在系统上发起二次报价，请供应商及时在规定的时间段内填报二次报价。最后报价结束后方可离开。</w:t>
            </w:r>
          </w:p>
        </w:tc>
      </w:tr>
      <w:tr w14:paraId="36ADB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FC8B746">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评标委员会</w:t>
            </w:r>
            <w:r>
              <w:rPr>
                <w:rFonts w:hint="eastAsia" w:ascii="宋体" w:hAnsi="宋体" w:eastAsia="宋体" w:cs="宋体"/>
                <w:color w:val="000000" w:themeColor="text1"/>
                <w:sz w:val="24"/>
                <w:szCs w:val="24"/>
                <w:highlight w:val="none"/>
                <w14:textFill>
                  <w14:solidFill>
                    <w14:schemeClr w14:val="tx1"/>
                  </w14:solidFill>
                </w14:textFill>
              </w:rPr>
              <w:t>的组建</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4FE253EC">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依照国家相关法律法规由采购人代表</w:t>
            </w:r>
            <w:r>
              <w:rPr>
                <w:rFonts w:hint="eastAsia" w:ascii="宋体" w:hAnsi="宋体" w:eastAsia="宋体" w:cs="宋体"/>
                <w:color w:val="000000" w:themeColor="text1"/>
                <w:sz w:val="24"/>
                <w:szCs w:val="24"/>
                <w:highlight w:val="none"/>
                <w:lang w:val="en-US" w:eastAsia="zh-CN"/>
                <w14:textFill>
                  <w14:solidFill>
                    <w14:schemeClr w14:val="tx1"/>
                  </w14:solidFill>
                </w14:textFill>
              </w:rPr>
              <w:t>1人</w:t>
            </w:r>
            <w:r>
              <w:rPr>
                <w:rFonts w:hint="eastAsia" w:ascii="宋体" w:hAnsi="宋体" w:eastAsia="宋体" w:cs="宋体"/>
                <w:color w:val="000000" w:themeColor="text1"/>
                <w:sz w:val="24"/>
                <w:szCs w:val="24"/>
                <w:highlight w:val="none"/>
                <w14:textFill>
                  <w14:solidFill>
                    <w14:schemeClr w14:val="tx1"/>
                  </w14:solidFill>
                </w14:textFill>
              </w:rPr>
              <w:t>和有关</w:t>
            </w:r>
            <w:r>
              <w:rPr>
                <w:rFonts w:hint="eastAsia" w:ascii="宋体" w:hAnsi="宋体" w:eastAsia="宋体" w:cs="宋体"/>
                <w:color w:val="000000" w:themeColor="text1"/>
                <w:sz w:val="24"/>
                <w:szCs w:val="24"/>
                <w:highlight w:val="none"/>
                <w:lang w:eastAsia="zh-CN"/>
                <w14:textFill>
                  <w14:solidFill>
                    <w14:schemeClr w14:val="tx1"/>
                  </w14:solidFill>
                </w14:textFill>
              </w:rPr>
              <w:t>经济、</w:t>
            </w:r>
            <w:r>
              <w:rPr>
                <w:rFonts w:hint="eastAsia" w:ascii="宋体" w:hAnsi="宋体" w:eastAsia="宋体" w:cs="宋体"/>
                <w:color w:val="000000" w:themeColor="text1"/>
                <w:sz w:val="24"/>
                <w:szCs w:val="24"/>
                <w:highlight w:val="none"/>
                <w14:textFill>
                  <w14:solidFill>
                    <w14:schemeClr w14:val="tx1"/>
                  </w14:solidFill>
                </w14:textFill>
              </w:rPr>
              <w:t>技术</w:t>
            </w:r>
            <w:r>
              <w:rPr>
                <w:rFonts w:hint="eastAsia" w:ascii="宋体" w:hAnsi="宋体" w:eastAsia="宋体" w:cs="宋体"/>
                <w:color w:val="000000" w:themeColor="text1"/>
                <w:sz w:val="24"/>
                <w:szCs w:val="24"/>
                <w:highlight w:val="none"/>
                <w:lang w:eastAsia="zh-CN"/>
                <w14:textFill>
                  <w14:solidFill>
                    <w14:schemeClr w14:val="tx1"/>
                  </w14:solidFill>
                </w14:textFill>
              </w:rPr>
              <w:t>方面专家</w:t>
            </w:r>
            <w:r>
              <w:rPr>
                <w:rFonts w:hint="eastAsia" w:ascii="宋体" w:hAnsi="宋体" w:eastAsia="宋体" w:cs="宋体"/>
                <w:color w:val="000000" w:themeColor="text1"/>
                <w:sz w:val="24"/>
                <w:szCs w:val="24"/>
                <w:highlight w:val="none"/>
                <w:lang w:val="en-US" w:eastAsia="zh-CN"/>
                <w14:textFill>
                  <w14:solidFill>
                    <w14:schemeClr w14:val="tx1"/>
                  </w14:solidFill>
                </w14:textFill>
              </w:rPr>
              <w:t>2人</w:t>
            </w:r>
            <w:r>
              <w:rPr>
                <w:rFonts w:hint="eastAsia" w:ascii="宋体" w:hAnsi="宋体" w:eastAsia="宋体" w:cs="宋体"/>
                <w:color w:val="000000" w:themeColor="text1"/>
                <w:sz w:val="24"/>
                <w:szCs w:val="24"/>
                <w:highlight w:val="none"/>
                <w:lang w:eastAsia="zh-CN"/>
                <w14:textFill>
                  <w14:solidFill>
                    <w14:schemeClr w14:val="tx1"/>
                  </w14:solidFill>
                </w14:textFill>
              </w:rPr>
              <w:t>，共</w:t>
            </w:r>
            <w:r>
              <w:rPr>
                <w:rFonts w:hint="eastAsia" w:ascii="宋体" w:hAnsi="宋体" w:eastAsia="宋体" w:cs="宋体"/>
                <w:color w:val="000000" w:themeColor="text1"/>
                <w:sz w:val="24"/>
                <w:szCs w:val="24"/>
                <w:highlight w:val="none"/>
                <w:lang w:val="en-US" w:eastAsia="zh-CN"/>
                <w14:textFill>
                  <w14:solidFill>
                    <w14:schemeClr w14:val="tx1"/>
                  </w14:solidFill>
                </w14:textFill>
              </w:rPr>
              <w:t>3人</w:t>
            </w:r>
            <w:r>
              <w:rPr>
                <w:rFonts w:hint="eastAsia" w:ascii="宋体" w:hAnsi="宋体" w:eastAsia="宋体" w:cs="宋体"/>
                <w:color w:val="000000" w:themeColor="text1"/>
                <w:sz w:val="24"/>
                <w:szCs w:val="24"/>
                <w:highlight w:val="none"/>
                <w14:textFill>
                  <w14:solidFill>
                    <w14:schemeClr w14:val="tx1"/>
                  </w14:solidFill>
                </w14:textFill>
              </w:rPr>
              <w:t>组建。</w:t>
            </w:r>
          </w:p>
        </w:tc>
      </w:tr>
      <w:tr w14:paraId="17532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65D87E5E">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制作器码相似度</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38B99EC7">
            <w:pPr>
              <w:keepNext w:val="0"/>
              <w:keepLines w:val="0"/>
              <w:pageBreakBefore w:val="0"/>
              <w:widowControl/>
              <w:kinsoku/>
              <w:wordWrap w:val="0"/>
              <w:overflowPunct/>
              <w:topLinePunct w:val="0"/>
              <w:autoSpaceDE/>
              <w:autoSpaceDN/>
              <w:bidi w:val="0"/>
              <w:adjustRightInd/>
              <w:snapToGrid/>
              <w:jc w:val="both"/>
              <w:textAlignment w:val="auto"/>
              <w:rPr>
                <w:rFonts w:hint="eastAsia" w:ascii="宋体" w:hAnsi="宋体" w:eastAsia="宋体" w:cs="宋体"/>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依据豫发改公管</w:t>
            </w:r>
            <w:r>
              <w:rPr>
                <w:rFonts w:hint="eastAsia" w:ascii="宋体" w:hAnsi="宋体" w:eastAsia="宋体" w:cs="宋体"/>
                <w:color w:val="000000" w:themeColor="text1"/>
                <w:kern w:val="0"/>
                <w:sz w:val="24"/>
                <w:szCs w:val="24"/>
                <w:highlight w:val="none"/>
                <w14:textFill>
                  <w14:solidFill>
                    <w14:schemeClr w14:val="tx1"/>
                  </w14:solidFill>
                </w14:textFill>
              </w:rPr>
              <w:t>〔20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198号文要求，</w:t>
            </w:r>
            <w:r>
              <w:rPr>
                <w:rFonts w:hint="eastAsia" w:ascii="宋体" w:hAnsi="宋体" w:eastAsia="宋体" w:cs="宋体"/>
                <w:color w:val="000000" w:themeColor="text1"/>
                <w:sz w:val="24"/>
                <w:highlight w:val="none"/>
                <w:lang w:eastAsia="zh-CN"/>
                <w14:textFill>
                  <w14:solidFill>
                    <w14:schemeClr w14:val="tx1"/>
                  </w14:solidFill>
                </w14:textFill>
              </w:rPr>
              <w:t>投标人投标文件</w:t>
            </w:r>
            <w:r>
              <w:rPr>
                <w:rFonts w:hint="eastAsia" w:ascii="宋体" w:hAnsi="宋体" w:eastAsia="宋体" w:cs="宋体"/>
                <w:color w:val="000000" w:themeColor="text1"/>
                <w:sz w:val="24"/>
                <w:highlight w:val="none"/>
                <w14:textFill>
                  <w14:solidFill>
                    <w14:schemeClr w14:val="tx1"/>
                  </w14:solidFill>
                </w14:textFill>
              </w:rPr>
              <w:t>制作器码一致视为串通投标行为，做废标处理，需</w:t>
            </w:r>
            <w:r>
              <w:rPr>
                <w:rFonts w:hint="eastAsia" w:ascii="宋体" w:hAnsi="宋体" w:eastAsia="宋体" w:cs="宋体"/>
                <w:color w:val="000000" w:themeColor="text1"/>
                <w:sz w:val="24"/>
                <w:highlight w:val="none"/>
                <w:lang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自行承担责任。</w:t>
            </w:r>
          </w:p>
        </w:tc>
      </w:tr>
      <w:tr w14:paraId="60620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shd w:val="clear" w:color="auto" w:fill="auto"/>
            <w:noWrap w:val="0"/>
            <w:vAlign w:val="center"/>
          </w:tcPr>
          <w:p w14:paraId="183C1C65">
            <w:pPr>
              <w:spacing w:line="360" w:lineRule="auto"/>
              <w:jc w:val="left"/>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*其他内容</w:t>
            </w:r>
          </w:p>
        </w:tc>
        <w:tc>
          <w:tcPr>
            <w:tcW w:w="7305" w:type="dxa"/>
            <w:tcBorders>
              <w:top w:val="single" w:color="auto" w:sz="6" w:space="0"/>
              <w:left w:val="single" w:color="auto" w:sz="6" w:space="0"/>
              <w:bottom w:val="single" w:color="auto" w:sz="12" w:space="0"/>
              <w:right w:val="single" w:color="auto" w:sz="12" w:space="0"/>
            </w:tcBorders>
            <w:shd w:val="clear" w:color="auto" w:fill="auto"/>
            <w:noWrap w:val="0"/>
            <w:vAlign w:val="center"/>
          </w:tcPr>
          <w:p w14:paraId="3B8FBD8A">
            <w:pPr>
              <w:autoSpaceDE w:val="0"/>
              <w:autoSpaceDN w:val="0"/>
              <w:adjustRightInd w:val="0"/>
              <w:spacing w:line="240" w:lineRule="auto"/>
              <w:rPr>
                <w:rFonts w:hint="eastAsia" w:ascii="宋体" w:hAnsi="宋体" w:eastAsia="宋体" w:cs="宋体"/>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4"/>
                <w:kern w:val="0"/>
                <w:sz w:val="24"/>
                <w:szCs w:val="24"/>
                <w:highlight w:val="none"/>
                <w:lang w:val="en-US" w:eastAsia="zh-CN" w:bidi="ar-SA"/>
                <w14:textFill>
                  <w14:solidFill>
                    <w14:schemeClr w14:val="tx1"/>
                  </w14:solidFill>
                </w14:textFill>
              </w:rPr>
              <w:t>供应商履约完成后应及时向采购人提出验收申请，采购人应在供应商提出验收申请之日起6个工作日内完成验收。采购人可以邀请评委专家或代理机构或参加本项目的其他供应商或者第三方机构参与验收。若验收不合格将进行整改，直至验收合格，对验收过程中所产生的一切费用由中标单位承担。</w:t>
            </w:r>
          </w:p>
        </w:tc>
      </w:tr>
    </w:tbl>
    <w:p w14:paraId="67D79A3C">
      <w:pPr>
        <w:rPr>
          <w:rFonts w:hint="eastAsia" w:ascii="宋体" w:hAnsi="宋体" w:eastAsia="宋体" w:cs="宋体"/>
          <w:color w:val="000000" w:themeColor="text1"/>
          <w:spacing w:val="-1"/>
          <w:sz w:val="28"/>
          <w:szCs w:val="28"/>
          <w:highlight w:val="none"/>
          <w14:textOutline w14:w="1800"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1"/>
          <w:sz w:val="28"/>
          <w:szCs w:val="28"/>
          <w:highlight w:val="none"/>
          <w14:textOutline w14:w="1800" w14:cap="flat" w14:cmpd="sng">
            <w14:solidFill>
              <w14:srgbClr w14:val="000000"/>
            </w14:solidFill>
            <w14:prstDash w14:val="solid"/>
            <w14:miter w14:val="0"/>
          </w14:textOutline>
          <w14:textFill>
            <w14:solidFill>
              <w14:schemeClr w14:val="tx1"/>
            </w14:solidFill>
          </w14:textFill>
        </w:rPr>
        <w:br w:type="page"/>
      </w:r>
    </w:p>
    <w:p w14:paraId="6FAF01C6">
      <w:pPr>
        <w:pStyle w:val="5"/>
        <w:keepNext w:val="0"/>
        <w:keepLines w:val="0"/>
        <w:pageBreakBefore w:val="0"/>
        <w:widowControl w:val="0"/>
        <w:kinsoku/>
        <w:wordWrap/>
        <w:overflowPunct w:val="0"/>
        <w:topLinePunct w:val="0"/>
        <w:bidi w:val="0"/>
        <w:spacing w:before="91" w:line="360" w:lineRule="auto"/>
        <w:ind w:left="3844"/>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1"/>
          <w:sz w:val="28"/>
          <w:szCs w:val="28"/>
          <w:highlight w:val="none"/>
          <w14:textOutline w14:w="1800" w14:cap="flat" w14:cmpd="sng">
            <w14:solidFill>
              <w14:srgbClr w14:val="000000"/>
            </w14:solidFill>
            <w14:prstDash w14:val="solid"/>
            <w14:miter w14:val="0"/>
          </w14:textOutline>
          <w14:textFill>
            <w14:solidFill>
              <w14:schemeClr w14:val="tx1"/>
            </w14:solidFill>
          </w14:textFill>
        </w:rPr>
        <w:t>供应商须知</w:t>
      </w:r>
    </w:p>
    <w:p w14:paraId="3B33BBE4">
      <w:pPr>
        <w:pStyle w:val="5"/>
        <w:keepNext w:val="0"/>
        <w:keepLines w:val="0"/>
        <w:pageBreakBefore w:val="0"/>
        <w:widowControl w:val="0"/>
        <w:kinsoku/>
        <w:wordWrap/>
        <w:overflowPunct w:val="0"/>
        <w:topLinePunct w:val="0"/>
        <w:bidi w:val="0"/>
        <w:spacing w:before="270" w:line="360" w:lineRule="auto"/>
        <w:jc w:val="both"/>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0"/>
          <w:sz w:val="28"/>
          <w:szCs w:val="28"/>
          <w:highlight w:val="none"/>
          <w14:textOutline w14:w="1800" w14:cap="flat" w14:cmpd="sng">
            <w14:solidFill>
              <w14:srgbClr w14:val="000000"/>
            </w14:solidFill>
            <w14:prstDash w14:val="solid"/>
            <w14:miter w14:val="0"/>
          </w14:textOutline>
          <w14:textFill>
            <w14:solidFill>
              <w14:schemeClr w14:val="tx1"/>
            </w14:solidFill>
          </w14:textFill>
        </w:rPr>
        <w:t>一</w:t>
      </w:r>
      <w:r>
        <w:rPr>
          <w:rFonts w:hint="eastAsia" w:ascii="宋体" w:hAnsi="宋体" w:eastAsia="宋体" w:cs="宋体"/>
          <w:color w:val="000000" w:themeColor="text1"/>
          <w:spacing w:val="5"/>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10"/>
          <w:sz w:val="28"/>
          <w:szCs w:val="28"/>
          <w:highlight w:val="none"/>
          <w14:textOutline w14:w="1800" w14:cap="flat" w14:cmpd="sng">
            <w14:solidFill>
              <w14:srgbClr w14:val="000000"/>
            </w14:solidFill>
            <w14:prstDash w14:val="solid"/>
            <w14:miter w14:val="0"/>
          </w14:textOutline>
          <w14:textFill>
            <w14:solidFill>
              <w14:schemeClr w14:val="tx1"/>
            </w14:solidFill>
          </w14:textFill>
        </w:rPr>
        <w:t>说明</w:t>
      </w:r>
    </w:p>
    <w:p w14:paraId="71FAD5E3">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78" w:firstLineChars="20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1"/>
          <w:sz w:val="24"/>
          <w:szCs w:val="24"/>
          <w:highlight w:val="none"/>
          <w14:textFill>
            <w14:solidFill>
              <w14:schemeClr w14:val="tx1"/>
            </w14:solidFill>
          </w14:textFill>
        </w:rPr>
        <w:t>1</w:t>
      </w:r>
      <w:r>
        <w:rPr>
          <w:rFonts w:hint="eastAsia" w:ascii="宋体" w:hAnsi="宋体" w:eastAsia="宋体" w:cs="宋体"/>
          <w:b/>
          <w:bCs/>
          <w:color w:val="000000" w:themeColor="text1"/>
          <w:spacing w:val="-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pacing w:val="-1"/>
          <w:sz w:val="24"/>
          <w:szCs w:val="24"/>
          <w:highlight w:val="none"/>
          <w14:textFill>
            <w14:solidFill>
              <w14:schemeClr w14:val="tx1"/>
            </w14:solidFill>
          </w14:textFill>
        </w:rPr>
        <w:t>采购人、采购代理机构、</w:t>
      </w:r>
      <w:r>
        <w:rPr>
          <w:rFonts w:hint="eastAsia" w:ascii="宋体" w:hAnsi="宋体" w:eastAsia="宋体" w:cs="宋体"/>
          <w:b/>
          <w:bCs/>
          <w:color w:val="000000" w:themeColor="text1"/>
          <w:spacing w:val="-4"/>
          <w:sz w:val="24"/>
          <w:szCs w:val="24"/>
          <w:highlight w:val="none"/>
          <w:lang w:val="en-US" w:eastAsia="zh-CN"/>
          <w14:textFill>
            <w14:solidFill>
              <w14:schemeClr w14:val="tx1"/>
            </w14:solidFill>
          </w14:textFill>
        </w:rPr>
        <w:t>供应商</w:t>
      </w:r>
      <w:r>
        <w:rPr>
          <w:rFonts w:hint="eastAsia" w:ascii="宋体" w:hAnsi="宋体" w:eastAsia="宋体" w:cs="宋体"/>
          <w:b/>
          <w:bCs/>
          <w:color w:val="000000" w:themeColor="text1"/>
          <w:spacing w:val="-1"/>
          <w:sz w:val="24"/>
          <w:szCs w:val="24"/>
          <w:highlight w:val="none"/>
          <w14:textFill>
            <w14:solidFill>
              <w14:schemeClr w14:val="tx1"/>
            </w14:solidFill>
          </w14:textFill>
        </w:rPr>
        <w:t>、联合体</w:t>
      </w:r>
    </w:p>
    <w:p w14:paraId="21C71833">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8" w:firstLineChars="200"/>
        <w:jc w:val="both"/>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1.1</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采购人、采购代理机构：指依法进行政府采购的国家机关、事业单位、团体组织，及其委托的采购代理机构。本项目采购人、采购代理机构见第一章《</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竞争性磋商公告</w:t>
      </w:r>
      <w:r>
        <w:rPr>
          <w:rFonts w:hint="eastAsia" w:ascii="宋体" w:hAnsi="宋体" w:eastAsia="宋体" w:cs="宋体"/>
          <w:color w:val="000000" w:themeColor="text1"/>
          <w:spacing w:val="2"/>
          <w:sz w:val="24"/>
          <w:szCs w:val="24"/>
          <w:highlight w:val="none"/>
          <w14:textFill>
            <w14:solidFill>
              <w14:schemeClr w14:val="tx1"/>
            </w14:solidFill>
          </w14:textFill>
        </w:rPr>
        <w:t>》。</w:t>
      </w:r>
    </w:p>
    <w:p w14:paraId="7BE42A13">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8" w:firstLineChars="200"/>
        <w:jc w:val="both"/>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1.2</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供应商（也称申请人）：指向采购人</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提</w:t>
      </w:r>
      <w:r>
        <w:rPr>
          <w:rFonts w:hint="eastAsia" w:ascii="宋体" w:hAnsi="宋体" w:eastAsia="宋体" w:cs="宋体"/>
          <w:color w:val="000000" w:themeColor="text1"/>
          <w:spacing w:val="2"/>
          <w:sz w:val="24"/>
          <w:szCs w:val="24"/>
          <w:highlight w:val="none"/>
          <w14:textFill>
            <w14:solidFill>
              <w14:schemeClr w14:val="tx1"/>
            </w14:solidFill>
          </w14:textFill>
        </w:rPr>
        <w:t>供货物、工程或者服务的法人、其他组织或者自然人。</w:t>
      </w:r>
    </w:p>
    <w:p w14:paraId="60F8CFAB">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8"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1.3</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联合体：指两个以上的自然人、法人或者其他组织组成一个联合体，以一个供应商的身份共同参加政府采购。</w:t>
      </w:r>
    </w:p>
    <w:p w14:paraId="204A7CCD">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资金来源、项目属性、科研仪器设备采购</w:t>
      </w:r>
    </w:p>
    <w:p w14:paraId="4741796A">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2.1</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资金来源为财政性资金</w:t>
      </w:r>
      <w:r>
        <w:rPr>
          <w:rFonts w:hint="eastAsia" w:ascii="宋体" w:hAnsi="宋体" w:eastAsia="宋体" w:cs="宋体"/>
          <w:color w:val="000000" w:themeColor="text1"/>
          <w:spacing w:val="-9"/>
          <w:sz w:val="24"/>
          <w:szCs w:val="24"/>
          <w:highlight w:val="none"/>
          <w14:textFill>
            <w14:solidFill>
              <w14:schemeClr w14:val="tx1"/>
            </w14:solidFill>
          </w14:textFill>
        </w:rPr>
        <w:t>。</w:t>
      </w:r>
    </w:p>
    <w:p w14:paraId="6B02EF62">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8" w:firstLineChars="200"/>
        <w:jc w:val="both"/>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2.2</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项目属性见《</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须知表</w:t>
      </w:r>
      <w:r>
        <w:rPr>
          <w:rFonts w:hint="eastAsia" w:ascii="宋体" w:hAnsi="宋体" w:eastAsia="宋体" w:cs="宋体"/>
          <w:color w:val="000000" w:themeColor="text1"/>
          <w:spacing w:val="2"/>
          <w:sz w:val="24"/>
          <w:szCs w:val="24"/>
          <w:highlight w:val="none"/>
          <w14:textFill>
            <w14:solidFill>
              <w14:schemeClr w14:val="tx1"/>
            </w14:solidFill>
          </w14:textFill>
        </w:rPr>
        <w:t>》。</w:t>
      </w:r>
    </w:p>
    <w:p w14:paraId="3C106B3F">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8" w:firstLineChars="200"/>
        <w:jc w:val="both"/>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2.3</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是否属于科研仪器设备采购见《</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须知表</w:t>
      </w:r>
      <w:r>
        <w:rPr>
          <w:rFonts w:hint="eastAsia" w:ascii="宋体" w:hAnsi="宋体" w:eastAsia="宋体" w:cs="宋体"/>
          <w:color w:val="000000" w:themeColor="text1"/>
          <w:spacing w:val="2"/>
          <w:sz w:val="24"/>
          <w:szCs w:val="24"/>
          <w:highlight w:val="none"/>
          <w14:textFill>
            <w14:solidFill>
              <w14:schemeClr w14:val="tx1"/>
            </w14:solidFill>
          </w14:textFill>
        </w:rPr>
        <w:t>》。</w:t>
      </w:r>
    </w:p>
    <w:p w14:paraId="14A230D8">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现场考察、开标前答疑会</w:t>
      </w:r>
    </w:p>
    <w:p w14:paraId="64F3DD5E">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92"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3.1</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若《</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须知表</w:t>
      </w:r>
      <w:r>
        <w:rPr>
          <w:rFonts w:hint="eastAsia" w:ascii="宋体" w:hAnsi="宋体" w:eastAsia="宋体" w:cs="宋体"/>
          <w:color w:val="000000" w:themeColor="text1"/>
          <w:spacing w:val="3"/>
          <w:sz w:val="24"/>
          <w:szCs w:val="24"/>
          <w:highlight w:val="none"/>
          <w14:textFill>
            <w14:solidFill>
              <w14:schemeClr w14:val="tx1"/>
            </w14:solidFill>
          </w14:textFill>
        </w:rPr>
        <w:t>》中规定了组</w:t>
      </w:r>
      <w:r>
        <w:rPr>
          <w:rFonts w:hint="eastAsia" w:ascii="宋体" w:hAnsi="宋体" w:eastAsia="宋体" w:cs="宋体"/>
          <w:color w:val="000000" w:themeColor="text1"/>
          <w:spacing w:val="2"/>
          <w:sz w:val="24"/>
          <w:szCs w:val="24"/>
          <w:highlight w:val="none"/>
          <w14:textFill>
            <w14:solidFill>
              <w14:schemeClr w14:val="tx1"/>
            </w14:solidFill>
          </w14:textFill>
        </w:rPr>
        <w:t>织现场考察、召开</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2"/>
          <w:sz w:val="24"/>
          <w:szCs w:val="24"/>
          <w:highlight w:val="none"/>
          <w14:textFill>
            <w14:solidFill>
              <w14:schemeClr w14:val="tx1"/>
            </w14:solidFill>
          </w14:textFill>
        </w:rPr>
        <w:t>前答疑会，则供应商</w:t>
      </w:r>
      <w:r>
        <w:rPr>
          <w:rFonts w:hint="eastAsia" w:ascii="宋体" w:hAnsi="宋体" w:eastAsia="宋体" w:cs="宋体"/>
          <w:color w:val="000000" w:themeColor="text1"/>
          <w:spacing w:val="-3"/>
          <w:sz w:val="24"/>
          <w:szCs w:val="24"/>
          <w:highlight w:val="none"/>
          <w14:textFill>
            <w14:solidFill>
              <w14:schemeClr w14:val="tx1"/>
            </w14:solidFill>
          </w14:textFill>
        </w:rPr>
        <w:t>应按要求在规定的时间和地点参加。</w:t>
      </w:r>
    </w:p>
    <w:p w14:paraId="68F2F0C2">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8" w:firstLineChars="200"/>
        <w:jc w:val="both"/>
        <w:textAlignment w:val="baseline"/>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3.2</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由于未参加现场考察或</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2"/>
          <w:sz w:val="24"/>
          <w:szCs w:val="24"/>
          <w:highlight w:val="none"/>
          <w14:textFill>
            <w14:solidFill>
              <w14:schemeClr w14:val="tx1"/>
            </w14:solidFill>
          </w14:textFill>
        </w:rPr>
        <w:t>前答疑会而导致对项目实际情况不了解，影响</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pacing w:val="2"/>
          <w:sz w:val="24"/>
          <w:szCs w:val="24"/>
          <w:highlight w:val="none"/>
          <w14:textFill>
            <w14:solidFill>
              <w14:schemeClr w14:val="tx1"/>
            </w14:solidFill>
          </w14:textFill>
        </w:rPr>
        <w:t>文件编制、</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2"/>
          <w:sz w:val="24"/>
          <w:szCs w:val="24"/>
          <w:highlight w:val="none"/>
          <w14:textFill>
            <w14:solidFill>
              <w14:schemeClr w14:val="tx1"/>
            </w14:solidFill>
          </w14:textFill>
        </w:rPr>
        <w:t>报价准确性、综合因素响应不全面等问题的，由</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pacing w:val="2"/>
          <w:sz w:val="24"/>
          <w:szCs w:val="24"/>
          <w:highlight w:val="none"/>
          <w14:textFill>
            <w14:solidFill>
              <w14:schemeClr w14:val="tx1"/>
            </w14:solidFill>
          </w14:textFill>
        </w:rPr>
        <w:t>自行承担不利评审后果。</w:t>
      </w:r>
    </w:p>
    <w:p w14:paraId="05CD3B60">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2" w:firstLineChars="20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szCs w:val="24"/>
          <w:highlight w:val="none"/>
          <w14:textFill>
            <w14:solidFill>
              <w14:schemeClr w14:val="tx1"/>
            </w14:solidFill>
          </w14:textFill>
        </w:rPr>
        <w:t>政府采购政策（包括但不限于下列具体政策要求）</w:t>
      </w:r>
    </w:p>
    <w:p w14:paraId="02B2246D">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sz w:val="24"/>
          <w:szCs w:val="24"/>
          <w:highlight w:val="none"/>
          <w14:textFill>
            <w14:solidFill>
              <w14:schemeClr w14:val="tx1"/>
            </w14:solidFill>
          </w14:textFill>
        </w:rPr>
        <w:t>.1</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采购本国货物、工程和服务</w:t>
      </w:r>
    </w:p>
    <w:p w14:paraId="694E2666">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76" w:firstLineChars="200"/>
        <w:jc w:val="both"/>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sz w:val="24"/>
          <w:szCs w:val="24"/>
          <w:highlight w:val="none"/>
          <w14:textFill>
            <w14:solidFill>
              <w14:schemeClr w14:val="tx1"/>
            </w14:solidFill>
          </w14:textFill>
        </w:rPr>
        <w:t>.1.1</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政府采购应当采购本国货物、工程和服务。但有《中华人民共和国政府采购法》第十条规定情形的除外。</w:t>
      </w:r>
    </w:p>
    <w:p w14:paraId="610BAD5C">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4"/>
          <w:sz w:val="24"/>
          <w:szCs w:val="24"/>
          <w:highlight w:val="none"/>
          <w14:textFill>
            <w14:solidFill>
              <w14:schemeClr w14:val="tx1"/>
            </w14:solidFill>
          </w14:textFill>
        </w:rPr>
        <w:t>.1.2</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本项目如接受非本国货</w:t>
      </w:r>
      <w:r>
        <w:rPr>
          <w:rFonts w:hint="eastAsia" w:ascii="宋体" w:hAnsi="宋体" w:eastAsia="宋体" w:cs="宋体"/>
          <w:color w:val="000000" w:themeColor="text1"/>
          <w:spacing w:val="-5"/>
          <w:sz w:val="24"/>
          <w:szCs w:val="24"/>
          <w:highlight w:val="none"/>
          <w14:textFill>
            <w14:solidFill>
              <w14:schemeClr w14:val="tx1"/>
            </w14:solidFill>
          </w14:textFill>
        </w:rPr>
        <w:t>物、工程、服务参与</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5"/>
          <w:sz w:val="24"/>
          <w:szCs w:val="24"/>
          <w:highlight w:val="none"/>
          <w14:textFill>
            <w14:solidFill>
              <w14:schemeClr w14:val="tx1"/>
            </w14:solidFill>
          </w14:textFill>
        </w:rPr>
        <w:t>，则具体要求见第</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pacing w:val="-19"/>
          <w:sz w:val="24"/>
          <w:szCs w:val="24"/>
          <w:highlight w:val="none"/>
          <w14:textFill>
            <w14:solidFill>
              <w14:schemeClr w14:val="tx1"/>
            </w14:solidFill>
          </w14:textFill>
        </w:rPr>
        <w:t>章《采购需求》。</w:t>
      </w:r>
    </w:p>
    <w:p w14:paraId="68588ABE">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504"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6"/>
          <w:sz w:val="24"/>
          <w:szCs w:val="24"/>
          <w:highlight w:val="none"/>
          <w14:textFill>
            <w14:solidFill>
              <w14:schemeClr w14:val="tx1"/>
            </w14:solidFill>
          </w14:textFill>
        </w:rPr>
        <w:t>.1.3</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进口产品指通过中国海关</w:t>
      </w:r>
      <w:r>
        <w:rPr>
          <w:rFonts w:hint="eastAsia" w:ascii="宋体" w:hAnsi="宋体" w:eastAsia="宋体" w:cs="宋体"/>
          <w:color w:val="000000" w:themeColor="text1"/>
          <w:spacing w:val="5"/>
          <w:sz w:val="24"/>
          <w:szCs w:val="24"/>
          <w:highlight w:val="none"/>
          <w14:textFill>
            <w14:solidFill>
              <w14:schemeClr w14:val="tx1"/>
            </w14:solidFill>
          </w14:textFill>
        </w:rPr>
        <w:t>报关验放进入中国境内且产自关境外的产</w:t>
      </w:r>
      <w:r>
        <w:rPr>
          <w:rFonts w:hint="eastAsia" w:ascii="宋体" w:hAnsi="宋体" w:eastAsia="宋体" w:cs="宋体"/>
          <w:color w:val="000000" w:themeColor="text1"/>
          <w:spacing w:val="-5"/>
          <w:sz w:val="24"/>
          <w:szCs w:val="24"/>
          <w:highlight w:val="none"/>
          <w14:textFill>
            <w14:solidFill>
              <w14:schemeClr w14:val="tx1"/>
            </w14:solidFill>
          </w14:textFill>
        </w:rPr>
        <w:t>品，包括已经进入中国境内的进口产品。关于进口产品的相关规定依据《政府采购进口产品管理办法》（财库〔2007〕119号文）、《关</w:t>
      </w:r>
      <w:r>
        <w:rPr>
          <w:rFonts w:hint="eastAsia" w:ascii="宋体" w:hAnsi="宋体" w:eastAsia="宋体" w:cs="宋体"/>
          <w:color w:val="000000" w:themeColor="text1"/>
          <w:spacing w:val="5"/>
          <w:sz w:val="24"/>
          <w:szCs w:val="24"/>
          <w:highlight w:val="none"/>
          <w14:textFill>
            <w14:solidFill>
              <w14:schemeClr w14:val="tx1"/>
            </w14:solidFill>
          </w14:textFill>
        </w:rPr>
        <w:t>于政府采购进口产品管理有关问题的通知》（财办库〔</w:t>
      </w:r>
      <w:r>
        <w:rPr>
          <w:rFonts w:hint="eastAsia" w:ascii="宋体" w:hAnsi="宋体" w:eastAsia="宋体" w:cs="宋体"/>
          <w:color w:val="000000" w:themeColor="text1"/>
          <w:spacing w:val="4"/>
          <w:sz w:val="24"/>
          <w:szCs w:val="24"/>
          <w:highlight w:val="none"/>
          <w14:textFill>
            <w14:solidFill>
              <w14:schemeClr w14:val="tx1"/>
            </w14:solidFill>
          </w14:textFill>
        </w:rPr>
        <w:t>2008〕248</w:t>
      </w:r>
      <w:r>
        <w:rPr>
          <w:rFonts w:hint="eastAsia" w:ascii="宋体" w:hAnsi="宋体" w:eastAsia="宋体" w:cs="宋体"/>
          <w:color w:val="000000" w:themeColor="text1"/>
          <w:spacing w:val="-38"/>
          <w:sz w:val="24"/>
          <w:szCs w:val="24"/>
          <w:highlight w:val="none"/>
          <w14:textFill>
            <w14:solidFill>
              <w14:schemeClr w14:val="tx1"/>
            </w14:solidFill>
          </w14:textFill>
        </w:rPr>
        <w:t>号文）</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以及南阳市财政局的具体规定</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7C1D7C0B">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sz w:val="24"/>
          <w:szCs w:val="24"/>
          <w:highlight w:val="none"/>
          <w14:textFill>
            <w14:solidFill>
              <w14:schemeClr w14:val="tx1"/>
            </w14:solidFill>
          </w14:textFill>
        </w:rPr>
        <w:t>.2</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中小企业、监狱企业及残疾人福利性单位</w:t>
      </w:r>
    </w:p>
    <w:p w14:paraId="60F3C539">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right="0" w:firstLine="472"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2"/>
          <w:sz w:val="24"/>
          <w:szCs w:val="24"/>
          <w:highlight w:val="none"/>
          <w14:textFill>
            <w14:solidFill>
              <w14:schemeClr w14:val="tx1"/>
            </w14:solidFill>
          </w14:textFill>
        </w:rPr>
        <w:t>.2.1</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中小企业定义：</w:t>
      </w:r>
    </w:p>
    <w:p w14:paraId="18944E7A">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right="0" w:firstLine="464" w:firstLineChars="200"/>
        <w:jc w:val="both"/>
        <w:textAlignment w:val="baseline"/>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4"/>
          <w:sz w:val="24"/>
          <w:szCs w:val="24"/>
          <w:highlight w:val="none"/>
          <w14:textFill>
            <w14:solidFill>
              <w14:schemeClr w14:val="tx1"/>
            </w14:solidFill>
          </w14:textFill>
        </w:rPr>
        <w:instrText xml:space="preserve">HYPERLINK"5.2.1.1"</w:instrText>
      </w:r>
      <w:r>
        <w:rPr>
          <w:rFonts w:hint="eastAsia" w:ascii="宋体" w:hAnsi="宋体" w:eastAsia="宋体" w:cs="宋体"/>
          <w:color w:val="000000" w:themeColor="text1"/>
          <w:spacing w:val="-4"/>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4"/>
          <w:sz w:val="24"/>
          <w:szCs w:val="24"/>
          <w:highlight w:val="none"/>
          <w14:textFill>
            <w14:solidFill>
              <w14:schemeClr w14:val="tx1"/>
            </w14:solidFill>
          </w14:textFill>
        </w:rPr>
        <w:t>.2.1.1</w:t>
      </w:r>
      <w:r>
        <w:rPr>
          <w:rFonts w:hint="eastAsia" w:ascii="宋体" w:hAnsi="宋体" w:eastAsia="宋体" w:cs="宋体"/>
          <w:color w:val="000000" w:themeColor="text1"/>
          <w:spacing w:val="-4"/>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执行</w:t>
      </w:r>
      <w:r>
        <w:rPr>
          <w:rFonts w:hint="eastAsia" w:ascii="宋体" w:hAnsi="宋体" w:eastAsia="宋体" w:cs="宋体"/>
          <w:color w:val="000000" w:themeColor="text1"/>
          <w:spacing w:val="-4"/>
          <w:sz w:val="24"/>
          <w:szCs w:val="24"/>
          <w:highlight w:val="none"/>
          <w14:textFill>
            <w14:solidFill>
              <w14:schemeClr w14:val="tx1"/>
            </w14:solidFill>
          </w14:textFill>
        </w:rPr>
        <w:t>。</w:t>
      </w:r>
    </w:p>
    <w:p w14:paraId="7890BD66">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right="0" w:firstLine="464" w:firstLineChars="200"/>
        <w:jc w:val="both"/>
        <w:textAlignment w:val="baseline"/>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4"/>
          <w:sz w:val="24"/>
          <w:szCs w:val="24"/>
          <w:highlight w:val="none"/>
          <w14:textFill>
            <w14:solidFill>
              <w14:schemeClr w14:val="tx1"/>
            </w14:solidFill>
          </w14:textFill>
        </w:rPr>
        <w:instrText xml:space="preserve">HYPERLINK"5.2.1.2"</w:instrText>
      </w:r>
      <w:r>
        <w:rPr>
          <w:rFonts w:hint="eastAsia" w:ascii="宋体" w:hAnsi="宋体" w:eastAsia="宋体" w:cs="宋体"/>
          <w:color w:val="000000" w:themeColor="text1"/>
          <w:spacing w:val="-4"/>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4"/>
          <w:sz w:val="24"/>
          <w:szCs w:val="24"/>
          <w:highlight w:val="none"/>
          <w14:textFill>
            <w14:solidFill>
              <w14:schemeClr w14:val="tx1"/>
            </w14:solidFill>
          </w14:textFill>
        </w:rPr>
        <w:t>.2.1.2</w:t>
      </w:r>
      <w:r>
        <w:rPr>
          <w:rFonts w:hint="eastAsia" w:ascii="宋体" w:hAnsi="宋体" w:eastAsia="宋体" w:cs="宋体"/>
          <w:color w:val="000000" w:themeColor="text1"/>
          <w:spacing w:val="-4"/>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供应商</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提</w:t>
      </w:r>
      <w:r>
        <w:rPr>
          <w:rFonts w:hint="eastAsia" w:ascii="宋体" w:hAnsi="宋体" w:eastAsia="宋体" w:cs="宋体"/>
          <w:color w:val="000000" w:themeColor="text1"/>
          <w:spacing w:val="-4"/>
          <w:sz w:val="24"/>
          <w:szCs w:val="24"/>
          <w:highlight w:val="none"/>
          <w14:textFill>
            <w14:solidFill>
              <w14:schemeClr w14:val="tx1"/>
            </w14:solidFill>
          </w14:textFill>
        </w:rPr>
        <w:t>供的货物、工程或者服务符合下列情形的，享受中小企业扶持政策：</w:t>
      </w:r>
    </w:p>
    <w:p w14:paraId="1D2E2058">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right="0" w:firstLine="464" w:firstLineChars="200"/>
        <w:jc w:val="both"/>
        <w:textAlignment w:val="baseline"/>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（1）在货物采购项目中，货物由中小企业制造，即货物由中小企业生产且使用该中小企业商号或者注册商标；</w:t>
      </w:r>
    </w:p>
    <w:p w14:paraId="41A1C5B6">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right="0" w:firstLine="464" w:firstLineChars="200"/>
        <w:jc w:val="both"/>
        <w:textAlignment w:val="baseline"/>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（2）在工程采购项目中，工程由中小企业承建，即工程施工单位为中小企业；</w:t>
      </w:r>
    </w:p>
    <w:p w14:paraId="1035D2EC">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right="0" w:firstLine="464" w:firstLineChars="200"/>
        <w:jc w:val="both"/>
        <w:textAlignment w:val="baseline"/>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（3）在服务采购项目中，服务由中小企业承接，即</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提</w:t>
      </w:r>
      <w:r>
        <w:rPr>
          <w:rFonts w:hint="eastAsia" w:ascii="宋体" w:hAnsi="宋体" w:eastAsia="宋体" w:cs="宋体"/>
          <w:color w:val="000000" w:themeColor="text1"/>
          <w:spacing w:val="-4"/>
          <w:sz w:val="24"/>
          <w:szCs w:val="24"/>
          <w:highlight w:val="none"/>
          <w14:textFill>
            <w14:solidFill>
              <w14:schemeClr w14:val="tx1"/>
            </w14:solidFill>
          </w14:textFill>
        </w:rPr>
        <w:t>供服务的人员为中小企业依照《中华人民共和国劳动合同法》订立劳动合同的从业人员。</w:t>
      </w:r>
    </w:p>
    <w:p w14:paraId="3A6D8975">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right="0" w:firstLine="464" w:firstLineChars="200"/>
        <w:jc w:val="both"/>
        <w:textAlignment w:val="baseline"/>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4"/>
          <w:sz w:val="24"/>
          <w:szCs w:val="24"/>
          <w:highlight w:val="none"/>
          <w14:textFill>
            <w14:solidFill>
              <w14:schemeClr w14:val="tx1"/>
            </w14:solidFill>
          </w14:textFill>
        </w:rPr>
        <w:instrText xml:space="preserve">HYPERLINK"5.2.1.3"</w:instrText>
      </w:r>
      <w:r>
        <w:rPr>
          <w:rFonts w:hint="eastAsia" w:ascii="宋体" w:hAnsi="宋体" w:eastAsia="宋体" w:cs="宋体"/>
          <w:color w:val="000000" w:themeColor="text1"/>
          <w:spacing w:val="-4"/>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4"/>
          <w:sz w:val="24"/>
          <w:szCs w:val="24"/>
          <w:highlight w:val="none"/>
          <w14:textFill>
            <w14:solidFill>
              <w14:schemeClr w14:val="tx1"/>
            </w14:solidFill>
          </w14:textFill>
        </w:rPr>
        <w:t>.2.1.3</w:t>
      </w:r>
      <w:r>
        <w:rPr>
          <w:rFonts w:hint="eastAsia" w:ascii="宋体" w:hAnsi="宋体" w:eastAsia="宋体" w:cs="宋体"/>
          <w:color w:val="000000" w:themeColor="text1"/>
          <w:spacing w:val="-4"/>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在货物采购项目中，供应商</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提</w:t>
      </w:r>
      <w:r>
        <w:rPr>
          <w:rFonts w:hint="eastAsia" w:ascii="宋体" w:hAnsi="宋体" w:eastAsia="宋体" w:cs="宋体"/>
          <w:color w:val="000000" w:themeColor="text1"/>
          <w:spacing w:val="-4"/>
          <w:sz w:val="24"/>
          <w:szCs w:val="24"/>
          <w:highlight w:val="none"/>
          <w14:textFill>
            <w14:solidFill>
              <w14:schemeClr w14:val="tx1"/>
            </w14:solidFill>
          </w14:textFill>
        </w:rPr>
        <w:t>供的货物既有中小企业制造货物，也有大型企业制造货物的，不享受中小企业扶持政策。</w:t>
      </w:r>
    </w:p>
    <w:p w14:paraId="3A9220A4">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right="0" w:firstLine="464" w:firstLineChars="200"/>
        <w:jc w:val="both"/>
        <w:textAlignment w:val="baseline"/>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4"/>
          <w:sz w:val="24"/>
          <w:szCs w:val="24"/>
          <w:highlight w:val="none"/>
          <w14:textFill>
            <w14:solidFill>
              <w14:schemeClr w14:val="tx1"/>
            </w14:solidFill>
          </w14:textFill>
        </w:rPr>
        <w:instrText xml:space="preserve">HYPERLINK"5.2.1.4"</w:instrText>
      </w:r>
      <w:r>
        <w:rPr>
          <w:rFonts w:hint="eastAsia" w:ascii="宋体" w:hAnsi="宋体" w:eastAsia="宋体" w:cs="宋体"/>
          <w:color w:val="000000" w:themeColor="text1"/>
          <w:spacing w:val="-4"/>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4"/>
          <w:sz w:val="24"/>
          <w:szCs w:val="24"/>
          <w:highlight w:val="none"/>
          <w14:textFill>
            <w14:solidFill>
              <w14:schemeClr w14:val="tx1"/>
            </w14:solidFill>
          </w14:textFill>
        </w:rPr>
        <w:t>.2.1.4</w:t>
      </w:r>
      <w:r>
        <w:rPr>
          <w:rFonts w:hint="eastAsia" w:ascii="宋体" w:hAnsi="宋体" w:eastAsia="宋体" w:cs="宋体"/>
          <w:color w:val="000000" w:themeColor="text1"/>
          <w:spacing w:val="-4"/>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52E55FA">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right="0" w:firstLine="464"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4"/>
          <w:sz w:val="24"/>
          <w:szCs w:val="24"/>
          <w:highlight w:val="none"/>
          <w14:textFill>
            <w14:solidFill>
              <w14:schemeClr w14:val="tx1"/>
            </w14:solidFill>
          </w14:textFill>
        </w:rPr>
        <w:t>.2.2</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在政府采购活动中，监狱企业视同小型、微型企业，享受预留份额、评审中价格扣除等政府采购促进中小企业发展的政府采购政策。监狱</w:t>
      </w:r>
      <w:r>
        <w:rPr>
          <w:rFonts w:hint="eastAsia" w:ascii="宋体" w:hAnsi="宋体" w:eastAsia="宋体" w:cs="宋体"/>
          <w:color w:val="000000" w:themeColor="text1"/>
          <w:spacing w:val="-6"/>
          <w:sz w:val="24"/>
          <w:szCs w:val="24"/>
          <w:highlight w:val="none"/>
          <w14:textFill>
            <w14:solidFill>
              <w14:schemeClr w14:val="tx1"/>
            </w14:solidFill>
          </w14:textFill>
        </w:rPr>
        <w:t>企业定义：是指由司法部认定的为罪犯、戒</w:t>
      </w:r>
      <w:r>
        <w:rPr>
          <w:rFonts w:hint="eastAsia" w:ascii="宋体" w:hAnsi="宋体" w:eastAsia="宋体" w:cs="宋体"/>
          <w:color w:val="000000" w:themeColor="text1"/>
          <w:spacing w:val="-7"/>
          <w:sz w:val="24"/>
          <w:szCs w:val="24"/>
          <w:highlight w:val="none"/>
          <w14:textFill>
            <w14:solidFill>
              <w14:schemeClr w14:val="tx1"/>
            </w14:solidFill>
          </w14:textFill>
        </w:rPr>
        <w:t>毒人员</w:t>
      </w:r>
      <w:r>
        <w:rPr>
          <w:rFonts w:hint="eastAsia" w:ascii="宋体" w:hAnsi="宋体" w:eastAsia="宋体" w:cs="宋体"/>
          <w:color w:val="000000" w:themeColor="text1"/>
          <w:spacing w:val="-7"/>
          <w:sz w:val="24"/>
          <w:szCs w:val="24"/>
          <w:highlight w:val="none"/>
          <w:lang w:val="en-US" w:eastAsia="zh-CN"/>
          <w14:textFill>
            <w14:solidFill>
              <w14:schemeClr w14:val="tx1"/>
            </w14:solidFill>
          </w14:textFill>
        </w:rPr>
        <w:t>提</w:t>
      </w:r>
      <w:r>
        <w:rPr>
          <w:rFonts w:hint="eastAsia" w:ascii="宋体" w:hAnsi="宋体" w:eastAsia="宋体" w:cs="宋体"/>
          <w:color w:val="000000" w:themeColor="text1"/>
          <w:spacing w:val="-7"/>
          <w:sz w:val="24"/>
          <w:szCs w:val="24"/>
          <w:highlight w:val="none"/>
          <w14:textFill>
            <w14:solidFill>
              <w14:schemeClr w14:val="tx1"/>
            </w14:solidFill>
          </w14:textFill>
        </w:rPr>
        <w:t>供生产项目和劳</w:t>
      </w:r>
      <w:r>
        <w:rPr>
          <w:rFonts w:hint="eastAsia" w:ascii="宋体" w:hAnsi="宋体" w:eastAsia="宋体" w:cs="宋体"/>
          <w:color w:val="000000" w:themeColor="text1"/>
          <w:spacing w:val="-8"/>
          <w:sz w:val="24"/>
          <w:szCs w:val="24"/>
          <w:highlight w:val="none"/>
          <w14:textFill>
            <w14:solidFill>
              <w14:schemeClr w14:val="tx1"/>
            </w14:solidFill>
          </w14:textFill>
        </w:rPr>
        <w:t>动对象，且全部产权属于司法部监狱管理局、戒毒管理局、直属煤矿</w:t>
      </w:r>
      <w:r>
        <w:rPr>
          <w:rFonts w:hint="eastAsia" w:ascii="宋体" w:hAnsi="宋体" w:eastAsia="宋体" w:cs="宋体"/>
          <w:color w:val="000000" w:themeColor="text1"/>
          <w:spacing w:val="-13"/>
          <w:sz w:val="24"/>
          <w:szCs w:val="24"/>
          <w:highlight w:val="none"/>
          <w14:textFill>
            <w14:solidFill>
              <w14:schemeClr w14:val="tx1"/>
            </w14:solidFill>
          </w14:textFill>
        </w:rPr>
        <w:t>管理局，各省、自治区、直辖市监狱管理</w:t>
      </w:r>
      <w:r>
        <w:rPr>
          <w:rFonts w:hint="eastAsia" w:ascii="宋体" w:hAnsi="宋体" w:eastAsia="宋体" w:cs="宋体"/>
          <w:color w:val="000000" w:themeColor="text1"/>
          <w:spacing w:val="-14"/>
          <w:sz w:val="24"/>
          <w:szCs w:val="24"/>
          <w:highlight w:val="none"/>
          <w14:textFill>
            <w14:solidFill>
              <w14:schemeClr w14:val="tx1"/>
            </w14:solidFill>
          </w14:textFill>
        </w:rPr>
        <w:t>局、戒毒管理局，各地（设</w:t>
      </w:r>
      <w:r>
        <w:rPr>
          <w:rFonts w:hint="eastAsia" w:ascii="宋体" w:hAnsi="宋体" w:eastAsia="宋体" w:cs="宋体"/>
          <w:color w:val="000000" w:themeColor="text1"/>
          <w:spacing w:val="-13"/>
          <w:sz w:val="24"/>
          <w:szCs w:val="24"/>
          <w:highlight w:val="none"/>
          <w14:textFill>
            <w14:solidFill>
              <w14:schemeClr w14:val="tx1"/>
            </w14:solidFill>
          </w14:textFill>
        </w:rPr>
        <w:t>区的市）监狱、强制隔离戒毒所、戒毒康复所，以及新疆生产建设兵</w:t>
      </w:r>
      <w:r>
        <w:rPr>
          <w:rFonts w:hint="eastAsia" w:ascii="宋体" w:hAnsi="宋体" w:eastAsia="宋体" w:cs="宋体"/>
          <w:color w:val="000000" w:themeColor="text1"/>
          <w:spacing w:val="-4"/>
          <w:sz w:val="24"/>
          <w:szCs w:val="24"/>
          <w:highlight w:val="none"/>
          <w14:textFill>
            <w14:solidFill>
              <w14:schemeClr w14:val="tx1"/>
            </w14:solidFill>
          </w14:textFill>
        </w:rPr>
        <w:t>团监狱管理局、戒毒管理局的企业。</w:t>
      </w:r>
    </w:p>
    <w:p w14:paraId="7B4301F8">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8"/>
          <w:sz w:val="24"/>
          <w:szCs w:val="24"/>
          <w:highlight w:val="none"/>
          <w14:textFill>
            <w14:solidFill>
              <w14:schemeClr w14:val="tx1"/>
            </w14:solidFill>
          </w14:textFill>
        </w:rPr>
        <w:t>.2.3</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在政府采购活动中，残疾人福利性单位视同小型、微型企业</w:t>
      </w:r>
      <w:r>
        <w:rPr>
          <w:rFonts w:hint="eastAsia" w:ascii="宋体" w:hAnsi="宋体" w:eastAsia="宋体" w:cs="宋体"/>
          <w:color w:val="000000" w:themeColor="text1"/>
          <w:spacing w:val="-9"/>
          <w:sz w:val="24"/>
          <w:szCs w:val="24"/>
          <w:highlight w:val="none"/>
          <w14:textFill>
            <w14:solidFill>
              <w14:schemeClr w14:val="tx1"/>
            </w14:solidFill>
          </w14:textFill>
        </w:rPr>
        <w:t>，享受预</w:t>
      </w:r>
      <w:r>
        <w:rPr>
          <w:rFonts w:hint="eastAsia" w:ascii="宋体" w:hAnsi="宋体" w:eastAsia="宋体" w:cs="宋体"/>
          <w:color w:val="000000" w:themeColor="text1"/>
          <w:spacing w:val="-5"/>
          <w:sz w:val="24"/>
          <w:szCs w:val="24"/>
          <w:highlight w:val="none"/>
          <w14:textFill>
            <w14:solidFill>
              <w14:schemeClr w14:val="tx1"/>
            </w14:solidFill>
          </w14:textFill>
        </w:rPr>
        <w:t>留份额、评审中价格扣除等促进中小企业发展的政府采购政策。残疾</w:t>
      </w:r>
      <w:r>
        <w:rPr>
          <w:rFonts w:hint="eastAsia" w:ascii="宋体" w:hAnsi="宋体" w:eastAsia="宋体" w:cs="宋体"/>
          <w:color w:val="000000" w:themeColor="text1"/>
          <w:spacing w:val="-7"/>
          <w:sz w:val="24"/>
          <w:szCs w:val="24"/>
          <w:highlight w:val="none"/>
          <w14:textFill>
            <w14:solidFill>
              <w14:schemeClr w14:val="tx1"/>
            </w14:solidFill>
          </w14:textFill>
        </w:rPr>
        <w:t>人福利性单位定义：享受政府采购支持政策的残疾人福利性单位应当</w:t>
      </w:r>
      <w:r>
        <w:rPr>
          <w:rFonts w:hint="eastAsia" w:ascii="宋体" w:hAnsi="宋体" w:eastAsia="宋体" w:cs="宋体"/>
          <w:color w:val="000000" w:themeColor="text1"/>
          <w:spacing w:val="-9"/>
          <w:sz w:val="24"/>
          <w:szCs w:val="24"/>
          <w:highlight w:val="none"/>
          <w14:textFill>
            <w14:solidFill>
              <w14:schemeClr w14:val="tx1"/>
            </w14:solidFill>
          </w14:textFill>
        </w:rPr>
        <w:t>同时满足以下条件：</w:t>
      </w:r>
    </w:p>
    <w:p w14:paraId="1B406F14">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8"/>
          <w:sz w:val="24"/>
          <w:szCs w:val="24"/>
          <w:highlight w:val="none"/>
          <w14:textFill>
            <w14:solidFill>
              <w14:schemeClr w14:val="tx1"/>
            </w14:solidFill>
          </w14:textFill>
        </w:rPr>
        <w:instrText xml:space="preserve">HYPERLINK"5.2.3.1"</w:instrText>
      </w:r>
      <w:r>
        <w:rPr>
          <w:rFonts w:hint="eastAsia" w:ascii="宋体" w:hAnsi="宋体" w:eastAsia="宋体" w:cs="宋体"/>
          <w:color w:val="000000" w:themeColor="text1"/>
          <w:spacing w:val="-8"/>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8"/>
          <w:sz w:val="24"/>
          <w:szCs w:val="24"/>
          <w:highlight w:val="none"/>
          <w14:textFill>
            <w14:solidFill>
              <w14:schemeClr w14:val="tx1"/>
            </w14:solidFill>
          </w14:textFill>
        </w:rPr>
        <w:t>.2.3.1</w:t>
      </w:r>
      <w:r>
        <w:rPr>
          <w:rFonts w:hint="eastAsia" w:ascii="宋体" w:hAnsi="宋体" w:eastAsia="宋体" w:cs="宋体"/>
          <w:color w:val="000000" w:themeColor="text1"/>
          <w:spacing w:val="-8"/>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安置的残疾人占本单位在职职工人数的比例不低于25%（含25%），并且安置的残疾人人数不少于10人（含10人）；</w:t>
      </w:r>
    </w:p>
    <w:p w14:paraId="41449F6D">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8"/>
          <w:sz w:val="24"/>
          <w:szCs w:val="24"/>
          <w:highlight w:val="none"/>
          <w14:textFill>
            <w14:solidFill>
              <w14:schemeClr w14:val="tx1"/>
            </w14:solidFill>
          </w14:textFill>
        </w:rPr>
        <w:instrText xml:space="preserve">HYPERLINK"5.2.3.2"</w:instrText>
      </w:r>
      <w:r>
        <w:rPr>
          <w:rFonts w:hint="eastAsia" w:ascii="宋体" w:hAnsi="宋体" w:eastAsia="宋体" w:cs="宋体"/>
          <w:color w:val="000000" w:themeColor="text1"/>
          <w:spacing w:val="-8"/>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8"/>
          <w:sz w:val="24"/>
          <w:szCs w:val="24"/>
          <w:highlight w:val="none"/>
          <w14:textFill>
            <w14:solidFill>
              <w14:schemeClr w14:val="tx1"/>
            </w14:solidFill>
          </w14:textFill>
        </w:rPr>
        <w:t>.2.3.2</w:t>
      </w:r>
      <w:r>
        <w:rPr>
          <w:rFonts w:hint="eastAsia" w:ascii="宋体" w:hAnsi="宋体" w:eastAsia="宋体" w:cs="宋体"/>
          <w:color w:val="000000" w:themeColor="text1"/>
          <w:spacing w:val="-8"/>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依法与安置的每位残疾人签订了一年以上（含一年）的劳动合同或服务协议；</w:t>
      </w:r>
    </w:p>
    <w:p w14:paraId="4A506E26">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8"/>
          <w:sz w:val="24"/>
          <w:szCs w:val="24"/>
          <w:highlight w:val="none"/>
          <w14:textFill>
            <w14:solidFill>
              <w14:schemeClr w14:val="tx1"/>
            </w14:solidFill>
          </w14:textFill>
        </w:rPr>
        <w:instrText xml:space="preserve">HYPERLINK"5.2.3.3"</w:instrText>
      </w:r>
      <w:r>
        <w:rPr>
          <w:rFonts w:hint="eastAsia" w:ascii="宋体" w:hAnsi="宋体" w:eastAsia="宋体" w:cs="宋体"/>
          <w:color w:val="000000" w:themeColor="text1"/>
          <w:spacing w:val="-8"/>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8"/>
          <w:sz w:val="24"/>
          <w:szCs w:val="24"/>
          <w:highlight w:val="none"/>
          <w14:textFill>
            <w14:solidFill>
              <w14:schemeClr w14:val="tx1"/>
            </w14:solidFill>
          </w14:textFill>
        </w:rPr>
        <w:t>.2.3.3</w:t>
      </w:r>
      <w:r>
        <w:rPr>
          <w:rFonts w:hint="eastAsia" w:ascii="宋体" w:hAnsi="宋体" w:eastAsia="宋体" w:cs="宋体"/>
          <w:color w:val="000000" w:themeColor="text1"/>
          <w:spacing w:val="-8"/>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8"/>
          <w:sz w:val="24"/>
          <w:szCs w:val="24"/>
          <w:highlight w:val="none"/>
          <w14:textFill>
            <w14:solidFill>
              <w14:schemeClr w14:val="tx1"/>
            </w14:solidFill>
          </w14:textFill>
        </w:rPr>
        <w:t>为安置的每位残疾人按月足额缴纳了基本养老、医疗、失业</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工伤和生育等社会保险费；</w:t>
      </w:r>
    </w:p>
    <w:p w14:paraId="6A889207">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8"/>
          <w:sz w:val="24"/>
          <w:szCs w:val="24"/>
          <w:highlight w:val="none"/>
          <w14:textFill>
            <w14:solidFill>
              <w14:schemeClr w14:val="tx1"/>
            </w14:solidFill>
          </w14:textFill>
        </w:rPr>
        <w:instrText xml:space="preserve">HYPERLINK"5.2.3.4"</w:instrText>
      </w:r>
      <w:r>
        <w:rPr>
          <w:rFonts w:hint="eastAsia" w:ascii="宋体" w:hAnsi="宋体" w:eastAsia="宋体" w:cs="宋体"/>
          <w:color w:val="000000" w:themeColor="text1"/>
          <w:spacing w:val="-8"/>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8"/>
          <w:sz w:val="24"/>
          <w:szCs w:val="24"/>
          <w:highlight w:val="none"/>
          <w14:textFill>
            <w14:solidFill>
              <w14:schemeClr w14:val="tx1"/>
            </w14:solidFill>
          </w14:textFill>
        </w:rPr>
        <w:t>.2.3.4</w:t>
      </w:r>
      <w:r>
        <w:rPr>
          <w:rFonts w:hint="eastAsia" w:ascii="宋体" w:hAnsi="宋体" w:eastAsia="宋体" w:cs="宋体"/>
          <w:color w:val="000000" w:themeColor="text1"/>
          <w:spacing w:val="-8"/>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通过银行等金融机构向安置的每位残疾人，按月支付了不低于单位所在区县的月最低工资标准的工资；</w:t>
      </w:r>
    </w:p>
    <w:p w14:paraId="4D8F9235">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8"/>
          <w:sz w:val="24"/>
          <w:szCs w:val="24"/>
          <w:highlight w:val="none"/>
          <w14:textFill>
            <w14:solidFill>
              <w14:schemeClr w14:val="tx1"/>
            </w14:solidFill>
          </w14:textFill>
        </w:rPr>
        <w:instrText xml:space="preserve">HYPERLINK"5.2.3.5"</w:instrText>
      </w:r>
      <w:r>
        <w:rPr>
          <w:rFonts w:hint="eastAsia" w:ascii="宋体" w:hAnsi="宋体" w:eastAsia="宋体" w:cs="宋体"/>
          <w:color w:val="000000" w:themeColor="text1"/>
          <w:spacing w:val="-8"/>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8"/>
          <w:sz w:val="24"/>
          <w:szCs w:val="24"/>
          <w:highlight w:val="none"/>
          <w14:textFill>
            <w14:solidFill>
              <w14:schemeClr w14:val="tx1"/>
            </w14:solidFill>
          </w14:textFill>
        </w:rPr>
        <w:t>.2.3.5</w:t>
      </w:r>
      <w:r>
        <w:rPr>
          <w:rFonts w:hint="eastAsia" w:ascii="宋体" w:hAnsi="宋体" w:eastAsia="宋体" w:cs="宋体"/>
          <w:color w:val="000000" w:themeColor="text1"/>
          <w:spacing w:val="-8"/>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提</w:t>
      </w:r>
      <w:r>
        <w:rPr>
          <w:rFonts w:hint="eastAsia" w:ascii="宋体" w:hAnsi="宋体" w:eastAsia="宋体" w:cs="宋体"/>
          <w:color w:val="000000" w:themeColor="text1"/>
          <w:spacing w:val="-8"/>
          <w:sz w:val="24"/>
          <w:szCs w:val="24"/>
          <w:highlight w:val="none"/>
          <w14:textFill>
            <w14:solidFill>
              <w14:schemeClr w14:val="tx1"/>
            </w14:solidFill>
          </w14:textFill>
        </w:rPr>
        <w:t>供本单位制造的货物、承担的工程或者服务（以下简称产品），或者</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提</w:t>
      </w:r>
      <w:r>
        <w:rPr>
          <w:rFonts w:hint="eastAsia" w:ascii="宋体" w:hAnsi="宋体" w:eastAsia="宋体" w:cs="宋体"/>
          <w:color w:val="000000" w:themeColor="text1"/>
          <w:spacing w:val="-8"/>
          <w:sz w:val="24"/>
          <w:szCs w:val="24"/>
          <w:highlight w:val="none"/>
          <w14:textFill>
            <w14:solidFill>
              <w14:schemeClr w14:val="tx1"/>
            </w14:solidFill>
          </w14:textFill>
        </w:rPr>
        <w:t>供其他残疾人福利性单位制造的货物（不包括使用非残疾人福利性单位注册商标的货物）；</w:t>
      </w:r>
    </w:p>
    <w:p w14:paraId="06D8B69F">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8"/>
          <w:sz w:val="24"/>
          <w:szCs w:val="24"/>
          <w:highlight w:val="none"/>
          <w14:textFill>
            <w14:solidFill>
              <w14:schemeClr w14:val="tx1"/>
            </w14:solidFill>
          </w14:textFill>
        </w:rPr>
        <w:instrText xml:space="preserve">HYPERLINK"5.2.3.6"</w:instrText>
      </w:r>
      <w:r>
        <w:rPr>
          <w:rFonts w:hint="eastAsia" w:ascii="宋体" w:hAnsi="宋体" w:eastAsia="宋体" w:cs="宋体"/>
          <w:color w:val="000000" w:themeColor="text1"/>
          <w:spacing w:val="-8"/>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8"/>
          <w:sz w:val="24"/>
          <w:szCs w:val="24"/>
          <w:highlight w:val="none"/>
          <w14:textFill>
            <w14:solidFill>
              <w14:schemeClr w14:val="tx1"/>
            </w14:solidFill>
          </w14:textFill>
        </w:rPr>
        <w:t>.2.3.6</w:t>
      </w:r>
      <w:r>
        <w:rPr>
          <w:rFonts w:hint="eastAsia" w:ascii="宋体" w:hAnsi="宋体" w:eastAsia="宋体" w:cs="宋体"/>
          <w:color w:val="000000" w:themeColor="text1"/>
          <w:spacing w:val="-8"/>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8F52581">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8"/>
          <w:sz w:val="24"/>
          <w:szCs w:val="24"/>
          <w:highlight w:val="none"/>
          <w14:textFill>
            <w14:solidFill>
              <w14:schemeClr w14:val="tx1"/>
            </w14:solidFill>
          </w14:textFill>
        </w:rPr>
        <w:t>.2.4</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本项目是否专门面向中小企业预留采购份额见第一章《</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竞争性磋商公告</w:t>
      </w:r>
      <w:r>
        <w:rPr>
          <w:rFonts w:hint="eastAsia" w:ascii="宋体" w:hAnsi="宋体" w:eastAsia="宋体" w:cs="宋体"/>
          <w:color w:val="000000" w:themeColor="text1"/>
          <w:spacing w:val="-8"/>
          <w:sz w:val="24"/>
          <w:szCs w:val="24"/>
          <w:highlight w:val="none"/>
          <w14:textFill>
            <w14:solidFill>
              <w14:schemeClr w14:val="tx1"/>
            </w14:solidFill>
          </w14:textFill>
        </w:rPr>
        <w:t>》。</w:t>
      </w:r>
    </w:p>
    <w:p w14:paraId="3E6CC7BE">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8"/>
          <w:sz w:val="24"/>
          <w:szCs w:val="24"/>
          <w:highlight w:val="none"/>
          <w14:textFill>
            <w14:solidFill>
              <w14:schemeClr w14:val="tx1"/>
            </w14:solidFill>
          </w14:textFill>
        </w:rPr>
        <w:t>.2.5</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采购标的对应的中小企业划分标准所属行业见《</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须知表</w:t>
      </w:r>
      <w:r>
        <w:rPr>
          <w:rFonts w:hint="eastAsia" w:ascii="宋体" w:hAnsi="宋体" w:eastAsia="宋体" w:cs="宋体"/>
          <w:color w:val="000000" w:themeColor="text1"/>
          <w:spacing w:val="-8"/>
          <w:sz w:val="24"/>
          <w:szCs w:val="24"/>
          <w:highlight w:val="none"/>
          <w14:textFill>
            <w14:solidFill>
              <w14:schemeClr w14:val="tx1"/>
            </w14:solidFill>
          </w14:textFill>
        </w:rPr>
        <w:t>》。</w:t>
      </w:r>
    </w:p>
    <w:p w14:paraId="53D6DF0D">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8"/>
          <w:sz w:val="24"/>
          <w:szCs w:val="24"/>
          <w:highlight w:val="none"/>
          <w14:textFill>
            <w14:solidFill>
              <w14:schemeClr w14:val="tx1"/>
            </w14:solidFill>
          </w14:textFill>
        </w:rPr>
        <w:t>.2.6</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小微企业价格评审优惠的政策调整：见第四章《评</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审</w:t>
      </w:r>
      <w:r>
        <w:rPr>
          <w:rFonts w:hint="eastAsia" w:ascii="宋体" w:hAnsi="宋体" w:eastAsia="宋体" w:cs="宋体"/>
          <w:color w:val="000000" w:themeColor="text1"/>
          <w:spacing w:val="-8"/>
          <w:sz w:val="24"/>
          <w:szCs w:val="24"/>
          <w:highlight w:val="none"/>
          <w14:textFill>
            <w14:solidFill>
              <w14:schemeClr w14:val="tx1"/>
            </w14:solidFill>
          </w14:textFill>
        </w:rPr>
        <w:t>程序、评审方法和评审标准》。</w:t>
      </w:r>
    </w:p>
    <w:p w14:paraId="28E33DAF">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8"/>
          <w:sz w:val="24"/>
          <w:szCs w:val="24"/>
          <w:highlight w:val="none"/>
          <w14:textFill>
            <w14:solidFill>
              <w14:schemeClr w14:val="tx1"/>
            </w14:solidFill>
          </w14:textFill>
        </w:rPr>
        <w:t>.3</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政府采购节能产品、环境标志产品</w:t>
      </w:r>
    </w:p>
    <w:p w14:paraId="25CE333A">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8"/>
          <w:sz w:val="24"/>
          <w:szCs w:val="24"/>
          <w:highlight w:val="none"/>
          <w14:textFill>
            <w14:solidFill>
              <w14:schemeClr w14:val="tx1"/>
            </w14:solidFill>
          </w14:textFill>
        </w:rPr>
        <w:t>.3.1</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政府采购节能产品、环境标志产品实施品目清单管理。财政部、</w:t>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fldChar w:fldCharType="begin"/>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instrText xml:space="preserve">HYPERLINK"https://www.baidu.com/link?url=pV2gqlWQVIfLHb2GO1RMJVp24ETQ1a_TiqQ-2CHpcULsECvXubLhLHJTcTJbIedy&amp;wd=&amp;eqid=88c7d5f9006c2d6b0000000265780e74"\t"https://www.baidu.com/_blank"</w:instrText>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fldChar w:fldCharType="separate"/>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t>中华人民共和国国家发展和改革委员会</w:t>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fldChar w:fldCharType="end"/>
      </w:r>
      <w:r>
        <w:rPr>
          <w:rFonts w:hint="eastAsia" w:ascii="宋体" w:hAnsi="宋体" w:eastAsia="宋体" w:cs="宋体"/>
          <w:color w:val="000000" w:themeColor="text1"/>
          <w:spacing w:val="-8"/>
          <w:sz w:val="24"/>
          <w:szCs w:val="24"/>
          <w:highlight w:val="none"/>
          <w14:textFill>
            <w14:solidFill>
              <w14:schemeClr w14:val="tx1"/>
            </w14:solidFill>
          </w14:textFill>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5C3066">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8"/>
          <w:sz w:val="24"/>
          <w:szCs w:val="24"/>
          <w:highlight w:val="none"/>
          <w14:textFill>
            <w14:solidFill>
              <w14:schemeClr w14:val="tx1"/>
            </w14:solidFill>
          </w14:textFill>
        </w:rPr>
        <w:t>.3.2</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C46DE14">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b/>
          <w:bCs/>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8"/>
          <w:sz w:val="24"/>
          <w:szCs w:val="24"/>
          <w:highlight w:val="none"/>
          <w14:textFill>
            <w14:solidFill>
              <w14:schemeClr w14:val="tx1"/>
            </w14:solidFill>
          </w14:textFill>
        </w:rPr>
        <w:t>.3.3</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如本项目采购产品属于实施政府强制采购品目清单范围的节能产品，则</w:t>
      </w:r>
      <w:r>
        <w:rPr>
          <w:rFonts w:hint="eastAsia" w:ascii="宋体" w:hAnsi="宋体" w:eastAsia="宋体" w:cs="宋体"/>
          <w:color w:val="000000" w:themeColor="text1"/>
          <w:spacing w:val="2"/>
          <w:sz w:val="24"/>
          <w:szCs w:val="24"/>
          <w:highlight w:val="none"/>
          <w14:textFill>
            <w14:solidFill>
              <w14:schemeClr w14:val="tx1"/>
            </w14:solidFill>
          </w14:textFill>
        </w:rPr>
        <w:t>供应商</w:t>
      </w:r>
      <w:r>
        <w:rPr>
          <w:rFonts w:hint="eastAsia" w:ascii="宋体" w:hAnsi="宋体" w:eastAsia="宋体" w:cs="宋体"/>
          <w:color w:val="000000" w:themeColor="text1"/>
          <w:spacing w:val="-8"/>
          <w:sz w:val="24"/>
          <w:szCs w:val="24"/>
          <w:highlight w:val="none"/>
          <w14:textFill>
            <w14:solidFill>
              <w14:schemeClr w14:val="tx1"/>
            </w14:solidFill>
          </w14:textFill>
        </w:rPr>
        <w:t>所报产品必须获得国家确定的认证机构出具的、处于有效期之内的节能产品认证证书，</w:t>
      </w:r>
      <w:r>
        <w:rPr>
          <w:rFonts w:hint="eastAsia" w:ascii="宋体" w:hAnsi="宋体" w:eastAsia="宋体" w:cs="宋体"/>
          <w:b/>
          <w:bCs/>
          <w:color w:val="000000" w:themeColor="text1"/>
          <w:spacing w:val="-8"/>
          <w:sz w:val="24"/>
          <w:szCs w:val="24"/>
          <w:highlight w:val="none"/>
          <w14:textFill>
            <w14:solidFill>
              <w14:schemeClr w14:val="tx1"/>
            </w14:solidFill>
          </w14:textFill>
        </w:rPr>
        <w:t>否则</w:t>
      </w:r>
      <w:r>
        <w:rPr>
          <w:rFonts w:hint="eastAsia" w:ascii="宋体" w:hAnsi="宋体" w:eastAsia="宋体" w:cs="宋体"/>
          <w:b/>
          <w:bCs/>
          <w:color w:val="000000" w:themeColor="text1"/>
          <w:spacing w:val="-8"/>
          <w:sz w:val="24"/>
          <w:szCs w:val="24"/>
          <w:highlight w:val="none"/>
          <w:lang w:val="en-US" w:eastAsia="zh-CN"/>
          <w14:textFill>
            <w14:solidFill>
              <w14:schemeClr w14:val="tx1"/>
            </w14:solidFill>
          </w14:textFill>
        </w:rPr>
        <w:t>响应</w:t>
      </w:r>
      <w:r>
        <w:rPr>
          <w:rFonts w:hint="eastAsia" w:ascii="宋体" w:hAnsi="宋体" w:eastAsia="宋体" w:cs="宋体"/>
          <w:b/>
          <w:bCs/>
          <w:color w:val="000000" w:themeColor="text1"/>
          <w:spacing w:val="-8"/>
          <w:sz w:val="24"/>
          <w:szCs w:val="24"/>
          <w:highlight w:val="none"/>
          <w14:textFill>
            <w14:solidFill>
              <w14:schemeClr w14:val="tx1"/>
            </w14:solidFill>
          </w14:textFill>
        </w:rPr>
        <w:t>无效；</w:t>
      </w:r>
    </w:p>
    <w:p w14:paraId="49BA9FF4">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8"/>
          <w:sz w:val="24"/>
          <w:szCs w:val="24"/>
          <w:highlight w:val="none"/>
          <w14:textFill>
            <w14:solidFill>
              <w14:schemeClr w14:val="tx1"/>
            </w14:solidFill>
          </w14:textFill>
        </w:rPr>
        <w:t>.3.4</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非政府强制采购的节能产品或环境标志产品，依据品目清单和认证证书实施政府优先采购。优先采购的具体规定见第四章《评</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审</w:t>
      </w:r>
      <w:r>
        <w:rPr>
          <w:rFonts w:hint="eastAsia" w:ascii="宋体" w:hAnsi="宋体" w:eastAsia="宋体" w:cs="宋体"/>
          <w:color w:val="000000" w:themeColor="text1"/>
          <w:spacing w:val="-8"/>
          <w:sz w:val="24"/>
          <w:szCs w:val="24"/>
          <w:highlight w:val="none"/>
          <w14:textFill>
            <w14:solidFill>
              <w14:schemeClr w14:val="tx1"/>
            </w14:solidFill>
          </w14:textFill>
        </w:rPr>
        <w:t>程序、评审方法和评审标准》。（如涉及）</w:t>
      </w:r>
    </w:p>
    <w:p w14:paraId="1863C672">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8"/>
          <w:sz w:val="24"/>
          <w:szCs w:val="24"/>
          <w:highlight w:val="none"/>
          <w14:textFill>
            <w14:solidFill>
              <w14:schemeClr w14:val="tx1"/>
            </w14:solidFill>
          </w14:textFill>
        </w:rPr>
        <w:t>.4</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正版软件</w:t>
      </w:r>
    </w:p>
    <w:p w14:paraId="588402C0">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8"/>
          <w:sz w:val="24"/>
          <w:szCs w:val="24"/>
          <w:highlight w:val="none"/>
          <w14:textFill>
            <w14:solidFill>
              <w14:schemeClr w14:val="tx1"/>
            </w14:solidFill>
          </w14:textFill>
        </w:rPr>
        <w:t>.4.1</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依据《财政部</w:t>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w:t>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fldChar w:fldCharType="begin"/>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instrText xml:space="preserve">HYPERLINK"https://www.baidu.com/link?url=pV2gqlWQVIfLHb2GO1RMJVp24ETQ1a_TiqQ-2CHpcULsECvXubLhLHJTcTJbIedy&amp;wd=&amp;eqid=88c7d5f9006c2d6b0000000265780e74"\t"https://www.baidu.com/_blank"</w:instrText>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fldChar w:fldCharType="separate"/>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t>中华人民共和国国家发展和改革委员会</w:t>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fldChar w:fldCharType="end"/>
      </w:r>
      <w:r>
        <w:rPr>
          <w:rFonts w:hint="eastAsia" w:ascii="宋体" w:hAnsi="宋体" w:eastAsia="宋体" w:cs="宋体"/>
          <w:color w:val="000000" w:themeColor="text1"/>
          <w:spacing w:val="-8"/>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pacing w:val="-8"/>
          <w:sz w:val="24"/>
          <w:szCs w:val="24"/>
          <w:highlight w:val="none"/>
          <w14:textFill>
            <w14:solidFill>
              <w14:schemeClr w14:val="tx1"/>
            </w14:solidFill>
          </w14:textFill>
        </w:rPr>
        <w:t>无效。财政部、</w:t>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fldChar w:fldCharType="begin"/>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instrText xml:space="preserve">HYPERLINK"https://www.baidu.com/link?url=pV2gqlWQVIfLHb2GO1RMJVp24ETQ1a_TiqQ-2CHpcULsECvXubLhLHJTcTJbIedy&amp;wd=&amp;eqid=88c7d5f9006c2d6b0000000265780e74"\t"https://www.baidu.com/_blank"</w:instrText>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fldChar w:fldCharType="separate"/>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t>中华人民共和国国家发展和改革委员会</w:t>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fldChar w:fldCharType="end"/>
      </w:r>
      <w:r>
        <w:rPr>
          <w:rFonts w:hint="eastAsia" w:ascii="宋体" w:hAnsi="宋体" w:eastAsia="宋体" w:cs="宋体"/>
          <w:color w:val="000000" w:themeColor="text1"/>
          <w:spacing w:val="-8"/>
          <w:sz w:val="24"/>
          <w:szCs w:val="24"/>
          <w:highlight w:val="none"/>
          <w14:textFill>
            <w14:solidFill>
              <w14:schemeClr w14:val="tx1"/>
            </w14:solidFill>
          </w14:textFill>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fldChar w:fldCharType="begin"/>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instrText xml:space="preserve">HYPERLINK"https://www.baidu.com/link?url=pV2gqlWQVIfLHb2GO1RMJVp24ETQ1a_TiqQ-2CHpcULsECvXubLhLHJTcTJbIedy&amp;wd=&amp;eqid=88c7d5f9006c2d6b0000000265780e74"\t"https://www.baidu.com/_blank"</w:instrText>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fldChar w:fldCharType="separate"/>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t>中华人民共和国国家发展和改革委员会</w:t>
      </w:r>
      <w:r>
        <w:rPr>
          <w:rFonts w:hint="eastAsia" w:ascii="宋体" w:hAnsi="宋体" w:eastAsia="宋体" w:cs="宋体"/>
          <w:b w:val="0"/>
          <w:snapToGrid w:val="0"/>
          <w:color w:val="000000" w:themeColor="text1"/>
          <w:spacing w:val="-8"/>
          <w:kern w:val="0"/>
          <w:sz w:val="24"/>
          <w:szCs w:val="24"/>
          <w:highlight w:val="none"/>
          <w:lang w:val="en-US" w:eastAsia="en-US" w:bidi="ar-SA"/>
          <w14:textFill>
            <w14:solidFill>
              <w14:schemeClr w14:val="tx1"/>
            </w14:solidFill>
          </w14:textFill>
        </w:rPr>
        <w:fldChar w:fldCharType="end"/>
      </w:r>
      <w:r>
        <w:rPr>
          <w:rFonts w:hint="eastAsia" w:ascii="宋体" w:hAnsi="宋体" w:eastAsia="宋体" w:cs="宋体"/>
          <w:color w:val="000000" w:themeColor="text1"/>
          <w:spacing w:val="-8"/>
          <w:sz w:val="24"/>
          <w:szCs w:val="24"/>
          <w:highlight w:val="none"/>
          <w14:textFill>
            <w14:solidFill>
              <w14:schemeClr w14:val="tx1"/>
            </w14:solidFill>
          </w14:textFill>
        </w:rPr>
        <w:t>、信息产业部以文件形式确定、公布并适时调整。</w:t>
      </w:r>
    </w:p>
    <w:p w14:paraId="0FBDDDD8">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3"/>
          <w:sz w:val="24"/>
          <w:szCs w:val="24"/>
          <w:highlight w:val="none"/>
          <w14:textFill>
            <w14:solidFill>
              <w14:schemeClr w14:val="tx1"/>
            </w14:solidFill>
          </w14:textFill>
        </w:rPr>
        <w:t>.4.2</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各级政府部门在购置计算机办公设备时，必须采购预装正版操作系统</w:t>
      </w:r>
      <w:r>
        <w:rPr>
          <w:rFonts w:hint="eastAsia" w:ascii="宋体" w:hAnsi="宋体" w:eastAsia="宋体" w:cs="宋体"/>
          <w:color w:val="000000" w:themeColor="text1"/>
          <w:spacing w:val="-9"/>
          <w:sz w:val="24"/>
          <w:szCs w:val="24"/>
          <w:highlight w:val="none"/>
          <w14:textFill>
            <w14:solidFill>
              <w14:schemeClr w14:val="tx1"/>
            </w14:solidFill>
          </w14:textFill>
        </w:rPr>
        <w:t>软件的计算机产品，相关规定依据《国家版权局、信息产业</w:t>
      </w:r>
      <w:r>
        <w:rPr>
          <w:rFonts w:hint="eastAsia" w:ascii="宋体" w:hAnsi="宋体" w:eastAsia="宋体" w:cs="宋体"/>
          <w:color w:val="000000" w:themeColor="text1"/>
          <w:spacing w:val="-10"/>
          <w:sz w:val="24"/>
          <w:szCs w:val="24"/>
          <w:highlight w:val="none"/>
          <w14:textFill>
            <w14:solidFill>
              <w14:schemeClr w14:val="tx1"/>
            </w14:solidFill>
          </w14:textFill>
        </w:rPr>
        <w:t>部、财政</w:t>
      </w:r>
      <w:r>
        <w:rPr>
          <w:rFonts w:hint="eastAsia" w:ascii="宋体" w:hAnsi="宋体" w:eastAsia="宋体" w:cs="宋体"/>
          <w:color w:val="000000" w:themeColor="text1"/>
          <w:spacing w:val="-4"/>
          <w:sz w:val="24"/>
          <w:szCs w:val="24"/>
          <w:highlight w:val="none"/>
          <w14:textFill>
            <w14:solidFill>
              <w14:schemeClr w14:val="tx1"/>
            </w14:solidFill>
          </w14:textFill>
        </w:rPr>
        <w:t>部、国务院机关事务管理局关于政府部门购置计算机办公设备必须采</w:t>
      </w:r>
      <w:r>
        <w:rPr>
          <w:rFonts w:hint="eastAsia" w:ascii="宋体" w:hAnsi="宋体" w:eastAsia="宋体" w:cs="宋体"/>
          <w:color w:val="000000" w:themeColor="text1"/>
          <w:spacing w:val="-3"/>
          <w:sz w:val="24"/>
          <w:szCs w:val="24"/>
          <w:highlight w:val="none"/>
          <w14:textFill>
            <w14:solidFill>
              <w14:schemeClr w14:val="tx1"/>
            </w14:solidFill>
          </w14:textFill>
        </w:rPr>
        <w:t>购已预装正版操作系统软件产品的通知》（国权联〔200</w:t>
      </w:r>
      <w:r>
        <w:rPr>
          <w:rFonts w:hint="eastAsia" w:ascii="宋体" w:hAnsi="宋体" w:eastAsia="宋体" w:cs="宋体"/>
          <w:color w:val="000000" w:themeColor="text1"/>
          <w:spacing w:val="-4"/>
          <w:sz w:val="24"/>
          <w:szCs w:val="24"/>
          <w:highlight w:val="none"/>
          <w14:textFill>
            <w14:solidFill>
              <w14:schemeClr w14:val="tx1"/>
            </w14:solidFill>
          </w14:textFill>
        </w:rPr>
        <w:t>6〕1号）、</w:t>
      </w:r>
      <w:r>
        <w:rPr>
          <w:rFonts w:hint="eastAsia" w:ascii="宋体" w:hAnsi="宋体" w:eastAsia="宋体" w:cs="宋体"/>
          <w:color w:val="000000" w:themeColor="text1"/>
          <w:sz w:val="24"/>
          <w:szCs w:val="24"/>
          <w:highlight w:val="none"/>
          <w14:textFill>
            <w14:solidFill>
              <w14:schemeClr w14:val="tx1"/>
            </w14:solidFill>
          </w14:textFill>
        </w:rPr>
        <w:t>《国务院办公厅关于进一步做好政府机关使用正版</w:t>
      </w:r>
      <w:r>
        <w:rPr>
          <w:rFonts w:hint="eastAsia" w:ascii="宋体" w:hAnsi="宋体" w:eastAsia="宋体" w:cs="宋体"/>
          <w:color w:val="000000" w:themeColor="text1"/>
          <w:spacing w:val="-1"/>
          <w:sz w:val="24"/>
          <w:szCs w:val="24"/>
          <w:highlight w:val="none"/>
          <w14:textFill>
            <w14:solidFill>
              <w14:schemeClr w14:val="tx1"/>
            </w14:solidFill>
          </w14:textFill>
        </w:rPr>
        <w:t>软件工作的通知》</w:t>
      </w:r>
      <w:r>
        <w:rPr>
          <w:rFonts w:hint="eastAsia" w:ascii="宋体" w:hAnsi="宋体" w:eastAsia="宋体" w:cs="宋体"/>
          <w:color w:val="000000" w:themeColor="text1"/>
          <w:spacing w:val="-3"/>
          <w:sz w:val="24"/>
          <w:szCs w:val="24"/>
          <w:highlight w:val="none"/>
          <w14:textFill>
            <w14:solidFill>
              <w14:schemeClr w14:val="tx1"/>
            </w14:solidFill>
          </w14:textFill>
        </w:rPr>
        <w:t>（国办发〔2010〕47号）、《财政部关于进一步做好政府机关使用</w:t>
      </w:r>
      <w:r>
        <w:rPr>
          <w:rFonts w:hint="eastAsia" w:ascii="宋体" w:hAnsi="宋体" w:eastAsia="宋体" w:cs="宋体"/>
          <w:color w:val="000000" w:themeColor="text1"/>
          <w:spacing w:val="-6"/>
          <w:sz w:val="24"/>
          <w:szCs w:val="24"/>
          <w:highlight w:val="none"/>
          <w14:textFill>
            <w14:solidFill>
              <w14:schemeClr w14:val="tx1"/>
            </w14:solidFill>
          </w14:textFill>
        </w:rPr>
        <w:t>正版软件工作的通知》（财预〔2010〕536号）。</w:t>
      </w:r>
    </w:p>
    <w:p w14:paraId="7BEFBD89">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网络安全专用产品</w:t>
      </w:r>
    </w:p>
    <w:p w14:paraId="07988BCC">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76"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sz w:val="24"/>
          <w:szCs w:val="24"/>
          <w:highlight w:val="none"/>
          <w14:textFill>
            <w14:solidFill>
              <w14:schemeClr w14:val="tx1"/>
            </w14:solidFill>
          </w14:textFill>
        </w:rPr>
        <w:t>.5.1</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所投产品属于列入《网络关键设备和网络安全专用产品目录》的网络</w:t>
      </w:r>
      <w:r>
        <w:rPr>
          <w:rFonts w:hint="eastAsia" w:ascii="宋体" w:hAnsi="宋体" w:eastAsia="宋体" w:cs="宋体"/>
          <w:color w:val="000000" w:themeColor="text1"/>
          <w:spacing w:val="-2"/>
          <w:sz w:val="24"/>
          <w:szCs w:val="24"/>
          <w:highlight w:val="none"/>
          <w14:textFill>
            <w14:solidFill>
              <w14:schemeClr w14:val="tx1"/>
            </w14:solidFill>
          </w14:textFill>
        </w:rPr>
        <w:t>安全专用产品，应当在国家互联网信息办公室会同工业和信息化部、</w:t>
      </w:r>
      <w:r>
        <w:rPr>
          <w:rFonts w:hint="eastAsia" w:ascii="宋体" w:hAnsi="宋体" w:eastAsia="宋体" w:cs="宋体"/>
          <w:color w:val="000000" w:themeColor="text1"/>
          <w:spacing w:val="-4"/>
          <w:sz w:val="24"/>
          <w:szCs w:val="24"/>
          <w:highlight w:val="none"/>
          <w14:textFill>
            <w14:solidFill>
              <w14:schemeClr w14:val="tx1"/>
            </w14:solidFill>
          </w14:textFill>
        </w:rPr>
        <w:t>公安部、国家认证认可监督管理委员会统一公布和更新</w:t>
      </w:r>
      <w:r>
        <w:rPr>
          <w:rFonts w:hint="eastAsia" w:ascii="宋体" w:hAnsi="宋体" w:eastAsia="宋体" w:cs="宋体"/>
          <w:color w:val="000000" w:themeColor="text1"/>
          <w:spacing w:val="-5"/>
          <w:sz w:val="24"/>
          <w:szCs w:val="24"/>
          <w:highlight w:val="none"/>
          <w14:textFill>
            <w14:solidFill>
              <w14:schemeClr w14:val="tx1"/>
            </w14:solidFill>
          </w14:textFill>
        </w:rPr>
        <w:t>的符合要求的</w:t>
      </w:r>
      <w:r>
        <w:rPr>
          <w:rFonts w:hint="eastAsia" w:ascii="宋体" w:hAnsi="宋体" w:eastAsia="宋体" w:cs="宋体"/>
          <w:color w:val="000000" w:themeColor="text1"/>
          <w:spacing w:val="-4"/>
          <w:sz w:val="24"/>
          <w:szCs w:val="24"/>
          <w:highlight w:val="none"/>
          <w14:textFill>
            <w14:solidFill>
              <w14:schemeClr w14:val="tx1"/>
            </w14:solidFill>
          </w14:textFill>
        </w:rPr>
        <w:t>网络关键设备和网络安全专用产品清单中。</w:t>
      </w:r>
    </w:p>
    <w:p w14:paraId="2D7AFA40">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8"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 xml:space="preserve">6 </w:t>
      </w:r>
      <w:r>
        <w:rPr>
          <w:rFonts w:hint="eastAsia" w:ascii="宋体" w:hAnsi="宋体" w:eastAsia="宋体" w:cs="宋体"/>
          <w:color w:val="000000" w:themeColor="text1"/>
          <w:spacing w:val="2"/>
          <w:sz w:val="24"/>
          <w:szCs w:val="24"/>
          <w:highlight w:val="none"/>
          <w14:textFill>
            <w14:solidFill>
              <w14:schemeClr w14:val="tx1"/>
            </w14:solidFill>
          </w14:textFill>
        </w:rPr>
        <w:t>采购需求标准</w:t>
      </w:r>
    </w:p>
    <w:p w14:paraId="28EBA175">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8"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2"/>
          <w:sz w:val="24"/>
          <w:szCs w:val="24"/>
          <w:highlight w:val="none"/>
          <w14:textFill>
            <w14:solidFill>
              <w14:schemeClr w14:val="tx1"/>
            </w14:solidFill>
          </w14:textFill>
        </w:rPr>
        <w:t>.1</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商品包装、快递包装政府采购需求标准（试行）</w:t>
      </w:r>
      <w:r>
        <w:rPr>
          <w:rFonts w:hint="eastAsia" w:ascii="宋体" w:hAnsi="宋体" w:eastAsia="宋体" w:cs="宋体"/>
          <w:color w:val="000000" w:themeColor="text1"/>
          <w:spacing w:val="-12"/>
          <w:sz w:val="24"/>
          <w:szCs w:val="24"/>
          <w:highlight w:val="none"/>
          <w14:textFill>
            <w14:solidFill>
              <w14:schemeClr w14:val="tx1"/>
            </w14:solidFill>
          </w14:textFill>
        </w:rPr>
        <w:t>为助力打好污染防治攻坚战，推广使用绿色包装，根据财政部关于印发《商品包装政府采购需求标准（试行）》《快递包装政府采购需求</w:t>
      </w:r>
      <w:r>
        <w:rPr>
          <w:rFonts w:hint="eastAsia" w:ascii="宋体" w:hAnsi="宋体" w:eastAsia="宋体" w:cs="宋体"/>
          <w:color w:val="000000" w:themeColor="text1"/>
          <w:spacing w:val="-3"/>
          <w:sz w:val="24"/>
          <w:szCs w:val="24"/>
          <w:highlight w:val="none"/>
          <w14:textFill>
            <w14:solidFill>
              <w14:schemeClr w14:val="tx1"/>
            </w14:solidFill>
          </w14:textFill>
        </w:rPr>
        <w:t>标准（试行）》的通知（财办库〔2020〕1</w:t>
      </w:r>
      <w:r>
        <w:rPr>
          <w:rFonts w:hint="eastAsia" w:ascii="宋体" w:hAnsi="宋体" w:eastAsia="宋体" w:cs="宋体"/>
          <w:color w:val="000000" w:themeColor="text1"/>
          <w:spacing w:val="-4"/>
          <w:sz w:val="24"/>
          <w:szCs w:val="24"/>
          <w:highlight w:val="none"/>
          <w14:textFill>
            <w14:solidFill>
              <w14:schemeClr w14:val="tx1"/>
            </w14:solidFill>
          </w14:textFill>
        </w:rPr>
        <w:t>23号</w:t>
      </w:r>
      <w:r>
        <w:rPr>
          <w:rFonts w:hint="eastAsia" w:ascii="宋体" w:hAnsi="宋体" w:eastAsia="宋体" w:cs="宋体"/>
          <w:color w:val="000000" w:themeColor="text1"/>
          <w:spacing w:val="-28"/>
          <w:sz w:val="24"/>
          <w:szCs w:val="24"/>
          <w:highlight w:val="none"/>
          <w14:textFill>
            <w14:solidFill>
              <w14:schemeClr w14:val="tx1"/>
            </w14:solidFill>
          </w14:textFill>
        </w:rPr>
        <w:t>），</w:t>
      </w:r>
      <w:r>
        <w:rPr>
          <w:rFonts w:hint="eastAsia" w:ascii="宋体" w:hAnsi="宋体" w:eastAsia="宋体" w:cs="宋体"/>
          <w:color w:val="000000" w:themeColor="text1"/>
          <w:spacing w:val="-4"/>
          <w:sz w:val="24"/>
          <w:szCs w:val="24"/>
          <w:highlight w:val="none"/>
          <w14:textFill>
            <w14:solidFill>
              <w14:schemeClr w14:val="tx1"/>
            </w14:solidFill>
          </w14:textFill>
        </w:rPr>
        <w:t>本项目如涉及商</w:t>
      </w:r>
      <w:r>
        <w:rPr>
          <w:rFonts w:hint="eastAsia" w:ascii="宋体" w:hAnsi="宋体" w:eastAsia="宋体" w:cs="宋体"/>
          <w:color w:val="000000" w:themeColor="text1"/>
          <w:spacing w:val="-6"/>
          <w:sz w:val="24"/>
          <w:szCs w:val="24"/>
          <w:highlight w:val="none"/>
          <w14:textFill>
            <w14:solidFill>
              <w14:schemeClr w14:val="tx1"/>
            </w14:solidFill>
          </w14:textFill>
        </w:rPr>
        <w:t>品包装和快递包装的，则其具体要求见第</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pacing w:val="-6"/>
          <w:sz w:val="24"/>
          <w:szCs w:val="24"/>
          <w:highlight w:val="none"/>
          <w14:textFill>
            <w14:solidFill>
              <w14:schemeClr w14:val="tx1"/>
            </w14:solidFill>
          </w14:textFill>
        </w:rPr>
        <w:t>章《采购需求》。</w:t>
      </w:r>
    </w:p>
    <w:p w14:paraId="04E1CA57">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000000" w:themeColor="text1"/>
          <w:spacing w:val="-12"/>
          <w:sz w:val="24"/>
          <w:szCs w:val="24"/>
          <w:highlight w:val="none"/>
          <w14:textFill>
            <w14:solidFill>
              <w14:schemeClr w14:val="tx1"/>
            </w14:solidFill>
          </w14:textFill>
        </w:rPr>
      </w:pPr>
      <w:r>
        <w:rPr>
          <w:rFonts w:hint="eastAsia" w:ascii="宋体" w:hAnsi="宋体" w:eastAsia="宋体" w:cs="宋体"/>
          <w:color w:val="000000" w:themeColor="text1"/>
          <w:spacing w:val="-1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cs="宋体"/>
          <w:color w:val="000000" w:themeColor="text1"/>
          <w:spacing w:val="-12"/>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2"/>
          <w:sz w:val="24"/>
          <w:szCs w:val="24"/>
          <w:highlight w:val="none"/>
          <w14:textFill>
            <w14:solidFill>
              <w14:schemeClr w14:val="tx1"/>
            </w14:solidFill>
          </w14:textFill>
        </w:rPr>
        <w:t>.2</w:t>
      </w:r>
      <w:r>
        <w:rPr>
          <w:rFonts w:hint="eastAsia" w:ascii="宋体" w:hAnsi="宋体" w:eastAsia="宋体" w:cs="宋体"/>
          <w:color w:val="000000" w:themeColor="text1"/>
          <w:spacing w:val="-12"/>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14:textFill>
            <w14:solidFill>
              <w14:schemeClr w14:val="tx1"/>
            </w14:solidFill>
          </w14:textFill>
        </w:rPr>
        <w:t>绿色数据中心政府采购需求标准（试行）</w:t>
      </w:r>
    </w:p>
    <w:p w14:paraId="6A3A88D8">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000000" w:themeColor="text1"/>
          <w:spacing w:val="-12"/>
          <w:sz w:val="24"/>
          <w:szCs w:val="24"/>
          <w:highlight w:val="none"/>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为加快数据中心绿色转型，根据财政部</w:t>
      </w:r>
      <w:r>
        <w:rPr>
          <w:rFonts w:hint="eastAsia" w:ascii="宋体" w:hAnsi="宋体" w:eastAsia="宋体" w:cs="宋体"/>
          <w:color w:val="000000" w:themeColor="text1"/>
          <w:spacing w:val="-1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2"/>
          <w:sz w:val="24"/>
          <w:szCs w:val="24"/>
          <w:highlight w:val="none"/>
          <w14:textFill>
            <w14:solidFill>
              <w14:schemeClr w14:val="tx1"/>
            </w14:solidFill>
          </w14:textFill>
        </w:rPr>
        <w:t>生态环境部</w:t>
      </w:r>
      <w:r>
        <w:rPr>
          <w:rFonts w:hint="eastAsia" w:ascii="宋体" w:hAnsi="宋体" w:eastAsia="宋体" w:cs="宋体"/>
          <w:color w:val="000000" w:themeColor="text1"/>
          <w:spacing w:val="-12"/>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2"/>
          <w:sz w:val="24"/>
          <w:szCs w:val="24"/>
          <w:highlight w:val="none"/>
          <w14:textFill>
            <w14:solidFill>
              <w14:schemeClr w14:val="tx1"/>
            </w14:solidFill>
          </w14:textFill>
        </w:rPr>
        <w:t>工业和信息化部关于印发《绿色数据中心政府采购需求标准（试行）》的通知（财库〔2023〕7号），本项目如涉及绿色数据中心，则具体要求见第</w:t>
      </w:r>
      <w:r>
        <w:rPr>
          <w:rFonts w:hint="eastAsia" w:ascii="宋体" w:hAnsi="宋体" w:eastAsia="宋体" w:cs="宋体"/>
          <w:color w:val="000000" w:themeColor="text1"/>
          <w:spacing w:val="-12"/>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pacing w:val="-12"/>
          <w:sz w:val="24"/>
          <w:szCs w:val="24"/>
          <w:highlight w:val="none"/>
          <w14:textFill>
            <w14:solidFill>
              <w14:schemeClr w14:val="tx1"/>
            </w14:solidFill>
          </w14:textFill>
        </w:rPr>
        <w:t>章《采购需求》。</w:t>
      </w:r>
    </w:p>
    <w:p w14:paraId="30C763C0">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74" w:firstLineChars="20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2"/>
          <w:sz w:val="24"/>
          <w:szCs w:val="24"/>
          <w:highlight w:val="none"/>
          <w:lang w:val="en-US" w:eastAsia="zh-CN"/>
          <w14:textFill>
            <w14:solidFill>
              <w14:schemeClr w14:val="tx1"/>
            </w14:solidFill>
          </w14:textFill>
        </w:rPr>
        <w:t>5.采购</w:t>
      </w:r>
      <w:r>
        <w:rPr>
          <w:rFonts w:hint="eastAsia" w:ascii="宋体" w:hAnsi="宋体" w:eastAsia="宋体" w:cs="宋体"/>
          <w:b/>
          <w:bCs/>
          <w:color w:val="000000" w:themeColor="text1"/>
          <w:spacing w:val="-2"/>
          <w:sz w:val="24"/>
          <w:szCs w:val="24"/>
          <w:highlight w:val="none"/>
          <w14:textFill>
            <w14:solidFill>
              <w14:schemeClr w14:val="tx1"/>
            </w14:solidFill>
          </w14:textFill>
        </w:rPr>
        <w:t>费用</w:t>
      </w:r>
    </w:p>
    <w:p w14:paraId="7E4E2531">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88"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供应商</w:t>
      </w:r>
      <w:r>
        <w:rPr>
          <w:rFonts w:hint="eastAsia" w:ascii="宋体" w:hAnsi="宋体" w:eastAsia="宋体" w:cs="宋体"/>
          <w:color w:val="000000" w:themeColor="text1"/>
          <w:spacing w:val="-4"/>
          <w:sz w:val="24"/>
          <w:szCs w:val="24"/>
          <w:highlight w:val="none"/>
          <w14:textFill>
            <w14:solidFill>
              <w14:schemeClr w14:val="tx1"/>
            </w14:solidFill>
          </w14:textFill>
        </w:rPr>
        <w:t>应自行承担所有与准备和参加</w:t>
      </w: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本次采购</w:t>
      </w:r>
      <w:r>
        <w:rPr>
          <w:rFonts w:hint="eastAsia" w:ascii="宋体" w:hAnsi="宋体" w:eastAsia="宋体" w:cs="宋体"/>
          <w:color w:val="000000" w:themeColor="text1"/>
          <w:spacing w:val="-4"/>
          <w:sz w:val="24"/>
          <w:szCs w:val="24"/>
          <w:highlight w:val="none"/>
          <w14:textFill>
            <w14:solidFill>
              <w14:schemeClr w14:val="tx1"/>
            </w14:solidFill>
          </w14:textFill>
        </w:rPr>
        <w:t>有关的费用</w:t>
      </w:r>
      <w:r>
        <w:rPr>
          <w:rFonts w:hint="eastAsia" w:ascii="宋体" w:hAnsi="宋体" w:eastAsia="宋体" w:cs="宋体"/>
          <w:color w:val="000000" w:themeColor="text1"/>
          <w:spacing w:val="-5"/>
          <w:sz w:val="24"/>
          <w:szCs w:val="24"/>
          <w:highlight w:val="none"/>
          <w14:textFill>
            <w14:solidFill>
              <w14:schemeClr w14:val="tx1"/>
            </w14:solidFill>
          </w14:textFill>
        </w:rPr>
        <w:t>，无论</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5"/>
          <w:sz w:val="24"/>
          <w:szCs w:val="24"/>
          <w:highlight w:val="none"/>
          <w14:textFill>
            <w14:solidFill>
              <w14:schemeClr w14:val="tx1"/>
            </w14:solidFill>
          </w14:textFill>
        </w:rPr>
        <w:t>的结果如何，</w:t>
      </w:r>
      <w:r>
        <w:rPr>
          <w:rFonts w:hint="eastAsia" w:ascii="宋体" w:hAnsi="宋体" w:eastAsia="宋体" w:cs="宋体"/>
          <w:color w:val="000000" w:themeColor="text1"/>
          <w:spacing w:val="-1"/>
          <w:sz w:val="24"/>
          <w:szCs w:val="24"/>
          <w:highlight w:val="none"/>
          <w14:textFill>
            <w14:solidFill>
              <w14:schemeClr w14:val="tx1"/>
            </w14:solidFill>
          </w14:textFill>
        </w:rPr>
        <w:t>采购人或采购代理机构在任何情况下均无承担</w:t>
      </w:r>
      <w:r>
        <w:rPr>
          <w:rFonts w:hint="eastAsia" w:ascii="宋体" w:hAnsi="宋体" w:eastAsia="宋体" w:cs="宋体"/>
          <w:color w:val="000000" w:themeColor="text1"/>
          <w:spacing w:val="-2"/>
          <w:sz w:val="24"/>
          <w:szCs w:val="24"/>
          <w:highlight w:val="none"/>
          <w14:textFill>
            <w14:solidFill>
              <w14:schemeClr w14:val="tx1"/>
            </w14:solidFill>
          </w14:textFill>
        </w:rPr>
        <w:t>这些费用的义务和责任。</w:t>
      </w:r>
    </w:p>
    <w:p w14:paraId="5D37583F">
      <w:pPr>
        <w:keepNext w:val="0"/>
        <w:keepLines w:val="0"/>
        <w:pageBreakBefore w:val="0"/>
        <w:widowControl w:val="0"/>
        <w:kinsoku/>
        <w:wordWrap/>
        <w:overflowPunct w:val="0"/>
        <w:topLinePunct w:val="0"/>
        <w:bidi w:val="0"/>
        <w:spacing w:line="360" w:lineRule="auto"/>
        <w:ind w:firstLine="567"/>
        <w:jc w:val="both"/>
        <w:rPr>
          <w:rFonts w:hint="eastAsia" w:ascii="宋体" w:hAnsi="宋体" w:eastAsia="宋体" w:cs="宋体"/>
          <w:snapToGrid w:val="0"/>
          <w:color w:val="000000" w:themeColor="text1"/>
          <w:spacing w:val="-12"/>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2"/>
          <w:kern w:val="0"/>
          <w:sz w:val="24"/>
          <w:szCs w:val="24"/>
          <w:highlight w:val="none"/>
          <w:lang w:val="en-US" w:eastAsia="zh-CN" w:bidi="ar-SA"/>
          <w14:textFill>
            <w14:solidFill>
              <w14:schemeClr w14:val="tx1"/>
            </w14:solidFill>
          </w14:textFill>
        </w:rPr>
        <w:t>6.采购范围及适用法律</w:t>
      </w:r>
    </w:p>
    <w:p w14:paraId="259BEF13">
      <w:pPr>
        <w:keepNext w:val="0"/>
        <w:keepLines w:val="0"/>
        <w:pageBreakBefore w:val="0"/>
        <w:widowControl w:val="0"/>
        <w:kinsoku/>
        <w:wordWrap/>
        <w:overflowPunct w:val="0"/>
        <w:topLinePunct w:val="0"/>
        <w:bidi w:val="0"/>
        <w:spacing w:line="360" w:lineRule="auto"/>
        <w:ind w:firstLine="567"/>
        <w:jc w:val="both"/>
        <w:rPr>
          <w:rFonts w:hint="eastAsia" w:ascii="宋体" w:hAnsi="宋体" w:eastAsia="宋体" w:cs="宋体"/>
          <w:snapToGrid w:val="0"/>
          <w:color w:val="000000" w:themeColor="text1"/>
          <w:spacing w:val="-12"/>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2"/>
          <w:kern w:val="0"/>
          <w:sz w:val="24"/>
          <w:szCs w:val="24"/>
          <w:highlight w:val="none"/>
          <w:lang w:val="en-US" w:eastAsia="zh-CN" w:bidi="ar-SA"/>
          <w14:textFill>
            <w14:solidFill>
              <w14:schemeClr w14:val="tx1"/>
            </w14:solidFill>
          </w14:textFill>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18CCE2BE">
      <w:pPr>
        <w:keepNext w:val="0"/>
        <w:keepLines w:val="0"/>
        <w:pageBreakBefore w:val="0"/>
        <w:widowControl w:val="0"/>
        <w:kinsoku/>
        <w:wordWrap/>
        <w:overflowPunct w:val="0"/>
        <w:topLinePunct w:val="0"/>
        <w:bidi w:val="0"/>
        <w:spacing w:line="360" w:lineRule="auto"/>
        <w:ind w:firstLine="567"/>
        <w:jc w:val="both"/>
        <w:rPr>
          <w:rFonts w:hint="eastAsia" w:ascii="宋体" w:hAnsi="宋体" w:eastAsia="宋体" w:cs="宋体"/>
          <w:snapToGrid w:val="0"/>
          <w:color w:val="000000" w:themeColor="text1"/>
          <w:spacing w:val="-12"/>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2"/>
          <w:kern w:val="0"/>
          <w:sz w:val="24"/>
          <w:szCs w:val="24"/>
          <w:highlight w:val="none"/>
          <w:lang w:val="en-US" w:eastAsia="zh-CN" w:bidi="ar-SA"/>
          <w14:textFill>
            <w14:solidFill>
              <w14:schemeClr w14:val="tx1"/>
            </w14:solidFill>
          </w14:textFill>
        </w:rPr>
        <w:t>6.2 “监督管理部门”是指</w:t>
      </w:r>
      <w:r>
        <w:rPr>
          <w:rFonts w:hint="eastAsia" w:ascii="宋体" w:hAnsi="宋体" w:eastAsia="宋体" w:cs="宋体"/>
          <w:snapToGrid w:val="0"/>
          <w:color w:val="000000" w:themeColor="text1"/>
          <w:spacing w:val="-2"/>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u w:val="single"/>
          <w:shd w:val="clear" w:color="auto" w:fill="FFFFFF"/>
          <w14:textFill>
            <w14:solidFill>
              <w14:schemeClr w14:val="tx1"/>
            </w14:solidFill>
          </w14:textFill>
        </w:rPr>
        <w:t>内乡县财政局政府采购监督管理办公室</w:t>
      </w:r>
      <w:r>
        <w:rPr>
          <w:rFonts w:hint="eastAsia" w:ascii="宋体" w:hAnsi="宋体" w:eastAsia="宋体" w:cs="宋体"/>
          <w:snapToGrid w:val="0"/>
          <w:color w:val="000000" w:themeColor="text1"/>
          <w:spacing w:val="-2"/>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highlight w:val="none"/>
          <w:lang w:val="en-US" w:eastAsia="zh-CN" w:bidi="ar-SA"/>
          <w14:textFill>
            <w14:solidFill>
              <w14:schemeClr w14:val="tx1"/>
            </w14:solidFill>
          </w14:textFill>
        </w:rPr>
        <w:t>。</w:t>
      </w:r>
    </w:p>
    <w:p w14:paraId="0C0908FA">
      <w:pPr>
        <w:keepNext w:val="0"/>
        <w:keepLines w:val="0"/>
        <w:pageBreakBefore w:val="0"/>
        <w:widowControl w:val="0"/>
        <w:kinsoku/>
        <w:wordWrap/>
        <w:overflowPunct w:val="0"/>
        <w:topLinePunct w:val="0"/>
        <w:bidi w:val="0"/>
        <w:spacing w:line="360" w:lineRule="auto"/>
        <w:ind w:firstLine="567"/>
        <w:jc w:val="both"/>
        <w:rPr>
          <w:rFonts w:hint="eastAsia" w:ascii="宋体" w:hAnsi="宋体" w:eastAsia="宋体" w:cs="宋体"/>
          <w:snapToGrid w:val="0"/>
          <w:color w:val="000000" w:themeColor="text1"/>
          <w:spacing w:val="-12"/>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2"/>
          <w:kern w:val="0"/>
          <w:sz w:val="24"/>
          <w:szCs w:val="24"/>
          <w:highlight w:val="none"/>
          <w:lang w:val="en-US" w:eastAsia="zh-CN" w:bidi="ar-SA"/>
          <w14:textFill>
            <w14:solidFill>
              <w14:schemeClr w14:val="tx1"/>
            </w14:solidFill>
          </w14:textFill>
        </w:rPr>
        <w:t>6.3 “货物”指供应商按采购文件规定，须向采购人提供的与本次采购相关的</w:t>
      </w:r>
      <w:r>
        <w:rPr>
          <w:rFonts w:hint="eastAsia" w:ascii="宋体" w:hAnsi="宋体" w:eastAsia="宋体" w:cs="宋体"/>
          <w:snapToGrid w:val="0"/>
          <w:color w:val="000000" w:themeColor="text1"/>
          <w:spacing w:val="-2"/>
          <w:kern w:val="0"/>
          <w:sz w:val="24"/>
          <w:szCs w:val="24"/>
          <w:highlight w:val="none"/>
          <w:u w:val="single"/>
          <w:lang w:val="en-US" w:eastAsia="zh-CN" w:bidi="ar-SA"/>
          <w14:textFill>
            <w14:solidFill>
              <w14:schemeClr w14:val="tx1"/>
            </w14:solidFill>
          </w14:textFill>
        </w:rPr>
        <w:t xml:space="preserve">   \  </w:t>
      </w:r>
      <w:r>
        <w:rPr>
          <w:rFonts w:hint="eastAsia" w:ascii="宋体" w:hAnsi="宋体" w:eastAsia="宋体" w:cs="宋体"/>
          <w:snapToGrid w:val="0"/>
          <w:color w:val="000000" w:themeColor="text1"/>
          <w:spacing w:val="-12"/>
          <w:kern w:val="0"/>
          <w:sz w:val="24"/>
          <w:szCs w:val="24"/>
          <w:highlight w:val="none"/>
          <w:lang w:val="en-US" w:eastAsia="zh-CN" w:bidi="ar-SA"/>
          <w14:textFill>
            <w14:solidFill>
              <w14:schemeClr w14:val="tx1"/>
            </w14:solidFill>
          </w14:textFill>
        </w:rPr>
        <w:t>。</w:t>
      </w:r>
    </w:p>
    <w:p w14:paraId="525A8F8F">
      <w:pPr>
        <w:keepNext w:val="0"/>
        <w:keepLines w:val="0"/>
        <w:pageBreakBefore w:val="0"/>
        <w:widowControl w:val="0"/>
        <w:kinsoku/>
        <w:wordWrap/>
        <w:overflowPunct w:val="0"/>
        <w:topLinePunct w:val="0"/>
        <w:bidi w:val="0"/>
        <w:spacing w:line="360" w:lineRule="auto"/>
        <w:ind w:firstLine="567"/>
        <w:jc w:val="both"/>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snapToGrid w:val="0"/>
          <w:color w:val="000000" w:themeColor="text1"/>
          <w:spacing w:val="-12"/>
          <w:kern w:val="0"/>
          <w:sz w:val="24"/>
          <w:szCs w:val="24"/>
          <w:highlight w:val="none"/>
          <w:lang w:val="en-US" w:eastAsia="zh-CN" w:bidi="ar-SA"/>
          <w14:textFill>
            <w14:solidFill>
              <w14:schemeClr w14:val="tx1"/>
            </w14:solidFill>
          </w14:textFill>
        </w:rPr>
        <w:t>6.4 “服务”指采购文件规定供应商应承担的</w:t>
      </w:r>
      <w:r>
        <w:rPr>
          <w:rFonts w:hint="eastAsia" w:ascii="宋体" w:hAnsi="宋体" w:eastAsia="宋体" w:cs="宋体"/>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禁止开垦陡坡地范围划定工作 </w:t>
      </w:r>
      <w:r>
        <w:rPr>
          <w:rFonts w:hint="eastAsia" w:ascii="宋体" w:hAnsi="宋体" w:eastAsia="宋体" w:cs="宋体"/>
          <w:snapToGrid w:val="0"/>
          <w:color w:val="000000" w:themeColor="text1"/>
          <w:spacing w:val="-12"/>
          <w:kern w:val="0"/>
          <w:sz w:val="24"/>
          <w:szCs w:val="24"/>
          <w:highlight w:val="none"/>
          <w:lang w:val="en-US" w:eastAsia="zh-CN" w:bidi="ar-SA"/>
          <w14:textFill>
            <w14:solidFill>
              <w14:schemeClr w14:val="tx1"/>
            </w14:solidFill>
          </w14:textFill>
        </w:rPr>
        <w:t>服务。</w:t>
      </w:r>
    </w:p>
    <w:p w14:paraId="2C1EF76B">
      <w:pPr>
        <w:pStyle w:val="5"/>
        <w:keepNext w:val="0"/>
        <w:keepLines w:val="0"/>
        <w:pageBreakBefore w:val="0"/>
        <w:widowControl w:val="0"/>
        <w:kinsoku/>
        <w:wordWrap/>
        <w:overflowPunct w:val="0"/>
        <w:topLinePunct w:val="0"/>
        <w:bidi w:val="0"/>
        <w:spacing w:before="91" w:line="36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8"/>
          <w:szCs w:val="28"/>
          <w:highlight w:val="none"/>
          <w14:textOutline w14:w="1800" w14:cap="flat" w14:cmpd="sng">
            <w14:solidFill>
              <w14:srgbClr w14:val="000000"/>
            </w14:solidFill>
            <w14:prstDash w14:val="solid"/>
            <w14:miter w14:val="0"/>
          </w14:textOutline>
          <w14:textFill>
            <w14:solidFill>
              <w14:schemeClr w14:val="tx1"/>
            </w14:solidFill>
          </w14:textFill>
        </w:rPr>
        <w:t>二</w:t>
      </w:r>
      <w:r>
        <w:rPr>
          <w:rFonts w:hint="eastAsia" w:ascii="宋体" w:hAnsi="宋体" w:eastAsia="宋体" w:cs="宋体"/>
          <w:color w:val="000000" w:themeColor="text1"/>
          <w:spacing w:val="-1"/>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1"/>
          <w:sz w:val="28"/>
          <w:szCs w:val="28"/>
          <w:highlight w:val="none"/>
          <w14:textOutline w14:w="1800" w14:cap="flat" w14:cmpd="sng">
            <w14:solidFill>
              <w14:srgbClr w14:val="000000"/>
            </w14:solidFill>
            <w14:prstDash w14:val="solid"/>
            <w14:miter w14:val="0"/>
          </w14:textOutline>
          <w14:textFill>
            <w14:solidFill>
              <w14:schemeClr w14:val="tx1"/>
            </w14:solidFill>
          </w14:textFill>
        </w:rPr>
        <w:t>竞争性磋商文件</w:t>
      </w:r>
    </w:p>
    <w:p w14:paraId="1A95FED3">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竞争性磋商文件构成</w:t>
      </w:r>
    </w:p>
    <w:p w14:paraId="02433F3B">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pacing w:val="-1"/>
          <w:sz w:val="24"/>
          <w:szCs w:val="24"/>
          <w:highlight w:val="none"/>
          <w14:textFill>
            <w14:solidFill>
              <w14:schemeClr w14:val="tx1"/>
            </w14:solidFill>
          </w14:textFill>
        </w:rPr>
        <w:t>.1</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竞争性磋商文件包括以下部分：</w:t>
      </w:r>
    </w:p>
    <w:p w14:paraId="13A800A4">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1"/>
          <w:sz w:val="24"/>
          <w:szCs w:val="24"/>
          <w:highlight w:val="none"/>
          <w14:textFill>
            <w14:solidFill>
              <w14:schemeClr w14:val="tx1"/>
            </w14:solidFill>
          </w14:textFill>
        </w:rPr>
        <w:instrText xml:space="preserve">HYPERLINK\l"bookmark1"</w:instrText>
      </w:r>
      <w:r>
        <w:rPr>
          <w:rFonts w:hint="eastAsia" w:ascii="宋体" w:hAnsi="宋体" w:eastAsia="宋体" w:cs="宋体"/>
          <w:color w:val="000000" w:themeColor="text1"/>
          <w:spacing w:val="-1"/>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1"/>
          <w:sz w:val="24"/>
          <w:szCs w:val="24"/>
          <w:highlight w:val="none"/>
          <w14:textFill>
            <w14:solidFill>
              <w14:schemeClr w14:val="tx1"/>
            </w14:solidFill>
          </w14:textFill>
        </w:rPr>
        <w:t>第一章</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竞争性磋商公告</w:t>
      </w:r>
      <w:r>
        <w:rPr>
          <w:rFonts w:hint="eastAsia" w:ascii="宋体" w:hAnsi="宋体" w:eastAsia="宋体" w:cs="宋体"/>
          <w:color w:val="000000" w:themeColor="text1"/>
          <w:spacing w:val="-1"/>
          <w:sz w:val="24"/>
          <w:szCs w:val="24"/>
          <w:highlight w:val="none"/>
          <w14:textFill>
            <w14:solidFill>
              <w14:schemeClr w14:val="tx1"/>
            </w14:solidFill>
          </w14:textFill>
        </w:rPr>
        <w:fldChar w:fldCharType="end"/>
      </w:r>
    </w:p>
    <w:p w14:paraId="604DB4E3">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第二章</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采购需求</w:t>
      </w:r>
    </w:p>
    <w:p w14:paraId="4E352C32">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第三章</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供应商须知</w:t>
      </w:r>
    </w:p>
    <w:p w14:paraId="36787ECB">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第四章</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评</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审</w:t>
      </w:r>
      <w:r>
        <w:rPr>
          <w:rFonts w:hint="eastAsia" w:ascii="宋体" w:hAnsi="宋体" w:eastAsia="宋体" w:cs="宋体"/>
          <w:color w:val="000000" w:themeColor="text1"/>
          <w:spacing w:val="-1"/>
          <w:sz w:val="24"/>
          <w:szCs w:val="24"/>
          <w:highlight w:val="none"/>
          <w14:textFill>
            <w14:solidFill>
              <w14:schemeClr w14:val="tx1"/>
            </w14:solidFill>
          </w14:textFill>
        </w:rPr>
        <w:t>程序、评审方法和评审标准</w:t>
      </w:r>
    </w:p>
    <w:p w14:paraId="43549721">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第五章</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政府采购合同（草案）</w:t>
      </w:r>
    </w:p>
    <w:p w14:paraId="2F7BD107">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000000" w:themeColor="text1"/>
          <w:spacing w:val="-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第六章</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响应文件格式</w:t>
      </w:r>
    </w:p>
    <w:p w14:paraId="6B8799DF">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7.2 供应商应认真阅读竞争性磋商文件的全部内容。供应商应按照竞争性磋商文件要求提交响应文件并保证所提供的全部资料的真实性，并对竞争性磋商文件做出实质性响应，否则响应无效。</w:t>
      </w:r>
    </w:p>
    <w:p w14:paraId="5CC8058C">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8" w:firstLineChars="200"/>
        <w:jc w:val="both"/>
        <w:textAlignment w:val="baseline"/>
        <w:rPr>
          <w:rFonts w:hint="eastAsia" w:ascii="宋体" w:hAnsi="宋体" w:eastAsia="宋体" w:cs="宋体"/>
          <w:b/>
          <w:bCs/>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1"/>
          <w:sz w:val="24"/>
          <w:szCs w:val="24"/>
          <w:highlight w:val="none"/>
          <w:lang w:val="en-US" w:eastAsia="zh-CN"/>
          <w14:textFill>
            <w14:solidFill>
              <w14:schemeClr w14:val="tx1"/>
            </w14:solidFill>
          </w14:textFill>
        </w:rPr>
        <w:t>8.对竞争性磋商文件的澄清或修改</w:t>
      </w:r>
    </w:p>
    <w:p w14:paraId="62FDB67D">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8.1 </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采购人或采购代理机构</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可用补充文件的方式修正竞争性磋商文件，补充文件内容以公告的形式告知所有竞争性磋商文件收受人，该补充文件将成为竞争性磋商文件的组成部分，并替代所修正的部分。</w:t>
      </w:r>
    </w:p>
    <w:p w14:paraId="2C6B960E">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8.2 </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采购人或采购代理机构</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可以酌情延长上传截止时间，并将此变更以公告形式通知所有竞争性磋商文件收受人。</w:t>
      </w:r>
    </w:p>
    <w:p w14:paraId="2BFE571B">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（必须在原公告发布媒体上发布公告）</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通知所有获取磋商文件的供应商；不足5日的，将顺延上传响应文件截止时间。</w:t>
      </w:r>
    </w:p>
    <w:p w14:paraId="150319E6">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8" w:firstLineChars="200"/>
        <w:jc w:val="both"/>
        <w:textAlignment w:val="baseline"/>
        <w:rPr>
          <w:rFonts w:hint="eastAsia" w:ascii="宋体" w:hAnsi="宋体" w:eastAsia="宋体" w:cs="宋体"/>
          <w:b/>
          <w:bCs/>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1"/>
          <w:sz w:val="24"/>
          <w:szCs w:val="24"/>
          <w:highlight w:val="none"/>
          <w:lang w:val="en-US" w:eastAsia="zh-CN"/>
          <w14:textFill>
            <w14:solidFill>
              <w14:schemeClr w14:val="tx1"/>
            </w14:solidFill>
          </w14:textFill>
        </w:rPr>
        <w:t>8.4 政府采购项目实行网上受理，开标前所有信息保密。因此，</w:t>
      </w:r>
      <w:r>
        <w:rPr>
          <w:rFonts w:hint="eastAsia" w:ascii="宋体" w:hAnsi="宋体" w:eastAsia="宋体" w:cs="宋体"/>
          <w:b/>
          <w:bCs/>
          <w:color w:val="000000" w:themeColor="text1"/>
          <w:spacing w:val="-8"/>
          <w:sz w:val="24"/>
          <w:szCs w:val="24"/>
          <w:highlight w:val="none"/>
          <w:lang w:val="en-US" w:eastAsia="zh-CN"/>
          <w14:textFill>
            <w14:solidFill>
              <w14:schemeClr w14:val="tx1"/>
            </w14:solidFill>
          </w14:textFill>
        </w:rPr>
        <w:t>采购人或采购代理机构</w:t>
      </w:r>
      <w:r>
        <w:rPr>
          <w:rFonts w:hint="eastAsia" w:ascii="宋体" w:hAnsi="宋体" w:eastAsia="宋体" w:cs="宋体"/>
          <w:b/>
          <w:bCs/>
          <w:color w:val="000000" w:themeColor="text1"/>
          <w:spacing w:val="-1"/>
          <w:sz w:val="24"/>
          <w:szCs w:val="24"/>
          <w:highlight w:val="none"/>
          <w:lang w:val="en-US" w:eastAsia="zh-CN"/>
          <w14:textFill>
            <w14:solidFill>
              <w14:schemeClr w14:val="tx1"/>
            </w14:solidFill>
          </w14:textFill>
        </w:rPr>
        <w:t>发布的一切公告信息（包括采购公告、变更公告、澄清公告等）均在“河南省政府采购网”“内乡县公共资源交易中心网”等媒体发布，请潜在供应商随时查询有关公告信息。若因潜在供应商没有及时查看到公告信息而造成的失误，责任自负。</w:t>
      </w:r>
    </w:p>
    <w:p w14:paraId="25D87457">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5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8"/>
          <w:sz w:val="24"/>
          <w:szCs w:val="24"/>
          <w:highlight w:val="none"/>
          <w:lang w:val="en-US" w:eastAsia="zh-CN"/>
          <w14:textFill>
            <w14:solidFill>
              <w14:schemeClr w14:val="tx1"/>
            </w14:solidFill>
          </w14:textFill>
        </w:rPr>
        <w:t>8.5 供应商应关注是否有发布最新的澄清更正公告和更正的最新磋商文件，如有则需下载最新的磋商文件，并在此基础上制作最新的响应文件并上传。</w:t>
      </w:r>
    </w:p>
    <w:p w14:paraId="2849184D">
      <w:pPr>
        <w:pStyle w:val="5"/>
        <w:keepNext w:val="0"/>
        <w:keepLines w:val="0"/>
        <w:pageBreakBefore w:val="0"/>
        <w:widowControl w:val="0"/>
        <w:kinsoku/>
        <w:wordWrap/>
        <w:overflowPunct w:val="0"/>
        <w:topLinePunct w:val="0"/>
        <w:bidi w:val="0"/>
        <w:spacing w:before="91" w:line="36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4"/>
          <w:sz w:val="28"/>
          <w:szCs w:val="28"/>
          <w:highlight w:val="none"/>
          <w14:textOutline w14:w="1800" w14:cap="flat" w14:cmpd="sng">
            <w14:solidFill>
              <w14:srgbClr w14:val="000000"/>
            </w14:solidFill>
            <w14:prstDash w14:val="solid"/>
            <w14:miter w14:val="0"/>
          </w14:textOutline>
          <w14:textFill>
            <w14:solidFill>
              <w14:schemeClr w14:val="tx1"/>
            </w14:solidFill>
          </w14:textFill>
        </w:rPr>
        <w:t>三</w:t>
      </w:r>
      <w:r>
        <w:rPr>
          <w:rFonts w:hint="eastAsia" w:ascii="宋体" w:hAnsi="宋体" w:eastAsia="宋体" w:cs="宋体"/>
          <w:color w:val="000000" w:themeColor="text1"/>
          <w:spacing w:val="1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4"/>
          <w:sz w:val="28"/>
          <w:szCs w:val="28"/>
          <w:highlight w:val="none"/>
          <w14:textOutline w14:w="1800" w14:cap="flat" w14:cmpd="sng">
            <w14:solidFill>
              <w14:srgbClr w14:val="000000"/>
            </w14:solidFill>
            <w14:prstDash w14:val="solid"/>
            <w14:miter w14:val="0"/>
          </w14:textOutline>
          <w14:textFill>
            <w14:solidFill>
              <w14:schemeClr w14:val="tx1"/>
            </w14:solidFill>
          </w14:textFill>
        </w:rPr>
        <w:t>响应文件的编制</w:t>
      </w:r>
    </w:p>
    <w:p w14:paraId="4207E848">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8" w:firstLineChars="200"/>
        <w:jc w:val="both"/>
        <w:textAlignment w:val="baseline"/>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1"/>
          <w:sz w:val="24"/>
          <w:szCs w:val="24"/>
          <w:highlight w:val="none"/>
          <w:lang w:val="en-US" w:eastAsia="zh-CN"/>
          <w14:textFill>
            <w14:solidFill>
              <w14:schemeClr w14:val="tx1"/>
            </w14:solidFill>
          </w14:textFill>
        </w:rPr>
        <w:t>9.响应范围、竞争性磋商文件中计量单位的使用及磋商语言</w:t>
      </w:r>
    </w:p>
    <w:p w14:paraId="68283E1F">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7EF53E14">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9.2 除竞争性磋商文件有特殊要求外，本项目磋商所使用的计量单位，应采用中华人民共和国法定计量单位。</w:t>
      </w:r>
    </w:p>
    <w:p w14:paraId="62D1D767">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7FA6746">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8" w:firstLineChars="200"/>
        <w:jc w:val="both"/>
        <w:textAlignment w:val="baseline"/>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1"/>
          <w:sz w:val="24"/>
          <w:szCs w:val="24"/>
          <w:highlight w:val="none"/>
          <w:lang w:val="en-US" w:eastAsia="zh-CN"/>
          <w14:textFill>
            <w14:solidFill>
              <w14:schemeClr w14:val="tx1"/>
            </w14:solidFill>
          </w14:textFill>
        </w:rPr>
        <w:t>10.响应文件构成</w:t>
      </w:r>
    </w:p>
    <w:p w14:paraId="7D98AA43">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10.1 供应商应当按照竞争性磋商文件的要求编制响应文件，并对其提交的响应文件的真实性、合法性承担法律责任。响应文件的部分格式要求，见第六章《响应文件格式》。</w:t>
      </w:r>
    </w:p>
    <w:p w14:paraId="5C378F9D">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387B7AA7">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电子</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eastAsia="zh-CN"/>
          <w14:textFill>
            <w14:solidFill>
              <w14:schemeClr w14:val="tx1"/>
            </w14:solidFill>
          </w14:textFill>
        </w:rPr>
        <w:t>文件应使用CA数字证书生成并在截止时间前上传其加密版本，</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根据磋商文件中规定的下载平台要求，</w:t>
      </w:r>
      <w:r>
        <w:rPr>
          <w:rFonts w:hint="eastAsia" w:ascii="宋体" w:hAnsi="宋体" w:eastAsia="宋体" w:cs="宋体"/>
          <w:color w:val="000000" w:themeColor="text1"/>
          <w:sz w:val="24"/>
          <w:szCs w:val="24"/>
          <w:highlight w:val="none"/>
          <w:lang w:eastAsia="zh-CN"/>
          <w14:textFill>
            <w14:solidFill>
              <w14:schemeClr w14:val="tx1"/>
            </w14:solidFill>
          </w14:textFill>
        </w:rPr>
        <w:t>具体详见《投标文件制作工具操作手册》。</w:t>
      </w:r>
      <w:r>
        <w:rPr>
          <w:rFonts w:hint="eastAsia" w:ascii="宋体" w:hAnsi="宋体" w:eastAsia="宋体" w:cs="宋体"/>
          <w:b/>
          <w:bCs/>
          <w:color w:val="000000" w:themeColor="text1"/>
          <w:sz w:val="24"/>
          <w:szCs w:val="24"/>
          <w:highlight w:val="none"/>
          <w:lang w:eastAsia="zh-CN"/>
          <w14:textFill>
            <w14:solidFill>
              <w14:schemeClr w14:val="tx1"/>
            </w14:solidFill>
          </w14:textFill>
        </w:rPr>
        <w:t>否则，被视为无效</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24"/>
          <w:highlight w:val="none"/>
          <w:lang w:eastAsia="zh-CN"/>
          <w14:textFill>
            <w14:solidFill>
              <w14:schemeClr w14:val="tx1"/>
            </w14:solidFill>
          </w14:textFill>
        </w:rPr>
        <w:t>文件，将被平台系统拒绝。</w:t>
      </w:r>
    </w:p>
    <w:p w14:paraId="5935A51F">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10.4 </w:t>
      </w:r>
      <w:r>
        <w:rPr>
          <w:rFonts w:hint="eastAsia" w:ascii="宋体" w:hAnsi="宋体" w:eastAsia="宋体" w:cs="宋体"/>
          <w:color w:val="000000" w:themeColor="text1"/>
          <w:sz w:val="24"/>
          <w:szCs w:val="24"/>
          <w:highlight w:val="none"/>
          <w14:textFill>
            <w14:solidFill>
              <w14:schemeClr w14:val="tx1"/>
            </w14:solidFill>
          </w14:textFill>
        </w:rPr>
        <w:t>第四章《</w:t>
      </w:r>
      <w:r>
        <w:rPr>
          <w:rFonts w:hint="eastAsia" w:ascii="宋体" w:hAnsi="宋体" w:eastAsia="宋体" w:cs="宋体"/>
          <w:color w:val="000000" w:themeColor="text1"/>
          <w:spacing w:val="-1"/>
          <w:sz w:val="24"/>
          <w:szCs w:val="24"/>
          <w:highlight w:val="none"/>
          <w14:textFill>
            <w14:solidFill>
              <w14:schemeClr w14:val="tx1"/>
            </w14:solidFill>
          </w14:textFill>
        </w:rPr>
        <w:t>评</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审</w:t>
      </w:r>
      <w:r>
        <w:rPr>
          <w:rFonts w:hint="eastAsia" w:ascii="宋体" w:hAnsi="宋体" w:eastAsia="宋体" w:cs="宋体"/>
          <w:color w:val="000000" w:themeColor="text1"/>
          <w:spacing w:val="-1"/>
          <w:sz w:val="24"/>
          <w:szCs w:val="24"/>
          <w:highlight w:val="none"/>
          <w14:textFill>
            <w14:solidFill>
              <w14:schemeClr w14:val="tx1"/>
            </w14:solidFill>
          </w14:textFill>
        </w:rPr>
        <w:t>程序、评审方法和评审标准</w:t>
      </w:r>
      <w:r>
        <w:rPr>
          <w:rFonts w:hint="eastAsia" w:ascii="宋体" w:hAnsi="宋体" w:eastAsia="宋体" w:cs="宋体"/>
          <w:color w:val="000000" w:themeColor="text1"/>
          <w:sz w:val="24"/>
          <w:szCs w:val="24"/>
          <w:highlight w:val="none"/>
          <w14:textFill>
            <w14:solidFill>
              <w14:schemeClr w14:val="tx1"/>
            </w14:solidFill>
          </w14:textFill>
        </w:rPr>
        <w:t>》中涉及的证明文件。</w:t>
      </w:r>
    </w:p>
    <w:p w14:paraId="2A6FD0C4">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对照第</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章《采购需求》，说明所</w:t>
      </w:r>
      <w:r>
        <w:rPr>
          <w:rFonts w:hint="eastAsia" w:ascii="宋体" w:hAnsi="宋体" w:eastAsia="宋体" w:cs="宋体"/>
          <w:color w:val="000000" w:themeColor="text1"/>
          <w:sz w:val="24"/>
          <w:szCs w:val="24"/>
          <w:highlight w:val="none"/>
          <w:lang w:val="en-US" w:eastAsia="zh-CN"/>
          <w14:textFill>
            <w14:solidFill>
              <w14:schemeClr w14:val="tx1"/>
            </w14:solidFill>
          </w14:textFill>
        </w:rPr>
        <w:t>提</w:t>
      </w:r>
      <w:r>
        <w:rPr>
          <w:rFonts w:hint="eastAsia" w:ascii="宋体" w:hAnsi="宋体" w:eastAsia="宋体" w:cs="宋体"/>
          <w:color w:val="000000" w:themeColor="text1"/>
          <w:sz w:val="24"/>
          <w:szCs w:val="24"/>
          <w:highlight w:val="none"/>
          <w14:textFill>
            <w14:solidFill>
              <w14:schemeClr w14:val="tx1"/>
            </w14:solidFill>
          </w14:textFill>
        </w:rPr>
        <w:t>供货物</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或工程</w:t>
      </w:r>
      <w:r>
        <w:rPr>
          <w:rFonts w:hint="eastAsia" w:ascii="宋体" w:hAnsi="宋体" w:eastAsia="宋体" w:cs="宋体"/>
          <w:color w:val="000000" w:themeColor="text1"/>
          <w:sz w:val="24"/>
          <w:szCs w:val="24"/>
          <w:highlight w:val="none"/>
          <w14:textFill>
            <w14:solidFill>
              <w14:schemeClr w14:val="tx1"/>
            </w14:solidFill>
          </w14:textFill>
        </w:rPr>
        <w:t>已对第</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章《采购需求》做出了响应，或申明与第</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章《采购需求》的偏差和例外。如第</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章《采购需求》中要求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提</w:t>
      </w:r>
      <w:r>
        <w:rPr>
          <w:rFonts w:hint="eastAsia" w:ascii="宋体" w:hAnsi="宋体" w:eastAsia="宋体" w:cs="宋体"/>
          <w:color w:val="000000" w:themeColor="text1"/>
          <w:sz w:val="24"/>
          <w:szCs w:val="24"/>
          <w:highlight w:val="none"/>
          <w14:textFill>
            <w14:solidFill>
              <w14:schemeClr w14:val="tx1"/>
            </w14:solidFill>
          </w14:textFill>
        </w:rPr>
        <w:t>供证明文件的，</w:t>
      </w:r>
      <w:r>
        <w:rPr>
          <w:rFonts w:hint="eastAsia" w:ascii="宋体" w:hAnsi="宋体" w:eastAsia="宋体" w:cs="宋体"/>
          <w:color w:val="000000" w:themeColor="text1"/>
          <w:spacing w:val="2"/>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应当按具体要求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提</w:t>
      </w:r>
      <w:r>
        <w:rPr>
          <w:rFonts w:hint="eastAsia" w:ascii="宋体" w:hAnsi="宋体" w:eastAsia="宋体" w:cs="宋体"/>
          <w:color w:val="000000" w:themeColor="text1"/>
          <w:sz w:val="24"/>
          <w:szCs w:val="24"/>
          <w:highlight w:val="none"/>
          <w14:textFill>
            <w14:solidFill>
              <w14:schemeClr w14:val="tx1"/>
            </w14:solidFill>
          </w14:textFill>
        </w:rPr>
        <w:t>供证明文件。</w:t>
      </w:r>
    </w:p>
    <w:p w14:paraId="72350A8A">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10.6 </w:t>
      </w:r>
      <w:r>
        <w:rPr>
          <w:rFonts w:hint="eastAsia" w:ascii="宋体" w:hAnsi="宋体" w:eastAsia="宋体" w:cs="宋体"/>
          <w:color w:val="000000" w:themeColor="text1"/>
          <w:spacing w:val="2"/>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编制响应文件时，涉及营业执照、资质、业绩、财务、社保、纳税及各类证书、报告等内容，必须是原件的扫描件。</w:t>
      </w:r>
    </w:p>
    <w:p w14:paraId="27B6D0E3">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10.7 </w:t>
      </w:r>
      <w:r>
        <w:rPr>
          <w:rFonts w:hint="eastAsia" w:ascii="宋体" w:hAnsi="宋体" w:eastAsia="宋体" w:cs="宋体"/>
          <w:color w:val="000000" w:themeColor="text1"/>
          <w:spacing w:val="2"/>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认为应附的其他材料。</w:t>
      </w:r>
    </w:p>
    <w:p w14:paraId="4C8AD74F">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11.报价</w:t>
      </w:r>
    </w:p>
    <w:p w14:paraId="7C090769">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报价</w:t>
      </w:r>
      <w:r>
        <w:rPr>
          <w:rFonts w:hint="eastAsia" w:ascii="宋体" w:hAnsi="宋体" w:eastAsia="宋体" w:cs="宋体"/>
          <w:color w:val="000000" w:themeColor="text1"/>
          <w:sz w:val="24"/>
          <w:szCs w:val="24"/>
          <w:highlight w:val="none"/>
          <w14:textFill>
            <w14:solidFill>
              <w14:schemeClr w14:val="tx1"/>
            </w14:solidFill>
          </w14:textFill>
        </w:rPr>
        <w:t>均以人民币报价。</w:t>
      </w:r>
    </w:p>
    <w:p w14:paraId="1E47B8DB">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的报价应包括为完成本项目所发生的一切费用和税费，采购人将不再支付报价以外的任何费用。</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的报价应包括但不限于下列内容，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中有特殊规定的，从其规定。</w:t>
      </w:r>
    </w:p>
    <w:p w14:paraId="48A6CD13">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 </w:t>
      </w:r>
      <w:r>
        <w:rPr>
          <w:rFonts w:hint="eastAsia" w:ascii="宋体" w:hAnsi="宋体" w:eastAsia="宋体" w:cs="宋体"/>
          <w:color w:val="000000" w:themeColor="text1"/>
          <w:sz w:val="24"/>
          <w:szCs w:val="24"/>
          <w:highlight w:val="none"/>
          <w:lang w:eastAsia="zh-CN"/>
          <w14:textFill>
            <w14:solidFill>
              <w14:schemeClr w14:val="tx1"/>
            </w14:solidFill>
          </w14:textFill>
        </w:rPr>
        <w:t>所投</w:t>
      </w:r>
      <w:r>
        <w:rPr>
          <w:rFonts w:hint="eastAsia" w:ascii="宋体" w:hAnsi="宋体" w:eastAsia="宋体" w:cs="宋体"/>
          <w:color w:val="000000" w:themeColor="text1"/>
          <w:sz w:val="24"/>
          <w:szCs w:val="24"/>
          <w:highlight w:val="none"/>
          <w14:textFill>
            <w14:solidFill>
              <w14:schemeClr w14:val="tx1"/>
            </w14:solidFill>
          </w14:textFill>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宋体" w:hAnsi="宋体" w:eastAsia="宋体" w:cs="宋体"/>
          <w:color w:val="000000" w:themeColor="text1"/>
          <w:sz w:val="24"/>
          <w:szCs w:val="24"/>
          <w:highlight w:val="none"/>
          <w:lang w:eastAsia="zh-CN"/>
          <w14:textFill>
            <w14:solidFill>
              <w14:schemeClr w14:val="tx1"/>
            </w14:solidFill>
          </w14:textFill>
        </w:rPr>
        <w:t>报价时应详细列出所投产品的生产厂商、品牌、型号、单价、数量、总价等。</w:t>
      </w:r>
    </w:p>
    <w:p w14:paraId="19527CA0">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服务项目</w:t>
      </w:r>
      <w:r>
        <w:rPr>
          <w:rFonts w:hint="eastAsia" w:ascii="宋体" w:hAnsi="宋体" w:eastAsia="宋体" w:cs="宋体"/>
          <w:color w:val="000000" w:themeColor="text1"/>
          <w:sz w:val="24"/>
          <w:szCs w:val="24"/>
          <w:highlight w:val="none"/>
          <w14:textFill>
            <w14:solidFill>
              <w14:schemeClr w14:val="tx1"/>
            </w14:solidFill>
          </w14:textFill>
        </w:rPr>
        <w:t>按照</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文件要求完成本项目的全部相关费用。</w:t>
      </w:r>
    </w:p>
    <w:p w14:paraId="33051534">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采购人不得向供应商索要或者接受其给予的赠品、回扣或者与采购无关的其他商品、服务。</w:t>
      </w:r>
    </w:p>
    <w:p w14:paraId="012E3707">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11.4</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不能</w:t>
      </w:r>
      <w:r>
        <w:rPr>
          <w:rFonts w:hint="eastAsia" w:ascii="宋体" w:hAnsi="宋体" w:eastAsia="宋体" w:cs="宋体"/>
          <w:color w:val="000000" w:themeColor="text1"/>
          <w:sz w:val="24"/>
          <w:szCs w:val="24"/>
          <w:highlight w:val="none"/>
          <w:lang w:val="en-US" w:eastAsia="zh-CN"/>
          <w14:textFill>
            <w14:solidFill>
              <w14:schemeClr w14:val="tx1"/>
            </w14:solidFill>
          </w14:textFill>
        </w:rPr>
        <w:t>提</w:t>
      </w:r>
      <w:r>
        <w:rPr>
          <w:rFonts w:hint="eastAsia" w:ascii="宋体" w:hAnsi="宋体" w:eastAsia="宋体" w:cs="宋体"/>
          <w:color w:val="000000" w:themeColor="text1"/>
          <w:sz w:val="24"/>
          <w:szCs w:val="24"/>
          <w:highlight w:val="none"/>
          <w14:textFill>
            <w14:solidFill>
              <w14:schemeClr w14:val="tx1"/>
            </w14:solidFill>
          </w14:textFill>
        </w:rPr>
        <w:t>供任何有选择性或可调整的报价（</w:t>
      </w:r>
      <w:r>
        <w:rPr>
          <w:rFonts w:hint="eastAsia" w:ascii="宋体" w:hAnsi="宋体" w:eastAsia="宋体" w:cs="宋体"/>
          <w:snapToGrid w:val="0"/>
          <w:color w:val="000000" w:themeColor="text1"/>
          <w:spacing w:val="-2"/>
          <w:kern w:val="0"/>
          <w:sz w:val="24"/>
          <w:szCs w:val="24"/>
          <w:highlight w:val="none"/>
          <w:lang w:val="en-US" w:eastAsia="zh-CN" w:bidi="ar-SA"/>
          <w14:textFill>
            <w14:solidFill>
              <w14:schemeClr w14:val="tx1"/>
            </w14:solidFill>
          </w14:textFill>
        </w:rPr>
        <w:t>竞争性磋商</w:t>
      </w:r>
      <w:r>
        <w:rPr>
          <w:rFonts w:hint="eastAsia" w:ascii="宋体" w:hAnsi="宋体" w:eastAsia="宋体" w:cs="宋体"/>
          <w:color w:val="000000" w:themeColor="text1"/>
          <w:sz w:val="24"/>
          <w:szCs w:val="24"/>
          <w:highlight w:val="none"/>
          <w14:textFill>
            <w14:solidFill>
              <w14:schemeClr w14:val="tx1"/>
            </w14:solidFill>
          </w14:textFill>
        </w:rPr>
        <w:t>文件另有规定的除外），否则其</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无效。</w:t>
      </w:r>
    </w:p>
    <w:p w14:paraId="32E78ABC">
      <w:pPr>
        <w:keepNext w:val="0"/>
        <w:keepLines w:val="0"/>
        <w:pageBreakBefore w:val="0"/>
        <w:widowControl w:val="0"/>
        <w:kinsoku/>
        <w:wordWrap/>
        <w:overflowPunct w:val="0"/>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t>11.5 本项目将按供应商所提交的单价和总价来支付本项目所需的费用。对供应商没有填写单价和总价的内容,将被认为这些项目费用已包括在报价中。</w:t>
      </w:r>
    </w:p>
    <w:p w14:paraId="79BC370F">
      <w:pPr>
        <w:keepNext w:val="0"/>
        <w:keepLines w:val="0"/>
        <w:pageBreakBefore w:val="0"/>
        <w:widowControl w:val="0"/>
        <w:kinsoku/>
        <w:wordWrap/>
        <w:overflowPunct w:val="0"/>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t>11.6 磋商结束，供应商进行网上最终报价。</w:t>
      </w:r>
    </w:p>
    <w:p w14:paraId="6D34EA28">
      <w:pPr>
        <w:keepNext w:val="0"/>
        <w:keepLines w:val="0"/>
        <w:pageBreakBefore w:val="0"/>
        <w:widowControl w:val="0"/>
        <w:kinsoku/>
        <w:wordWrap/>
        <w:overflowPunct w:val="0"/>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t>11.7 本次采购设有预算，供应商最终报价超过预算的，磋商小组将不予评议。</w:t>
      </w:r>
    </w:p>
    <w:p w14:paraId="0E3B8817">
      <w:pPr>
        <w:keepNext w:val="0"/>
        <w:keepLines w:val="0"/>
        <w:pageBreakBefore w:val="0"/>
        <w:widowControl w:val="0"/>
        <w:kinsoku/>
        <w:wordWrap/>
        <w:overflowPunct w:val="0"/>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t>11.8 供应商的所有报价不得低于成本恶意竞争。</w:t>
      </w:r>
    </w:p>
    <w:p w14:paraId="24895506">
      <w:pPr>
        <w:keepNext w:val="0"/>
        <w:keepLines w:val="0"/>
        <w:pageBreakBefore w:val="0"/>
        <w:widowControl w:val="0"/>
        <w:kinsoku/>
        <w:wordWrap/>
        <w:overflowPunct w:val="0"/>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1"/>
          <w:kern w:val="0"/>
          <w:sz w:val="24"/>
          <w:szCs w:val="24"/>
          <w:highlight w:val="none"/>
          <w:lang w:val="en-US" w:eastAsia="zh-CN" w:bidi="ar-SA"/>
          <w14:textFill>
            <w14:solidFill>
              <w14:schemeClr w14:val="tx1"/>
            </w14:solidFill>
          </w14:textFill>
        </w:rPr>
        <w:t>12.响应有效期</w:t>
      </w:r>
    </w:p>
    <w:p w14:paraId="45B2F320">
      <w:pPr>
        <w:keepNext w:val="0"/>
        <w:keepLines w:val="0"/>
        <w:pageBreakBefore w:val="0"/>
        <w:widowControl w:val="0"/>
        <w:kinsoku/>
        <w:wordWrap/>
        <w:overflowPunct w:val="0"/>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t>12.1 响应文件应在本竞争性磋商文件《供应商须知表》中规定的响应有效期内保持有效，响应有效期少于磋商文件规定期限的，其响应无效。成交人的响应有效期延长至项目验收合格之日。</w:t>
      </w:r>
    </w:p>
    <w:p w14:paraId="5062A787">
      <w:pPr>
        <w:keepNext w:val="0"/>
        <w:keepLines w:val="0"/>
        <w:pageBreakBefore w:val="0"/>
        <w:widowControl w:val="0"/>
        <w:kinsoku/>
        <w:wordWrap/>
        <w:overflowPunct w:val="0"/>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670E9C2D">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13.响应</w:t>
      </w:r>
      <w:r>
        <w:rPr>
          <w:rFonts w:hint="eastAsia" w:ascii="宋体" w:hAnsi="宋体" w:eastAsia="宋体" w:cs="宋体"/>
          <w:b/>
          <w:bCs/>
          <w:color w:val="000000" w:themeColor="text1"/>
          <w:sz w:val="24"/>
          <w:szCs w:val="24"/>
          <w:highlight w:val="none"/>
          <w14:textFill>
            <w14:solidFill>
              <w14:schemeClr w14:val="tx1"/>
            </w14:solidFill>
          </w14:textFill>
        </w:rPr>
        <w:t>文件的签署、盖章</w:t>
      </w:r>
    </w:p>
    <w:p w14:paraId="26670380">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13.1 电子响应文件必须在规定签章处电子签章或手写签字后扫描上传进响应文件。</w:t>
      </w:r>
    </w:p>
    <w:p w14:paraId="03FF1D2F">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themeColor="text1"/>
          <w:spacing w:val="-4"/>
          <w:sz w:val="28"/>
          <w:szCs w:val="28"/>
          <w:highlight w:val="none"/>
          <w14:textOutline w14:w="1800"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13.2 竞争性磋商文件要求盖章的内容，一般通过CA加盖电子签章。</w:t>
      </w:r>
    </w:p>
    <w:p w14:paraId="44F17A3B">
      <w:pPr>
        <w:pStyle w:val="5"/>
        <w:keepNext w:val="0"/>
        <w:keepLines w:val="0"/>
        <w:pageBreakBefore w:val="0"/>
        <w:widowControl w:val="0"/>
        <w:kinsoku/>
        <w:wordWrap/>
        <w:overflowPunct w:val="0"/>
        <w:topLinePunct w:val="0"/>
        <w:bidi w:val="0"/>
        <w:spacing w:before="122" w:line="360" w:lineRule="auto"/>
        <w:jc w:val="both"/>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4"/>
          <w:sz w:val="28"/>
          <w:szCs w:val="28"/>
          <w:highlight w:val="none"/>
          <w14:textOutline w14:w="1800" w14:cap="flat" w14:cmpd="sng">
            <w14:solidFill>
              <w14:srgbClr w14:val="000000"/>
            </w14:solidFill>
            <w14:prstDash w14:val="solid"/>
            <w14:miter w14:val="0"/>
          </w14:textOutline>
          <w14:textFill>
            <w14:solidFill>
              <w14:schemeClr w14:val="tx1"/>
            </w14:solidFill>
          </w14:textFill>
        </w:rPr>
        <w:t>四</w:t>
      </w:r>
      <w:r>
        <w:rPr>
          <w:rFonts w:hint="eastAsia" w:ascii="宋体" w:hAnsi="宋体" w:eastAsia="宋体" w:cs="宋体"/>
          <w:color w:val="000000" w:themeColor="text1"/>
          <w:spacing w:val="1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4"/>
          <w:sz w:val="28"/>
          <w:szCs w:val="28"/>
          <w:highlight w:val="none"/>
          <w14:textOutline w14:w="1800" w14:cap="flat" w14:cmpd="sng">
            <w14:solidFill>
              <w14:srgbClr w14:val="000000"/>
            </w14:solidFill>
            <w14:prstDash w14:val="solid"/>
            <w14:miter w14:val="0"/>
          </w14:textOutline>
          <w14:textFill>
            <w14:solidFill>
              <w14:schemeClr w14:val="tx1"/>
            </w14:solidFill>
          </w14:textFill>
        </w:rPr>
        <w:t>响应文件的</w:t>
      </w:r>
      <w:r>
        <w:rPr>
          <w:rFonts w:hint="eastAsia" w:ascii="宋体" w:hAnsi="宋体" w:eastAsia="宋体" w:cs="宋体"/>
          <w:color w:val="000000" w:themeColor="text1"/>
          <w:spacing w:val="-4"/>
          <w:sz w:val="28"/>
          <w:szCs w:val="28"/>
          <w:highlight w:val="none"/>
          <w:lang w:eastAsia="zh-CN"/>
          <w14:textOutline w14:w="1800" w14:cap="flat" w14:cmpd="sng">
            <w14:solidFill>
              <w14:srgbClr w14:val="000000"/>
            </w14:solidFill>
            <w14:prstDash w14:val="solid"/>
            <w14:miter w14:val="0"/>
          </w14:textOutline>
          <w14:textFill>
            <w14:solidFill>
              <w14:schemeClr w14:val="tx1"/>
            </w14:solidFill>
          </w14:textFill>
        </w:rPr>
        <w:t>提</w:t>
      </w:r>
      <w:r>
        <w:rPr>
          <w:rFonts w:hint="eastAsia" w:ascii="宋体" w:hAnsi="宋体" w:eastAsia="宋体" w:cs="宋体"/>
          <w:color w:val="000000" w:themeColor="text1"/>
          <w:spacing w:val="-4"/>
          <w:sz w:val="28"/>
          <w:szCs w:val="28"/>
          <w:highlight w:val="none"/>
          <w14:textOutline w14:w="1800" w14:cap="flat" w14:cmpd="sng">
            <w14:solidFill>
              <w14:srgbClr w14:val="000000"/>
            </w14:solidFill>
            <w14:prstDash w14:val="solid"/>
            <w14:miter w14:val="0"/>
          </w14:textOutline>
          <w14:textFill>
            <w14:solidFill>
              <w14:schemeClr w14:val="tx1"/>
            </w14:solidFill>
          </w14:textFill>
        </w:rPr>
        <w:t>交</w:t>
      </w:r>
    </w:p>
    <w:p w14:paraId="112F7C41">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1"/>
          <w:kern w:val="0"/>
          <w:sz w:val="24"/>
          <w:szCs w:val="24"/>
          <w:highlight w:val="none"/>
          <w:lang w:val="en-US" w:eastAsia="zh-CN" w:bidi="ar-SA"/>
          <w14:textFill>
            <w14:solidFill>
              <w14:schemeClr w14:val="tx1"/>
            </w14:solidFill>
          </w14:textFill>
        </w:rPr>
        <w:t>14.响应文件的提交</w:t>
      </w:r>
    </w:p>
    <w:p w14:paraId="5F2CC651">
      <w:pPr>
        <w:keepNext w:val="0"/>
        <w:keepLines w:val="0"/>
        <w:pageBreakBefore w:val="0"/>
        <w:widowControl w:val="0"/>
        <w:kinsoku/>
        <w:wordWrap/>
        <w:overflowPunct w:val="0"/>
        <w:topLinePunct w:val="0"/>
        <w:autoSpaceDE w:val="0"/>
        <w:autoSpaceDN w:val="0"/>
        <w:bidi w:val="0"/>
        <w:adjustRightInd w:val="0"/>
        <w:snapToGrid w:val="0"/>
        <w:spacing w:line="360" w:lineRule="auto"/>
        <w:ind w:left="0" w:right="0" w:firstLine="492" w:firstLineChars="200"/>
        <w:jc w:val="both"/>
        <w:textAlignment w:val="baseline"/>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3"/>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 xml:space="preserve"> 电子响应文件的提交是指使用内乡县公共资源交易中心网上交易系统在上传截止时间前完成制作软件生成的加密电子响应文件的上传。未在上传截止时间前完成上传的，视为逾期提交。逾期提交的响应文件不予受理。</w:t>
      </w:r>
    </w:p>
    <w:p w14:paraId="409D9CF8">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92" w:firstLineChars="200"/>
        <w:jc w:val="both"/>
        <w:textAlignment w:val="baseline"/>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14.2 采购人及采购代理机构拒绝接受通过电子交易平台以外任何形式提交的响应文件。</w:t>
      </w:r>
    </w:p>
    <w:p w14:paraId="71C953B2">
      <w:pPr>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1"/>
          <w:kern w:val="0"/>
          <w:sz w:val="24"/>
          <w:szCs w:val="24"/>
          <w:highlight w:val="none"/>
          <w:lang w:val="en-US" w:eastAsia="zh-CN" w:bidi="ar-SA"/>
          <w14:textFill>
            <w14:solidFill>
              <w14:schemeClr w14:val="tx1"/>
            </w14:solidFill>
          </w14:textFill>
        </w:rPr>
        <w:t>15.响应文件上传截止时间</w:t>
      </w:r>
    </w:p>
    <w:p w14:paraId="40212B11">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right="0" w:firstLine="492" w:firstLineChars="200"/>
        <w:jc w:val="both"/>
        <w:textAlignment w:val="baseline"/>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供应商应在竞争性磋商文件要求响应文件上传截止时间前，将电子响应文件提交至电子交易平台。</w:t>
      </w:r>
    </w:p>
    <w:p w14:paraId="40F61C6D">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right="0" w:firstLine="494" w:firstLineChars="200"/>
        <w:jc w:val="both"/>
        <w:textAlignment w:val="baseline"/>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16.响应文件的修改与撤回</w:t>
      </w:r>
    </w:p>
    <w:p w14:paraId="1BE338A7">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92" w:firstLineChars="200"/>
        <w:jc w:val="both"/>
        <w:textAlignment w:val="baseline"/>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在采购文件规定的电子响应文件上传截止时间前，供应商可以修改或撤回已上传的电子响应文件，最终电子响应文件以上传截止时间前完成上传至内乡县公共资源交易电子交易平台最后一份加密电子响应文件为准。</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上传截止时间之后，供应商不得修改或撤回电子响应文件。</w:t>
      </w:r>
    </w:p>
    <w:p w14:paraId="2C021750">
      <w:pPr>
        <w:rPr>
          <w:rFonts w:hint="eastAsia" w:ascii="宋体" w:hAnsi="宋体" w:eastAsia="宋体" w:cs="宋体"/>
          <w:b/>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b/>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br w:type="page"/>
      </w:r>
    </w:p>
    <w:p w14:paraId="336D2C9C">
      <w:pPr>
        <w:pStyle w:val="3"/>
        <w:bidi w:val="0"/>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bookmarkStart w:id="11" w:name="_Toc31404"/>
      <w:r>
        <w:rPr>
          <w:rFonts w:hint="eastAsia" w:ascii="宋体" w:hAnsi="宋体" w:eastAsia="宋体" w:cs="宋体"/>
          <w:b/>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t>第</w:t>
      </w:r>
      <w:r>
        <w:rPr>
          <w:rFonts w:hint="eastAsia" w:ascii="宋体" w:hAnsi="宋体" w:eastAsia="宋体" w:cs="宋体"/>
          <w:b/>
          <w:color w:val="000000" w:themeColor="text1"/>
          <w:spacing w:val="-1"/>
          <w:sz w:val="36"/>
          <w:szCs w:val="36"/>
          <w:highlight w:val="none"/>
          <w:lang w:val="en-US" w:eastAsia="zh-CN"/>
          <w14:textOutline w14:w="2306" w14:cap="flat" w14:cmpd="sng">
            <w14:solidFill>
              <w14:srgbClr w14:val="000000"/>
            </w14:solidFill>
            <w14:prstDash w14:val="solid"/>
            <w14:miter w14:val="0"/>
          </w14:textOutline>
          <w14:textFill>
            <w14:solidFill>
              <w14:schemeClr w14:val="tx1"/>
            </w14:solidFill>
          </w14:textFill>
        </w:rPr>
        <w:t>四</w:t>
      </w:r>
      <w:r>
        <w:rPr>
          <w:rFonts w:hint="eastAsia" w:ascii="宋体" w:hAnsi="宋体" w:eastAsia="宋体" w:cs="宋体"/>
          <w:b/>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t>章</w:t>
      </w:r>
      <w:r>
        <w:rPr>
          <w:rFonts w:hint="eastAsia" w:ascii="宋体" w:hAnsi="宋体" w:eastAsia="宋体" w:cs="宋体"/>
          <w:b/>
          <w:color w:val="000000" w:themeColor="text1"/>
          <w:spacing w:val="-1"/>
          <w:sz w:val="36"/>
          <w:szCs w:val="36"/>
          <w:highlight w:val="none"/>
          <w:lang w:val="en-US" w:eastAsia="zh-CN"/>
          <w14:textOutline w14:w="2306" w14:cap="flat" w14:cmpd="sng">
            <w14:solidFill>
              <w14:srgbClr w14:val="000000"/>
            </w14:solidFill>
            <w14:prstDash w14:val="solid"/>
            <w14:miter w14:val="0"/>
          </w14:textOutline>
          <w14:textFill>
            <w14:solidFill>
              <w14:schemeClr w14:val="tx1"/>
            </w14:solidFill>
          </w14:textFill>
        </w:rPr>
        <w:t xml:space="preserve"> </w:t>
      </w:r>
      <w:r>
        <w:rPr>
          <w:rFonts w:hint="eastAsia" w:ascii="宋体" w:hAnsi="宋体" w:eastAsia="宋体" w:cs="宋体"/>
          <w:b/>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t>评</w:t>
      </w:r>
      <w:r>
        <w:rPr>
          <w:rFonts w:hint="eastAsia" w:ascii="宋体" w:hAnsi="宋体" w:eastAsia="宋体" w:cs="宋体"/>
          <w:b/>
          <w:color w:val="000000" w:themeColor="text1"/>
          <w:spacing w:val="-1"/>
          <w:sz w:val="36"/>
          <w:szCs w:val="36"/>
          <w:highlight w:val="none"/>
          <w:lang w:val="en-US" w:eastAsia="zh-CN"/>
          <w14:textOutline w14:w="2306" w14:cap="flat" w14:cmpd="sng">
            <w14:solidFill>
              <w14:srgbClr w14:val="000000"/>
            </w14:solidFill>
            <w14:prstDash w14:val="solid"/>
            <w14:miter w14:val="0"/>
          </w14:textOutline>
          <w14:textFill>
            <w14:solidFill>
              <w14:schemeClr w14:val="tx1"/>
            </w14:solidFill>
          </w14:textFill>
        </w:rPr>
        <w:t>审</w:t>
      </w:r>
      <w:r>
        <w:rPr>
          <w:rFonts w:hint="eastAsia" w:ascii="宋体" w:hAnsi="宋体" w:eastAsia="宋体" w:cs="宋体"/>
          <w:b/>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t>程序、评审方法和评审标准</w:t>
      </w:r>
      <w:bookmarkEnd w:id="11"/>
    </w:p>
    <w:p w14:paraId="1B64A1AA">
      <w:pPr>
        <w:keepNext w:val="0"/>
        <w:keepLines w:val="0"/>
        <w:pageBreakBefore w:val="0"/>
        <w:widowControl w:val="0"/>
        <w:kinsoku/>
        <w:wordWrap/>
        <w:overflowPunct w:val="0"/>
        <w:topLinePunct w:val="0"/>
        <w:autoSpaceDE w:val="0"/>
        <w:autoSpaceDN w:val="0"/>
        <w:bidi w:val="0"/>
        <w:spacing w:after="0" w:line="360" w:lineRule="auto"/>
        <w:jc w:val="both"/>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一、编制、确认竞争性磋商文件</w:t>
      </w:r>
    </w:p>
    <w:p w14:paraId="7008D2C1">
      <w:pPr>
        <w:keepNext w:val="0"/>
        <w:keepLines w:val="0"/>
        <w:pageBreakBefore w:val="0"/>
        <w:widowControl w:val="0"/>
        <w:kinsoku/>
        <w:wordWrap/>
        <w:overflowPunct w:val="0"/>
        <w:topLinePunct w:val="0"/>
        <w:autoSpaceDE w:val="0"/>
        <w:autoSpaceDN w:val="0"/>
        <w:bidi w:val="0"/>
        <w:spacing w:after="0" w:line="360" w:lineRule="auto"/>
        <w:ind w:firstLine="492" w:firstLineChars="200"/>
        <w:jc w:val="both"/>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采购人或采购代理机构</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根据采购项目特点和采购实际需求编制竞争性磋商文件，编制的竞争性磋商文件应由采购人审核并确认。</w:t>
      </w:r>
    </w:p>
    <w:p w14:paraId="749D276B">
      <w:pPr>
        <w:keepNext w:val="0"/>
        <w:keepLines w:val="0"/>
        <w:pageBreakBefore w:val="0"/>
        <w:widowControl w:val="0"/>
        <w:tabs>
          <w:tab w:val="left" w:pos="743"/>
        </w:tabs>
        <w:kinsoku/>
        <w:wordWrap/>
        <w:overflowPunct w:val="0"/>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二、发布竞争性磋商公告，邀请供应商参加磋商</w:t>
      </w:r>
    </w:p>
    <w:p w14:paraId="6CDC0495">
      <w:pPr>
        <w:keepNext w:val="0"/>
        <w:keepLines w:val="0"/>
        <w:pageBreakBefore w:val="0"/>
        <w:widowControl w:val="0"/>
        <w:kinsoku/>
        <w:wordWrap/>
        <w:overflowPunct w:val="0"/>
        <w:topLinePunct w:val="0"/>
        <w:autoSpaceDE w:val="0"/>
        <w:autoSpaceDN w:val="0"/>
        <w:bidi w:val="0"/>
        <w:spacing w:after="0" w:line="360" w:lineRule="auto"/>
        <w:ind w:firstLine="492" w:firstLineChars="200"/>
        <w:jc w:val="both"/>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竞争性磋商文件经采购人书面确认后，将在指定媒体和内乡县公共资源交易中心网发布竞争性磋商公告。供应商按照公告和竞争性磋商文件要求制作并递交响应文件。</w:t>
      </w:r>
    </w:p>
    <w:p w14:paraId="7F5FB49A">
      <w:pPr>
        <w:keepNext w:val="0"/>
        <w:keepLines w:val="0"/>
        <w:pageBreakBefore w:val="0"/>
        <w:widowControl w:val="0"/>
        <w:kinsoku/>
        <w:wordWrap/>
        <w:overflowPunct w:val="0"/>
        <w:topLinePunct w:val="0"/>
        <w:autoSpaceDE w:val="0"/>
        <w:autoSpaceDN w:val="0"/>
        <w:bidi w:val="0"/>
        <w:spacing w:after="0" w:line="360" w:lineRule="auto"/>
        <w:jc w:val="both"/>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三、组建磋商小组</w:t>
      </w:r>
    </w:p>
    <w:p w14:paraId="2D42100F">
      <w:pPr>
        <w:keepNext w:val="0"/>
        <w:keepLines w:val="0"/>
        <w:pageBreakBefore w:val="0"/>
        <w:widowControl w:val="0"/>
        <w:kinsoku/>
        <w:wordWrap/>
        <w:overflowPunct w:val="0"/>
        <w:topLinePunct w:val="0"/>
        <w:autoSpaceDE w:val="0"/>
        <w:autoSpaceDN w:val="0"/>
        <w:bidi w:val="0"/>
        <w:spacing w:after="0" w:line="360" w:lineRule="auto"/>
        <w:ind w:firstLine="492" w:firstLineChars="200"/>
        <w:jc w:val="both"/>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根据</w:t>
      </w:r>
      <w:r>
        <w:rPr>
          <w:rFonts w:hint="eastAsia" w:ascii="宋体" w:hAnsi="宋体" w:eastAsia="宋体" w:cs="宋体"/>
          <w:snapToGrid w:val="0"/>
          <w:color w:val="000000" w:themeColor="text1"/>
          <w:spacing w:val="-2"/>
          <w:kern w:val="0"/>
          <w:sz w:val="24"/>
          <w:szCs w:val="24"/>
          <w:highlight w:val="none"/>
          <w:lang w:val="en-US" w:eastAsia="zh-CN" w:bidi="ar-SA"/>
          <w14:textFill>
            <w14:solidFill>
              <w14:schemeClr w14:val="tx1"/>
            </w14:solidFill>
          </w14:textFill>
        </w:rPr>
        <w:t>《中华人民共和国政府采购法》《中华人民共和国政府采购法实施条例》《政府采购竞争性磋商采购方式管理暂行办法》《财政部关于竞争性磋商采购方式管理暂行办法有关问题的补充通知》</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1AD8F6C7">
      <w:pPr>
        <w:keepNext w:val="0"/>
        <w:keepLines w:val="0"/>
        <w:pageBreakBefore w:val="0"/>
        <w:widowControl w:val="0"/>
        <w:kinsoku/>
        <w:wordWrap/>
        <w:overflowPunct w:val="0"/>
        <w:topLinePunct w:val="0"/>
        <w:autoSpaceDE w:val="0"/>
        <w:autoSpaceDN w:val="0"/>
        <w:bidi w:val="0"/>
        <w:spacing w:after="0" w:line="360" w:lineRule="auto"/>
        <w:ind w:firstLine="492" w:firstLineChars="200"/>
        <w:jc w:val="both"/>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竞争性磋商小组负责对响应文件进行评审、质疑、评估、比较、评分，组织磋商和最后报价。</w:t>
      </w:r>
    </w:p>
    <w:p w14:paraId="2C1BFBB8">
      <w:pPr>
        <w:keepNext w:val="0"/>
        <w:keepLines w:val="0"/>
        <w:pageBreakBefore w:val="0"/>
        <w:widowControl w:val="0"/>
        <w:kinsoku/>
        <w:wordWrap/>
        <w:overflowPunct w:val="0"/>
        <w:topLinePunct w:val="0"/>
        <w:autoSpaceDE w:val="0"/>
        <w:autoSpaceDN w:val="0"/>
        <w:bidi w:val="0"/>
        <w:spacing w:after="0" w:line="360" w:lineRule="auto"/>
        <w:ind w:firstLine="492" w:firstLineChars="200"/>
        <w:jc w:val="both"/>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评审专家应当严格遵守评审工作纪律，按照客观、公正、审慎的原则，根据磋商文件规定的评审程序、评审方法和评审标准进行独立评审。</w:t>
      </w:r>
    </w:p>
    <w:p w14:paraId="60B75A4B">
      <w:pPr>
        <w:keepNext w:val="0"/>
        <w:keepLines w:val="0"/>
        <w:pageBreakBefore w:val="0"/>
        <w:widowControl w:val="0"/>
        <w:kinsoku/>
        <w:wordWrap/>
        <w:overflowPunct w:val="0"/>
        <w:topLinePunct w:val="0"/>
        <w:autoSpaceDE w:val="0"/>
        <w:autoSpaceDN w:val="0"/>
        <w:bidi w:val="0"/>
        <w:spacing w:after="0" w:line="360" w:lineRule="auto"/>
        <w:ind w:firstLine="492" w:firstLineChars="200"/>
        <w:jc w:val="both"/>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4BED3123">
      <w:pPr>
        <w:keepNext w:val="0"/>
        <w:keepLines w:val="0"/>
        <w:pageBreakBefore w:val="0"/>
        <w:widowControl w:val="0"/>
        <w:kinsoku/>
        <w:wordWrap/>
        <w:overflowPunct w:val="0"/>
        <w:topLinePunct w:val="0"/>
        <w:autoSpaceDE w:val="0"/>
        <w:autoSpaceDN w:val="0"/>
        <w:bidi w:val="0"/>
        <w:spacing w:after="0" w:line="360" w:lineRule="auto"/>
        <w:ind w:firstLine="492" w:firstLineChars="200"/>
        <w:jc w:val="both"/>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评审活动结束，按照《河南省政府采购评审专家劳务报酬支付标准》的通知(豫财购〔2017〕9号)的规定，发放劳务报酬。</w:t>
      </w:r>
    </w:p>
    <w:p w14:paraId="55F259B9">
      <w:pPr>
        <w:keepNext w:val="0"/>
        <w:keepLines w:val="0"/>
        <w:pageBreakBefore w:val="0"/>
        <w:widowControl w:val="0"/>
        <w:kinsoku/>
        <w:wordWrap/>
        <w:overflowPunct w:val="0"/>
        <w:topLinePunct w:val="0"/>
        <w:autoSpaceDE w:val="0"/>
        <w:autoSpaceDN w:val="0"/>
        <w:bidi w:val="0"/>
        <w:spacing w:after="0" w:line="360" w:lineRule="auto"/>
        <w:ind w:firstLine="492" w:firstLineChars="200"/>
        <w:jc w:val="both"/>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评审专家未完成评审工作擅自离开评审现场，或者在评审活动中有违法违规行为的，不得获取劳务报酬和报销异地评审差旅费。评审专家以外的其他人员不得获取评审劳务报酬。</w:t>
      </w:r>
    </w:p>
    <w:p w14:paraId="2EE706B3">
      <w:pPr>
        <w:keepNext w:val="0"/>
        <w:keepLines w:val="0"/>
        <w:pageBreakBefore w:val="0"/>
        <w:widowControl w:val="0"/>
        <w:kinsoku/>
        <w:wordWrap/>
        <w:overflowPunct w:val="0"/>
        <w:topLinePunct w:val="0"/>
        <w:autoSpaceDE w:val="0"/>
        <w:autoSpaceDN w:val="0"/>
        <w:bidi w:val="0"/>
        <w:spacing w:after="0" w:line="360" w:lineRule="auto"/>
        <w:jc w:val="both"/>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四、解密电子响应文件</w:t>
      </w:r>
    </w:p>
    <w:p w14:paraId="0839283A">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92" w:firstLineChars="200"/>
        <w:jc w:val="both"/>
        <w:textAlignment w:val="baseline"/>
        <w:outlineLvl w:val="1"/>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14:paraId="4A8136B3">
      <w:pPr>
        <w:keepNext w:val="0"/>
        <w:keepLines w:val="0"/>
        <w:pageBreakBefore w:val="0"/>
        <w:widowControl w:val="0"/>
        <w:kinsoku/>
        <w:wordWrap/>
        <w:overflowPunct w:val="0"/>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五、评审</w:t>
      </w:r>
    </w:p>
    <w:p w14:paraId="67D3E521">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92" w:firstLineChars="200"/>
        <w:jc w:val="both"/>
        <w:textAlignment w:val="baseline"/>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磋商小组对供应商提交的响应文件进行评审。主要对响应文件的有效性、完整性和响应程度进行审查，具体包括：</w:t>
      </w:r>
    </w:p>
    <w:p w14:paraId="324762D2">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4" w:firstLineChars="200"/>
        <w:jc w:val="both"/>
        <w:textAlignment w:val="baseline"/>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t>1、资格性审查。</w:t>
      </w:r>
    </w:p>
    <w:tbl>
      <w:tblPr>
        <w:tblStyle w:val="30"/>
        <w:tblW w:w="90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179"/>
        <w:gridCol w:w="4635"/>
        <w:gridCol w:w="2550"/>
      </w:tblGrid>
      <w:tr w14:paraId="32D57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1992CA7">
            <w:pPr>
              <w:keepNext w:val="0"/>
              <w:keepLines w:val="0"/>
              <w:pageBreakBefore w:val="0"/>
              <w:widowControl w:val="0"/>
              <w:kinsoku/>
              <w:wordWrap/>
              <w:overflowPunct w:val="0"/>
              <w:topLinePunct w:val="0"/>
              <w:autoSpaceDE w:val="0"/>
              <w:autoSpaceDN w:val="0"/>
              <w:bidi w:val="0"/>
              <w:spacing w:before="119" w:line="222"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Outline w14:w="1537" w14:cap="flat" w14:cmpd="sng">
                  <w14:solidFill>
                    <w14:srgbClr w14:val="000000"/>
                  </w14:solidFill>
                  <w14:prstDash w14:val="solid"/>
                  <w14:miter w14:val="0"/>
                </w14:textOutline>
                <w14:textFill>
                  <w14:solidFill>
                    <w14:schemeClr w14:val="tx1"/>
                  </w14:solidFill>
                </w14:textFill>
              </w:rPr>
              <w:t>序号</w:t>
            </w:r>
          </w:p>
        </w:tc>
        <w:tc>
          <w:tcPr>
            <w:tcW w:w="1179" w:type="dxa"/>
            <w:vAlign w:val="top"/>
          </w:tcPr>
          <w:p w14:paraId="680C60EC">
            <w:pPr>
              <w:keepNext w:val="0"/>
              <w:keepLines w:val="0"/>
              <w:pageBreakBefore w:val="0"/>
              <w:widowControl w:val="0"/>
              <w:kinsoku/>
              <w:wordWrap/>
              <w:overflowPunct w:val="0"/>
              <w:topLinePunct w:val="0"/>
              <w:autoSpaceDE w:val="0"/>
              <w:autoSpaceDN w:val="0"/>
              <w:bidi w:val="0"/>
              <w:spacing w:before="119" w:line="22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Outline w14:w="1537" w14:cap="flat" w14:cmpd="sng">
                  <w14:solidFill>
                    <w14:srgbClr w14:val="000000"/>
                  </w14:solidFill>
                  <w14:prstDash w14:val="solid"/>
                  <w14:miter w14:val="0"/>
                </w14:textOutline>
                <w14:textFill>
                  <w14:solidFill>
                    <w14:schemeClr w14:val="tx1"/>
                  </w14:solidFill>
                </w14:textFill>
              </w:rPr>
              <w:t>审查因素</w:t>
            </w:r>
          </w:p>
        </w:tc>
        <w:tc>
          <w:tcPr>
            <w:tcW w:w="4635" w:type="dxa"/>
            <w:vAlign w:val="top"/>
          </w:tcPr>
          <w:p w14:paraId="4A3252F6">
            <w:pPr>
              <w:keepNext w:val="0"/>
              <w:keepLines w:val="0"/>
              <w:pageBreakBefore w:val="0"/>
              <w:widowControl w:val="0"/>
              <w:kinsoku/>
              <w:wordWrap/>
              <w:overflowPunct w:val="0"/>
              <w:topLinePunct w:val="0"/>
              <w:autoSpaceDE w:val="0"/>
              <w:autoSpaceDN w:val="0"/>
              <w:bidi w:val="0"/>
              <w:spacing w:before="119" w:line="22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Outline w14:w="1537" w14:cap="flat" w14:cmpd="sng">
                  <w14:solidFill>
                    <w14:srgbClr w14:val="000000"/>
                  </w14:solidFill>
                  <w14:prstDash w14:val="solid"/>
                  <w14:miter w14:val="0"/>
                </w14:textOutline>
                <w14:textFill>
                  <w14:solidFill>
                    <w14:schemeClr w14:val="tx1"/>
                  </w14:solidFill>
                </w14:textFill>
              </w:rPr>
              <w:t>审查内容</w:t>
            </w:r>
          </w:p>
        </w:tc>
        <w:tc>
          <w:tcPr>
            <w:tcW w:w="2550" w:type="dxa"/>
            <w:vAlign w:val="top"/>
          </w:tcPr>
          <w:p w14:paraId="7D45B88B">
            <w:pPr>
              <w:keepNext w:val="0"/>
              <w:keepLines w:val="0"/>
              <w:pageBreakBefore w:val="0"/>
              <w:widowControl w:val="0"/>
              <w:kinsoku/>
              <w:wordWrap/>
              <w:overflowPunct w:val="0"/>
              <w:topLinePunct w:val="0"/>
              <w:autoSpaceDE w:val="0"/>
              <w:autoSpaceDN w:val="0"/>
              <w:bidi w:val="0"/>
              <w:spacing w:before="119" w:line="22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Outline w14:w="1537" w14:cap="flat" w14:cmpd="sng">
                  <w14:solidFill>
                    <w14:srgbClr w14:val="000000"/>
                  </w14:solidFill>
                  <w14:prstDash w14:val="solid"/>
                  <w14:miter w14:val="0"/>
                </w14:textOutline>
                <w14:textFill>
                  <w14:solidFill>
                    <w14:schemeClr w14:val="tx1"/>
                  </w14:solidFill>
                </w14:textFill>
              </w:rPr>
              <w:t>备注</w:t>
            </w:r>
          </w:p>
        </w:tc>
      </w:tr>
      <w:tr w14:paraId="4A124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14:paraId="45E7A254">
            <w:pPr>
              <w:pStyle w:val="31"/>
              <w:keepNext w:val="0"/>
              <w:keepLines w:val="0"/>
              <w:pageBreakBefore w:val="0"/>
              <w:widowControl w:val="0"/>
              <w:kinsoku/>
              <w:wordWrap/>
              <w:overflowPunct w:val="0"/>
              <w:topLinePunct w:val="0"/>
              <w:autoSpaceDE w:val="0"/>
              <w:autoSpaceDN w:val="0"/>
              <w:bidi w:val="0"/>
              <w:spacing w:line="454" w:lineRule="auto"/>
              <w:jc w:val="both"/>
              <w:rPr>
                <w:rFonts w:hint="eastAsia" w:ascii="宋体" w:hAnsi="宋体" w:eastAsia="宋体" w:cs="宋体"/>
                <w:color w:val="000000" w:themeColor="text1"/>
                <w:highlight w:val="none"/>
                <w14:textFill>
                  <w14:solidFill>
                    <w14:schemeClr w14:val="tx1"/>
                  </w14:solidFill>
                </w14:textFill>
              </w:rPr>
            </w:pPr>
          </w:p>
          <w:p w14:paraId="20231EBE">
            <w:pPr>
              <w:pStyle w:val="31"/>
              <w:keepNext w:val="0"/>
              <w:keepLines w:val="0"/>
              <w:pageBreakBefore w:val="0"/>
              <w:widowControl w:val="0"/>
              <w:kinsoku/>
              <w:wordWrap/>
              <w:overflowPunct w:val="0"/>
              <w:topLinePunct w:val="0"/>
              <w:autoSpaceDE w:val="0"/>
              <w:autoSpaceDN w:val="0"/>
              <w:bidi w:val="0"/>
              <w:spacing w:before="69" w:line="199" w:lineRule="auto"/>
              <w:ind w:left="372"/>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179" w:type="dxa"/>
            <w:vAlign w:val="center"/>
          </w:tcPr>
          <w:p w14:paraId="57AB8AB6">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满足第一章《</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竞争性磋商公告</w:t>
            </w: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供应商</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具备的</w:t>
            </w:r>
            <w:r>
              <w:rPr>
                <w:rFonts w:hint="eastAsia" w:ascii="宋体" w:hAnsi="宋体" w:eastAsia="宋体" w:cs="宋体"/>
                <w:color w:val="000000" w:themeColor="text1"/>
                <w:spacing w:val="-2"/>
                <w:sz w:val="24"/>
                <w:szCs w:val="24"/>
                <w:highlight w:val="none"/>
                <w14:textFill>
                  <w14:solidFill>
                    <w14:schemeClr w14:val="tx1"/>
                  </w14:solidFill>
                </w14:textFill>
              </w:rPr>
              <w:t>资格要求</w:t>
            </w:r>
          </w:p>
        </w:tc>
        <w:tc>
          <w:tcPr>
            <w:tcW w:w="4635" w:type="dxa"/>
            <w:vAlign w:val="top"/>
          </w:tcPr>
          <w:p w14:paraId="0AEA0697">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1. 注册于中华人民共和国境内，具有独立承担民事责任能力；</w:t>
            </w:r>
          </w:p>
          <w:p w14:paraId="6F8301C9">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2. 具有良好的商业信誉和健全的财务会计制度；</w:t>
            </w:r>
          </w:p>
          <w:p w14:paraId="41F3ADC7">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3. 具有履行合同所必需的设备和专业技术能力；</w:t>
            </w:r>
          </w:p>
          <w:p w14:paraId="4A43E487">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4. 有依法缴纳税收和社会保障资金的良好记录；</w:t>
            </w:r>
          </w:p>
          <w:p w14:paraId="21F58174">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5. 参加政府采购活动前三年内，在经营活动中没有重大违法记录；</w:t>
            </w:r>
          </w:p>
          <w:p w14:paraId="134F8025">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6. 遵守国家有关法律、法规、规章；</w:t>
            </w:r>
          </w:p>
          <w:p w14:paraId="47B8A178">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7.供应商须具备行政主管部门核发的的乙级（含）及以上测绘资质；</w:t>
            </w:r>
          </w:p>
          <w:p w14:paraId="6CF96702">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8. 供应商须提供无行贿犯罪记录承诺函（承诺对象包括：投标企业、法定代表人或负责人、授权代表）,并对其真实性负责，若承诺不实，造成的后果由供应商自行负责；</w:t>
            </w:r>
          </w:p>
          <w:p w14:paraId="7ECB4F8C">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9. 按照《财政部关于在政府采购活动中查询及使用信用记录有关问题的通知》(财库(2016)125号)的要求，对列入失信被执行人、重大税收违法失信主体、政府采购严重违法失信行为记录名单的投标人，拒绝参与本项目招标。投标人需提供规范的信用报告和《无行贿犯罪记录承诺函》，信用报告应通过“信用中国”网站(www.creditchina.gov.cn)下载。在河南省注册的市场主体仅需提供规范的《无违法违规记录证明版专项信用报告》，无需提供《无行贿犯罪记录承诺函》，专项信用报告应通过“信用河南”网站(https://credit.henan.gov.cn)下载。上述信用报告的生成日期为本项目递交投标文件截止时间前10日内。</w:t>
            </w:r>
          </w:p>
          <w:p w14:paraId="3F93BA27">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10.单位负责人为同一人或存在直接控股、管理关系的不同供应商，不得参加同一包的投标或者未划分包的同一招标项目的投标。违反上述规定的相关投标均无效。</w:t>
            </w:r>
          </w:p>
          <w:p w14:paraId="6497DB3E">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 xml:space="preserve">11.本项目实行资格后审，营业执照、资质、业绩、人员、财务、证书等内容，须在市场主体信息库中已登记的信息中选取，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 </w:t>
            </w:r>
          </w:p>
          <w:p w14:paraId="28E2679F">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12.本项目不接受联合体投标。</w:t>
            </w:r>
          </w:p>
        </w:tc>
        <w:tc>
          <w:tcPr>
            <w:tcW w:w="2550" w:type="dxa"/>
            <w:vAlign w:val="top"/>
          </w:tcPr>
          <w:p w14:paraId="6EE3F2A0">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供应商为企业（包括合伙企业、个体工商户）的，应提供有效的营业执照；</w:t>
            </w:r>
          </w:p>
          <w:p w14:paraId="5659D290">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供应商为事业单位的，应提供有效的事业单位法人证书；</w:t>
            </w:r>
          </w:p>
          <w:p w14:paraId="66A01EEA">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供应商是非企业机构的，应提供有效的执业许可证、登记证书等证明文件；</w:t>
            </w:r>
          </w:p>
          <w:p w14:paraId="355DBD15">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供应商是自然人的，应提供有效的自然人身份证明。</w:t>
            </w:r>
          </w:p>
          <w:p w14:paraId="5EDCE8DC">
            <w:pPr>
              <w:keepNext w:val="0"/>
              <w:keepLines w:val="0"/>
              <w:pageBreakBefore w:val="0"/>
              <w:widowControl w:val="0"/>
              <w:kinsoku/>
              <w:wordWrap/>
              <w:overflowPunct w:val="0"/>
              <w:topLinePunct w:val="0"/>
              <w:autoSpaceDE w:val="0"/>
              <w:autoSpaceDN w:val="0"/>
              <w:bidi w:val="0"/>
              <w:spacing w:before="32" w:line="232" w:lineRule="auto"/>
              <w:ind w:left="112" w:right="105"/>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AEF3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vAlign w:val="top"/>
          </w:tcPr>
          <w:p w14:paraId="2220C27A">
            <w:pPr>
              <w:pStyle w:val="31"/>
              <w:keepNext w:val="0"/>
              <w:keepLines w:val="0"/>
              <w:pageBreakBefore w:val="0"/>
              <w:widowControl w:val="0"/>
              <w:kinsoku/>
              <w:wordWrap/>
              <w:overflowPunct w:val="0"/>
              <w:topLinePunct w:val="0"/>
              <w:autoSpaceDE w:val="0"/>
              <w:autoSpaceDN w:val="0"/>
              <w:bidi w:val="0"/>
              <w:spacing w:before="137" w:line="201" w:lineRule="auto"/>
              <w:ind w:left="243"/>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8"/>
                <w:sz w:val="24"/>
                <w:szCs w:val="24"/>
                <w:highlight w:val="none"/>
                <w:lang w:val="en-US" w:eastAsia="zh-CN"/>
                <w14:textFill>
                  <w14:solidFill>
                    <w14:schemeClr w14:val="tx1"/>
                  </w14:solidFill>
                </w14:textFill>
              </w:rPr>
              <w:t>2</w:t>
            </w:r>
          </w:p>
        </w:tc>
        <w:tc>
          <w:tcPr>
            <w:tcW w:w="1179" w:type="dxa"/>
            <w:vAlign w:val="top"/>
          </w:tcPr>
          <w:p w14:paraId="2B2015AC">
            <w:pPr>
              <w:keepNext w:val="0"/>
              <w:keepLines w:val="0"/>
              <w:pageBreakBefore w:val="0"/>
              <w:widowControl w:val="0"/>
              <w:kinsoku/>
              <w:wordWrap/>
              <w:overflowPunct w:val="0"/>
              <w:topLinePunct w:val="0"/>
              <w:autoSpaceDE w:val="0"/>
              <w:autoSpaceDN w:val="0"/>
              <w:bidi w:val="0"/>
              <w:spacing w:before="116" w:line="221" w:lineRule="auto"/>
              <w:ind w:left="136"/>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中小企业政策</w:t>
            </w:r>
          </w:p>
        </w:tc>
        <w:tc>
          <w:tcPr>
            <w:tcW w:w="4635" w:type="dxa"/>
            <w:vAlign w:val="center"/>
          </w:tcPr>
          <w:p w14:paraId="228ED4A7">
            <w:pPr>
              <w:keepNext w:val="0"/>
              <w:keepLines w:val="0"/>
              <w:pageBreakBefore w:val="0"/>
              <w:widowControl w:val="0"/>
              <w:kinsoku/>
              <w:wordWrap/>
              <w:overflowPunct w:val="0"/>
              <w:topLinePunct w:val="0"/>
              <w:autoSpaceDE w:val="0"/>
              <w:autoSpaceDN w:val="0"/>
              <w:bidi w:val="0"/>
              <w:spacing w:before="116" w:line="219" w:lineRule="auto"/>
              <w:ind w:left="11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具体要求见第一章《</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竞争性磋商公告</w:t>
            </w:r>
            <w:r>
              <w:rPr>
                <w:rFonts w:hint="eastAsia" w:ascii="宋体" w:hAnsi="宋体" w:eastAsia="宋体" w:cs="宋体"/>
                <w:color w:val="000000" w:themeColor="text1"/>
                <w:spacing w:val="-2"/>
                <w:sz w:val="24"/>
                <w:szCs w:val="24"/>
                <w:highlight w:val="none"/>
                <w14:textFill>
                  <w14:solidFill>
                    <w14:schemeClr w14:val="tx1"/>
                  </w14:solidFill>
                </w14:textFill>
              </w:rPr>
              <w:t>》</w:t>
            </w:r>
          </w:p>
        </w:tc>
        <w:tc>
          <w:tcPr>
            <w:tcW w:w="2550" w:type="dxa"/>
            <w:vAlign w:val="top"/>
          </w:tcPr>
          <w:p w14:paraId="550AAA98">
            <w:pPr>
              <w:pStyle w:val="31"/>
              <w:keepNext w:val="0"/>
              <w:keepLines w:val="0"/>
              <w:pageBreakBefore w:val="0"/>
              <w:widowControl w:val="0"/>
              <w:kinsoku/>
              <w:wordWrap/>
              <w:overflowPunct w:val="0"/>
              <w:topLinePunct w:val="0"/>
              <w:autoSpaceDE w:val="0"/>
              <w:autoSpaceDN w:val="0"/>
              <w:bidi w:val="0"/>
              <w:jc w:val="both"/>
              <w:rPr>
                <w:rFonts w:hint="eastAsia" w:ascii="宋体" w:hAnsi="宋体" w:eastAsia="宋体" w:cs="宋体"/>
                <w:color w:val="000000" w:themeColor="text1"/>
                <w:highlight w:val="none"/>
                <w14:textFill>
                  <w14:solidFill>
                    <w14:schemeClr w14:val="tx1"/>
                  </w14:solidFill>
                </w14:textFill>
              </w:rPr>
            </w:pPr>
          </w:p>
        </w:tc>
      </w:tr>
      <w:tr w14:paraId="57CA0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21" w:type="dxa"/>
            <w:vAlign w:val="top"/>
          </w:tcPr>
          <w:p w14:paraId="525FDA95">
            <w:pPr>
              <w:pStyle w:val="31"/>
              <w:keepNext w:val="0"/>
              <w:keepLines w:val="0"/>
              <w:pageBreakBefore w:val="0"/>
              <w:widowControl w:val="0"/>
              <w:kinsoku/>
              <w:wordWrap/>
              <w:overflowPunct w:val="0"/>
              <w:topLinePunct w:val="0"/>
              <w:autoSpaceDE w:val="0"/>
              <w:autoSpaceDN w:val="0"/>
              <w:bidi w:val="0"/>
              <w:spacing w:line="258" w:lineRule="auto"/>
              <w:jc w:val="both"/>
              <w:rPr>
                <w:rFonts w:hint="eastAsia" w:ascii="宋体" w:hAnsi="宋体" w:eastAsia="宋体" w:cs="宋体"/>
                <w:color w:val="000000" w:themeColor="text1"/>
                <w:highlight w:val="none"/>
                <w14:textFill>
                  <w14:solidFill>
                    <w14:schemeClr w14:val="tx1"/>
                  </w14:solidFill>
                </w14:textFill>
              </w:rPr>
            </w:pPr>
          </w:p>
          <w:p w14:paraId="57D8909A">
            <w:pPr>
              <w:pStyle w:val="31"/>
              <w:keepNext w:val="0"/>
              <w:keepLines w:val="0"/>
              <w:pageBreakBefore w:val="0"/>
              <w:widowControl w:val="0"/>
              <w:kinsoku/>
              <w:wordWrap/>
              <w:overflowPunct w:val="0"/>
              <w:topLinePunct w:val="0"/>
              <w:autoSpaceDE w:val="0"/>
              <w:autoSpaceDN w:val="0"/>
              <w:bidi w:val="0"/>
              <w:spacing w:line="258" w:lineRule="auto"/>
              <w:jc w:val="both"/>
              <w:rPr>
                <w:rFonts w:hint="eastAsia" w:ascii="宋体" w:hAnsi="宋体" w:eastAsia="宋体" w:cs="宋体"/>
                <w:color w:val="000000" w:themeColor="text1"/>
                <w:highlight w:val="none"/>
                <w14:textFill>
                  <w14:solidFill>
                    <w14:schemeClr w14:val="tx1"/>
                  </w14:solidFill>
                </w14:textFill>
              </w:rPr>
            </w:pPr>
          </w:p>
          <w:p w14:paraId="66208520">
            <w:pPr>
              <w:pStyle w:val="31"/>
              <w:keepNext w:val="0"/>
              <w:keepLines w:val="0"/>
              <w:pageBreakBefore w:val="0"/>
              <w:widowControl w:val="0"/>
              <w:kinsoku/>
              <w:wordWrap/>
              <w:overflowPunct w:val="0"/>
              <w:topLinePunct w:val="0"/>
              <w:autoSpaceDE w:val="0"/>
              <w:autoSpaceDN w:val="0"/>
              <w:bidi w:val="0"/>
              <w:spacing w:line="258" w:lineRule="auto"/>
              <w:jc w:val="both"/>
              <w:rPr>
                <w:rFonts w:hint="eastAsia" w:ascii="宋体" w:hAnsi="宋体" w:eastAsia="宋体" w:cs="宋体"/>
                <w:color w:val="000000" w:themeColor="text1"/>
                <w:highlight w:val="none"/>
                <w14:textFill>
                  <w14:solidFill>
                    <w14:schemeClr w14:val="tx1"/>
                  </w14:solidFill>
                </w14:textFill>
              </w:rPr>
            </w:pPr>
          </w:p>
          <w:p w14:paraId="55A30AC5">
            <w:pPr>
              <w:pStyle w:val="31"/>
              <w:keepNext w:val="0"/>
              <w:keepLines w:val="0"/>
              <w:pageBreakBefore w:val="0"/>
              <w:widowControl w:val="0"/>
              <w:kinsoku/>
              <w:wordWrap/>
              <w:overflowPunct w:val="0"/>
              <w:topLinePunct w:val="0"/>
              <w:autoSpaceDE w:val="0"/>
              <w:autoSpaceDN w:val="0"/>
              <w:bidi w:val="0"/>
              <w:spacing w:line="258" w:lineRule="auto"/>
              <w:jc w:val="both"/>
              <w:rPr>
                <w:rFonts w:hint="eastAsia" w:ascii="宋体" w:hAnsi="宋体" w:eastAsia="宋体" w:cs="宋体"/>
                <w:color w:val="000000" w:themeColor="text1"/>
                <w:highlight w:val="none"/>
                <w14:textFill>
                  <w14:solidFill>
                    <w14:schemeClr w14:val="tx1"/>
                  </w14:solidFill>
                </w14:textFill>
              </w:rPr>
            </w:pPr>
          </w:p>
          <w:p w14:paraId="166F5CF8">
            <w:pPr>
              <w:pStyle w:val="31"/>
              <w:keepNext w:val="0"/>
              <w:keepLines w:val="0"/>
              <w:pageBreakBefore w:val="0"/>
              <w:widowControl w:val="0"/>
              <w:kinsoku/>
              <w:wordWrap/>
              <w:overflowPunct w:val="0"/>
              <w:topLinePunct w:val="0"/>
              <w:autoSpaceDE w:val="0"/>
              <w:autoSpaceDN w:val="0"/>
              <w:bidi w:val="0"/>
              <w:spacing w:line="258" w:lineRule="auto"/>
              <w:jc w:val="both"/>
              <w:rPr>
                <w:rFonts w:hint="eastAsia" w:ascii="宋体" w:hAnsi="宋体" w:eastAsia="宋体" w:cs="宋体"/>
                <w:color w:val="000000" w:themeColor="text1"/>
                <w:highlight w:val="none"/>
                <w14:textFill>
                  <w14:solidFill>
                    <w14:schemeClr w14:val="tx1"/>
                  </w14:solidFill>
                </w14:textFill>
              </w:rPr>
            </w:pPr>
          </w:p>
          <w:p w14:paraId="7245BA57">
            <w:pPr>
              <w:pStyle w:val="31"/>
              <w:keepNext w:val="0"/>
              <w:keepLines w:val="0"/>
              <w:pageBreakBefore w:val="0"/>
              <w:widowControl w:val="0"/>
              <w:kinsoku/>
              <w:wordWrap/>
              <w:overflowPunct w:val="0"/>
              <w:topLinePunct w:val="0"/>
              <w:autoSpaceDE w:val="0"/>
              <w:autoSpaceDN w:val="0"/>
              <w:bidi w:val="0"/>
              <w:spacing w:line="259" w:lineRule="auto"/>
              <w:jc w:val="both"/>
              <w:rPr>
                <w:rFonts w:hint="eastAsia" w:ascii="宋体" w:hAnsi="宋体" w:eastAsia="宋体" w:cs="宋体"/>
                <w:color w:val="000000" w:themeColor="text1"/>
                <w:highlight w:val="none"/>
                <w14:textFill>
                  <w14:solidFill>
                    <w14:schemeClr w14:val="tx1"/>
                  </w14:solidFill>
                </w14:textFill>
              </w:rPr>
            </w:pPr>
          </w:p>
          <w:p w14:paraId="63E6AA5E">
            <w:pPr>
              <w:pStyle w:val="31"/>
              <w:keepNext w:val="0"/>
              <w:keepLines w:val="0"/>
              <w:pageBreakBefore w:val="0"/>
              <w:widowControl w:val="0"/>
              <w:kinsoku/>
              <w:wordWrap/>
              <w:overflowPunct w:val="0"/>
              <w:topLinePunct w:val="0"/>
              <w:autoSpaceDE w:val="0"/>
              <w:autoSpaceDN w:val="0"/>
              <w:bidi w:val="0"/>
              <w:spacing w:line="259" w:lineRule="auto"/>
              <w:jc w:val="both"/>
              <w:rPr>
                <w:rFonts w:hint="eastAsia" w:ascii="宋体" w:hAnsi="宋体" w:eastAsia="宋体" w:cs="宋体"/>
                <w:color w:val="000000" w:themeColor="text1"/>
                <w:highlight w:val="none"/>
                <w14:textFill>
                  <w14:solidFill>
                    <w14:schemeClr w14:val="tx1"/>
                  </w14:solidFill>
                </w14:textFill>
              </w:rPr>
            </w:pPr>
          </w:p>
          <w:p w14:paraId="037D3DF4">
            <w:pPr>
              <w:pStyle w:val="31"/>
              <w:keepNext w:val="0"/>
              <w:keepLines w:val="0"/>
              <w:pageBreakBefore w:val="0"/>
              <w:widowControl w:val="0"/>
              <w:kinsoku/>
              <w:wordWrap/>
              <w:overflowPunct w:val="0"/>
              <w:topLinePunct w:val="0"/>
              <w:autoSpaceDE w:val="0"/>
              <w:autoSpaceDN w:val="0"/>
              <w:bidi w:val="0"/>
              <w:spacing w:line="259" w:lineRule="auto"/>
              <w:jc w:val="both"/>
              <w:rPr>
                <w:rFonts w:hint="eastAsia" w:ascii="宋体" w:hAnsi="宋体" w:eastAsia="宋体" w:cs="宋体"/>
                <w:color w:val="000000" w:themeColor="text1"/>
                <w:highlight w:val="none"/>
                <w14:textFill>
                  <w14:solidFill>
                    <w14:schemeClr w14:val="tx1"/>
                  </w14:solidFill>
                </w14:textFill>
              </w:rPr>
            </w:pPr>
          </w:p>
          <w:p w14:paraId="0D5CE702">
            <w:pPr>
              <w:pStyle w:val="31"/>
              <w:keepNext w:val="0"/>
              <w:keepLines w:val="0"/>
              <w:pageBreakBefore w:val="0"/>
              <w:widowControl w:val="0"/>
              <w:kinsoku/>
              <w:wordWrap/>
              <w:overflowPunct w:val="0"/>
              <w:topLinePunct w:val="0"/>
              <w:autoSpaceDE w:val="0"/>
              <w:autoSpaceDN w:val="0"/>
              <w:bidi w:val="0"/>
              <w:spacing w:line="259" w:lineRule="auto"/>
              <w:jc w:val="both"/>
              <w:rPr>
                <w:rFonts w:hint="eastAsia" w:ascii="宋体" w:hAnsi="宋体" w:eastAsia="宋体" w:cs="宋体"/>
                <w:color w:val="000000" w:themeColor="text1"/>
                <w:highlight w:val="none"/>
                <w14:textFill>
                  <w14:solidFill>
                    <w14:schemeClr w14:val="tx1"/>
                  </w14:solidFill>
                </w14:textFill>
              </w:rPr>
            </w:pPr>
          </w:p>
          <w:p w14:paraId="1CDC8DE8">
            <w:pPr>
              <w:pStyle w:val="31"/>
              <w:keepNext w:val="0"/>
              <w:keepLines w:val="0"/>
              <w:pageBreakBefore w:val="0"/>
              <w:widowControl w:val="0"/>
              <w:kinsoku/>
              <w:wordWrap/>
              <w:overflowPunct w:val="0"/>
              <w:topLinePunct w:val="0"/>
              <w:autoSpaceDE w:val="0"/>
              <w:autoSpaceDN w:val="0"/>
              <w:bidi w:val="0"/>
              <w:spacing w:before="49" w:line="199" w:lineRule="auto"/>
              <w:ind w:firstLine="256" w:firstLineChars="1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2-1</w:t>
            </w:r>
          </w:p>
        </w:tc>
        <w:tc>
          <w:tcPr>
            <w:tcW w:w="1179" w:type="dxa"/>
            <w:vAlign w:val="top"/>
          </w:tcPr>
          <w:p w14:paraId="4DD063AE">
            <w:pPr>
              <w:pStyle w:val="31"/>
              <w:keepNext w:val="0"/>
              <w:keepLines w:val="0"/>
              <w:pageBreakBefore w:val="0"/>
              <w:widowControl w:val="0"/>
              <w:kinsoku/>
              <w:wordWrap/>
              <w:overflowPunct w:val="0"/>
              <w:topLinePunct w:val="0"/>
              <w:autoSpaceDE w:val="0"/>
              <w:autoSpaceDN w:val="0"/>
              <w:bidi w:val="0"/>
              <w:spacing w:line="253" w:lineRule="auto"/>
              <w:jc w:val="both"/>
              <w:rPr>
                <w:rFonts w:hint="eastAsia" w:ascii="宋体" w:hAnsi="宋体" w:eastAsia="宋体" w:cs="宋体"/>
                <w:color w:val="000000" w:themeColor="text1"/>
                <w:highlight w:val="none"/>
                <w14:textFill>
                  <w14:solidFill>
                    <w14:schemeClr w14:val="tx1"/>
                  </w14:solidFill>
                </w14:textFill>
              </w:rPr>
            </w:pPr>
          </w:p>
          <w:p w14:paraId="19851DBF">
            <w:pPr>
              <w:pStyle w:val="31"/>
              <w:keepNext w:val="0"/>
              <w:keepLines w:val="0"/>
              <w:pageBreakBefore w:val="0"/>
              <w:widowControl w:val="0"/>
              <w:kinsoku/>
              <w:wordWrap/>
              <w:overflowPunct w:val="0"/>
              <w:topLinePunct w:val="0"/>
              <w:autoSpaceDE w:val="0"/>
              <w:autoSpaceDN w:val="0"/>
              <w:bidi w:val="0"/>
              <w:spacing w:line="253" w:lineRule="auto"/>
              <w:jc w:val="both"/>
              <w:rPr>
                <w:rFonts w:hint="eastAsia" w:ascii="宋体" w:hAnsi="宋体" w:eastAsia="宋体" w:cs="宋体"/>
                <w:color w:val="000000" w:themeColor="text1"/>
                <w:highlight w:val="none"/>
                <w14:textFill>
                  <w14:solidFill>
                    <w14:schemeClr w14:val="tx1"/>
                  </w14:solidFill>
                </w14:textFill>
              </w:rPr>
            </w:pPr>
          </w:p>
          <w:p w14:paraId="370F561F">
            <w:pPr>
              <w:pStyle w:val="31"/>
              <w:keepNext w:val="0"/>
              <w:keepLines w:val="0"/>
              <w:pageBreakBefore w:val="0"/>
              <w:widowControl w:val="0"/>
              <w:kinsoku/>
              <w:wordWrap/>
              <w:overflowPunct w:val="0"/>
              <w:topLinePunct w:val="0"/>
              <w:autoSpaceDE w:val="0"/>
              <w:autoSpaceDN w:val="0"/>
              <w:bidi w:val="0"/>
              <w:spacing w:line="253" w:lineRule="auto"/>
              <w:jc w:val="both"/>
              <w:rPr>
                <w:rFonts w:hint="eastAsia" w:ascii="宋体" w:hAnsi="宋体" w:eastAsia="宋体" w:cs="宋体"/>
                <w:color w:val="000000" w:themeColor="text1"/>
                <w:highlight w:val="none"/>
                <w14:textFill>
                  <w14:solidFill>
                    <w14:schemeClr w14:val="tx1"/>
                  </w14:solidFill>
                </w14:textFill>
              </w:rPr>
            </w:pPr>
          </w:p>
          <w:p w14:paraId="0D941A3D">
            <w:pPr>
              <w:pStyle w:val="31"/>
              <w:keepNext w:val="0"/>
              <w:keepLines w:val="0"/>
              <w:pageBreakBefore w:val="0"/>
              <w:widowControl w:val="0"/>
              <w:kinsoku/>
              <w:wordWrap/>
              <w:overflowPunct w:val="0"/>
              <w:topLinePunct w:val="0"/>
              <w:autoSpaceDE w:val="0"/>
              <w:autoSpaceDN w:val="0"/>
              <w:bidi w:val="0"/>
              <w:spacing w:line="253" w:lineRule="auto"/>
              <w:jc w:val="both"/>
              <w:rPr>
                <w:rFonts w:hint="eastAsia" w:ascii="宋体" w:hAnsi="宋体" w:eastAsia="宋体" w:cs="宋体"/>
                <w:color w:val="000000" w:themeColor="text1"/>
                <w:highlight w:val="none"/>
                <w14:textFill>
                  <w14:solidFill>
                    <w14:schemeClr w14:val="tx1"/>
                  </w14:solidFill>
                </w14:textFill>
              </w:rPr>
            </w:pPr>
          </w:p>
          <w:p w14:paraId="24C200D2">
            <w:pPr>
              <w:pStyle w:val="31"/>
              <w:keepNext w:val="0"/>
              <w:keepLines w:val="0"/>
              <w:pageBreakBefore w:val="0"/>
              <w:widowControl w:val="0"/>
              <w:kinsoku/>
              <w:wordWrap/>
              <w:overflowPunct w:val="0"/>
              <w:topLinePunct w:val="0"/>
              <w:autoSpaceDE w:val="0"/>
              <w:autoSpaceDN w:val="0"/>
              <w:bidi w:val="0"/>
              <w:spacing w:line="253" w:lineRule="auto"/>
              <w:jc w:val="both"/>
              <w:rPr>
                <w:rFonts w:hint="eastAsia" w:ascii="宋体" w:hAnsi="宋体" w:eastAsia="宋体" w:cs="宋体"/>
                <w:color w:val="000000" w:themeColor="text1"/>
                <w:highlight w:val="none"/>
                <w14:textFill>
                  <w14:solidFill>
                    <w14:schemeClr w14:val="tx1"/>
                  </w14:solidFill>
                </w14:textFill>
              </w:rPr>
            </w:pPr>
          </w:p>
          <w:p w14:paraId="7ADCC308">
            <w:pPr>
              <w:pStyle w:val="31"/>
              <w:keepNext w:val="0"/>
              <w:keepLines w:val="0"/>
              <w:pageBreakBefore w:val="0"/>
              <w:widowControl w:val="0"/>
              <w:kinsoku/>
              <w:wordWrap/>
              <w:overflowPunct w:val="0"/>
              <w:topLinePunct w:val="0"/>
              <w:autoSpaceDE w:val="0"/>
              <w:autoSpaceDN w:val="0"/>
              <w:bidi w:val="0"/>
              <w:spacing w:line="253" w:lineRule="auto"/>
              <w:jc w:val="both"/>
              <w:rPr>
                <w:rFonts w:hint="eastAsia" w:ascii="宋体" w:hAnsi="宋体" w:eastAsia="宋体" w:cs="宋体"/>
                <w:color w:val="000000" w:themeColor="text1"/>
                <w:highlight w:val="none"/>
                <w14:textFill>
                  <w14:solidFill>
                    <w14:schemeClr w14:val="tx1"/>
                  </w14:solidFill>
                </w14:textFill>
              </w:rPr>
            </w:pPr>
          </w:p>
          <w:p w14:paraId="2336765C">
            <w:pPr>
              <w:pStyle w:val="31"/>
              <w:keepNext w:val="0"/>
              <w:keepLines w:val="0"/>
              <w:pageBreakBefore w:val="0"/>
              <w:widowControl w:val="0"/>
              <w:kinsoku/>
              <w:wordWrap/>
              <w:overflowPunct w:val="0"/>
              <w:topLinePunct w:val="0"/>
              <w:autoSpaceDE w:val="0"/>
              <w:autoSpaceDN w:val="0"/>
              <w:bidi w:val="0"/>
              <w:spacing w:line="254" w:lineRule="auto"/>
              <w:jc w:val="both"/>
              <w:rPr>
                <w:rFonts w:hint="eastAsia" w:ascii="宋体" w:hAnsi="宋体" w:eastAsia="宋体" w:cs="宋体"/>
                <w:color w:val="000000" w:themeColor="text1"/>
                <w:highlight w:val="none"/>
                <w14:textFill>
                  <w14:solidFill>
                    <w14:schemeClr w14:val="tx1"/>
                  </w14:solidFill>
                </w14:textFill>
              </w:rPr>
            </w:pPr>
          </w:p>
          <w:p w14:paraId="5289CBB7">
            <w:pPr>
              <w:pStyle w:val="31"/>
              <w:keepNext w:val="0"/>
              <w:keepLines w:val="0"/>
              <w:pageBreakBefore w:val="0"/>
              <w:widowControl w:val="0"/>
              <w:kinsoku/>
              <w:wordWrap/>
              <w:overflowPunct w:val="0"/>
              <w:topLinePunct w:val="0"/>
              <w:autoSpaceDE w:val="0"/>
              <w:autoSpaceDN w:val="0"/>
              <w:bidi w:val="0"/>
              <w:spacing w:line="254" w:lineRule="auto"/>
              <w:jc w:val="both"/>
              <w:rPr>
                <w:rFonts w:hint="eastAsia" w:ascii="宋体" w:hAnsi="宋体" w:eastAsia="宋体" w:cs="宋体"/>
                <w:color w:val="000000" w:themeColor="text1"/>
                <w:highlight w:val="none"/>
                <w14:textFill>
                  <w14:solidFill>
                    <w14:schemeClr w14:val="tx1"/>
                  </w14:solidFill>
                </w14:textFill>
              </w:rPr>
            </w:pPr>
          </w:p>
          <w:p w14:paraId="6AB6C79D">
            <w:pPr>
              <w:pStyle w:val="31"/>
              <w:keepNext w:val="0"/>
              <w:keepLines w:val="0"/>
              <w:pageBreakBefore w:val="0"/>
              <w:widowControl w:val="0"/>
              <w:kinsoku/>
              <w:wordWrap/>
              <w:overflowPunct w:val="0"/>
              <w:topLinePunct w:val="0"/>
              <w:autoSpaceDE w:val="0"/>
              <w:autoSpaceDN w:val="0"/>
              <w:bidi w:val="0"/>
              <w:spacing w:line="254" w:lineRule="auto"/>
              <w:jc w:val="both"/>
              <w:rPr>
                <w:rFonts w:hint="eastAsia" w:ascii="宋体" w:hAnsi="宋体" w:eastAsia="宋体" w:cs="宋体"/>
                <w:color w:val="000000" w:themeColor="text1"/>
                <w:highlight w:val="none"/>
                <w14:textFill>
                  <w14:solidFill>
                    <w14:schemeClr w14:val="tx1"/>
                  </w14:solidFill>
                </w14:textFill>
              </w:rPr>
            </w:pPr>
          </w:p>
          <w:p w14:paraId="341DB755">
            <w:pPr>
              <w:keepNext w:val="0"/>
              <w:keepLines w:val="0"/>
              <w:pageBreakBefore w:val="0"/>
              <w:widowControl w:val="0"/>
              <w:kinsoku/>
              <w:wordWrap/>
              <w:overflowPunct w:val="0"/>
              <w:topLinePunct w:val="0"/>
              <w:autoSpaceDE w:val="0"/>
              <w:autoSpaceDN w:val="0"/>
              <w:bidi w:val="0"/>
              <w:spacing w:before="78" w:line="229" w:lineRule="auto"/>
              <w:ind w:left="112" w:right="105" w:firstLine="23"/>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中小企业证明文</w:t>
            </w:r>
            <w:r>
              <w:rPr>
                <w:rFonts w:hint="eastAsia" w:ascii="宋体" w:hAnsi="宋体" w:eastAsia="宋体" w:cs="宋体"/>
                <w:color w:val="000000" w:themeColor="text1"/>
                <w:sz w:val="24"/>
                <w:szCs w:val="24"/>
                <w:highlight w:val="none"/>
                <w14:textFill>
                  <w14:solidFill>
                    <w14:schemeClr w14:val="tx1"/>
                  </w14:solidFill>
                </w14:textFill>
              </w:rPr>
              <w:t>件</w:t>
            </w:r>
          </w:p>
        </w:tc>
        <w:tc>
          <w:tcPr>
            <w:tcW w:w="4635" w:type="dxa"/>
            <w:vAlign w:val="top"/>
          </w:tcPr>
          <w:p w14:paraId="71970D0B">
            <w:pPr>
              <w:keepNext w:val="0"/>
              <w:keepLines w:val="0"/>
              <w:pageBreakBefore w:val="0"/>
              <w:widowControl w:val="0"/>
              <w:kinsoku/>
              <w:wordWrap/>
              <w:overflowPunct w:val="0"/>
              <w:topLinePunct w:val="0"/>
              <w:autoSpaceDE w:val="0"/>
              <w:autoSpaceDN w:val="0"/>
              <w:bidi w:val="0"/>
              <w:spacing w:before="36" w:line="215" w:lineRule="auto"/>
              <w:ind w:left="115" w:right="102" w:firstLine="14"/>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当本项目（包）涉及预留份额专门面向中小企业采购，此时</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须在</w:t>
            </w:r>
            <w:r>
              <w:rPr>
                <w:rFonts w:hint="eastAsia" w:ascii="宋体" w:hAnsi="宋体" w:eastAsia="宋体" w:cs="宋体"/>
                <w:color w:val="000000" w:themeColor="text1"/>
                <w:spacing w:val="1"/>
                <w:sz w:val="24"/>
                <w:szCs w:val="24"/>
                <w:highlight w:val="none"/>
                <w14:textFill>
                  <w14:solidFill>
                    <w14:schemeClr w14:val="tx1"/>
                  </w14:solidFill>
                </w14:textFill>
              </w:rPr>
              <w:t>《资格证明文件》中</w:t>
            </w:r>
            <w:r>
              <w:rPr>
                <w:rFonts w:hint="eastAsia" w:ascii="宋体" w:hAnsi="宋体" w:eastAsia="宋体" w:cs="宋体"/>
                <w:color w:val="000000" w:themeColor="text1"/>
                <w:spacing w:val="15"/>
                <w:sz w:val="24"/>
                <w:szCs w:val="24"/>
                <w:highlight w:val="none"/>
                <w:lang w:val="en-US" w:eastAsia="zh-CN"/>
                <w14:textFill>
                  <w14:solidFill>
                    <w14:schemeClr w14:val="tx1"/>
                  </w14:solidFill>
                </w14:textFill>
              </w:rPr>
              <w:t>提</w:t>
            </w:r>
            <w:r>
              <w:rPr>
                <w:rFonts w:hint="eastAsia" w:ascii="宋体" w:hAnsi="宋体" w:eastAsia="宋体" w:cs="宋体"/>
                <w:color w:val="000000" w:themeColor="text1"/>
                <w:spacing w:val="-5"/>
                <w:sz w:val="24"/>
                <w:szCs w:val="24"/>
                <w:highlight w:val="none"/>
                <w14:textFill>
                  <w14:solidFill>
                    <w14:schemeClr w14:val="tx1"/>
                  </w14:solidFill>
                </w14:textFill>
              </w:rPr>
              <w:t>供。</w:t>
            </w:r>
          </w:p>
          <w:p w14:paraId="6A24C679">
            <w:pPr>
              <w:pStyle w:val="31"/>
              <w:keepNext w:val="0"/>
              <w:keepLines w:val="0"/>
              <w:pageBreakBefore w:val="0"/>
              <w:widowControl w:val="0"/>
              <w:kinsoku/>
              <w:wordWrap/>
              <w:overflowPunct w:val="0"/>
              <w:topLinePunct w:val="0"/>
              <w:autoSpaceDE w:val="0"/>
              <w:autoSpaceDN w:val="0"/>
              <w:bidi w:val="0"/>
              <w:spacing w:before="4" w:line="220" w:lineRule="auto"/>
              <w:ind w:left="116" w:right="102" w:firstLine="15"/>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pacing w:val="-5"/>
                <w:sz w:val="24"/>
                <w:szCs w:val="24"/>
                <w:highlight w:val="none"/>
                <w14:textFill>
                  <w14:solidFill>
                    <w14:schemeClr w14:val="tx1"/>
                  </w14:solidFill>
                </w14:textFill>
              </w:rPr>
              <w:t>单独</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参与</w:t>
            </w:r>
            <w:r>
              <w:rPr>
                <w:rFonts w:hint="eastAsia" w:ascii="宋体" w:hAnsi="宋体" w:eastAsia="宋体" w:cs="宋体"/>
                <w:color w:val="000000" w:themeColor="text1"/>
                <w:spacing w:val="-5"/>
                <w:sz w:val="24"/>
                <w:szCs w:val="24"/>
                <w:highlight w:val="none"/>
                <w14:textFill>
                  <w14:solidFill>
                    <w14:schemeClr w14:val="tx1"/>
                  </w14:solidFill>
                </w14:textFill>
              </w:rPr>
              <w:t>的，应</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提</w:t>
            </w:r>
            <w:r>
              <w:rPr>
                <w:rFonts w:hint="eastAsia" w:ascii="宋体" w:hAnsi="宋体" w:eastAsia="宋体" w:cs="宋体"/>
                <w:color w:val="000000" w:themeColor="text1"/>
                <w:spacing w:val="-5"/>
                <w:sz w:val="24"/>
                <w:szCs w:val="24"/>
                <w:highlight w:val="none"/>
                <w14:textFill>
                  <w14:solidFill>
                    <w14:schemeClr w14:val="tx1"/>
                  </w14:solidFill>
                </w14:textFill>
              </w:rPr>
              <w:t>供《中小企业声</w:t>
            </w:r>
            <w:r>
              <w:rPr>
                <w:rFonts w:hint="eastAsia" w:ascii="宋体" w:hAnsi="宋体" w:eastAsia="宋体" w:cs="宋体"/>
                <w:color w:val="000000" w:themeColor="text1"/>
                <w:spacing w:val="1"/>
                <w:sz w:val="24"/>
                <w:szCs w:val="24"/>
                <w:highlight w:val="none"/>
                <w14:textFill>
                  <w14:solidFill>
                    <w14:schemeClr w14:val="tx1"/>
                  </w14:solidFill>
                </w14:textFill>
              </w:rPr>
              <w:t>明函》或《残疾人福利性单位声明函》或由省级以上监狱管理局、戒毒管理局（含新疆生产建设兵团）出具的属于监狱企业的证明</w:t>
            </w:r>
            <w:r>
              <w:rPr>
                <w:rFonts w:hint="eastAsia" w:ascii="宋体" w:hAnsi="宋体" w:eastAsia="宋体" w:cs="宋体"/>
                <w:color w:val="000000" w:themeColor="text1"/>
                <w:spacing w:val="-11"/>
                <w:sz w:val="24"/>
                <w:szCs w:val="24"/>
                <w:highlight w:val="none"/>
                <w14:textFill>
                  <w14:solidFill>
                    <w14:schemeClr w14:val="tx1"/>
                  </w14:solidFill>
                </w14:textFill>
              </w:rPr>
              <w:t>文件。</w:t>
            </w:r>
          </w:p>
          <w:p w14:paraId="338E26E6">
            <w:pPr>
              <w:pStyle w:val="31"/>
              <w:keepNext w:val="0"/>
              <w:keepLines w:val="0"/>
              <w:pageBreakBefore w:val="0"/>
              <w:widowControl w:val="0"/>
              <w:kinsoku/>
              <w:wordWrap/>
              <w:overflowPunct w:val="0"/>
              <w:topLinePunct w:val="0"/>
              <w:autoSpaceDE w:val="0"/>
              <w:autoSpaceDN w:val="0"/>
              <w:bidi w:val="0"/>
              <w:spacing w:before="20" w:line="236" w:lineRule="auto"/>
              <w:ind w:left="113" w:right="102" w:firstLine="9"/>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2、如</w:t>
            </w:r>
            <w:r>
              <w:rPr>
                <w:rFonts w:hint="eastAsia" w:ascii="宋体" w:hAnsi="宋体" w:eastAsia="宋体" w:cs="宋体"/>
                <w:color w:val="000000" w:themeColor="text1"/>
                <w:spacing w:val="-6"/>
                <w:sz w:val="24"/>
                <w:szCs w:val="24"/>
                <w:highlight w:val="none"/>
                <w:lang w:eastAsia="zh-CN"/>
                <w14:textFill>
                  <w14:solidFill>
                    <w14:schemeClr w14:val="tx1"/>
                  </w14:solidFill>
                </w14:textFill>
              </w:rPr>
              <w:t>采购</w:t>
            </w:r>
            <w:r>
              <w:rPr>
                <w:rFonts w:hint="eastAsia" w:ascii="宋体" w:hAnsi="宋体" w:eastAsia="宋体" w:cs="宋体"/>
                <w:color w:val="000000" w:themeColor="text1"/>
                <w:spacing w:val="-6"/>
                <w:sz w:val="24"/>
                <w:szCs w:val="24"/>
                <w:highlight w:val="none"/>
                <w14:textFill>
                  <w14:solidFill>
                    <w14:schemeClr w14:val="tx1"/>
                  </w14:solidFill>
                </w14:textFill>
              </w:rPr>
              <w:t>文件要求以联合体形式参加</w:t>
            </w:r>
            <w:r>
              <w:rPr>
                <w:rFonts w:hint="eastAsia" w:ascii="宋体" w:hAnsi="宋体" w:eastAsia="宋体" w:cs="宋体"/>
                <w:color w:val="000000" w:themeColor="text1"/>
                <w:spacing w:val="1"/>
                <w:sz w:val="24"/>
                <w:szCs w:val="24"/>
                <w:highlight w:val="none"/>
                <w14:textFill>
                  <w14:solidFill>
                    <w14:schemeClr w14:val="tx1"/>
                  </w14:solidFill>
                </w14:textFill>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snapToGrid w:val="0"/>
                <w:color w:val="000000" w:themeColor="text1"/>
                <w:spacing w:val="-2"/>
                <w:kern w:val="0"/>
                <w:sz w:val="24"/>
                <w:szCs w:val="24"/>
                <w:highlight w:val="none"/>
                <w:lang w:val="en-US" w:eastAsia="zh-CN" w:bidi="ar-SA"/>
                <w14:textFill>
                  <w14:solidFill>
                    <w14:schemeClr w14:val="tx1"/>
                  </w14:solidFill>
                </w14:textFill>
              </w:rPr>
              <w:t>竞争性磋商</w:t>
            </w:r>
            <w:r>
              <w:rPr>
                <w:rFonts w:hint="eastAsia" w:ascii="宋体" w:hAnsi="宋体" w:eastAsia="宋体" w:cs="宋体"/>
                <w:color w:val="000000" w:themeColor="text1"/>
                <w:spacing w:val="1"/>
                <w:sz w:val="24"/>
                <w:szCs w:val="24"/>
                <w:highlight w:val="none"/>
                <w14:textFill>
                  <w14:solidFill>
                    <w14:schemeClr w14:val="tx1"/>
                  </w14:solidFill>
                </w14:textFill>
              </w:rPr>
              <w:t>文件</w:t>
            </w:r>
            <w:r>
              <w:rPr>
                <w:rFonts w:hint="eastAsia" w:ascii="宋体" w:hAnsi="宋体" w:eastAsia="宋体" w:cs="宋体"/>
                <w:color w:val="000000" w:themeColor="text1"/>
                <w:spacing w:val="-4"/>
                <w:sz w:val="24"/>
                <w:szCs w:val="24"/>
                <w:highlight w:val="none"/>
                <w14:textFill>
                  <w14:solidFill>
                    <w14:schemeClr w14:val="tx1"/>
                  </w14:solidFill>
                </w14:textFill>
              </w:rPr>
              <w:t>关于预留份额的要求。</w:t>
            </w:r>
          </w:p>
        </w:tc>
        <w:tc>
          <w:tcPr>
            <w:tcW w:w="2550" w:type="dxa"/>
            <w:vAlign w:val="top"/>
          </w:tcPr>
          <w:p w14:paraId="5CC36415">
            <w:pPr>
              <w:pStyle w:val="31"/>
              <w:keepNext w:val="0"/>
              <w:keepLines w:val="0"/>
              <w:pageBreakBefore w:val="0"/>
              <w:widowControl w:val="0"/>
              <w:kinsoku/>
              <w:wordWrap/>
              <w:overflowPunct w:val="0"/>
              <w:topLinePunct w:val="0"/>
              <w:autoSpaceDE w:val="0"/>
              <w:autoSpaceDN w:val="0"/>
              <w:bidi w:val="0"/>
              <w:spacing w:line="253" w:lineRule="auto"/>
              <w:jc w:val="both"/>
              <w:rPr>
                <w:rFonts w:hint="eastAsia" w:ascii="宋体" w:hAnsi="宋体" w:eastAsia="宋体" w:cs="宋体"/>
                <w:color w:val="000000" w:themeColor="text1"/>
                <w:highlight w:val="none"/>
                <w14:textFill>
                  <w14:solidFill>
                    <w14:schemeClr w14:val="tx1"/>
                  </w14:solidFill>
                </w14:textFill>
              </w:rPr>
            </w:pPr>
          </w:p>
          <w:p w14:paraId="0AF92C4B">
            <w:pPr>
              <w:pStyle w:val="31"/>
              <w:keepNext w:val="0"/>
              <w:keepLines w:val="0"/>
              <w:pageBreakBefore w:val="0"/>
              <w:widowControl w:val="0"/>
              <w:kinsoku/>
              <w:wordWrap/>
              <w:overflowPunct w:val="0"/>
              <w:topLinePunct w:val="0"/>
              <w:autoSpaceDE w:val="0"/>
              <w:autoSpaceDN w:val="0"/>
              <w:bidi w:val="0"/>
              <w:spacing w:line="253" w:lineRule="auto"/>
              <w:jc w:val="both"/>
              <w:rPr>
                <w:rFonts w:hint="eastAsia" w:ascii="宋体" w:hAnsi="宋体" w:eastAsia="宋体" w:cs="宋体"/>
                <w:color w:val="000000" w:themeColor="text1"/>
                <w:highlight w:val="none"/>
                <w14:textFill>
                  <w14:solidFill>
                    <w14:schemeClr w14:val="tx1"/>
                  </w14:solidFill>
                </w14:textFill>
              </w:rPr>
            </w:pPr>
          </w:p>
          <w:p w14:paraId="150FB732">
            <w:pPr>
              <w:pStyle w:val="31"/>
              <w:keepNext w:val="0"/>
              <w:keepLines w:val="0"/>
              <w:pageBreakBefore w:val="0"/>
              <w:widowControl w:val="0"/>
              <w:kinsoku/>
              <w:wordWrap/>
              <w:overflowPunct w:val="0"/>
              <w:topLinePunct w:val="0"/>
              <w:autoSpaceDE w:val="0"/>
              <w:autoSpaceDN w:val="0"/>
              <w:bidi w:val="0"/>
              <w:spacing w:line="253" w:lineRule="auto"/>
              <w:jc w:val="both"/>
              <w:rPr>
                <w:rFonts w:hint="eastAsia" w:ascii="宋体" w:hAnsi="宋体" w:eastAsia="宋体" w:cs="宋体"/>
                <w:color w:val="000000" w:themeColor="text1"/>
                <w:highlight w:val="none"/>
                <w14:textFill>
                  <w14:solidFill>
                    <w14:schemeClr w14:val="tx1"/>
                  </w14:solidFill>
                </w14:textFill>
              </w:rPr>
            </w:pPr>
          </w:p>
          <w:p w14:paraId="64D7BD8B">
            <w:pPr>
              <w:pStyle w:val="31"/>
              <w:keepNext w:val="0"/>
              <w:keepLines w:val="0"/>
              <w:pageBreakBefore w:val="0"/>
              <w:widowControl w:val="0"/>
              <w:kinsoku/>
              <w:wordWrap/>
              <w:overflowPunct w:val="0"/>
              <w:topLinePunct w:val="0"/>
              <w:autoSpaceDE w:val="0"/>
              <w:autoSpaceDN w:val="0"/>
              <w:bidi w:val="0"/>
              <w:spacing w:line="253" w:lineRule="auto"/>
              <w:jc w:val="both"/>
              <w:rPr>
                <w:rFonts w:hint="eastAsia" w:ascii="宋体" w:hAnsi="宋体" w:eastAsia="宋体" w:cs="宋体"/>
                <w:color w:val="000000" w:themeColor="text1"/>
                <w:highlight w:val="none"/>
                <w14:textFill>
                  <w14:solidFill>
                    <w14:schemeClr w14:val="tx1"/>
                  </w14:solidFill>
                </w14:textFill>
              </w:rPr>
            </w:pPr>
          </w:p>
          <w:p w14:paraId="07011544">
            <w:pPr>
              <w:pStyle w:val="31"/>
              <w:keepNext w:val="0"/>
              <w:keepLines w:val="0"/>
              <w:pageBreakBefore w:val="0"/>
              <w:widowControl w:val="0"/>
              <w:kinsoku/>
              <w:wordWrap/>
              <w:overflowPunct w:val="0"/>
              <w:topLinePunct w:val="0"/>
              <w:autoSpaceDE w:val="0"/>
              <w:autoSpaceDN w:val="0"/>
              <w:bidi w:val="0"/>
              <w:spacing w:line="253" w:lineRule="auto"/>
              <w:jc w:val="both"/>
              <w:rPr>
                <w:rFonts w:hint="eastAsia" w:ascii="宋体" w:hAnsi="宋体" w:eastAsia="宋体" w:cs="宋体"/>
                <w:color w:val="000000" w:themeColor="text1"/>
                <w:highlight w:val="none"/>
                <w14:textFill>
                  <w14:solidFill>
                    <w14:schemeClr w14:val="tx1"/>
                  </w14:solidFill>
                </w14:textFill>
              </w:rPr>
            </w:pPr>
          </w:p>
          <w:p w14:paraId="7F6153A8">
            <w:pPr>
              <w:pStyle w:val="31"/>
              <w:keepNext w:val="0"/>
              <w:keepLines w:val="0"/>
              <w:pageBreakBefore w:val="0"/>
              <w:widowControl w:val="0"/>
              <w:kinsoku/>
              <w:wordWrap/>
              <w:overflowPunct w:val="0"/>
              <w:topLinePunct w:val="0"/>
              <w:autoSpaceDE w:val="0"/>
              <w:autoSpaceDN w:val="0"/>
              <w:bidi w:val="0"/>
              <w:spacing w:line="253" w:lineRule="auto"/>
              <w:jc w:val="both"/>
              <w:rPr>
                <w:rFonts w:hint="eastAsia" w:ascii="宋体" w:hAnsi="宋体" w:eastAsia="宋体" w:cs="宋体"/>
                <w:color w:val="000000" w:themeColor="text1"/>
                <w:highlight w:val="none"/>
                <w14:textFill>
                  <w14:solidFill>
                    <w14:schemeClr w14:val="tx1"/>
                  </w14:solidFill>
                </w14:textFill>
              </w:rPr>
            </w:pPr>
          </w:p>
          <w:p w14:paraId="09FDDF47">
            <w:pPr>
              <w:pStyle w:val="31"/>
              <w:keepNext w:val="0"/>
              <w:keepLines w:val="0"/>
              <w:pageBreakBefore w:val="0"/>
              <w:widowControl w:val="0"/>
              <w:kinsoku/>
              <w:wordWrap/>
              <w:overflowPunct w:val="0"/>
              <w:topLinePunct w:val="0"/>
              <w:autoSpaceDE w:val="0"/>
              <w:autoSpaceDN w:val="0"/>
              <w:bidi w:val="0"/>
              <w:spacing w:line="254" w:lineRule="auto"/>
              <w:jc w:val="both"/>
              <w:rPr>
                <w:rFonts w:hint="eastAsia" w:ascii="宋体" w:hAnsi="宋体" w:eastAsia="宋体" w:cs="宋体"/>
                <w:color w:val="000000" w:themeColor="text1"/>
                <w:highlight w:val="none"/>
                <w14:textFill>
                  <w14:solidFill>
                    <w14:schemeClr w14:val="tx1"/>
                  </w14:solidFill>
                </w14:textFill>
              </w:rPr>
            </w:pPr>
          </w:p>
          <w:p w14:paraId="2706A1D1">
            <w:pPr>
              <w:pStyle w:val="31"/>
              <w:keepNext w:val="0"/>
              <w:keepLines w:val="0"/>
              <w:pageBreakBefore w:val="0"/>
              <w:widowControl w:val="0"/>
              <w:kinsoku/>
              <w:wordWrap/>
              <w:overflowPunct w:val="0"/>
              <w:topLinePunct w:val="0"/>
              <w:autoSpaceDE w:val="0"/>
              <w:autoSpaceDN w:val="0"/>
              <w:bidi w:val="0"/>
              <w:spacing w:line="254" w:lineRule="auto"/>
              <w:jc w:val="both"/>
              <w:rPr>
                <w:rFonts w:hint="eastAsia" w:ascii="宋体" w:hAnsi="宋体" w:eastAsia="宋体" w:cs="宋体"/>
                <w:color w:val="000000" w:themeColor="text1"/>
                <w:highlight w:val="none"/>
                <w14:textFill>
                  <w14:solidFill>
                    <w14:schemeClr w14:val="tx1"/>
                  </w14:solidFill>
                </w14:textFill>
              </w:rPr>
            </w:pPr>
          </w:p>
          <w:p w14:paraId="565BE6AC">
            <w:pPr>
              <w:pStyle w:val="31"/>
              <w:keepNext w:val="0"/>
              <w:keepLines w:val="0"/>
              <w:pageBreakBefore w:val="0"/>
              <w:widowControl w:val="0"/>
              <w:kinsoku/>
              <w:wordWrap/>
              <w:overflowPunct w:val="0"/>
              <w:topLinePunct w:val="0"/>
              <w:autoSpaceDE w:val="0"/>
              <w:autoSpaceDN w:val="0"/>
              <w:bidi w:val="0"/>
              <w:spacing w:line="254" w:lineRule="auto"/>
              <w:jc w:val="both"/>
              <w:rPr>
                <w:rFonts w:hint="eastAsia" w:ascii="宋体" w:hAnsi="宋体" w:eastAsia="宋体" w:cs="宋体"/>
                <w:color w:val="000000" w:themeColor="text1"/>
                <w:highlight w:val="none"/>
                <w14:textFill>
                  <w14:solidFill>
                    <w14:schemeClr w14:val="tx1"/>
                  </w14:solidFill>
                </w14:textFill>
              </w:rPr>
            </w:pPr>
          </w:p>
          <w:p w14:paraId="77069AEC">
            <w:pPr>
              <w:keepNext w:val="0"/>
              <w:keepLines w:val="0"/>
              <w:pageBreakBefore w:val="0"/>
              <w:widowControl w:val="0"/>
              <w:kinsoku/>
              <w:wordWrap/>
              <w:overflowPunct w:val="0"/>
              <w:topLinePunct w:val="0"/>
              <w:autoSpaceDE w:val="0"/>
              <w:autoSpaceDN w:val="0"/>
              <w:bidi w:val="0"/>
              <w:spacing w:before="78" w:line="229" w:lineRule="auto"/>
              <w:ind w:left="118" w:right="116" w:hanging="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格式见《</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pacing w:val="-4"/>
                <w:sz w:val="24"/>
                <w:szCs w:val="24"/>
                <w:highlight w:val="none"/>
                <w14:textFill>
                  <w14:solidFill>
                    <w14:schemeClr w14:val="tx1"/>
                  </w14:solidFill>
                </w14:textFill>
              </w:rPr>
              <w:t>文件格式》</w:t>
            </w:r>
          </w:p>
        </w:tc>
      </w:tr>
      <w:tr w14:paraId="3A751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721" w:type="dxa"/>
            <w:vAlign w:val="top"/>
          </w:tcPr>
          <w:p w14:paraId="33EA9EC3">
            <w:pPr>
              <w:pStyle w:val="31"/>
              <w:keepNext w:val="0"/>
              <w:keepLines w:val="0"/>
              <w:pageBreakBefore w:val="0"/>
              <w:widowControl w:val="0"/>
              <w:kinsoku/>
              <w:wordWrap/>
              <w:overflowPunct w:val="0"/>
              <w:topLinePunct w:val="0"/>
              <w:autoSpaceDE w:val="0"/>
              <w:autoSpaceDN w:val="0"/>
              <w:bidi w:val="0"/>
              <w:spacing w:before="213" w:line="201" w:lineRule="auto"/>
              <w:ind w:left="364"/>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179" w:type="dxa"/>
            <w:vAlign w:val="top"/>
          </w:tcPr>
          <w:p w14:paraId="61A4C90A">
            <w:pPr>
              <w:keepNext w:val="0"/>
              <w:keepLines w:val="0"/>
              <w:pageBreakBefore w:val="0"/>
              <w:widowControl w:val="0"/>
              <w:kinsoku/>
              <w:wordWrap/>
              <w:overflowPunct w:val="0"/>
              <w:topLinePunct w:val="0"/>
              <w:autoSpaceDE w:val="0"/>
              <w:autoSpaceDN w:val="0"/>
              <w:bidi w:val="0"/>
              <w:spacing w:before="35" w:line="224" w:lineRule="auto"/>
              <w:ind w:left="113" w:right="105"/>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本项目的</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其他</w:t>
            </w:r>
            <w:r>
              <w:rPr>
                <w:rFonts w:hint="eastAsia" w:ascii="宋体" w:hAnsi="宋体" w:eastAsia="宋体" w:cs="宋体"/>
                <w:color w:val="000000" w:themeColor="text1"/>
                <w:spacing w:val="10"/>
                <w:sz w:val="24"/>
                <w:szCs w:val="24"/>
                <w:highlight w:val="none"/>
                <w14:textFill>
                  <w14:solidFill>
                    <w14:schemeClr w14:val="tx1"/>
                  </w14:solidFill>
                </w14:textFill>
              </w:rPr>
              <w:t>资</w:t>
            </w:r>
            <w:r>
              <w:rPr>
                <w:rFonts w:hint="eastAsia" w:ascii="宋体" w:hAnsi="宋体" w:eastAsia="宋体" w:cs="宋体"/>
                <w:color w:val="000000" w:themeColor="text1"/>
                <w:spacing w:val="-3"/>
                <w:sz w:val="24"/>
                <w:szCs w:val="24"/>
                <w:highlight w:val="none"/>
                <w14:textFill>
                  <w14:solidFill>
                    <w14:schemeClr w14:val="tx1"/>
                  </w14:solidFill>
                </w14:textFill>
              </w:rPr>
              <w:t>格要求</w:t>
            </w:r>
          </w:p>
        </w:tc>
        <w:tc>
          <w:tcPr>
            <w:tcW w:w="4635" w:type="dxa"/>
            <w:vAlign w:val="top"/>
          </w:tcPr>
          <w:p w14:paraId="4D3FC83C">
            <w:pPr>
              <w:keepNext w:val="0"/>
              <w:keepLines w:val="0"/>
              <w:pageBreakBefore w:val="0"/>
              <w:widowControl w:val="0"/>
              <w:kinsoku/>
              <w:wordWrap/>
              <w:overflowPunct w:val="0"/>
              <w:topLinePunct w:val="0"/>
              <w:autoSpaceDE w:val="0"/>
              <w:autoSpaceDN w:val="0"/>
              <w:bidi w:val="0"/>
              <w:spacing w:before="192" w:line="219" w:lineRule="auto"/>
              <w:ind w:left="118"/>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如有，见第一章《</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竞争性磋商公告</w:t>
            </w:r>
            <w:r>
              <w:rPr>
                <w:rFonts w:hint="eastAsia" w:ascii="宋体" w:hAnsi="宋体" w:eastAsia="宋体" w:cs="宋体"/>
                <w:color w:val="000000" w:themeColor="text1"/>
                <w:spacing w:val="-2"/>
                <w:sz w:val="24"/>
                <w:szCs w:val="24"/>
                <w:highlight w:val="none"/>
                <w14:textFill>
                  <w14:solidFill>
                    <w14:schemeClr w14:val="tx1"/>
                  </w14:solidFill>
                </w14:textFill>
              </w:rPr>
              <w:t>》</w:t>
            </w:r>
          </w:p>
        </w:tc>
        <w:tc>
          <w:tcPr>
            <w:tcW w:w="2550" w:type="dxa"/>
            <w:vAlign w:val="top"/>
          </w:tcPr>
          <w:p w14:paraId="4C4F9855">
            <w:pPr>
              <w:pStyle w:val="31"/>
              <w:keepNext w:val="0"/>
              <w:keepLines w:val="0"/>
              <w:pageBreakBefore w:val="0"/>
              <w:widowControl w:val="0"/>
              <w:kinsoku/>
              <w:wordWrap/>
              <w:overflowPunct w:val="0"/>
              <w:topLinePunct w:val="0"/>
              <w:autoSpaceDE w:val="0"/>
              <w:autoSpaceDN w:val="0"/>
              <w:bidi w:val="0"/>
              <w:jc w:val="both"/>
              <w:rPr>
                <w:rFonts w:hint="eastAsia" w:ascii="宋体" w:hAnsi="宋体" w:eastAsia="宋体" w:cs="宋体"/>
                <w:color w:val="000000" w:themeColor="text1"/>
                <w:highlight w:val="none"/>
                <w14:textFill>
                  <w14:solidFill>
                    <w14:schemeClr w14:val="tx1"/>
                  </w14:solidFill>
                </w14:textFill>
              </w:rPr>
            </w:pPr>
          </w:p>
        </w:tc>
      </w:tr>
    </w:tbl>
    <w:p w14:paraId="34B41BD6">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4" w:firstLineChars="200"/>
        <w:jc w:val="both"/>
        <w:textAlignment w:val="baseline"/>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t>2.</w:t>
      </w:r>
      <w:r>
        <w:rPr>
          <w:rFonts w:hint="eastAsia" w:ascii="宋体" w:hAnsi="宋体" w:eastAsia="宋体" w:cs="宋体"/>
          <w:snapToGrid w:val="0"/>
          <w:color w:val="000000" w:themeColor="text1"/>
          <w:spacing w:val="1"/>
          <w:kern w:val="0"/>
          <w:sz w:val="24"/>
          <w:szCs w:val="24"/>
          <w:highlight w:val="none"/>
          <w:lang w:val="en-US" w:eastAsia="en-US" w:bidi="ar-SA"/>
          <w14:textFill>
            <w14:solidFill>
              <w14:schemeClr w14:val="tx1"/>
            </w14:solidFill>
          </w14:textFill>
        </w:rPr>
        <w:t>符合性审查</w:t>
      </w:r>
      <w:r>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t>。</w:t>
      </w:r>
    </w:p>
    <w:tbl>
      <w:tblPr>
        <w:tblStyle w:val="15"/>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875"/>
        <w:gridCol w:w="6637"/>
      </w:tblGrid>
      <w:tr w14:paraId="2103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C5DB360">
            <w:pPr>
              <w:keepNext w:val="0"/>
              <w:keepLines w:val="0"/>
              <w:pageBreakBefore w:val="0"/>
              <w:widowControl w:val="0"/>
              <w:kinsoku/>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序号</w:t>
            </w:r>
          </w:p>
        </w:tc>
        <w:tc>
          <w:tcPr>
            <w:tcW w:w="1875" w:type="dxa"/>
            <w:vAlign w:val="center"/>
          </w:tcPr>
          <w:p w14:paraId="0F3455FF">
            <w:pPr>
              <w:keepNext w:val="0"/>
              <w:keepLines w:val="0"/>
              <w:pageBreakBefore w:val="0"/>
              <w:widowControl w:val="0"/>
              <w:kinsoku/>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审查因素</w:t>
            </w:r>
          </w:p>
        </w:tc>
        <w:tc>
          <w:tcPr>
            <w:tcW w:w="6637" w:type="dxa"/>
            <w:vAlign w:val="center"/>
          </w:tcPr>
          <w:p w14:paraId="22ED2455">
            <w:pPr>
              <w:keepNext w:val="0"/>
              <w:keepLines w:val="0"/>
              <w:pageBreakBefore w:val="0"/>
              <w:widowControl w:val="0"/>
              <w:kinsoku/>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审查内容</w:t>
            </w:r>
          </w:p>
        </w:tc>
      </w:tr>
      <w:tr w14:paraId="1A78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F3BFE7C">
            <w:pPr>
              <w:keepNext w:val="0"/>
              <w:keepLines w:val="0"/>
              <w:pageBreakBefore w:val="0"/>
              <w:widowControl w:val="0"/>
              <w:kinsoku/>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1</w:t>
            </w:r>
          </w:p>
        </w:tc>
        <w:tc>
          <w:tcPr>
            <w:tcW w:w="1875" w:type="dxa"/>
            <w:vAlign w:val="center"/>
          </w:tcPr>
          <w:p w14:paraId="284A03BC">
            <w:pPr>
              <w:keepNext w:val="0"/>
              <w:keepLines w:val="0"/>
              <w:pageBreakBefore w:val="0"/>
              <w:widowControl w:val="0"/>
              <w:kinsoku/>
              <w:wordWrap/>
              <w:overflowPunct w:val="0"/>
              <w:topLinePunct w:val="0"/>
              <w:autoSpaceDE w:val="0"/>
              <w:autoSpaceDN w:val="0"/>
              <w:bidi w:val="0"/>
              <w:spacing w:line="44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响应函签字</w:t>
            </w:r>
          </w:p>
          <w:p w14:paraId="12E60459">
            <w:pPr>
              <w:keepNext w:val="0"/>
              <w:keepLines w:val="0"/>
              <w:pageBreakBefore w:val="0"/>
              <w:widowControl w:val="0"/>
              <w:kinsoku/>
              <w:wordWrap/>
              <w:overflowPunct w:val="0"/>
              <w:topLinePunct w:val="0"/>
              <w:autoSpaceDE w:val="0"/>
              <w:autoSpaceDN w:val="0"/>
              <w:bidi w:val="0"/>
              <w:spacing w:line="440" w:lineRule="exact"/>
              <w:jc w:val="cente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签章</w:t>
            </w:r>
          </w:p>
        </w:tc>
        <w:tc>
          <w:tcPr>
            <w:tcW w:w="6637" w:type="dxa"/>
            <w:vAlign w:val="center"/>
          </w:tcPr>
          <w:p w14:paraId="0EFE6A16">
            <w:pPr>
              <w:keepNext w:val="0"/>
              <w:keepLines w:val="0"/>
              <w:pageBreakBefore w:val="0"/>
              <w:widowControl w:val="0"/>
              <w:kinsoku/>
              <w:wordWrap/>
              <w:overflowPunct w:val="0"/>
              <w:topLinePunct w:val="0"/>
              <w:autoSpaceDE w:val="0"/>
              <w:autoSpaceDN w:val="0"/>
              <w:bidi w:val="0"/>
              <w:spacing w:line="440" w:lineRule="exact"/>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有法定代表人或负责人或被授权人签名或盖章并签单位电子公章；</w:t>
            </w:r>
          </w:p>
        </w:tc>
      </w:tr>
      <w:tr w14:paraId="2BF5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CD7E41A">
            <w:pPr>
              <w:keepNext w:val="0"/>
              <w:keepLines w:val="0"/>
              <w:pageBreakBefore w:val="0"/>
              <w:widowControl w:val="0"/>
              <w:kinsoku/>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2</w:t>
            </w:r>
          </w:p>
        </w:tc>
        <w:tc>
          <w:tcPr>
            <w:tcW w:w="1875" w:type="dxa"/>
            <w:vAlign w:val="center"/>
          </w:tcPr>
          <w:p w14:paraId="15E9966F">
            <w:pPr>
              <w:keepNext w:val="0"/>
              <w:keepLines w:val="0"/>
              <w:pageBreakBefore w:val="0"/>
              <w:widowControl w:val="0"/>
              <w:kinsoku/>
              <w:wordWrap/>
              <w:overflowPunct w:val="0"/>
              <w:topLinePunct w:val="0"/>
              <w:autoSpaceDE w:val="0"/>
              <w:autoSpaceDN w:val="0"/>
              <w:bidi w:val="0"/>
              <w:spacing w:line="440" w:lineRule="exact"/>
              <w:jc w:val="cente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响应文件格式</w:t>
            </w:r>
          </w:p>
        </w:tc>
        <w:tc>
          <w:tcPr>
            <w:tcW w:w="6637" w:type="dxa"/>
            <w:vAlign w:val="center"/>
          </w:tcPr>
          <w:p w14:paraId="0E28242C">
            <w:pPr>
              <w:keepNext w:val="0"/>
              <w:keepLines w:val="0"/>
              <w:pageBreakBefore w:val="0"/>
              <w:widowControl w:val="0"/>
              <w:kinsoku/>
              <w:wordWrap/>
              <w:overflowPunct w:val="0"/>
              <w:topLinePunct w:val="0"/>
              <w:autoSpaceDE w:val="0"/>
              <w:autoSpaceDN w:val="0"/>
              <w:bidi w:val="0"/>
              <w:spacing w:line="440" w:lineRule="exact"/>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符合第六章“响应文件格式”的要求</w:t>
            </w:r>
          </w:p>
        </w:tc>
      </w:tr>
      <w:tr w14:paraId="47FC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ADE3543">
            <w:pPr>
              <w:keepNext w:val="0"/>
              <w:keepLines w:val="0"/>
              <w:pageBreakBefore w:val="0"/>
              <w:widowControl w:val="0"/>
              <w:kinsoku/>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3</w:t>
            </w:r>
          </w:p>
        </w:tc>
        <w:tc>
          <w:tcPr>
            <w:tcW w:w="1875" w:type="dxa"/>
            <w:vAlign w:val="center"/>
          </w:tcPr>
          <w:p w14:paraId="1AD84D4A">
            <w:pPr>
              <w:keepNext w:val="0"/>
              <w:keepLines w:val="0"/>
              <w:pageBreakBefore w:val="0"/>
              <w:widowControl w:val="0"/>
              <w:kinsoku/>
              <w:wordWrap/>
              <w:overflowPunct w:val="0"/>
              <w:topLinePunct w:val="0"/>
              <w:autoSpaceDE w:val="0"/>
              <w:autoSpaceDN w:val="0"/>
              <w:bidi w:val="0"/>
              <w:spacing w:line="440" w:lineRule="exact"/>
              <w:jc w:val="cente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报价唯一</w:t>
            </w:r>
          </w:p>
        </w:tc>
        <w:tc>
          <w:tcPr>
            <w:tcW w:w="6637" w:type="dxa"/>
            <w:vAlign w:val="center"/>
          </w:tcPr>
          <w:p w14:paraId="640F4A2B">
            <w:pPr>
              <w:keepNext w:val="0"/>
              <w:keepLines w:val="0"/>
              <w:pageBreakBefore w:val="0"/>
              <w:widowControl w:val="0"/>
              <w:kinsoku/>
              <w:wordWrap/>
              <w:overflowPunct w:val="0"/>
              <w:topLinePunct w:val="0"/>
              <w:autoSpaceDE w:val="0"/>
              <w:autoSpaceDN w:val="0"/>
              <w:bidi w:val="0"/>
              <w:spacing w:line="440" w:lineRule="exact"/>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只能有一个有效报价</w:t>
            </w:r>
          </w:p>
        </w:tc>
      </w:tr>
    </w:tbl>
    <w:p w14:paraId="3D3E5CC6">
      <w:pPr>
        <w:keepNext w:val="0"/>
        <w:keepLines w:val="0"/>
        <w:pageBreakBefore w:val="0"/>
        <w:widowControl w:val="0"/>
        <w:kinsoku/>
        <w:wordWrap/>
        <w:overflowPunct w:val="0"/>
        <w:topLinePunct w:val="0"/>
        <w:autoSpaceDE w:val="0"/>
        <w:autoSpaceDN w:val="0"/>
        <w:bidi w:val="0"/>
        <w:spacing w:after="0" w:line="360" w:lineRule="auto"/>
        <w:ind w:firstLine="492" w:firstLineChars="200"/>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磋商小组依据竞争性磋商文件的规定检查供应商</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响应文件</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制作内容</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的完整度和符合性</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是否符合竞争性磋商文件的各项要求。</w:t>
      </w:r>
    </w:p>
    <w:p w14:paraId="6BA02FCB">
      <w:pPr>
        <w:keepNext w:val="0"/>
        <w:keepLines w:val="0"/>
        <w:pageBreakBefore w:val="0"/>
        <w:widowControl w:val="0"/>
        <w:kinsoku/>
        <w:wordWrap/>
        <w:overflowPunct w:val="0"/>
        <w:topLinePunct w:val="0"/>
        <w:autoSpaceDE w:val="0"/>
        <w:autoSpaceDN w:val="0"/>
        <w:bidi w:val="0"/>
        <w:spacing w:after="0" w:line="360" w:lineRule="auto"/>
        <w:ind w:firstLine="492" w:firstLineChars="200"/>
        <w:jc w:val="both"/>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只有通过以上审查的供应商的响应文件，方可进入商务和技术评估，综合比较与评价。</w:t>
      </w:r>
    </w:p>
    <w:p w14:paraId="7A8164A0">
      <w:pPr>
        <w:keepNext w:val="0"/>
        <w:keepLines w:val="0"/>
        <w:pageBreakBefore w:val="0"/>
        <w:widowControl w:val="0"/>
        <w:kinsoku/>
        <w:wordWrap/>
        <w:overflowPunct w:val="0"/>
        <w:topLinePunct w:val="0"/>
        <w:autoSpaceDE w:val="0"/>
        <w:autoSpaceDN w:val="0"/>
        <w:bidi w:val="0"/>
        <w:spacing w:after="0" w:line="360" w:lineRule="auto"/>
        <w:ind w:firstLine="492" w:firstLineChars="200"/>
        <w:jc w:val="both"/>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技术（服务）审查。</w:t>
      </w:r>
    </w:p>
    <w:tbl>
      <w:tblPr>
        <w:tblStyle w:val="15"/>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875"/>
        <w:gridCol w:w="6300"/>
      </w:tblGrid>
      <w:tr w14:paraId="5DAF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A2EC558">
            <w:pPr>
              <w:keepNext w:val="0"/>
              <w:keepLines w:val="0"/>
              <w:pageBreakBefore w:val="0"/>
              <w:widowControl w:val="0"/>
              <w:kinsoku/>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序号</w:t>
            </w:r>
          </w:p>
        </w:tc>
        <w:tc>
          <w:tcPr>
            <w:tcW w:w="1875" w:type="dxa"/>
            <w:vAlign w:val="center"/>
          </w:tcPr>
          <w:p w14:paraId="773B1C69">
            <w:pPr>
              <w:keepNext w:val="0"/>
              <w:keepLines w:val="0"/>
              <w:pageBreakBefore w:val="0"/>
              <w:widowControl w:val="0"/>
              <w:kinsoku/>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审查因素</w:t>
            </w:r>
          </w:p>
        </w:tc>
        <w:tc>
          <w:tcPr>
            <w:tcW w:w="6300" w:type="dxa"/>
            <w:vAlign w:val="center"/>
          </w:tcPr>
          <w:p w14:paraId="29C3941C">
            <w:pPr>
              <w:keepNext w:val="0"/>
              <w:keepLines w:val="0"/>
              <w:pageBreakBefore w:val="0"/>
              <w:widowControl w:val="0"/>
              <w:kinsoku/>
              <w:wordWrap/>
              <w:overflowPunct w:val="0"/>
              <w:topLinePunct w:val="0"/>
              <w:autoSpaceDE w:val="0"/>
              <w:autoSpaceDN w:val="0"/>
              <w:bidi w:val="0"/>
              <w:adjustRightInd w:val="0"/>
              <w:snapToGrid/>
              <w:spacing w:line="360" w:lineRule="auto"/>
              <w:jc w:val="center"/>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审查内容</w:t>
            </w:r>
          </w:p>
        </w:tc>
      </w:tr>
      <w:tr w14:paraId="561E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C5CDFFB">
            <w:pPr>
              <w:keepNext w:val="0"/>
              <w:keepLines w:val="0"/>
              <w:pageBreakBefore w:val="0"/>
              <w:widowControl w:val="0"/>
              <w:kinsoku/>
              <w:wordWrap/>
              <w:overflowPunct w:val="0"/>
              <w:topLinePunct w:val="0"/>
              <w:autoSpaceDE w:val="0"/>
              <w:autoSpaceDN w:val="0"/>
              <w:bidi w:val="0"/>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875" w:type="dxa"/>
            <w:vAlign w:val="top"/>
          </w:tcPr>
          <w:p w14:paraId="2F4926A2">
            <w:pPr>
              <w:keepNext w:val="0"/>
              <w:keepLines w:val="0"/>
              <w:pageBreakBefore w:val="0"/>
              <w:widowControl w:val="0"/>
              <w:kinsoku/>
              <w:wordWrap/>
              <w:overflowPunct w:val="0"/>
              <w:topLinePunct w:val="0"/>
              <w:autoSpaceDE w:val="0"/>
              <w:autoSpaceDN w:val="0"/>
              <w:bidi w:val="0"/>
              <w:spacing w:line="440" w:lineRule="exact"/>
              <w:jc w:val="cente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完成时间</w:t>
            </w:r>
          </w:p>
        </w:tc>
        <w:tc>
          <w:tcPr>
            <w:tcW w:w="6300" w:type="dxa"/>
            <w:vAlign w:val="center"/>
          </w:tcPr>
          <w:p w14:paraId="1E7C2876">
            <w:pPr>
              <w:keepNext w:val="0"/>
              <w:keepLines w:val="0"/>
              <w:pageBreakBefore w:val="0"/>
              <w:widowControl w:val="0"/>
              <w:kinsoku/>
              <w:wordWrap/>
              <w:overflowPunct w:val="0"/>
              <w:topLinePunct w:val="0"/>
              <w:autoSpaceDE w:val="0"/>
              <w:autoSpaceDN w:val="0"/>
              <w:bidi w:val="0"/>
              <w:spacing w:line="440" w:lineRule="exact"/>
              <w:jc w:val="left"/>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合同签订后30日历天内完成</w:t>
            </w:r>
          </w:p>
        </w:tc>
      </w:tr>
      <w:tr w14:paraId="24A4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25631B1">
            <w:pPr>
              <w:keepNext w:val="0"/>
              <w:keepLines w:val="0"/>
              <w:pageBreakBefore w:val="0"/>
              <w:widowControl w:val="0"/>
              <w:kinsoku/>
              <w:wordWrap/>
              <w:overflowPunct w:val="0"/>
              <w:topLinePunct w:val="0"/>
              <w:autoSpaceDE w:val="0"/>
              <w:autoSpaceDN w:val="0"/>
              <w:bidi w:val="0"/>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875" w:type="dxa"/>
            <w:vAlign w:val="center"/>
          </w:tcPr>
          <w:p w14:paraId="24642C9F">
            <w:pPr>
              <w:keepNext w:val="0"/>
              <w:keepLines w:val="0"/>
              <w:pageBreakBefore w:val="0"/>
              <w:widowControl w:val="0"/>
              <w:kinsoku/>
              <w:wordWrap/>
              <w:overflowPunct w:val="0"/>
              <w:topLinePunct w:val="0"/>
              <w:autoSpaceDE w:val="0"/>
              <w:autoSpaceDN w:val="0"/>
              <w:bidi w:val="0"/>
              <w:spacing w:line="440" w:lineRule="exact"/>
              <w:jc w:val="cente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质量</w:t>
            </w:r>
          </w:p>
        </w:tc>
        <w:tc>
          <w:tcPr>
            <w:tcW w:w="6300" w:type="dxa"/>
            <w:vAlign w:val="top"/>
          </w:tcPr>
          <w:p w14:paraId="62EFA9ED">
            <w:pPr>
              <w:keepNext w:val="0"/>
              <w:keepLines w:val="0"/>
              <w:pageBreakBefore w:val="0"/>
              <w:widowControl w:val="0"/>
              <w:kinsoku/>
              <w:wordWrap/>
              <w:overflowPunct w:val="0"/>
              <w:topLinePunct w:val="0"/>
              <w:autoSpaceDE w:val="0"/>
              <w:autoSpaceDN w:val="0"/>
              <w:bidi w:val="0"/>
              <w:spacing w:line="440" w:lineRule="exact"/>
              <w:jc w:val="both"/>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符合国家、地方及行业规范相关标准</w:t>
            </w:r>
          </w:p>
        </w:tc>
      </w:tr>
      <w:tr w14:paraId="260B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7EAE73A">
            <w:pPr>
              <w:keepNext w:val="0"/>
              <w:keepLines w:val="0"/>
              <w:pageBreakBefore w:val="0"/>
              <w:widowControl w:val="0"/>
              <w:kinsoku/>
              <w:wordWrap/>
              <w:overflowPunct w:val="0"/>
              <w:topLinePunct w:val="0"/>
              <w:autoSpaceDE w:val="0"/>
              <w:autoSpaceDN w:val="0"/>
              <w:bidi w:val="0"/>
              <w:spacing w:line="44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875" w:type="dxa"/>
            <w:vAlign w:val="top"/>
          </w:tcPr>
          <w:p w14:paraId="34FB0FFD">
            <w:pPr>
              <w:keepNext w:val="0"/>
              <w:keepLines w:val="0"/>
              <w:pageBreakBefore w:val="0"/>
              <w:widowControl w:val="0"/>
              <w:kinsoku/>
              <w:wordWrap/>
              <w:overflowPunct w:val="0"/>
              <w:topLinePunct w:val="0"/>
              <w:autoSpaceDE w:val="0"/>
              <w:autoSpaceDN w:val="0"/>
              <w:bidi w:val="0"/>
              <w:spacing w:line="440" w:lineRule="exact"/>
              <w:jc w:val="cente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响应有效期</w:t>
            </w:r>
          </w:p>
        </w:tc>
        <w:tc>
          <w:tcPr>
            <w:tcW w:w="6300" w:type="dxa"/>
            <w:vAlign w:val="top"/>
          </w:tcPr>
          <w:p w14:paraId="277096BF">
            <w:pPr>
              <w:keepNext w:val="0"/>
              <w:keepLines w:val="0"/>
              <w:pageBreakBefore w:val="0"/>
              <w:widowControl w:val="0"/>
              <w:kinsoku/>
              <w:wordWrap/>
              <w:overflowPunct w:val="0"/>
              <w:topLinePunct w:val="0"/>
              <w:autoSpaceDE w:val="0"/>
              <w:autoSpaceDN w:val="0"/>
              <w:bidi w:val="0"/>
              <w:spacing w:line="440" w:lineRule="exact"/>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开标之日起</w:t>
            </w:r>
            <w:r>
              <w:rPr>
                <w:rFonts w:hint="eastAsia" w:ascii="宋体" w:hAnsi="宋体" w:eastAsia="宋体" w:cs="宋体"/>
                <w:color w:val="000000" w:themeColor="text1"/>
                <w:sz w:val="24"/>
                <w:szCs w:val="24"/>
                <w:highlight w:val="none"/>
                <w:lang w:eastAsia="zh-CN"/>
                <w14:textFill>
                  <w14:solidFill>
                    <w14:schemeClr w14:val="tx1"/>
                  </w14:solidFill>
                </w14:textFill>
              </w:rPr>
              <w:t>60</w:t>
            </w:r>
            <w:r>
              <w:rPr>
                <w:rFonts w:hint="eastAsia" w:ascii="宋体" w:hAnsi="宋体" w:eastAsia="宋体" w:cs="宋体"/>
                <w:color w:val="000000" w:themeColor="text1"/>
                <w:sz w:val="24"/>
                <w:szCs w:val="24"/>
                <w:highlight w:val="none"/>
                <w14:textFill>
                  <w14:solidFill>
                    <w14:schemeClr w14:val="tx1"/>
                  </w14:solidFill>
                </w14:textFill>
              </w:rPr>
              <w:t>日历日</w:t>
            </w:r>
          </w:p>
        </w:tc>
      </w:tr>
    </w:tbl>
    <w:p w14:paraId="3BE4103C">
      <w:pPr>
        <w:keepNext w:val="0"/>
        <w:keepLines w:val="0"/>
        <w:pageBreakBefore w:val="0"/>
        <w:widowControl w:val="0"/>
        <w:kinsoku/>
        <w:wordWrap/>
        <w:overflowPunct w:val="0"/>
        <w:topLinePunct w:val="0"/>
        <w:autoSpaceDE w:val="0"/>
        <w:autoSpaceDN w:val="0"/>
        <w:bidi w:val="0"/>
        <w:spacing w:after="0" w:line="360" w:lineRule="auto"/>
        <w:ind w:firstLine="492" w:firstLineChars="200"/>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4.</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综合比较与评价。对各供应商</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对磋商文件的符合性和技术响应程度、项目方案或技术响应程度、综合实力、售后服务以及报价等因素，</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进行综合评比。</w:t>
      </w:r>
    </w:p>
    <w:p w14:paraId="46E23EB7">
      <w:pPr>
        <w:keepNext w:val="0"/>
        <w:keepLines w:val="0"/>
        <w:pageBreakBefore w:val="0"/>
        <w:widowControl w:val="0"/>
        <w:kinsoku/>
        <w:wordWrap/>
        <w:overflowPunct w:val="0"/>
        <w:topLinePunct w:val="0"/>
        <w:autoSpaceDE w:val="0"/>
        <w:autoSpaceDN w:val="0"/>
        <w:bidi w:val="0"/>
        <w:spacing w:after="0" w:line="360" w:lineRule="auto"/>
        <w:ind w:firstLine="492" w:firstLineChars="200"/>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5.</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未实质性响应磋商文件的响应文件按无效响应处理，磋商小组应当告知提交响应文件的供应商。</w:t>
      </w:r>
    </w:p>
    <w:p w14:paraId="6FE4B891">
      <w:pPr>
        <w:keepNext w:val="0"/>
        <w:keepLines w:val="0"/>
        <w:pageBreakBefore w:val="0"/>
        <w:widowControl w:val="0"/>
        <w:kinsoku/>
        <w:wordWrap/>
        <w:overflowPunct w:val="0"/>
        <w:topLinePunct w:val="0"/>
        <w:autoSpaceDE w:val="0"/>
        <w:autoSpaceDN w:val="0"/>
        <w:bidi w:val="0"/>
        <w:spacing w:after="0" w:line="360" w:lineRule="auto"/>
        <w:ind w:firstLine="494" w:firstLineChars="200"/>
        <w:jc w:val="both"/>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t>响应文件无效的情形：</w:t>
      </w:r>
    </w:p>
    <w:p w14:paraId="5DC77A5D">
      <w:pPr>
        <w:keepNext w:val="0"/>
        <w:keepLines w:val="0"/>
        <w:pageBreakBefore w:val="0"/>
        <w:widowControl w:val="0"/>
        <w:kinsoku/>
        <w:wordWrap/>
        <w:overflowPunct w:val="0"/>
        <w:topLinePunct w:val="0"/>
        <w:autoSpaceDE w:val="0"/>
        <w:autoSpaceDN w:val="0"/>
        <w:bidi w:val="0"/>
        <w:spacing w:after="0" w:line="360" w:lineRule="auto"/>
        <w:ind w:firstLine="494" w:firstLineChars="200"/>
        <w:jc w:val="both"/>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 xml:space="preserve">5.1 </w:t>
      </w:r>
      <w: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t>在资格性和符合性审查时，如发现下列情形之一的，响应文件将被视为无效：</w:t>
      </w:r>
    </w:p>
    <w:p w14:paraId="062B08BA">
      <w:pPr>
        <w:keepNext w:val="0"/>
        <w:keepLines w:val="0"/>
        <w:pageBreakBefore w:val="0"/>
        <w:widowControl w:val="0"/>
        <w:kinsoku/>
        <w:wordWrap/>
        <w:overflowPunct w:val="0"/>
        <w:topLinePunct w:val="0"/>
        <w:autoSpaceDE w:val="0"/>
        <w:autoSpaceDN w:val="0"/>
        <w:bidi w:val="0"/>
        <w:spacing w:after="0" w:line="360" w:lineRule="auto"/>
        <w:ind w:firstLine="494" w:firstLineChars="200"/>
        <w:jc w:val="both"/>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 xml:space="preserve">5.1.1 </w:t>
      </w:r>
      <w: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t>资格证明文件不全的，或者不符合竞争性磋商文件标明的资格要求的；</w:t>
      </w:r>
    </w:p>
    <w:p w14:paraId="1185FF48">
      <w:pPr>
        <w:keepNext w:val="0"/>
        <w:keepLines w:val="0"/>
        <w:pageBreakBefore w:val="0"/>
        <w:widowControl w:val="0"/>
        <w:kinsoku/>
        <w:wordWrap/>
        <w:overflowPunct w:val="0"/>
        <w:topLinePunct w:val="0"/>
        <w:autoSpaceDE w:val="0"/>
        <w:autoSpaceDN w:val="0"/>
        <w:bidi w:val="0"/>
        <w:spacing w:after="0" w:line="360" w:lineRule="auto"/>
        <w:ind w:firstLine="494" w:firstLineChars="200"/>
        <w:jc w:val="both"/>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 xml:space="preserve">5.1.2 </w:t>
      </w:r>
      <w: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t>响应文件无法定代表人或负责人签字,或未提供法定代表人或负责人授权委托书、</w:t>
      </w: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承诺</w:t>
      </w:r>
      <w: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t>书或者填写项目不齐全的；</w:t>
      </w:r>
    </w:p>
    <w:p w14:paraId="76F3E611">
      <w:pPr>
        <w:keepNext w:val="0"/>
        <w:keepLines w:val="0"/>
        <w:pageBreakBefore w:val="0"/>
        <w:widowControl w:val="0"/>
        <w:kinsoku/>
        <w:wordWrap/>
        <w:overflowPunct w:val="0"/>
        <w:topLinePunct w:val="0"/>
        <w:autoSpaceDE w:val="0"/>
        <w:autoSpaceDN w:val="0"/>
        <w:bidi w:val="0"/>
        <w:spacing w:after="0" w:line="360" w:lineRule="auto"/>
        <w:ind w:firstLine="494" w:firstLineChars="200"/>
        <w:jc w:val="both"/>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 xml:space="preserve">5.1.3 </w:t>
      </w:r>
      <w: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t>授权代表人未能出具身份证明或与法定代表人或负责人授权委托人身份不符的；</w:t>
      </w:r>
    </w:p>
    <w:p w14:paraId="6FE2284F">
      <w:pPr>
        <w:keepNext w:val="0"/>
        <w:keepLines w:val="0"/>
        <w:pageBreakBefore w:val="0"/>
        <w:widowControl w:val="0"/>
        <w:kinsoku/>
        <w:wordWrap/>
        <w:overflowPunct w:val="0"/>
        <w:topLinePunct w:val="0"/>
        <w:autoSpaceDE w:val="0"/>
        <w:autoSpaceDN w:val="0"/>
        <w:bidi w:val="0"/>
        <w:spacing w:after="0" w:line="360" w:lineRule="auto"/>
        <w:ind w:firstLine="494" w:firstLineChars="200"/>
        <w:jc w:val="both"/>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 xml:space="preserve">5.1.4 </w:t>
      </w:r>
      <w: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t>电子响应文件未使用</w:t>
      </w: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CA或</w:t>
      </w:r>
      <w: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t>加密的；</w:t>
      </w:r>
    </w:p>
    <w:p w14:paraId="4FBEF69D">
      <w:pPr>
        <w:keepNext w:val="0"/>
        <w:keepLines w:val="0"/>
        <w:pageBreakBefore w:val="0"/>
        <w:widowControl w:val="0"/>
        <w:kinsoku/>
        <w:wordWrap/>
        <w:overflowPunct w:val="0"/>
        <w:topLinePunct w:val="0"/>
        <w:autoSpaceDE w:val="0"/>
        <w:autoSpaceDN w:val="0"/>
        <w:bidi w:val="0"/>
        <w:spacing w:after="0" w:line="360" w:lineRule="auto"/>
        <w:ind w:firstLine="494" w:firstLineChars="200"/>
        <w:jc w:val="both"/>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5.1.5 其他不符合磋商文件实质性要求的。</w:t>
      </w:r>
    </w:p>
    <w:p w14:paraId="2747F540">
      <w:pPr>
        <w:keepNext w:val="0"/>
        <w:keepLines w:val="0"/>
        <w:pageBreakBefore w:val="0"/>
        <w:widowControl w:val="0"/>
        <w:kinsoku/>
        <w:wordWrap/>
        <w:overflowPunct w:val="0"/>
        <w:topLinePunct w:val="0"/>
        <w:autoSpaceDE w:val="0"/>
        <w:autoSpaceDN w:val="0"/>
        <w:bidi w:val="0"/>
        <w:spacing w:after="0" w:line="360" w:lineRule="auto"/>
        <w:ind w:firstLine="494" w:firstLineChars="200"/>
        <w:jc w:val="both"/>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 xml:space="preserve">5.2 </w:t>
      </w:r>
      <w: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t>在报价评审时，如发现下列情形之一的，响应文件将被视为无效：</w:t>
      </w:r>
    </w:p>
    <w:p w14:paraId="6AEF4AEC">
      <w:pPr>
        <w:keepNext w:val="0"/>
        <w:keepLines w:val="0"/>
        <w:pageBreakBefore w:val="0"/>
        <w:widowControl w:val="0"/>
        <w:kinsoku/>
        <w:wordWrap/>
        <w:overflowPunct w:val="0"/>
        <w:topLinePunct w:val="0"/>
        <w:autoSpaceDE w:val="0"/>
        <w:autoSpaceDN w:val="0"/>
        <w:bidi w:val="0"/>
        <w:spacing w:after="0" w:line="360" w:lineRule="auto"/>
        <w:ind w:firstLine="494" w:firstLineChars="200"/>
        <w:jc w:val="both"/>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 xml:space="preserve">5.2.1 </w:t>
      </w:r>
      <w: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t>未采用人民币报价的；</w:t>
      </w:r>
    </w:p>
    <w:p w14:paraId="2E0FB25A">
      <w:pPr>
        <w:keepNext w:val="0"/>
        <w:keepLines w:val="0"/>
        <w:pageBreakBefore w:val="0"/>
        <w:widowControl w:val="0"/>
        <w:kinsoku/>
        <w:wordWrap/>
        <w:overflowPunct w:val="0"/>
        <w:topLinePunct w:val="0"/>
        <w:autoSpaceDE w:val="0"/>
        <w:autoSpaceDN w:val="0"/>
        <w:bidi w:val="0"/>
        <w:spacing w:after="0" w:line="360" w:lineRule="auto"/>
        <w:ind w:firstLine="494" w:firstLineChars="200"/>
        <w:jc w:val="both"/>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 xml:space="preserve">5.2.2 </w:t>
      </w:r>
      <w: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t>报价具有选择性；</w:t>
      </w:r>
    </w:p>
    <w:p w14:paraId="1C665FDD">
      <w:pPr>
        <w:keepNext w:val="0"/>
        <w:keepLines w:val="0"/>
        <w:pageBreakBefore w:val="0"/>
        <w:widowControl w:val="0"/>
        <w:kinsoku/>
        <w:wordWrap/>
        <w:overflowPunct w:val="0"/>
        <w:topLinePunct w:val="0"/>
        <w:autoSpaceDE w:val="0"/>
        <w:autoSpaceDN w:val="0"/>
        <w:bidi w:val="0"/>
        <w:spacing w:after="0" w:line="360" w:lineRule="auto"/>
        <w:ind w:firstLine="494" w:firstLineChars="200"/>
        <w:jc w:val="both"/>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 xml:space="preserve">5.2.3 </w:t>
      </w:r>
      <w: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t>未进行最后报价或最后报价高于采购人预算的</w:t>
      </w: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w:t>
      </w:r>
    </w:p>
    <w:p w14:paraId="5E270303">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磋商、响应文件有关事项的澄清、说明或者更正和最后报价</w:t>
      </w:r>
    </w:p>
    <w:p w14:paraId="7151637C">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磋商小组所有成员将集中与单一供应商分别进行磋商，并给予所有参加磋商的供应商平等的磋商机会。</w:t>
      </w:r>
    </w:p>
    <w:p w14:paraId="4910D4BB">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w:t>
      </w:r>
    </w:p>
    <w:p w14:paraId="08FE0A7A">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对磋商文件作出的实质性变动是磋商文件的有效组成部分，磋商小组应当及时</w:t>
      </w:r>
      <w:r>
        <w:rPr>
          <w:rFonts w:hint="eastAsia" w:ascii="宋体" w:hAnsi="宋体" w:eastAsia="宋体" w:cs="宋体"/>
          <w:color w:val="000000" w:themeColor="text1"/>
          <w:sz w:val="24"/>
          <w:szCs w:val="24"/>
          <w:highlight w:val="none"/>
          <w:lang w:val="en-US" w:eastAsia="zh-CN"/>
          <w14:textFill>
            <w14:solidFill>
              <w14:schemeClr w14:val="tx1"/>
            </w14:solidFill>
          </w14:textFill>
        </w:rPr>
        <w:t>通过</w:t>
      </w:r>
      <w:r>
        <w:rPr>
          <w:rFonts w:hint="eastAsia" w:ascii="宋体" w:hAnsi="宋体" w:eastAsia="宋体" w:cs="宋体"/>
          <w:color w:val="000000" w:themeColor="text1"/>
          <w:sz w:val="24"/>
          <w:szCs w:val="24"/>
          <w:highlight w:val="none"/>
          <w14:textFill>
            <w14:solidFill>
              <w14:schemeClr w14:val="tx1"/>
            </w14:solidFill>
          </w14:textFill>
        </w:rPr>
        <w:t>评标系统通知所有参加磋商的供应商。具体磋商内容由磋商小组根据磋商实际情况确定。</w:t>
      </w:r>
    </w:p>
    <w:p w14:paraId="01E453FD">
      <w:pPr>
        <w:keepNext w:val="0"/>
        <w:keepLines w:val="0"/>
        <w:pageBreakBefore w:val="0"/>
        <w:widowControl w:val="0"/>
        <w:kinsoku/>
        <w:wordWrap/>
        <w:overflowPunct w:val="0"/>
        <w:topLinePunct w:val="0"/>
        <w:autoSpaceDE w:val="0"/>
        <w:autoSpaceDN w:val="0"/>
        <w:bidi w:val="0"/>
        <w:spacing w:after="0" w:line="360" w:lineRule="auto"/>
        <w:ind w:firstLine="480" w:firstLineChars="200"/>
        <w:jc w:val="both"/>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供应商应当按照竞争性磋商文件的变动情况和磋商小组的要求，通过</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评标</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系统以在线形式提交承诺，并用</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CA</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签章。</w:t>
      </w:r>
    </w:p>
    <w:p w14:paraId="730C2737">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响应文件的澄清、说明或者更正：</w:t>
      </w:r>
    </w:p>
    <w:p w14:paraId="00758FF3">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.5.1</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w:t>
      </w:r>
    </w:p>
    <w:p w14:paraId="5538EA42">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2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加盖公章。供应商为自然人的，应当由本人签字并附身份证明。澄清、说明或者更正文件将作为响应文件内容的一部分。</w:t>
      </w:r>
    </w:p>
    <w:p w14:paraId="4B5FB04F">
      <w:pPr>
        <w:keepNext w:val="0"/>
        <w:keepLines w:val="0"/>
        <w:pageBreakBefore w:val="0"/>
        <w:widowControl w:val="0"/>
        <w:kinsoku/>
        <w:wordWrap/>
        <w:overflowPunct w:val="0"/>
        <w:topLinePunct w:val="0"/>
        <w:autoSpaceDE w:val="0"/>
        <w:autoSpaceDN w:val="0"/>
        <w:bidi w:val="0"/>
        <w:spacing w:after="0" w:line="360" w:lineRule="auto"/>
        <w:ind w:firstLine="480" w:firstLineChars="200"/>
        <w:jc w:val="both"/>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得</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少于</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家。《</w:t>
      </w:r>
      <w:r>
        <w:rPr>
          <w:rFonts w:hint="eastAsia" w:ascii="宋体" w:hAnsi="宋体" w:eastAsia="宋体" w:cs="宋体"/>
          <w:snapToGrid w:val="0"/>
          <w:color w:val="000000" w:themeColor="text1"/>
          <w:spacing w:val="-2"/>
          <w:kern w:val="0"/>
          <w:sz w:val="24"/>
          <w:szCs w:val="24"/>
          <w:highlight w:val="none"/>
          <w:lang w:val="en-US" w:eastAsia="zh-CN" w:bidi="ar-SA"/>
          <w14:textFill>
            <w14:solidFill>
              <w14:schemeClr w14:val="tx1"/>
            </w14:solidFill>
          </w14:textFill>
        </w:rPr>
        <w:t>政府采购竞争性磋商采购方式管理暂行办法</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》第</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三</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条第</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四项</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规定的情形除外。最后报价是响应文件的有效组成部分。</w:t>
      </w:r>
    </w:p>
    <w:p w14:paraId="1E8EE51C">
      <w:pPr>
        <w:keepNext w:val="0"/>
        <w:keepLines w:val="0"/>
        <w:pageBreakBefore w:val="0"/>
        <w:widowControl w:val="0"/>
        <w:kinsoku/>
        <w:wordWrap/>
        <w:overflowPunct w:val="0"/>
        <w:topLinePunct w:val="0"/>
        <w:autoSpaceDE w:val="0"/>
        <w:autoSpaceDN w:val="0"/>
        <w:bidi w:val="0"/>
        <w:spacing w:after="0"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.7</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磋商文件不能详细列明采购标的的技术、服务要求，需经磋商由供应商</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提</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提</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交最后报价。市场竞争不充分的科研项目，以及需要扶持的科技成果转化项目，</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提</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交最后报价的供应商可以为2家；政府购买服务项目（含政府和社会资本合作项目），在采购过程中符合要求的供应商（社会资本）只有2家的，竞争性磋商采购活动可以继续进行。</w:t>
      </w:r>
    </w:p>
    <w:p w14:paraId="008B9A06">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8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已</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提</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交响应文件的供应商，在</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提</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交最后报价之前，可以根据磋商情况退出磋商。</w:t>
      </w:r>
    </w:p>
    <w:p w14:paraId="49D9CBC6">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7.</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最后报价的算术修正及政策调整</w:t>
      </w:r>
    </w:p>
    <w:p w14:paraId="7FC0EF29">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最后报价须包含竞争性磋商文件全部内容，最后报价出现大写金额和小写金额不一致的，以大写金额为准</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p>
    <w:p w14:paraId="560770B4">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8.</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评审方法和评审标准</w:t>
      </w:r>
    </w:p>
    <w:p w14:paraId="72A9B51D">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8</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本项目采用的评审方法为</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综合评分法。综合评分法，是指响应文件满足磋商文件全部实质性要求且按评审因素的量化指标评审得分最高的供应商为成交候选供应商的评审方法。</w:t>
      </w:r>
    </w:p>
    <w:p w14:paraId="1C409310">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8</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竞争性磋商文件中没有规定的评审标准不得作为评审依据。</w:t>
      </w:r>
    </w:p>
    <w:p w14:paraId="248A0799">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8</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非政府强制采购的节能产品或环境标志产品，依据品目清单和认证证书实施政府优先采购。优先采购的具体规定（如涉及</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w:t>
      </w:r>
    </w:p>
    <w:p w14:paraId="48F6C00B">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8</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关于无线局域网认证产品政府采购清单中的产品，优先采购的具体规定（如涉及）</w:t>
      </w:r>
      <w:r>
        <w:rPr>
          <w:rFonts w:hint="eastAsia" w:ascii="宋体" w:hAnsi="宋体" w:eastAsia="宋体" w:cs="宋体"/>
          <w:color w:val="000000" w:themeColor="text1"/>
          <w:spacing w:val="-25"/>
          <w:sz w:val="24"/>
          <w:szCs w:val="24"/>
          <w:highlight w:val="none"/>
          <w14:textFill>
            <w14:solidFill>
              <w14:schemeClr w14:val="tx1"/>
            </w14:solidFill>
          </w14:textFill>
        </w:rPr>
        <w:t>。</w:t>
      </w:r>
    </w:p>
    <w:p w14:paraId="59F3B0D7">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确定成交候选人名单</w:t>
      </w:r>
    </w:p>
    <w:p w14:paraId="0F7878C0">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C374375">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2" w:firstLineChars="200"/>
        <w:jc w:val="both"/>
        <w:textAlignment w:val="baseline"/>
        <w:rPr>
          <w:rFonts w:hint="eastAsia" w:ascii="宋体" w:hAnsi="宋体" w:eastAsia="宋体" w:cs="宋体"/>
          <w:b/>
          <w:bCs/>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9</w:t>
      </w:r>
      <w:r>
        <w:rPr>
          <w:rFonts w:hint="eastAsia" w:ascii="宋体" w:hAnsi="宋体" w:eastAsia="宋体" w:cs="宋体"/>
          <w:b/>
          <w:bCs/>
          <w:snapToGrid w:val="0"/>
          <w:color w:val="000000" w:themeColor="text1"/>
          <w:kern w:val="0"/>
          <w:sz w:val="24"/>
          <w:szCs w:val="24"/>
          <w:highlight w:val="none"/>
          <w:lang w:val="en-US" w:eastAsia="en-US" w:bidi="ar-SA"/>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 xml:space="preserve">2 </w:t>
      </w:r>
      <w:r>
        <w:rPr>
          <w:rFonts w:hint="eastAsia" w:ascii="宋体" w:hAnsi="宋体" w:eastAsia="宋体" w:cs="宋体"/>
          <w:b/>
          <w:bCs/>
          <w:snapToGrid w:val="0"/>
          <w:color w:val="000000" w:themeColor="text1"/>
          <w:kern w:val="0"/>
          <w:sz w:val="24"/>
          <w:szCs w:val="24"/>
          <w:highlight w:val="none"/>
          <w:lang w:val="en-US" w:eastAsia="en-US" w:bidi="ar-SA"/>
          <w14:textFill>
            <w14:solidFill>
              <w14:schemeClr w14:val="tx1"/>
            </w14:solidFill>
          </w14:textFill>
        </w:rPr>
        <w:t>磋商小组要对评分汇总情况进行复核，特别是对排名第一的、报价最低的、响应文件被认定为无效的情形进行重点复核。</w:t>
      </w:r>
    </w:p>
    <w:p w14:paraId="35FA7F27">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3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磋商小组根据上述供应商排序，依次推荐排序前</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名的供应商为成交候选供应商。采购人应当自收到评审报告之日起5个工作日内在评审报告推荐的成交候选人中按顺序确定成交供应商。</w:t>
      </w:r>
    </w:p>
    <w:p w14:paraId="5E6BD5C9">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10.</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报告违法行为</w:t>
      </w:r>
    </w:p>
    <w:p w14:paraId="47DE41BF">
      <w:pPr>
        <w:pStyle w:val="5"/>
        <w:keepNext w:val="0"/>
        <w:keepLines w:val="0"/>
        <w:pageBreakBefore w:val="0"/>
        <w:widowControl w:val="0"/>
        <w:kinsoku/>
        <w:wordWrap/>
        <w:overflowPunct w:val="0"/>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10</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磋商小组在评审过程中发现供应商有行贿、</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提</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供虚假材料或者串通等违法行为时，有向采购人、采购代理机构或者有关部门报告的职责。</w:t>
      </w:r>
    </w:p>
    <w:p w14:paraId="6CCCBBFC">
      <w:pPr>
        <w:pStyle w:val="5"/>
        <w:keepNext w:val="0"/>
        <w:keepLines w:val="0"/>
        <w:pageBreakBefore w:val="0"/>
        <w:widowControl w:val="0"/>
        <w:kinsoku/>
        <w:wordWrap/>
        <w:overflowPunct w:val="0"/>
        <w:topLinePunct w:val="0"/>
        <w:autoSpaceDE w:val="0"/>
        <w:autoSpaceDN w:val="0"/>
        <w:bidi w:val="0"/>
        <w:spacing w:before="78" w:line="221" w:lineRule="auto"/>
        <w:jc w:val="center"/>
        <w:outlineLvl w:val="1"/>
        <w:rPr>
          <w:rFonts w:hint="eastAsia" w:ascii="宋体" w:hAnsi="宋体" w:eastAsia="宋体" w:cs="宋体"/>
          <w:color w:val="000000" w:themeColor="text1"/>
          <w:spacing w:val="-2"/>
          <w:sz w:val="24"/>
          <w:szCs w:val="24"/>
          <w:highlight w:val="none"/>
          <w14:textOutline w14:w="1537"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pacing w:val="-2"/>
          <w:sz w:val="24"/>
          <w:szCs w:val="24"/>
          <w:highlight w:val="none"/>
          <w14:textOutline w14:w="1537" w14:cap="flat" w14:cmpd="sng">
            <w14:solidFill>
              <w14:srgbClr w14:val="000000"/>
            </w14:solidFill>
            <w14:prstDash w14:val="solid"/>
            <w14:miter w14:val="0"/>
          </w14:textOutline>
          <w14:textFill>
            <w14:solidFill>
              <w14:schemeClr w14:val="tx1"/>
            </w14:solidFill>
          </w14:textFill>
        </w:rPr>
        <w:t>评审标准</w:t>
      </w:r>
    </w:p>
    <w:tbl>
      <w:tblPr>
        <w:tblStyle w:val="30"/>
        <w:tblW w:w="9662" w:type="dxa"/>
        <w:tblInd w:w="-5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
        <w:gridCol w:w="765"/>
        <w:gridCol w:w="1414"/>
        <w:gridCol w:w="615"/>
        <w:gridCol w:w="6315"/>
      </w:tblGrid>
      <w:tr w14:paraId="5120B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53" w:type="dxa"/>
            <w:noWrap w:val="0"/>
            <w:vAlign w:val="top"/>
          </w:tcPr>
          <w:p w14:paraId="4807A134">
            <w:pPr>
              <w:keepNext w:val="0"/>
              <w:keepLines w:val="0"/>
              <w:pageBreakBefore w:val="0"/>
              <w:widowControl w:val="0"/>
              <w:kinsoku/>
              <w:wordWrap/>
              <w:overflowPunct w:val="0"/>
              <w:topLinePunct w:val="0"/>
              <w:autoSpaceDE w:val="0"/>
              <w:autoSpaceDN w:val="0"/>
              <w:bidi w:val="0"/>
              <w:spacing w:before="40" w:line="240" w:lineRule="auto"/>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3"/>
                <w:sz w:val="24"/>
                <w:szCs w:val="24"/>
                <w:highlight w:val="none"/>
                <w14:textFill>
                  <w14:solidFill>
                    <w14:schemeClr w14:val="tx1"/>
                  </w14:solidFill>
                </w14:textFill>
              </w:rPr>
              <w:t>序号</w:t>
            </w:r>
          </w:p>
        </w:tc>
        <w:tc>
          <w:tcPr>
            <w:tcW w:w="2179" w:type="dxa"/>
            <w:gridSpan w:val="2"/>
            <w:noWrap w:val="0"/>
            <w:vAlign w:val="center"/>
          </w:tcPr>
          <w:p w14:paraId="2EBCEB2E">
            <w:pPr>
              <w:keepNext w:val="0"/>
              <w:keepLines w:val="0"/>
              <w:pageBreakBefore w:val="0"/>
              <w:widowControl w:val="0"/>
              <w:kinsoku/>
              <w:wordWrap/>
              <w:overflowPunct w:val="0"/>
              <w:topLinePunct w:val="0"/>
              <w:autoSpaceDE w:val="0"/>
              <w:autoSpaceDN w:val="0"/>
              <w:bidi w:val="0"/>
              <w:spacing w:before="40" w:line="240" w:lineRule="auto"/>
              <w:ind w:left="268"/>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2"/>
                <w:sz w:val="24"/>
                <w:szCs w:val="24"/>
                <w:highlight w:val="none"/>
                <w14:textFill>
                  <w14:solidFill>
                    <w14:schemeClr w14:val="tx1"/>
                  </w14:solidFill>
                </w14:textFill>
              </w:rPr>
              <w:t>评分因素</w:t>
            </w:r>
          </w:p>
        </w:tc>
        <w:tc>
          <w:tcPr>
            <w:tcW w:w="615" w:type="dxa"/>
            <w:noWrap w:val="0"/>
            <w:vAlign w:val="center"/>
          </w:tcPr>
          <w:p w14:paraId="1E93C8B9">
            <w:pPr>
              <w:keepNext w:val="0"/>
              <w:keepLines w:val="0"/>
              <w:pageBreakBefore w:val="0"/>
              <w:widowControl w:val="0"/>
              <w:kinsoku/>
              <w:wordWrap/>
              <w:overflowPunct w:val="0"/>
              <w:topLinePunct w:val="0"/>
              <w:autoSpaceDE w:val="0"/>
              <w:autoSpaceDN w:val="0"/>
              <w:bidi w:val="0"/>
              <w:spacing w:before="40" w:line="24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4"/>
                <w:sz w:val="24"/>
                <w:szCs w:val="24"/>
                <w:highlight w:val="none"/>
                <w14:textFill>
                  <w14:solidFill>
                    <w14:schemeClr w14:val="tx1"/>
                  </w14:solidFill>
                </w14:textFill>
              </w:rPr>
              <w:t>分值</w:t>
            </w:r>
          </w:p>
        </w:tc>
        <w:tc>
          <w:tcPr>
            <w:tcW w:w="6315" w:type="dxa"/>
            <w:noWrap w:val="0"/>
            <w:vAlign w:val="top"/>
          </w:tcPr>
          <w:p w14:paraId="45C327F6">
            <w:pPr>
              <w:keepNext w:val="0"/>
              <w:keepLines w:val="0"/>
              <w:pageBreakBefore w:val="0"/>
              <w:widowControl w:val="0"/>
              <w:kinsoku/>
              <w:wordWrap/>
              <w:overflowPunct w:val="0"/>
              <w:topLinePunct w:val="0"/>
              <w:autoSpaceDE w:val="0"/>
              <w:autoSpaceDN w:val="0"/>
              <w:bidi w:val="0"/>
              <w:spacing w:before="40" w:line="24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pacing w:val="-2"/>
                <w:sz w:val="24"/>
                <w:szCs w:val="24"/>
                <w:highlight w:val="none"/>
                <w14:textFill>
                  <w14:solidFill>
                    <w14:schemeClr w14:val="tx1"/>
                  </w14:solidFill>
                </w14:textFill>
              </w:rPr>
              <w:t>评分标准</w:t>
            </w:r>
          </w:p>
        </w:tc>
      </w:tr>
      <w:tr w14:paraId="68B98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53" w:type="dxa"/>
            <w:noWrap w:val="0"/>
            <w:vAlign w:val="center"/>
          </w:tcPr>
          <w:p w14:paraId="38C46F4B">
            <w:pPr>
              <w:pStyle w:val="31"/>
              <w:keepNext w:val="0"/>
              <w:keepLines w:val="0"/>
              <w:pageBreakBefore w:val="0"/>
              <w:widowControl w:val="0"/>
              <w:kinsoku/>
              <w:wordWrap/>
              <w:overflowPunct w:val="0"/>
              <w:topLinePunct w:val="0"/>
              <w:autoSpaceDE w:val="0"/>
              <w:autoSpaceDN w:val="0"/>
              <w:bidi w:val="0"/>
              <w:spacing w:line="24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p w14:paraId="670B68CE">
            <w:pPr>
              <w:pStyle w:val="31"/>
              <w:keepNext w:val="0"/>
              <w:keepLines w:val="0"/>
              <w:pageBreakBefore w:val="0"/>
              <w:widowControl w:val="0"/>
              <w:kinsoku/>
              <w:wordWrap/>
              <w:overflowPunct w:val="0"/>
              <w:topLinePunct w:val="0"/>
              <w:autoSpaceDE w:val="0"/>
              <w:autoSpaceDN w:val="0"/>
              <w:bidi w:val="0"/>
              <w:spacing w:line="240" w:lineRule="auto"/>
              <w:ind w:firstLine="240" w:firstLineChars="100"/>
              <w:jc w:val="both"/>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p>
        </w:tc>
        <w:tc>
          <w:tcPr>
            <w:tcW w:w="2179" w:type="dxa"/>
            <w:gridSpan w:val="2"/>
            <w:noWrap w:val="0"/>
            <w:vAlign w:val="center"/>
          </w:tcPr>
          <w:p w14:paraId="113E7FC7">
            <w:pPr>
              <w:pStyle w:val="31"/>
              <w:keepNext w:val="0"/>
              <w:keepLines w:val="0"/>
              <w:pageBreakBefore w:val="0"/>
              <w:widowControl w:val="0"/>
              <w:kinsoku/>
              <w:wordWrap/>
              <w:overflowPunct w:val="0"/>
              <w:topLinePunct w:val="0"/>
              <w:autoSpaceDE w:val="0"/>
              <w:autoSpaceDN w:val="0"/>
              <w:bidi w:val="0"/>
              <w:spacing w:line="24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p w14:paraId="2B535D2C">
            <w:pPr>
              <w:keepNext w:val="0"/>
              <w:keepLines w:val="0"/>
              <w:pageBreakBefore w:val="0"/>
              <w:widowControl w:val="0"/>
              <w:kinsoku/>
              <w:wordWrap/>
              <w:overflowPunct w:val="0"/>
              <w:topLinePunct w:val="0"/>
              <w:autoSpaceDE w:val="0"/>
              <w:autoSpaceDN w:val="0"/>
              <w:bidi w:val="0"/>
              <w:spacing w:before="78" w:line="240" w:lineRule="auto"/>
              <w:jc w:val="center"/>
              <w:rPr>
                <w:rFonts w:hint="eastAsia" w:ascii="宋体" w:hAnsi="宋体" w:eastAsia="宋体" w:cs="宋体"/>
                <w:b w:val="0"/>
                <w:bCs w:val="0"/>
                <w:color w:val="000000" w:themeColor="text1"/>
                <w:spacing w:val="-3"/>
                <w:sz w:val="24"/>
                <w:szCs w:val="24"/>
                <w:highlight w:val="none"/>
                <w14:textFill>
                  <w14:solidFill>
                    <w14:schemeClr w14:val="tx1"/>
                  </w14:solidFill>
                </w14:textFill>
              </w:rPr>
            </w:pPr>
            <w:r>
              <w:rPr>
                <w:rFonts w:hint="eastAsia" w:ascii="宋体" w:hAnsi="宋体" w:eastAsia="宋体" w:cs="宋体"/>
                <w:b w:val="0"/>
                <w:bCs w:val="0"/>
                <w:color w:val="000000" w:themeColor="text1"/>
                <w:spacing w:val="-3"/>
                <w:sz w:val="24"/>
                <w:szCs w:val="24"/>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pacing w:val="-3"/>
                <w:sz w:val="24"/>
                <w:szCs w:val="24"/>
                <w:highlight w:val="none"/>
                <w14:textFill>
                  <w14:solidFill>
                    <w14:schemeClr w14:val="tx1"/>
                  </w14:solidFill>
                </w14:textFill>
              </w:rPr>
              <w:t>报价</w:t>
            </w:r>
          </w:p>
          <w:p w14:paraId="739A3BB4">
            <w:pPr>
              <w:keepNext w:val="0"/>
              <w:keepLines w:val="0"/>
              <w:pageBreakBefore w:val="0"/>
              <w:widowControl w:val="0"/>
              <w:kinsoku/>
              <w:wordWrap/>
              <w:overflowPunct w:val="0"/>
              <w:topLinePunct w:val="0"/>
              <w:autoSpaceDE w:val="0"/>
              <w:autoSpaceDN w:val="0"/>
              <w:bidi w:val="0"/>
              <w:spacing w:before="78" w:line="240" w:lineRule="auto"/>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pacing w:val="-3"/>
                <w:sz w:val="24"/>
                <w:szCs w:val="24"/>
                <w:highlight w:val="none"/>
                <w:lang w:eastAsia="zh-CN"/>
                <w14:textFill>
                  <w14:solidFill>
                    <w14:schemeClr w14:val="tx1"/>
                  </w14:solidFill>
                </w14:textFill>
              </w:rPr>
              <w:t>（满分</w:t>
            </w:r>
            <w:r>
              <w:rPr>
                <w:rFonts w:hint="eastAsia" w:ascii="宋体" w:hAnsi="宋体" w:eastAsia="宋体" w:cs="宋体"/>
                <w:b w:val="0"/>
                <w:bCs w:val="0"/>
                <w:color w:val="000000" w:themeColor="text1"/>
                <w:spacing w:val="-3"/>
                <w:sz w:val="24"/>
                <w:szCs w:val="24"/>
                <w:highlight w:val="none"/>
                <w:lang w:val="en-US" w:eastAsia="zh-CN"/>
                <w14:textFill>
                  <w14:solidFill>
                    <w14:schemeClr w14:val="tx1"/>
                  </w14:solidFill>
                </w14:textFill>
              </w:rPr>
              <w:t>15分</w:t>
            </w:r>
            <w:r>
              <w:rPr>
                <w:rFonts w:hint="eastAsia" w:ascii="宋体" w:hAnsi="宋体" w:eastAsia="宋体" w:cs="宋体"/>
                <w:b w:val="0"/>
                <w:bCs w:val="0"/>
                <w:color w:val="000000" w:themeColor="text1"/>
                <w:spacing w:val="-3"/>
                <w:sz w:val="24"/>
                <w:szCs w:val="24"/>
                <w:highlight w:val="none"/>
                <w:lang w:eastAsia="zh-CN"/>
                <w14:textFill>
                  <w14:solidFill>
                    <w14:schemeClr w14:val="tx1"/>
                  </w14:solidFill>
                </w14:textFill>
              </w:rPr>
              <w:t>）</w:t>
            </w:r>
          </w:p>
        </w:tc>
        <w:tc>
          <w:tcPr>
            <w:tcW w:w="615" w:type="dxa"/>
            <w:noWrap w:val="0"/>
            <w:vAlign w:val="center"/>
          </w:tcPr>
          <w:p w14:paraId="5819872D">
            <w:pPr>
              <w:pStyle w:val="31"/>
              <w:keepNext w:val="0"/>
              <w:keepLines w:val="0"/>
              <w:pageBreakBefore w:val="0"/>
              <w:widowControl w:val="0"/>
              <w:kinsoku/>
              <w:wordWrap/>
              <w:overflowPunct w:val="0"/>
              <w:topLinePunct w:val="0"/>
              <w:autoSpaceDE w:val="0"/>
              <w:autoSpaceDN w:val="0"/>
              <w:bidi w:val="0"/>
              <w:spacing w:line="24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snapToGrid w:val="0"/>
                <w:color w:val="000000" w:themeColor="text1"/>
                <w:spacing w:val="-3"/>
                <w:kern w:val="0"/>
                <w:sz w:val="24"/>
                <w:szCs w:val="24"/>
                <w:highlight w:val="none"/>
                <w:lang w:val="en-US" w:eastAsia="zh-CN" w:bidi="ar-SA"/>
                <w14:textFill>
                  <w14:solidFill>
                    <w14:schemeClr w14:val="tx1"/>
                  </w14:solidFill>
                </w14:textFill>
              </w:rPr>
              <w:t>15分</w:t>
            </w:r>
          </w:p>
        </w:tc>
        <w:tc>
          <w:tcPr>
            <w:tcW w:w="6315" w:type="dxa"/>
            <w:noWrap w:val="0"/>
            <w:vAlign w:val="top"/>
          </w:tcPr>
          <w:p w14:paraId="7804FC85">
            <w:pPr>
              <w:keepNext w:val="0"/>
              <w:keepLines w:val="0"/>
              <w:pageBreakBefore w:val="0"/>
              <w:widowControl w:val="0"/>
              <w:kinsoku/>
              <w:wordWrap/>
              <w:overflowPunct w:val="0"/>
              <w:topLinePunct w:val="0"/>
              <w:autoSpaceDE w:val="0"/>
              <w:autoSpaceDN w:val="0"/>
              <w:bidi w:val="0"/>
              <w:spacing w:line="430" w:lineRule="exact"/>
              <w:ind w:right="0" w:rightChars="0"/>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1、满足</w:t>
            </w:r>
            <w:r>
              <w:rPr>
                <w:rFonts w:hint="eastAsia" w:ascii="宋体" w:hAnsi="宋体" w:eastAsia="宋体" w:cs="宋体"/>
                <w:color w:val="000000" w:themeColor="text1"/>
                <w:sz w:val="24"/>
                <w:szCs w:val="24"/>
                <w:highlight w:val="none"/>
                <w:lang w:val="en-US" w:eastAsia="zh-CN"/>
                <w14:textFill>
                  <w14:solidFill>
                    <w14:schemeClr w14:val="tx1"/>
                  </w14:solidFill>
                </w14:textFill>
              </w:rPr>
              <w:t>竞争性磋商</w:t>
            </w:r>
            <w:r>
              <w:rPr>
                <w:rFonts w:hint="eastAsia" w:ascii="宋体" w:hAnsi="宋体" w:eastAsia="宋体" w:cs="宋体"/>
                <w:color w:val="000000" w:themeColor="text1"/>
                <w:sz w:val="24"/>
                <w:szCs w:val="24"/>
                <w:highlight w:val="none"/>
                <w:lang w:val="en-US" w:eastAsia="en-US"/>
                <w14:textFill>
                  <w14:solidFill>
                    <w14:schemeClr w14:val="tx1"/>
                  </w14:solidFill>
                </w14:textFill>
              </w:rPr>
              <w:t>文件要求且</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lang w:val="en-US" w:eastAsia="en-US"/>
                <w14:textFill>
                  <w14:solidFill>
                    <w14:schemeClr w14:val="tx1"/>
                  </w14:solidFill>
                </w14:textFill>
              </w:rPr>
              <w:t>价格最低的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lang w:val="en-US" w:eastAsia="en-US"/>
                <w14:textFill>
                  <w14:solidFill>
                    <w14:schemeClr w14:val="tx1"/>
                  </w14:solidFill>
                </w14:textFill>
              </w:rPr>
              <w:t>报价为评标基准价，其价格分为满分。其他供应商的价格分统一按照下列公式计算：</w:t>
            </w:r>
          </w:p>
          <w:p w14:paraId="65BFC017">
            <w:pPr>
              <w:keepNext w:val="0"/>
              <w:keepLines w:val="0"/>
              <w:pageBreakBefore w:val="0"/>
              <w:widowControl w:val="0"/>
              <w:kinsoku/>
              <w:wordWrap/>
              <w:overflowPunct w:val="0"/>
              <w:topLinePunct w:val="0"/>
              <w:autoSpaceDE w:val="0"/>
              <w:autoSpaceDN w:val="0"/>
              <w:bidi w:val="0"/>
              <w:spacing w:line="430" w:lineRule="exact"/>
              <w:ind w:right="0" w:rightChars="0"/>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投标报价得分=(评标基准价／投标报价)×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lang w:val="en-US" w:eastAsia="en-US"/>
                <w14:textFill>
                  <w14:solidFill>
                    <w14:schemeClr w14:val="tx1"/>
                  </w14:solidFill>
                </w14:textFill>
              </w:rPr>
              <w:t>×100%</w:t>
            </w:r>
          </w:p>
          <w:p w14:paraId="137AA899">
            <w:pPr>
              <w:keepNext w:val="0"/>
              <w:keepLines w:val="0"/>
              <w:pageBreakBefore w:val="0"/>
              <w:widowControl w:val="0"/>
              <w:kinsoku/>
              <w:wordWrap/>
              <w:overflowPunct w:val="0"/>
              <w:topLinePunct w:val="0"/>
              <w:autoSpaceDE w:val="0"/>
              <w:autoSpaceDN w:val="0"/>
              <w:bidi w:val="0"/>
              <w:spacing w:line="430" w:lineRule="exact"/>
              <w:ind w:right="0" w:rightChars="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响应文件中提交了《</w:t>
            </w:r>
            <w:r>
              <w:rPr>
                <w:rFonts w:hint="eastAsia" w:ascii="宋体" w:hAnsi="宋体" w:eastAsia="宋体" w:cs="宋体"/>
                <w:color w:val="000000" w:themeColor="text1"/>
                <w:sz w:val="24"/>
                <w:szCs w:val="24"/>
                <w:highlight w:val="none"/>
                <w:lang w:val="en-US" w:eastAsia="en-US"/>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企业类型声明函》或《残疾人福利性单位声明函》或省级以上监狱管理局、戒毒管理局（含新疆生产建设兵团）出具的属于监狱企业的证明文件的</w:t>
            </w:r>
            <w:r>
              <w:rPr>
                <w:rFonts w:hint="eastAsia" w:ascii="宋体" w:hAnsi="宋体" w:eastAsia="宋体" w:cs="宋体"/>
                <w:color w:val="000000" w:themeColor="text1"/>
                <w:sz w:val="24"/>
                <w:szCs w:val="24"/>
                <w:highlight w:val="none"/>
                <w:lang w:val="en-US" w:eastAsia="en-US"/>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，其磋商报价扣除</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20 </w:t>
            </w:r>
            <w:r>
              <w:rPr>
                <w:rFonts w:hint="eastAsia" w:ascii="宋体" w:hAnsi="宋体" w:eastAsia="宋体" w:cs="宋体"/>
                <w:color w:val="000000" w:themeColor="text1"/>
                <w:sz w:val="24"/>
                <w:szCs w:val="24"/>
                <w:highlight w:val="none"/>
                <w:lang w:val="en-US" w:eastAsia="zh-CN"/>
                <w14:textFill>
                  <w14:solidFill>
                    <w14:schemeClr w14:val="tx1"/>
                  </w14:solidFill>
                </w14:textFill>
              </w:rPr>
              <w:t>%后参与评审。对于同时属于小微企业、监狱企业或残疾人福利性单位的，不重复进行磋商报价扣除。（专门面向中小企业的项目除外）</w:t>
            </w:r>
          </w:p>
        </w:tc>
      </w:tr>
      <w:tr w14:paraId="5F1AB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3" w:type="dxa"/>
            <w:vMerge w:val="restart"/>
            <w:noWrap w:val="0"/>
            <w:vAlign w:val="center"/>
          </w:tcPr>
          <w:p w14:paraId="51C39B0E">
            <w:pPr>
              <w:pStyle w:val="31"/>
              <w:keepNext w:val="0"/>
              <w:keepLines w:val="0"/>
              <w:pageBreakBefore w:val="0"/>
              <w:widowControl w:val="0"/>
              <w:kinsoku/>
              <w:wordWrap/>
              <w:overflowPunct w:val="0"/>
              <w:topLinePunct w:val="0"/>
              <w:autoSpaceDE w:val="0"/>
              <w:autoSpaceDN w:val="0"/>
              <w:bidi w:val="0"/>
              <w:spacing w:line="240" w:lineRule="auto"/>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t>2</w:t>
            </w:r>
          </w:p>
        </w:tc>
        <w:tc>
          <w:tcPr>
            <w:tcW w:w="765" w:type="dxa"/>
            <w:vMerge w:val="restart"/>
            <w:noWrap w:val="0"/>
            <w:vAlign w:val="center"/>
          </w:tcPr>
          <w:p w14:paraId="3E28D625">
            <w:pPr>
              <w:keepNext w:val="0"/>
              <w:keepLines w:val="0"/>
              <w:pageBreakBefore w:val="0"/>
              <w:widowControl w:val="0"/>
              <w:kinsoku/>
              <w:wordWrap/>
              <w:overflowPunct w:val="0"/>
              <w:topLinePunct w:val="0"/>
              <w:autoSpaceDE w:val="0"/>
              <w:autoSpaceDN w:val="0"/>
              <w:bidi w:val="0"/>
              <w:spacing w:before="78" w:line="240" w:lineRule="auto"/>
              <w:ind w:left="0" w:leftChars="0" w:firstLine="0" w:firstLineChars="0"/>
              <w:jc w:val="center"/>
              <w:rPr>
                <w:rFonts w:hint="eastAsia" w:ascii="宋体" w:hAnsi="宋体" w:eastAsia="宋体" w:cs="宋体"/>
                <w:b w:val="0"/>
                <w:bCs w:val="0"/>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highlight w:val="none"/>
                <w:lang w:val="en-US" w:eastAsia="zh-CN"/>
                <w14:textFill>
                  <w14:solidFill>
                    <w14:schemeClr w14:val="tx1"/>
                  </w14:solidFill>
                </w14:textFill>
              </w:rPr>
              <w:t>综合</w:t>
            </w:r>
          </w:p>
          <w:p w14:paraId="6A43639E">
            <w:pPr>
              <w:keepNext w:val="0"/>
              <w:keepLines w:val="0"/>
              <w:pageBreakBefore w:val="0"/>
              <w:widowControl w:val="0"/>
              <w:kinsoku/>
              <w:wordWrap/>
              <w:overflowPunct w:val="0"/>
              <w:topLinePunct w:val="0"/>
              <w:autoSpaceDE w:val="0"/>
              <w:autoSpaceDN w:val="0"/>
              <w:bidi w:val="0"/>
              <w:spacing w:before="78" w:line="240" w:lineRule="auto"/>
              <w:ind w:left="0" w:leftChars="0" w:firstLine="0" w:firstLineChars="0"/>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2"/>
                <w:sz w:val="24"/>
                <w:szCs w:val="24"/>
                <w:highlight w:val="none"/>
                <w:lang w:val="en-US" w:eastAsia="zh-CN"/>
                <w14:textFill>
                  <w14:solidFill>
                    <w14:schemeClr w14:val="tx1"/>
                  </w14:solidFill>
                </w14:textFill>
              </w:rPr>
              <w:t>实力</w:t>
            </w:r>
            <w: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t>（满分15分）</w:t>
            </w:r>
          </w:p>
        </w:tc>
        <w:tc>
          <w:tcPr>
            <w:tcW w:w="1414" w:type="dxa"/>
            <w:noWrap w:val="0"/>
            <w:vAlign w:val="center"/>
          </w:tcPr>
          <w:p w14:paraId="57E30A4B">
            <w:pPr>
              <w:keepNext w:val="0"/>
              <w:keepLines w:val="0"/>
              <w:pageBreakBefore w:val="0"/>
              <w:widowControl w:val="0"/>
              <w:kinsoku/>
              <w:wordWrap/>
              <w:overflowPunct w:val="0"/>
              <w:topLinePunct w:val="0"/>
              <w:autoSpaceDE w:val="0"/>
              <w:autoSpaceDN w:val="0"/>
              <w:bidi w:val="0"/>
              <w:spacing w:line="430" w:lineRule="exact"/>
              <w:ind w:left="0" w:leftChars="0" w:right="0" w:rightChars="0" w:firstLine="0" w:firstLineChars="0"/>
              <w:jc w:val="center"/>
              <w:rPr>
                <w:rFonts w:hint="eastAsia" w:ascii="宋体" w:hAnsi="宋体" w:eastAsia="宋体" w:cs="宋体"/>
                <w:b w:val="0"/>
                <w:bCs w:val="0"/>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供应商业绩</w:t>
            </w:r>
          </w:p>
        </w:tc>
        <w:tc>
          <w:tcPr>
            <w:tcW w:w="615" w:type="dxa"/>
            <w:noWrap w:val="0"/>
            <w:vAlign w:val="center"/>
          </w:tcPr>
          <w:p w14:paraId="47D88DD7">
            <w:pPr>
              <w:pStyle w:val="31"/>
              <w:keepNext w:val="0"/>
              <w:keepLines w:val="0"/>
              <w:pageBreakBefore w:val="0"/>
              <w:widowControl w:val="0"/>
              <w:kinsoku/>
              <w:wordWrap/>
              <w:overflowPunct w:val="0"/>
              <w:topLinePunct w:val="0"/>
              <w:autoSpaceDE w:val="0"/>
              <w:autoSpaceDN w:val="0"/>
              <w:bidi w:val="0"/>
              <w:spacing w:line="240" w:lineRule="auto"/>
              <w:ind w:left="0" w:leftChars="0" w:right="0" w:rightChars="0" w:firstLine="0" w:firstLineChars="0"/>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t>6分</w:t>
            </w:r>
          </w:p>
        </w:tc>
        <w:tc>
          <w:tcPr>
            <w:tcW w:w="6315" w:type="dxa"/>
            <w:noWrap w:val="0"/>
            <w:vAlign w:val="top"/>
          </w:tcPr>
          <w:p w14:paraId="541D2499">
            <w:pPr>
              <w:keepNext w:val="0"/>
              <w:keepLines w:val="0"/>
              <w:pageBreakBefore w:val="0"/>
              <w:widowControl w:val="0"/>
              <w:kinsoku/>
              <w:wordWrap/>
              <w:overflowPunct w:val="0"/>
              <w:topLinePunct w:val="0"/>
              <w:autoSpaceDE w:val="0"/>
              <w:autoSpaceDN w:val="0"/>
              <w:bidi w:val="0"/>
              <w:spacing w:line="430" w:lineRule="exact"/>
              <w:ind w:right="0" w:rightChars="0"/>
              <w:rPr>
                <w:rFonts w:hint="eastAsia" w:ascii="宋体" w:hAnsi="宋体" w:eastAsia="宋体" w:cs="宋体"/>
                <w:b w:val="0"/>
                <w:bCs w:val="0"/>
                <w:snapToGrid w:val="0"/>
                <w:color w:val="000000" w:themeColor="text1"/>
                <w:spacing w:val="-13"/>
                <w:kern w:val="0"/>
                <w:sz w:val="24"/>
                <w:szCs w:val="24"/>
                <w:highlight w:val="none"/>
                <w:lang w:val="en-US" w:eastAsia="en-US" w:bidi="ar-SA"/>
                <w14:textFill>
                  <w14:solidFill>
                    <w14:schemeClr w14:val="tx1"/>
                  </w14:solidFill>
                </w14:textFill>
              </w:rPr>
            </w:pPr>
            <w:r>
              <w:rPr>
                <w:rFonts w:hint="eastAsia" w:ascii="宋体" w:hAnsi="宋体" w:eastAsia="宋体" w:cs="宋体"/>
                <w:color w:val="000000" w:themeColor="text1"/>
                <w:sz w:val="24"/>
                <w:szCs w:val="24"/>
                <w:highlight w:val="none"/>
                <w:lang w:val="en-US" w:eastAsia="en-US"/>
                <w14:textFill>
                  <w14:solidFill>
                    <w14:schemeClr w14:val="tx1"/>
                  </w14:solidFill>
                </w14:textFill>
              </w:rPr>
              <w:t>供应商提供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2022年1月1日以来承担过</w:t>
            </w:r>
            <w:r>
              <w:rPr>
                <w:rFonts w:hint="eastAsia" w:ascii="宋体" w:hAnsi="宋体" w:eastAsia="宋体" w:cs="宋体"/>
                <w:color w:val="000000" w:themeColor="text1"/>
                <w:sz w:val="24"/>
                <w:szCs w:val="24"/>
                <w:highlight w:val="none"/>
                <w:lang w:val="en-US" w:eastAsia="en-US"/>
                <w14:textFill>
                  <w14:solidFill>
                    <w14:schemeClr w14:val="tx1"/>
                  </w14:solidFill>
                </w14:textFill>
              </w:rPr>
              <w:t>类似项目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业绩</w:t>
            </w:r>
            <w:r>
              <w:rPr>
                <w:rFonts w:hint="eastAsia" w:ascii="宋体" w:hAnsi="宋体" w:eastAsia="宋体" w:cs="宋体"/>
                <w:color w:val="000000" w:themeColor="text1"/>
                <w:sz w:val="24"/>
                <w:szCs w:val="24"/>
                <w:highlight w:val="none"/>
                <w:lang w:val="en-US" w:eastAsia="en-US"/>
                <w14:textFill>
                  <w14:solidFill>
                    <w14:schemeClr w14:val="tx1"/>
                  </w14:solidFill>
                </w14:textFill>
              </w:rPr>
              <w:t>的，每一个完整的合同文件得2分，最多得6分。（响应文件中附加盖公章的合同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lang w:val="en-US" w:eastAsia="en-US"/>
                <w14:textFill>
                  <w14:solidFill>
                    <w14:schemeClr w14:val="tx1"/>
                  </w14:solidFill>
                </w14:textFill>
              </w:rPr>
              <w:t>中标通知书</w:t>
            </w:r>
            <w:r>
              <w:rPr>
                <w:rFonts w:hint="eastAsia" w:ascii="宋体" w:hAnsi="宋体" w:eastAsia="宋体" w:cs="宋体"/>
                <w:color w:val="000000" w:themeColor="text1"/>
                <w:sz w:val="24"/>
                <w:szCs w:val="24"/>
                <w:highlight w:val="none"/>
                <w:lang w:val="en-US" w:eastAsia="zh-CN"/>
                <w14:textFill>
                  <w14:solidFill>
                    <w14:schemeClr w14:val="tx1"/>
                  </w14:solidFill>
                </w14:textFill>
              </w:rPr>
              <w:t>扫描件</w:t>
            </w:r>
            <w:r>
              <w:rPr>
                <w:rFonts w:hint="eastAsia" w:ascii="宋体" w:hAnsi="宋体" w:eastAsia="宋体" w:cs="宋体"/>
                <w:color w:val="000000" w:themeColor="text1"/>
                <w:sz w:val="24"/>
                <w:szCs w:val="24"/>
                <w:highlight w:val="none"/>
                <w:lang w:val="en-US" w:eastAsia="en-US"/>
                <w14:textFill>
                  <w14:solidFill>
                    <w14:schemeClr w14:val="tx1"/>
                  </w14:solidFill>
                </w14:textFill>
              </w:rPr>
              <w:t>）</w:t>
            </w:r>
          </w:p>
        </w:tc>
      </w:tr>
      <w:tr w14:paraId="7EBAD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3" w:type="dxa"/>
            <w:vMerge w:val="continue"/>
            <w:noWrap w:val="0"/>
            <w:vAlign w:val="center"/>
          </w:tcPr>
          <w:p w14:paraId="108BB259">
            <w:pPr>
              <w:pStyle w:val="31"/>
              <w:keepNext w:val="0"/>
              <w:keepLines w:val="0"/>
              <w:pageBreakBefore w:val="0"/>
              <w:widowControl w:val="0"/>
              <w:kinsoku/>
              <w:wordWrap/>
              <w:overflowPunct w:val="0"/>
              <w:topLinePunct w:val="0"/>
              <w:autoSpaceDE w:val="0"/>
              <w:autoSpaceDN w:val="0"/>
              <w:bidi w:val="0"/>
              <w:spacing w:line="240" w:lineRule="auto"/>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p>
        </w:tc>
        <w:tc>
          <w:tcPr>
            <w:tcW w:w="765" w:type="dxa"/>
            <w:vMerge w:val="continue"/>
            <w:noWrap w:val="0"/>
            <w:vAlign w:val="center"/>
          </w:tcPr>
          <w:p w14:paraId="04B4C770">
            <w:pPr>
              <w:keepNext w:val="0"/>
              <w:keepLines w:val="0"/>
              <w:pageBreakBefore w:val="0"/>
              <w:widowControl w:val="0"/>
              <w:kinsoku/>
              <w:wordWrap/>
              <w:overflowPunct w:val="0"/>
              <w:topLinePunct w:val="0"/>
              <w:autoSpaceDE w:val="0"/>
              <w:autoSpaceDN w:val="0"/>
              <w:bidi w:val="0"/>
              <w:spacing w:before="78" w:line="240" w:lineRule="auto"/>
              <w:ind w:left="0" w:leftChars="0" w:firstLine="0" w:firstLineChars="0"/>
              <w:jc w:val="center"/>
              <w:rPr>
                <w:rFonts w:hint="eastAsia" w:ascii="宋体" w:hAnsi="宋体" w:eastAsia="宋体" w:cs="宋体"/>
                <w:b w:val="0"/>
                <w:bCs w:val="0"/>
                <w:color w:val="000000" w:themeColor="text1"/>
                <w:spacing w:val="-2"/>
                <w:sz w:val="24"/>
                <w:szCs w:val="24"/>
                <w:highlight w:val="none"/>
                <w:lang w:val="en-US" w:eastAsia="zh-CN"/>
                <w14:textFill>
                  <w14:solidFill>
                    <w14:schemeClr w14:val="tx1"/>
                  </w14:solidFill>
                </w14:textFill>
              </w:rPr>
            </w:pPr>
          </w:p>
        </w:tc>
        <w:tc>
          <w:tcPr>
            <w:tcW w:w="1414" w:type="dxa"/>
            <w:noWrap w:val="0"/>
            <w:vAlign w:val="center"/>
          </w:tcPr>
          <w:p w14:paraId="4CA73FFA">
            <w:pPr>
              <w:keepNext w:val="0"/>
              <w:keepLines w:val="0"/>
              <w:pageBreakBefore w:val="0"/>
              <w:widowControl w:val="0"/>
              <w:kinsoku/>
              <w:wordWrap/>
              <w:overflowPunct w:val="0"/>
              <w:topLinePunct w:val="0"/>
              <w:autoSpaceDE w:val="0"/>
              <w:autoSpaceDN w:val="0"/>
              <w:bidi w:val="0"/>
              <w:spacing w:line="43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项目组成人员</w:t>
            </w:r>
            <w:r>
              <w:rPr>
                <w:rFonts w:hint="eastAsia" w:ascii="宋体" w:hAnsi="宋体"/>
                <w:color w:val="000000" w:themeColor="text1"/>
                <w:sz w:val="24"/>
                <w:szCs w:val="24"/>
                <w:highlight w:val="none"/>
                <w:lang w:eastAsia="zh-CN"/>
                <w14:textFill>
                  <w14:solidFill>
                    <w14:schemeClr w14:val="tx1"/>
                  </w14:solidFill>
                </w14:textFill>
              </w:rPr>
              <w:t>职称</w:t>
            </w:r>
          </w:p>
        </w:tc>
        <w:tc>
          <w:tcPr>
            <w:tcW w:w="615" w:type="dxa"/>
            <w:noWrap w:val="0"/>
            <w:vAlign w:val="center"/>
          </w:tcPr>
          <w:p w14:paraId="1290ED37">
            <w:pPr>
              <w:pStyle w:val="31"/>
              <w:keepNext w:val="0"/>
              <w:keepLines w:val="0"/>
              <w:pageBreakBefore w:val="0"/>
              <w:widowControl w:val="0"/>
              <w:kinsoku/>
              <w:wordWrap/>
              <w:overflowPunct/>
              <w:topLinePunct w:val="0"/>
              <w:bidi w:val="0"/>
              <w:spacing w:line="240" w:lineRule="auto"/>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t>7分</w:t>
            </w:r>
          </w:p>
        </w:tc>
        <w:tc>
          <w:tcPr>
            <w:tcW w:w="6315" w:type="dxa"/>
            <w:noWrap w:val="0"/>
            <w:vAlign w:val="top"/>
          </w:tcPr>
          <w:p w14:paraId="1168381E">
            <w:pPr>
              <w:keepNext w:val="0"/>
              <w:keepLines w:val="0"/>
              <w:pageBreakBefore w:val="0"/>
              <w:widowControl w:val="0"/>
              <w:shd w:val="clear" w:color="auto" w:fill="auto"/>
              <w:kinsoku/>
              <w:wordWrap/>
              <w:overflowPunct/>
              <w:topLinePunct w:val="0"/>
              <w:bidi w:val="0"/>
              <w:spacing w:line="430" w:lineRule="exact"/>
              <w:ind w:right="0" w:rightChars="0"/>
              <w:rPr>
                <w:rFonts w:hint="eastAsia" w:ascii="宋体" w:hAnsi="宋体" w:eastAsia="宋体" w:cs="宋体"/>
                <w:color w:val="000000" w:themeColor="text1"/>
                <w:sz w:val="24"/>
                <w:szCs w:val="24"/>
                <w:highlight w:val="none"/>
                <w:lang w:val="en-US" w:eastAsia="en-US"/>
                <w14:textFill>
                  <w14:solidFill>
                    <w14:schemeClr w14:val="tx1"/>
                  </w14:solidFill>
                </w14:textFill>
              </w:rPr>
            </w:pPr>
            <w:r>
              <w:rPr>
                <w:rFonts w:hint="eastAsia" w:ascii="宋体" w:hAnsi="宋体" w:eastAsia="Times New Roman" w:cs="宋体"/>
                <w:bCs/>
                <w:color w:val="000000" w:themeColor="text1"/>
                <w:sz w:val="24"/>
                <w:highlight w:val="none"/>
                <w:lang w:val="en-US" w:eastAsia="zh-CN"/>
                <w14:textFill>
                  <w14:solidFill>
                    <w14:schemeClr w14:val="tx1"/>
                  </w14:solidFill>
                </w14:textFill>
              </w:rPr>
              <w:t>本项目拟派项目负责人具有高级职称的得2分；拟派技术负责人具备测绘相关专业中级及以上职称的得2分；项目组成人员（除项目负责人及技术负责人外）中每再有一名相关专业中级及以上职称的得1分，最多得3分；此项最多得7分。（响应文件中附职称证书、社保及劳动合同扫描件）</w:t>
            </w:r>
          </w:p>
        </w:tc>
      </w:tr>
      <w:tr w14:paraId="54989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3" w:type="dxa"/>
            <w:vMerge w:val="continue"/>
            <w:noWrap w:val="0"/>
            <w:vAlign w:val="center"/>
          </w:tcPr>
          <w:p w14:paraId="0729507A">
            <w:pPr>
              <w:pStyle w:val="31"/>
              <w:keepNext w:val="0"/>
              <w:keepLines w:val="0"/>
              <w:pageBreakBefore w:val="0"/>
              <w:widowControl w:val="0"/>
              <w:kinsoku/>
              <w:wordWrap/>
              <w:overflowPunct w:val="0"/>
              <w:topLinePunct w:val="0"/>
              <w:autoSpaceDE w:val="0"/>
              <w:autoSpaceDN w:val="0"/>
              <w:bidi w:val="0"/>
              <w:spacing w:line="240" w:lineRule="auto"/>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p>
        </w:tc>
        <w:tc>
          <w:tcPr>
            <w:tcW w:w="765" w:type="dxa"/>
            <w:vMerge w:val="continue"/>
            <w:noWrap w:val="0"/>
            <w:vAlign w:val="center"/>
          </w:tcPr>
          <w:p w14:paraId="23D781AA">
            <w:pPr>
              <w:keepNext w:val="0"/>
              <w:keepLines w:val="0"/>
              <w:pageBreakBefore w:val="0"/>
              <w:widowControl w:val="0"/>
              <w:kinsoku/>
              <w:wordWrap/>
              <w:overflowPunct w:val="0"/>
              <w:topLinePunct w:val="0"/>
              <w:autoSpaceDE w:val="0"/>
              <w:autoSpaceDN w:val="0"/>
              <w:bidi w:val="0"/>
              <w:spacing w:before="78" w:line="240" w:lineRule="auto"/>
              <w:ind w:left="0" w:leftChars="0" w:firstLine="0" w:firstLineChars="0"/>
              <w:jc w:val="center"/>
              <w:rPr>
                <w:rFonts w:hint="eastAsia" w:ascii="宋体" w:hAnsi="宋体" w:eastAsia="宋体" w:cs="宋体"/>
                <w:b w:val="0"/>
                <w:bCs w:val="0"/>
                <w:color w:val="000000" w:themeColor="text1"/>
                <w:spacing w:val="-2"/>
                <w:sz w:val="24"/>
                <w:szCs w:val="24"/>
                <w:highlight w:val="none"/>
                <w:lang w:val="en-US" w:eastAsia="zh-CN"/>
                <w14:textFill>
                  <w14:solidFill>
                    <w14:schemeClr w14:val="tx1"/>
                  </w14:solidFill>
                </w14:textFill>
              </w:rPr>
            </w:pPr>
          </w:p>
        </w:tc>
        <w:tc>
          <w:tcPr>
            <w:tcW w:w="1414" w:type="dxa"/>
            <w:noWrap w:val="0"/>
            <w:vAlign w:val="center"/>
          </w:tcPr>
          <w:p w14:paraId="63C00EB3">
            <w:pPr>
              <w:keepNext w:val="0"/>
              <w:keepLines w:val="0"/>
              <w:pageBreakBefore w:val="0"/>
              <w:widowControl w:val="0"/>
              <w:kinsoku/>
              <w:wordWrap/>
              <w:overflowPunct w:val="0"/>
              <w:topLinePunct w:val="0"/>
              <w:autoSpaceDE w:val="0"/>
              <w:autoSpaceDN w:val="0"/>
              <w:bidi w:val="0"/>
              <w:spacing w:line="430" w:lineRule="exact"/>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信用评价</w:t>
            </w:r>
          </w:p>
        </w:tc>
        <w:tc>
          <w:tcPr>
            <w:tcW w:w="615" w:type="dxa"/>
            <w:noWrap w:val="0"/>
            <w:vAlign w:val="center"/>
          </w:tcPr>
          <w:p w14:paraId="0C313AA7">
            <w:pPr>
              <w:pStyle w:val="31"/>
              <w:keepNext w:val="0"/>
              <w:keepLines w:val="0"/>
              <w:pageBreakBefore w:val="0"/>
              <w:widowControl w:val="0"/>
              <w:kinsoku/>
              <w:wordWrap/>
              <w:overflowPunct w:val="0"/>
              <w:topLinePunct w:val="0"/>
              <w:autoSpaceDE w:val="0"/>
              <w:autoSpaceDN w:val="0"/>
              <w:bidi w:val="0"/>
              <w:spacing w:line="240" w:lineRule="auto"/>
              <w:ind w:left="0" w:leftChars="0" w:right="0" w:rightChars="0" w:firstLine="0" w:firstLineChars="0"/>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t>2分</w:t>
            </w:r>
          </w:p>
        </w:tc>
        <w:tc>
          <w:tcPr>
            <w:tcW w:w="6315" w:type="dxa"/>
            <w:noWrap w:val="0"/>
            <w:vAlign w:val="top"/>
          </w:tcPr>
          <w:p w14:paraId="3070BF9A">
            <w:pPr>
              <w:keepNext w:val="0"/>
              <w:keepLines w:val="0"/>
              <w:pageBreakBefore w:val="0"/>
              <w:widowControl w:val="0"/>
              <w:kinsoku/>
              <w:wordWrap/>
              <w:overflowPunct w:val="0"/>
              <w:topLinePunct w:val="0"/>
              <w:autoSpaceDE w:val="0"/>
              <w:autoSpaceDN w:val="0"/>
              <w:bidi w:val="0"/>
              <w:spacing w:line="430" w:lineRule="exact"/>
              <w:ind w:right="0" w:rightChars="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根据南阳市政府采购信用评价实施办法，诚信指数高的投标人(供应商)，在参加南阳市本级的政府采购活动时，享受政策支持，在采用综合评分法的项目中，诚信评价为满分的得2分，90-99分(不含90分)之间得1分，90分以下的不得分。供应商可在公告发布之日到投标截止期间，登录“南阳市政府采购信用管理系统”在线打印《南阳市政府采购供应商信用记录表》，作为投标(响应)文件的组成部分提交，评审时作为享受政策支持的依据。</w:t>
            </w:r>
          </w:p>
        </w:tc>
      </w:tr>
      <w:tr w14:paraId="314E5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3" w:type="dxa"/>
            <w:vMerge w:val="restart"/>
            <w:noWrap w:val="0"/>
            <w:vAlign w:val="center"/>
          </w:tcPr>
          <w:p w14:paraId="78BC131B">
            <w:pPr>
              <w:pStyle w:val="31"/>
              <w:keepNext w:val="0"/>
              <w:keepLines w:val="0"/>
              <w:pageBreakBefore w:val="0"/>
              <w:widowControl w:val="0"/>
              <w:kinsoku/>
              <w:wordWrap/>
              <w:overflowPunct w:val="0"/>
              <w:topLinePunct w:val="0"/>
              <w:autoSpaceDE w:val="0"/>
              <w:autoSpaceDN w:val="0"/>
              <w:bidi w:val="0"/>
              <w:spacing w:line="240" w:lineRule="auto"/>
              <w:jc w:val="cente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765" w:type="dxa"/>
            <w:vMerge w:val="restart"/>
            <w:noWrap w:val="0"/>
            <w:vAlign w:val="center"/>
          </w:tcPr>
          <w:p w14:paraId="6743796A">
            <w:pPr>
              <w:keepNext w:val="0"/>
              <w:keepLines w:val="0"/>
              <w:pageBreakBefore w:val="0"/>
              <w:widowControl w:val="0"/>
              <w:kinsoku/>
              <w:wordWrap/>
              <w:overflowPunct w:val="0"/>
              <w:topLinePunct w:val="0"/>
              <w:autoSpaceDE w:val="0"/>
              <w:autoSpaceDN w:val="0"/>
              <w:bidi w:val="0"/>
              <w:spacing w:before="157" w:line="240" w:lineRule="auto"/>
              <w:ind w:left="148" w:leftChars="0"/>
              <w:jc w:val="cente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项目实施方案（满分55分）</w:t>
            </w:r>
          </w:p>
        </w:tc>
        <w:tc>
          <w:tcPr>
            <w:tcW w:w="1414" w:type="dxa"/>
            <w:noWrap w:val="0"/>
            <w:vAlign w:val="center"/>
          </w:tcPr>
          <w:p w14:paraId="721E91CA">
            <w:pPr>
              <w:keepNext w:val="0"/>
              <w:keepLines w:val="0"/>
              <w:pageBreakBefore w:val="0"/>
              <w:widowControl w:val="0"/>
              <w:kinsoku/>
              <w:wordWrap/>
              <w:overflowPunct/>
              <w:topLinePunct w:val="0"/>
              <w:bidi w:val="0"/>
              <w:spacing w:line="430" w:lineRule="exact"/>
              <w:jc w:val="cente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1、对</w:t>
            </w:r>
            <w:r>
              <w:rPr>
                <w:rFonts w:hint="eastAsia" w:ascii="宋体" w:hAnsi="宋体" w:eastAsia="宋体" w:cs="宋体"/>
                <w:color w:val="000000" w:themeColor="text1"/>
                <w:sz w:val="24"/>
                <w:szCs w:val="24"/>
                <w:highlight w:val="none"/>
                <w:lang w:val="en-US" w:eastAsia="zh-CN"/>
                <w14:textFill>
                  <w14:solidFill>
                    <w14:schemeClr w14:val="tx1"/>
                  </w14:solidFill>
                </w14:textFill>
              </w:rPr>
              <w:t>本</w:t>
            </w:r>
            <w:r>
              <w:rPr>
                <w:rFonts w:hint="eastAsia" w:ascii="宋体" w:hAnsi="宋体" w:eastAsia="宋体" w:cs="宋体"/>
                <w:color w:val="000000" w:themeColor="text1"/>
                <w:sz w:val="24"/>
                <w:szCs w:val="24"/>
                <w:highlight w:val="none"/>
                <w:lang w:eastAsia="zh-CN"/>
                <w14:textFill>
                  <w14:solidFill>
                    <w14:schemeClr w14:val="tx1"/>
                  </w14:solidFill>
                </w14:textFill>
              </w:rPr>
              <w:t>项目的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认识</w:t>
            </w:r>
          </w:p>
        </w:tc>
        <w:tc>
          <w:tcPr>
            <w:tcW w:w="615" w:type="dxa"/>
            <w:noWrap w:val="0"/>
            <w:vAlign w:val="center"/>
          </w:tcPr>
          <w:p w14:paraId="1DB9A762">
            <w:pPr>
              <w:pStyle w:val="31"/>
              <w:keepNext w:val="0"/>
              <w:keepLines w:val="0"/>
              <w:pageBreakBefore w:val="0"/>
              <w:widowControl w:val="0"/>
              <w:kinsoku/>
              <w:wordWrap/>
              <w:overflowPunct/>
              <w:topLinePunct w:val="0"/>
              <w:bidi w:val="0"/>
              <w:spacing w:line="240" w:lineRule="auto"/>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tc>
        <w:tc>
          <w:tcPr>
            <w:tcW w:w="6315" w:type="dxa"/>
            <w:noWrap w:val="0"/>
            <w:vAlign w:val="top"/>
          </w:tcPr>
          <w:p w14:paraId="658DC5D3">
            <w:pPr>
              <w:keepNext w:val="0"/>
              <w:keepLines w:val="0"/>
              <w:pageBreakBefore w:val="0"/>
              <w:widowControl w:val="0"/>
              <w:kinsoku/>
              <w:wordWrap/>
              <w:overflowPunct/>
              <w:topLinePunct w:val="0"/>
              <w:bidi w:val="0"/>
              <w:spacing w:line="430" w:lineRule="exact"/>
              <w:rPr>
                <w:rFonts w:hint="eastAsia" w:ascii="宋体" w:hAnsi="宋体" w:eastAsia="宋体" w:cs="宋体"/>
                <w:b w:val="0"/>
                <w:bCs w:val="0"/>
                <w:snapToGrid w:val="0"/>
                <w:color w:val="000000" w:themeColor="text1"/>
                <w:spacing w:val="-13"/>
                <w:kern w:val="0"/>
                <w:sz w:val="24"/>
                <w:szCs w:val="24"/>
                <w:highlight w:val="none"/>
                <w:lang w:val="en-US" w:eastAsia="en-US"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对</w:t>
            </w:r>
            <w:r>
              <w:rPr>
                <w:rFonts w:hint="eastAsia" w:ascii="宋体" w:hAnsi="宋体" w:eastAsia="宋体" w:cs="宋体"/>
                <w:color w:val="000000" w:themeColor="text1"/>
                <w:sz w:val="24"/>
                <w:szCs w:val="24"/>
                <w:highlight w:val="none"/>
                <w:lang w:val="en-US" w:eastAsia="zh-CN"/>
                <w14:textFill>
                  <w14:solidFill>
                    <w14:schemeClr w14:val="tx1"/>
                  </w14:solidFill>
                </w14:textFill>
              </w:rPr>
              <w:t>本</w:t>
            </w:r>
            <w:r>
              <w:rPr>
                <w:rFonts w:hint="eastAsia" w:ascii="宋体" w:hAnsi="宋体" w:eastAsia="宋体" w:cs="宋体"/>
                <w:color w:val="000000" w:themeColor="text1"/>
                <w:sz w:val="24"/>
                <w:szCs w:val="24"/>
                <w:highlight w:val="none"/>
                <w:lang w:eastAsia="zh-CN"/>
                <w14:textFill>
                  <w14:solidFill>
                    <w14:schemeClr w14:val="tx1"/>
                  </w14:solidFill>
                </w14:textFill>
              </w:rPr>
              <w:t>项目的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认识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能</w:t>
            </w:r>
            <w:r>
              <w:rPr>
                <w:rFonts w:hint="eastAsia" w:ascii="宋体" w:hAnsi="宋体" w:eastAsia="宋体" w:cs="宋体"/>
                <w:color w:val="000000" w:themeColor="text1"/>
                <w:sz w:val="24"/>
                <w:szCs w:val="24"/>
                <w:highlight w:val="none"/>
                <w:lang w:eastAsia="zh-CN"/>
                <w14:textFill>
                  <w14:solidFill>
                    <w14:schemeClr w14:val="tx1"/>
                  </w14:solidFill>
                </w14:textFill>
              </w:rPr>
              <w:t>明确</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本项目的工作背景、</w:t>
            </w:r>
            <w:r>
              <w:rPr>
                <w:rFonts w:hint="eastAsia" w:ascii="宋体" w:hAnsi="宋体" w:eastAsia="宋体" w:cs="宋体"/>
                <w:color w:val="000000" w:themeColor="text1"/>
                <w:sz w:val="24"/>
                <w:szCs w:val="24"/>
                <w:highlight w:val="none"/>
                <w:lang w:eastAsia="zh-CN"/>
                <w14:textFill>
                  <w14:solidFill>
                    <w14:schemeClr w14:val="tx1"/>
                  </w14:solidFill>
                </w14:textFill>
              </w:rPr>
              <w:t>目的和指导思想，掌握及了解</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lang w:eastAsia="zh-CN"/>
                <w14:textFill>
                  <w14:solidFill>
                    <w14:schemeClr w14:val="tx1"/>
                  </w14:solidFill>
                </w14:textFill>
              </w:rPr>
              <w:t>基本情况，内容详细全面，科学合理，得</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分；对项目有大概的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认识</w:t>
            </w:r>
            <w:r>
              <w:rPr>
                <w:rFonts w:hint="eastAsia" w:ascii="宋体" w:hAnsi="宋体" w:eastAsia="宋体" w:cs="宋体"/>
                <w:color w:val="000000" w:themeColor="text1"/>
                <w:sz w:val="24"/>
                <w:szCs w:val="24"/>
                <w:highlight w:val="none"/>
                <w:lang w:eastAsia="zh-CN"/>
                <w14:textFill>
                  <w14:solidFill>
                    <w14:schemeClr w14:val="tx1"/>
                  </w14:solidFill>
                </w14:textFill>
              </w:rPr>
              <w:t>了解，内容全面、完整，得4分；对项目有简单的认知但不够全面，得1分；缺项得0分。</w:t>
            </w:r>
          </w:p>
        </w:tc>
      </w:tr>
      <w:tr w14:paraId="43034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553" w:type="dxa"/>
            <w:vMerge w:val="continue"/>
            <w:noWrap w:val="0"/>
            <w:vAlign w:val="center"/>
          </w:tcPr>
          <w:p w14:paraId="1E52E22E">
            <w:pPr>
              <w:pStyle w:val="31"/>
              <w:keepNext w:val="0"/>
              <w:keepLines w:val="0"/>
              <w:pageBreakBefore w:val="0"/>
              <w:widowControl w:val="0"/>
              <w:kinsoku/>
              <w:wordWrap/>
              <w:overflowPunct w:val="0"/>
              <w:topLinePunct w:val="0"/>
              <w:autoSpaceDE w:val="0"/>
              <w:autoSpaceDN w:val="0"/>
              <w:bidi w:val="0"/>
              <w:spacing w:line="24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765" w:type="dxa"/>
            <w:vMerge w:val="continue"/>
            <w:noWrap w:val="0"/>
            <w:vAlign w:val="center"/>
          </w:tcPr>
          <w:p w14:paraId="3441F938">
            <w:pPr>
              <w:keepNext w:val="0"/>
              <w:keepLines w:val="0"/>
              <w:pageBreakBefore w:val="0"/>
              <w:widowControl w:val="0"/>
              <w:kinsoku/>
              <w:wordWrap/>
              <w:overflowPunct w:val="0"/>
              <w:topLinePunct w:val="0"/>
              <w:autoSpaceDE w:val="0"/>
              <w:autoSpaceDN w:val="0"/>
              <w:bidi w:val="0"/>
              <w:spacing w:before="157" w:line="240" w:lineRule="auto"/>
              <w:ind w:left="148" w:leftChars="0"/>
              <w:jc w:val="cente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p>
        </w:tc>
        <w:tc>
          <w:tcPr>
            <w:tcW w:w="1414" w:type="dxa"/>
            <w:noWrap w:val="0"/>
            <w:vAlign w:val="center"/>
          </w:tcPr>
          <w:p w14:paraId="580BDFF3">
            <w:pPr>
              <w:keepNext w:val="0"/>
              <w:keepLines w:val="0"/>
              <w:pageBreakBefore w:val="0"/>
              <w:widowControl w:val="0"/>
              <w:kinsoku/>
              <w:wordWrap/>
              <w:overflowPunct/>
              <w:topLinePunct w:val="0"/>
              <w:bidi w:val="0"/>
              <w:spacing w:line="430" w:lineRule="exact"/>
              <w:jc w:val="cente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2、整体服务</w:t>
            </w:r>
            <w:r>
              <w:rPr>
                <w:rFonts w:hint="eastAsia" w:ascii="宋体" w:hAnsi="宋体" w:eastAsia="宋体" w:cs="宋体"/>
                <w:color w:val="000000" w:themeColor="text1"/>
                <w:sz w:val="24"/>
                <w:szCs w:val="24"/>
                <w:highlight w:val="none"/>
                <w:lang w:eastAsia="zh-CN"/>
                <w14:textFill>
                  <w14:solidFill>
                    <w14:schemeClr w14:val="tx1"/>
                  </w14:solidFill>
                </w14:textFill>
              </w:rPr>
              <w:t>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及目标任务</w:t>
            </w:r>
          </w:p>
        </w:tc>
        <w:tc>
          <w:tcPr>
            <w:tcW w:w="615" w:type="dxa"/>
            <w:noWrap w:val="0"/>
            <w:vAlign w:val="center"/>
          </w:tcPr>
          <w:p w14:paraId="2FF88A52">
            <w:pPr>
              <w:pStyle w:val="31"/>
              <w:keepNext w:val="0"/>
              <w:keepLines w:val="0"/>
              <w:pageBreakBefore w:val="0"/>
              <w:widowControl w:val="0"/>
              <w:kinsoku/>
              <w:wordWrap/>
              <w:overflowPunct/>
              <w:topLinePunct w:val="0"/>
              <w:bidi w:val="0"/>
              <w:spacing w:line="240" w:lineRule="auto"/>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tc>
        <w:tc>
          <w:tcPr>
            <w:tcW w:w="6315" w:type="dxa"/>
            <w:noWrap w:val="0"/>
            <w:vAlign w:val="top"/>
          </w:tcPr>
          <w:p w14:paraId="7EC2AC11">
            <w:pPr>
              <w:keepNext w:val="0"/>
              <w:keepLines w:val="0"/>
              <w:pageBreakBefore w:val="0"/>
              <w:widowControl w:val="0"/>
              <w:shd w:val="clear" w:color="auto" w:fill="auto"/>
              <w:kinsoku/>
              <w:wordWrap/>
              <w:overflowPunct/>
              <w:topLinePunct w:val="0"/>
              <w:bidi w:val="0"/>
              <w:spacing w:line="430" w:lineRule="exact"/>
              <w:rPr>
                <w:rFonts w:hint="eastAsia" w:ascii="宋体" w:hAnsi="宋体" w:eastAsia="宋体" w:cs="宋体"/>
                <w:b w:val="0"/>
                <w:bCs w:val="0"/>
                <w:snapToGrid w:val="0"/>
                <w:color w:val="000000" w:themeColor="text1"/>
                <w:spacing w:val="-13"/>
                <w:kern w:val="0"/>
                <w:sz w:val="24"/>
                <w:szCs w:val="24"/>
                <w:highlight w:val="none"/>
                <w:lang w:val="en-US" w:eastAsia="en-US"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针对本项目制定整体服务方案：整体方案完整、具体、全面且</w:t>
            </w:r>
            <w:r>
              <w:rPr>
                <w:rFonts w:hint="eastAsia" w:ascii="宋体" w:hAnsi="宋体" w:eastAsia="宋体" w:cs="宋体"/>
                <w:color w:val="000000" w:themeColor="text1"/>
                <w:sz w:val="24"/>
                <w:szCs w:val="24"/>
                <w:highlight w:val="none"/>
                <w:lang w:eastAsia="zh-CN"/>
                <w14:textFill>
                  <w14:solidFill>
                    <w14:schemeClr w14:val="tx1"/>
                  </w14:solidFill>
                </w14:textFill>
              </w:rPr>
              <w:t>思路明确、清晰合理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的得8分；整体方案基本完整、具体、全面，思路较清晰得4分；整体方案较差的，</w:t>
            </w:r>
            <w:r>
              <w:rPr>
                <w:rFonts w:hint="eastAsia" w:ascii="宋体" w:hAnsi="宋体" w:eastAsia="宋体" w:cs="宋体"/>
                <w:color w:val="000000" w:themeColor="text1"/>
                <w:sz w:val="24"/>
                <w:szCs w:val="24"/>
                <w:highlight w:val="none"/>
                <w:lang w:eastAsia="zh-CN"/>
                <w14:textFill>
                  <w14:solidFill>
                    <w14:schemeClr w14:val="tx1"/>
                  </w14:solidFill>
                </w14:textFill>
              </w:rPr>
              <w:t>思路简单不够清晰</w:t>
            </w:r>
            <w:r>
              <w:rPr>
                <w:rFonts w:hint="eastAsia" w:ascii="宋体" w:hAnsi="宋体" w:eastAsia="宋体" w:cs="宋体"/>
                <w:color w:val="000000" w:themeColor="text1"/>
                <w:sz w:val="24"/>
                <w:szCs w:val="24"/>
                <w:highlight w:val="none"/>
                <w:lang w:val="en-US" w:eastAsia="zh-CN"/>
                <w14:textFill>
                  <w14:solidFill>
                    <w14:schemeClr w14:val="tx1"/>
                  </w14:solidFill>
                </w14:textFill>
              </w:rPr>
              <w:t>得1分；</w:t>
            </w:r>
            <w:r>
              <w:rPr>
                <w:rFonts w:hint="eastAsia" w:ascii="宋体" w:hAnsi="宋体" w:eastAsia="宋体" w:cs="宋体"/>
                <w:color w:val="000000" w:themeColor="text1"/>
                <w:sz w:val="24"/>
                <w:szCs w:val="24"/>
                <w:highlight w:val="none"/>
                <w:lang w:eastAsia="zh-CN"/>
                <w14:textFill>
                  <w14:solidFill>
                    <w14:schemeClr w14:val="tx1"/>
                  </w14:solidFill>
                </w14:textFill>
              </w:rPr>
              <w:t>缺项得0分。</w:t>
            </w:r>
          </w:p>
        </w:tc>
      </w:tr>
      <w:tr w14:paraId="08E73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3" w:type="dxa"/>
            <w:vMerge w:val="continue"/>
            <w:noWrap w:val="0"/>
            <w:vAlign w:val="center"/>
          </w:tcPr>
          <w:p w14:paraId="56FB6D0C">
            <w:pPr>
              <w:pStyle w:val="31"/>
              <w:keepNext w:val="0"/>
              <w:keepLines w:val="0"/>
              <w:pageBreakBefore w:val="0"/>
              <w:widowControl w:val="0"/>
              <w:kinsoku/>
              <w:wordWrap/>
              <w:overflowPunct w:val="0"/>
              <w:topLinePunct w:val="0"/>
              <w:autoSpaceDE w:val="0"/>
              <w:autoSpaceDN w:val="0"/>
              <w:bidi w:val="0"/>
              <w:spacing w:line="24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765" w:type="dxa"/>
            <w:vMerge w:val="continue"/>
            <w:noWrap w:val="0"/>
            <w:vAlign w:val="center"/>
          </w:tcPr>
          <w:p w14:paraId="3D15D050">
            <w:pPr>
              <w:keepNext w:val="0"/>
              <w:keepLines w:val="0"/>
              <w:pageBreakBefore w:val="0"/>
              <w:widowControl w:val="0"/>
              <w:kinsoku/>
              <w:wordWrap/>
              <w:overflowPunct w:val="0"/>
              <w:topLinePunct w:val="0"/>
              <w:autoSpaceDE w:val="0"/>
              <w:autoSpaceDN w:val="0"/>
              <w:bidi w:val="0"/>
              <w:spacing w:before="157" w:line="240" w:lineRule="auto"/>
              <w:ind w:left="148" w:leftChars="0"/>
              <w:jc w:val="cente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p>
        </w:tc>
        <w:tc>
          <w:tcPr>
            <w:tcW w:w="1414" w:type="dxa"/>
            <w:noWrap w:val="0"/>
            <w:vAlign w:val="center"/>
          </w:tcPr>
          <w:p w14:paraId="2FB81908">
            <w:pPr>
              <w:keepNext w:val="0"/>
              <w:keepLines w:val="0"/>
              <w:pageBreakBefore w:val="0"/>
              <w:widowControl w:val="0"/>
              <w:shd w:val="clear" w:color="auto" w:fill="auto"/>
              <w:kinsoku/>
              <w:wordWrap/>
              <w:overflowPunct/>
              <w:topLinePunct w:val="0"/>
              <w:bidi w:val="0"/>
              <w:spacing w:line="43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3、人员安排计划 </w:t>
            </w:r>
          </w:p>
          <w:p w14:paraId="639B6856">
            <w:pPr>
              <w:keepNext w:val="0"/>
              <w:keepLines w:val="0"/>
              <w:pageBreakBefore w:val="0"/>
              <w:widowControl w:val="0"/>
              <w:shd w:val="clear" w:color="auto" w:fill="auto"/>
              <w:kinsoku/>
              <w:wordWrap/>
              <w:overflowPunct/>
              <w:topLinePunct w:val="0"/>
              <w:bidi w:val="0"/>
              <w:spacing w:line="430" w:lineRule="exact"/>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p>
        </w:tc>
        <w:tc>
          <w:tcPr>
            <w:tcW w:w="615" w:type="dxa"/>
            <w:noWrap w:val="0"/>
            <w:vAlign w:val="center"/>
          </w:tcPr>
          <w:p w14:paraId="78A47171">
            <w:pPr>
              <w:keepNext w:val="0"/>
              <w:keepLines w:val="0"/>
              <w:pageBreakBefore w:val="0"/>
              <w:widowControl w:val="0"/>
              <w:shd w:val="clear" w:color="auto" w:fill="auto"/>
              <w:kinsoku/>
              <w:wordWrap/>
              <w:overflowPunct/>
              <w:topLinePunct w:val="0"/>
              <w:bidi w:val="0"/>
              <w:spacing w:line="430" w:lineRule="exact"/>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8分</w:t>
            </w:r>
          </w:p>
        </w:tc>
        <w:tc>
          <w:tcPr>
            <w:tcW w:w="6315" w:type="dxa"/>
            <w:noWrap w:val="0"/>
            <w:vAlign w:val="top"/>
          </w:tcPr>
          <w:p w14:paraId="23FEA51E">
            <w:pPr>
              <w:keepNext w:val="0"/>
              <w:keepLines w:val="0"/>
              <w:pageBreakBefore w:val="0"/>
              <w:widowControl w:val="0"/>
              <w:shd w:val="clear" w:color="auto" w:fill="auto"/>
              <w:kinsoku/>
              <w:wordWrap/>
              <w:overflowPunct/>
              <w:topLinePunct w:val="0"/>
              <w:bidi w:val="0"/>
              <w:spacing w:line="430" w:lineRule="exact"/>
              <w:rPr>
                <w:rFonts w:hint="eastAsia" w:ascii="宋体" w:hAnsi="宋体" w:eastAsia="宋体" w:cs="宋体"/>
                <w:b w:val="0"/>
                <w:bCs w:val="0"/>
                <w:snapToGrid w:val="0"/>
                <w:color w:val="000000" w:themeColor="text1"/>
                <w:spacing w:val="-13"/>
                <w:kern w:val="0"/>
                <w:sz w:val="24"/>
                <w:szCs w:val="24"/>
                <w:highlight w:val="none"/>
                <w:lang w:val="en-US" w:eastAsia="en-US"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人员安排计划：人员</w:t>
            </w:r>
            <w:r>
              <w:rPr>
                <w:rFonts w:hint="eastAsia" w:ascii="宋体" w:hAnsi="宋体" w:eastAsia="宋体" w:cs="宋体"/>
                <w:color w:val="000000" w:themeColor="text1"/>
                <w:sz w:val="24"/>
                <w:szCs w:val="24"/>
                <w:highlight w:val="none"/>
                <w:lang w:eastAsia="zh-CN"/>
                <w14:textFill>
                  <w14:solidFill>
                    <w14:schemeClr w14:val="tx1"/>
                  </w14:solidFill>
                </w14:textFill>
              </w:rPr>
              <w:t>专业</w:t>
            </w:r>
            <w:r>
              <w:rPr>
                <w:rFonts w:hint="eastAsia" w:ascii="宋体" w:hAnsi="宋体" w:eastAsia="宋体" w:cs="宋体"/>
                <w:color w:val="000000" w:themeColor="text1"/>
                <w:sz w:val="24"/>
                <w:szCs w:val="24"/>
                <w:highlight w:val="none"/>
                <w:lang w:val="en-US" w:eastAsia="zh-CN"/>
                <w14:textFill>
                  <w14:solidFill>
                    <w14:schemeClr w14:val="tx1"/>
                  </w14:solidFill>
                </w14:textFill>
              </w:rPr>
              <w:t>配备</w:t>
            </w:r>
            <w:r>
              <w:rPr>
                <w:rFonts w:hint="eastAsia" w:ascii="宋体" w:hAnsi="宋体" w:eastAsia="宋体" w:cs="宋体"/>
                <w:color w:val="000000" w:themeColor="text1"/>
                <w:sz w:val="24"/>
                <w:szCs w:val="24"/>
                <w:highlight w:val="none"/>
                <w:lang w:eastAsia="zh-CN"/>
                <w14:textFill>
                  <w14:solidFill>
                    <w14:schemeClr w14:val="tx1"/>
                  </w14:solidFill>
                </w14:textFill>
              </w:rPr>
              <w:t>齐全、</w:t>
            </w:r>
            <w:r>
              <w:rPr>
                <w:rFonts w:hint="eastAsia" w:ascii="宋体" w:hAnsi="宋体" w:eastAsia="宋体" w:cs="宋体"/>
                <w:color w:val="000000" w:themeColor="text1"/>
                <w:sz w:val="24"/>
                <w:szCs w:val="24"/>
                <w:highlight w:val="none"/>
                <w:lang w:val="en-US" w:eastAsia="zh-CN"/>
                <w14:textFill>
                  <w14:solidFill>
                    <w14:schemeClr w14:val="tx1"/>
                  </w14:solidFill>
                </w14:textFill>
              </w:rPr>
              <w:t>安排合理，岗位职责明确，分工清晰，</w:t>
            </w:r>
            <w:r>
              <w:rPr>
                <w:rFonts w:hint="eastAsia" w:ascii="宋体" w:hAnsi="宋体" w:eastAsia="宋体" w:cs="宋体"/>
                <w:color w:val="000000" w:themeColor="text1"/>
                <w:sz w:val="24"/>
                <w:szCs w:val="24"/>
                <w:highlight w:val="none"/>
                <w:lang w:eastAsia="zh-CN"/>
                <w14:textFill>
                  <w14:solidFill>
                    <w14:schemeClr w14:val="tx1"/>
                  </w14:solidFill>
                </w14:textFill>
              </w:rPr>
              <w:t>管理措施得当</w:t>
            </w:r>
            <w:r>
              <w:rPr>
                <w:rFonts w:hint="eastAsia" w:ascii="宋体" w:hAnsi="宋体" w:eastAsia="宋体" w:cs="宋体"/>
                <w:color w:val="000000" w:themeColor="text1"/>
                <w:sz w:val="24"/>
                <w:szCs w:val="24"/>
                <w:highlight w:val="none"/>
                <w:lang w:val="en-US" w:eastAsia="zh-CN"/>
                <w14:textFill>
                  <w14:solidFill>
                    <w14:schemeClr w14:val="tx1"/>
                  </w14:solidFill>
                </w14:textFill>
              </w:rPr>
              <w:t>且满足采购要求的得8分；人员安排基本合理、有分工，基本满足采购要求的得4分；</w:t>
            </w:r>
            <w:r>
              <w:rPr>
                <w:rFonts w:hint="eastAsia" w:ascii="宋体" w:hAnsi="宋体" w:eastAsia="宋体" w:cs="宋体"/>
                <w:color w:val="000000" w:themeColor="text1"/>
                <w:sz w:val="24"/>
                <w:szCs w:val="24"/>
                <w:highlight w:val="none"/>
                <w:lang w:eastAsia="zh-CN"/>
                <w14:textFill>
                  <w14:solidFill>
                    <w14:schemeClr w14:val="tx1"/>
                  </w14:solidFill>
                </w14:textFill>
              </w:rPr>
              <w:t>有简单的人员安排，</w:t>
            </w:r>
            <w:r>
              <w:rPr>
                <w:rFonts w:hint="eastAsia" w:ascii="宋体" w:hAnsi="宋体" w:eastAsia="宋体" w:cs="宋体"/>
                <w:color w:val="000000" w:themeColor="text1"/>
                <w:sz w:val="24"/>
                <w:szCs w:val="24"/>
                <w:highlight w:val="none"/>
                <w:lang w:val="en-US" w:eastAsia="zh-CN"/>
                <w14:textFill>
                  <w14:solidFill>
                    <w14:schemeClr w14:val="tx1"/>
                  </w14:solidFill>
                </w14:textFill>
              </w:rPr>
              <w:t>与实际不符，操作性低的得1分；</w:t>
            </w:r>
            <w:r>
              <w:rPr>
                <w:rFonts w:hint="eastAsia" w:ascii="宋体" w:hAnsi="宋体" w:eastAsia="宋体" w:cs="宋体"/>
                <w:color w:val="000000" w:themeColor="text1"/>
                <w:sz w:val="24"/>
                <w:szCs w:val="24"/>
                <w:highlight w:val="none"/>
                <w:lang w:eastAsia="zh-CN"/>
                <w14:textFill>
                  <w14:solidFill>
                    <w14:schemeClr w14:val="tx1"/>
                  </w14:solidFill>
                </w14:textFill>
              </w:rPr>
              <w:t>缺项得0分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r>
      <w:tr w14:paraId="4E6F0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3" w:type="dxa"/>
            <w:vMerge w:val="continue"/>
            <w:noWrap w:val="0"/>
            <w:vAlign w:val="center"/>
          </w:tcPr>
          <w:p w14:paraId="3407A1A0">
            <w:pPr>
              <w:pStyle w:val="31"/>
              <w:keepNext w:val="0"/>
              <w:keepLines w:val="0"/>
              <w:pageBreakBefore w:val="0"/>
              <w:widowControl w:val="0"/>
              <w:kinsoku/>
              <w:wordWrap/>
              <w:overflowPunct w:val="0"/>
              <w:topLinePunct w:val="0"/>
              <w:autoSpaceDE w:val="0"/>
              <w:autoSpaceDN w:val="0"/>
              <w:bidi w:val="0"/>
              <w:spacing w:line="24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765" w:type="dxa"/>
            <w:vMerge w:val="continue"/>
            <w:noWrap w:val="0"/>
            <w:vAlign w:val="center"/>
          </w:tcPr>
          <w:p w14:paraId="0A58FED6">
            <w:pPr>
              <w:keepNext w:val="0"/>
              <w:keepLines w:val="0"/>
              <w:pageBreakBefore w:val="0"/>
              <w:widowControl w:val="0"/>
              <w:kinsoku/>
              <w:wordWrap/>
              <w:overflowPunct w:val="0"/>
              <w:topLinePunct w:val="0"/>
              <w:autoSpaceDE w:val="0"/>
              <w:autoSpaceDN w:val="0"/>
              <w:bidi w:val="0"/>
              <w:spacing w:before="157" w:line="240" w:lineRule="auto"/>
              <w:ind w:left="148" w:leftChars="0"/>
              <w:jc w:val="cente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p>
        </w:tc>
        <w:tc>
          <w:tcPr>
            <w:tcW w:w="1414" w:type="dxa"/>
            <w:noWrap w:val="0"/>
            <w:vAlign w:val="center"/>
          </w:tcPr>
          <w:p w14:paraId="7A4048E0">
            <w:pPr>
              <w:keepNext w:val="0"/>
              <w:keepLines w:val="0"/>
              <w:pageBreakBefore w:val="0"/>
              <w:widowControl w:val="0"/>
              <w:kinsoku/>
              <w:wordWrap/>
              <w:overflowPunct/>
              <w:topLinePunct w:val="0"/>
              <w:bidi w:val="0"/>
              <w:spacing w:line="430" w:lineRule="exact"/>
              <w:jc w:val="cente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、工作部署、工作方法和技术</w:t>
            </w:r>
          </w:p>
        </w:tc>
        <w:tc>
          <w:tcPr>
            <w:tcW w:w="615" w:type="dxa"/>
            <w:noWrap w:val="0"/>
            <w:vAlign w:val="center"/>
          </w:tcPr>
          <w:p w14:paraId="6EE78BD8">
            <w:pPr>
              <w:pStyle w:val="31"/>
              <w:keepNext w:val="0"/>
              <w:keepLines w:val="0"/>
              <w:pageBreakBefore w:val="0"/>
              <w:widowControl w:val="0"/>
              <w:kinsoku/>
              <w:wordWrap/>
              <w:overflowPunct/>
              <w:topLinePunct w:val="0"/>
              <w:bidi w:val="0"/>
              <w:spacing w:line="240" w:lineRule="auto"/>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tc>
        <w:tc>
          <w:tcPr>
            <w:tcW w:w="6315" w:type="dxa"/>
            <w:noWrap w:val="0"/>
            <w:vAlign w:val="top"/>
          </w:tcPr>
          <w:p w14:paraId="148B0D9C">
            <w:pPr>
              <w:keepNext w:val="0"/>
              <w:keepLines w:val="0"/>
              <w:pageBreakBefore w:val="0"/>
              <w:widowControl w:val="0"/>
              <w:kinsoku/>
              <w:wordWrap/>
              <w:overflowPunct/>
              <w:topLinePunct w:val="0"/>
              <w:bidi w:val="0"/>
              <w:spacing w:line="430" w:lineRule="exact"/>
              <w:rPr>
                <w:rFonts w:hint="eastAsia" w:ascii="宋体" w:hAnsi="宋体" w:eastAsia="宋体" w:cs="宋体"/>
                <w:b w:val="0"/>
                <w:bCs w:val="0"/>
                <w:snapToGrid w:val="0"/>
                <w:color w:val="000000" w:themeColor="text1"/>
                <w:spacing w:val="-13"/>
                <w:kern w:val="0"/>
                <w:sz w:val="24"/>
                <w:szCs w:val="24"/>
                <w:highlight w:val="none"/>
                <w:lang w:val="en-US" w:eastAsia="en-US"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工作部署、工作方法和技术：总体工作部署科学、合理并切实可行，工作阶段划分明确，采取的主要工作方法合适，技术路线详细、明确，质量要求明确，并符合相关技术规范，得</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分；总体工作部署</w:t>
            </w:r>
            <w:r>
              <w:rPr>
                <w:rFonts w:hint="eastAsia" w:ascii="宋体" w:hAnsi="宋体" w:eastAsia="宋体" w:cs="宋体"/>
                <w:color w:val="000000" w:themeColor="text1"/>
                <w:sz w:val="24"/>
                <w:szCs w:val="24"/>
                <w:highlight w:val="none"/>
                <w:lang w:val="en-US" w:eastAsia="zh-CN"/>
                <w14:textFill>
                  <w14:solidFill>
                    <w14:schemeClr w14:val="tx1"/>
                  </w14:solidFill>
                </w14:textFill>
              </w:rPr>
              <w:t>基本</w:t>
            </w:r>
            <w:r>
              <w:rPr>
                <w:rFonts w:hint="eastAsia" w:ascii="宋体" w:hAnsi="宋体" w:eastAsia="宋体" w:cs="宋体"/>
                <w:color w:val="000000" w:themeColor="text1"/>
                <w:sz w:val="24"/>
                <w:szCs w:val="24"/>
                <w:highlight w:val="none"/>
                <w:lang w:eastAsia="zh-CN"/>
                <w14:textFill>
                  <w14:solidFill>
                    <w14:schemeClr w14:val="tx1"/>
                  </w14:solidFill>
                </w14:textFill>
              </w:rPr>
              <w:t>科学、合理，工作阶段划分明确，采取的主要工作方法和技术线路合适，符合相关技术规范，得4分；有简单的总体工作部署、工作方法和技术</w:t>
            </w:r>
            <w:r>
              <w:rPr>
                <w:rFonts w:hint="eastAsia" w:ascii="宋体" w:hAnsi="宋体" w:eastAsia="宋体" w:cs="宋体"/>
                <w:color w:val="000000" w:themeColor="text1"/>
                <w:sz w:val="24"/>
                <w:szCs w:val="24"/>
                <w:highlight w:val="none"/>
                <w:lang w:val="en-US" w:eastAsia="zh-CN"/>
                <w14:textFill>
                  <w14:solidFill>
                    <w14:schemeClr w14:val="tx1"/>
                  </w14:solidFill>
                </w14:textFill>
              </w:rPr>
              <w:t>线路</w:t>
            </w:r>
            <w:r>
              <w:rPr>
                <w:rFonts w:hint="eastAsia" w:ascii="宋体" w:hAnsi="宋体" w:eastAsia="宋体" w:cs="宋体"/>
                <w:color w:val="000000" w:themeColor="text1"/>
                <w:sz w:val="24"/>
                <w:szCs w:val="24"/>
                <w:highlight w:val="none"/>
                <w:lang w:eastAsia="zh-CN"/>
                <w14:textFill>
                  <w14:solidFill>
                    <w14:schemeClr w14:val="tx1"/>
                  </w14:solidFill>
                </w14:textFill>
              </w:rPr>
              <w:t>，能基本满足本项目需求，得1分；缺项得0分。</w:t>
            </w:r>
          </w:p>
        </w:tc>
      </w:tr>
      <w:tr w14:paraId="6942F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3" w:type="dxa"/>
            <w:vMerge w:val="continue"/>
            <w:noWrap w:val="0"/>
            <w:vAlign w:val="center"/>
          </w:tcPr>
          <w:p w14:paraId="5DD9B812">
            <w:pPr>
              <w:pStyle w:val="31"/>
              <w:keepNext w:val="0"/>
              <w:keepLines w:val="0"/>
              <w:pageBreakBefore w:val="0"/>
              <w:widowControl w:val="0"/>
              <w:kinsoku/>
              <w:wordWrap/>
              <w:overflowPunct w:val="0"/>
              <w:topLinePunct w:val="0"/>
              <w:autoSpaceDE w:val="0"/>
              <w:autoSpaceDN w:val="0"/>
              <w:bidi w:val="0"/>
              <w:spacing w:line="24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765" w:type="dxa"/>
            <w:vMerge w:val="continue"/>
            <w:noWrap w:val="0"/>
            <w:vAlign w:val="center"/>
          </w:tcPr>
          <w:p w14:paraId="2549B2AC">
            <w:pPr>
              <w:keepNext w:val="0"/>
              <w:keepLines w:val="0"/>
              <w:pageBreakBefore w:val="0"/>
              <w:widowControl w:val="0"/>
              <w:kinsoku/>
              <w:wordWrap/>
              <w:overflowPunct w:val="0"/>
              <w:topLinePunct w:val="0"/>
              <w:autoSpaceDE w:val="0"/>
              <w:autoSpaceDN w:val="0"/>
              <w:bidi w:val="0"/>
              <w:spacing w:before="157" w:line="240" w:lineRule="auto"/>
              <w:ind w:left="148" w:leftChars="0"/>
              <w:jc w:val="cente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p>
        </w:tc>
        <w:tc>
          <w:tcPr>
            <w:tcW w:w="1414" w:type="dxa"/>
            <w:noWrap w:val="0"/>
            <w:vAlign w:val="center"/>
          </w:tcPr>
          <w:p w14:paraId="35F1B205">
            <w:pPr>
              <w:keepNext w:val="0"/>
              <w:keepLines w:val="0"/>
              <w:pageBreakBefore w:val="0"/>
              <w:widowControl w:val="0"/>
              <w:kinsoku/>
              <w:wordWrap/>
              <w:overflowPunct/>
              <w:topLinePunct w:val="0"/>
              <w:bidi w:val="0"/>
              <w:spacing w:line="430" w:lineRule="exact"/>
              <w:jc w:val="cente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、确保</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服务期和</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成果</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质量的技术和组织措施</w:t>
            </w:r>
          </w:p>
        </w:tc>
        <w:tc>
          <w:tcPr>
            <w:tcW w:w="615" w:type="dxa"/>
            <w:noWrap w:val="0"/>
            <w:vAlign w:val="center"/>
          </w:tcPr>
          <w:p w14:paraId="443FE40A">
            <w:pPr>
              <w:pStyle w:val="31"/>
              <w:keepNext w:val="0"/>
              <w:keepLines w:val="0"/>
              <w:pageBreakBefore w:val="0"/>
              <w:widowControl w:val="0"/>
              <w:kinsoku/>
              <w:wordWrap/>
              <w:overflowPunct/>
              <w:topLinePunct w:val="0"/>
              <w:bidi w:val="0"/>
              <w:spacing w:line="240" w:lineRule="auto"/>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tc>
        <w:tc>
          <w:tcPr>
            <w:tcW w:w="6315" w:type="dxa"/>
            <w:noWrap w:val="0"/>
            <w:vAlign w:val="top"/>
          </w:tcPr>
          <w:p w14:paraId="37C9B6B6">
            <w:pPr>
              <w:keepNext w:val="0"/>
              <w:keepLines w:val="0"/>
              <w:pageBreakBefore w:val="0"/>
              <w:widowControl w:val="0"/>
              <w:kinsoku/>
              <w:wordWrap/>
              <w:overflowPunct/>
              <w:topLinePunct w:val="0"/>
              <w:bidi w:val="0"/>
              <w:spacing w:line="430" w:lineRule="exact"/>
              <w:rPr>
                <w:rFonts w:hint="eastAsia" w:ascii="宋体" w:hAnsi="宋体" w:eastAsia="宋体" w:cs="宋体"/>
                <w:b w:val="0"/>
                <w:bCs w:val="0"/>
                <w:snapToGrid w:val="0"/>
                <w:color w:val="000000" w:themeColor="text1"/>
                <w:spacing w:val="-13"/>
                <w:kern w:val="0"/>
                <w:sz w:val="24"/>
                <w:szCs w:val="24"/>
                <w:highlight w:val="none"/>
                <w:lang w:val="en-US" w:eastAsia="en-US"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确保</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lang w:eastAsia="zh-CN"/>
                <w14:textFill>
                  <w14:solidFill>
                    <w14:schemeClr w14:val="tx1"/>
                  </w14:solidFill>
                </w14:textFill>
              </w:rPr>
              <w:t>服务期和</w:t>
            </w:r>
            <w:r>
              <w:rPr>
                <w:rFonts w:hint="eastAsia" w:ascii="宋体" w:hAnsi="宋体" w:eastAsia="宋体" w:cs="宋体"/>
                <w:color w:val="000000" w:themeColor="text1"/>
                <w:sz w:val="24"/>
                <w:szCs w:val="24"/>
                <w:highlight w:val="none"/>
                <w:lang w:val="en-US" w:eastAsia="zh-CN"/>
                <w14:textFill>
                  <w14:solidFill>
                    <w14:schemeClr w14:val="tx1"/>
                  </w14:solidFill>
                </w14:textFill>
              </w:rPr>
              <w:t>成果</w:t>
            </w:r>
            <w:r>
              <w:rPr>
                <w:rFonts w:hint="eastAsia" w:ascii="宋体" w:hAnsi="宋体" w:eastAsia="宋体" w:cs="宋体"/>
                <w:color w:val="000000" w:themeColor="text1"/>
                <w:sz w:val="24"/>
                <w:szCs w:val="24"/>
                <w:highlight w:val="none"/>
                <w:lang w:eastAsia="zh-CN"/>
                <w14:textFill>
                  <w14:solidFill>
                    <w14:schemeClr w14:val="tx1"/>
                  </w14:solidFill>
                </w14:textFill>
              </w:rPr>
              <w:t>质量的技术和组织措施详细、可行，合理安排工作进度，组织措施完整，质量控制思路清晰，质量管理体系健全，得</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分；确保</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lang w:eastAsia="zh-CN"/>
                <w14:textFill>
                  <w14:solidFill>
                    <w14:schemeClr w14:val="tx1"/>
                  </w14:solidFill>
                </w14:textFill>
              </w:rPr>
              <w:t>服务期和</w:t>
            </w:r>
            <w:r>
              <w:rPr>
                <w:rFonts w:hint="eastAsia" w:ascii="宋体" w:hAnsi="宋体" w:eastAsia="宋体" w:cs="宋体"/>
                <w:color w:val="000000" w:themeColor="text1"/>
                <w:sz w:val="24"/>
                <w:szCs w:val="24"/>
                <w:highlight w:val="none"/>
                <w:lang w:val="en-US" w:eastAsia="zh-CN"/>
                <w14:textFill>
                  <w14:solidFill>
                    <w14:schemeClr w14:val="tx1"/>
                  </w14:solidFill>
                </w14:textFill>
              </w:rPr>
              <w:t>成果</w:t>
            </w:r>
            <w:r>
              <w:rPr>
                <w:rFonts w:hint="eastAsia" w:ascii="宋体" w:hAnsi="宋体" w:eastAsia="宋体" w:cs="宋体"/>
                <w:color w:val="000000" w:themeColor="text1"/>
                <w:sz w:val="24"/>
                <w:szCs w:val="24"/>
                <w:highlight w:val="none"/>
                <w:lang w:eastAsia="zh-CN"/>
                <w14:textFill>
                  <w14:solidFill>
                    <w14:schemeClr w14:val="tx1"/>
                  </w14:solidFill>
                </w14:textFill>
              </w:rPr>
              <w:t>质量的措施全面，工作进度安排和质量控制思路明确，得4分；有简单的工期、质量保证措施和工作进度安排，得1分；缺项得0分。</w:t>
            </w:r>
          </w:p>
        </w:tc>
      </w:tr>
      <w:tr w14:paraId="23CBA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3" w:type="dxa"/>
            <w:vMerge w:val="continue"/>
            <w:noWrap w:val="0"/>
            <w:vAlign w:val="center"/>
          </w:tcPr>
          <w:p w14:paraId="5A4C81F5">
            <w:pPr>
              <w:pStyle w:val="31"/>
              <w:keepNext w:val="0"/>
              <w:keepLines w:val="0"/>
              <w:pageBreakBefore w:val="0"/>
              <w:widowControl w:val="0"/>
              <w:kinsoku/>
              <w:wordWrap/>
              <w:overflowPunct w:val="0"/>
              <w:topLinePunct w:val="0"/>
              <w:autoSpaceDE w:val="0"/>
              <w:autoSpaceDN w:val="0"/>
              <w:bidi w:val="0"/>
              <w:spacing w:line="24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765" w:type="dxa"/>
            <w:vMerge w:val="continue"/>
            <w:noWrap w:val="0"/>
            <w:vAlign w:val="center"/>
          </w:tcPr>
          <w:p w14:paraId="3ED50A2C">
            <w:pPr>
              <w:keepNext w:val="0"/>
              <w:keepLines w:val="0"/>
              <w:pageBreakBefore w:val="0"/>
              <w:widowControl w:val="0"/>
              <w:kinsoku/>
              <w:wordWrap/>
              <w:overflowPunct w:val="0"/>
              <w:topLinePunct w:val="0"/>
              <w:autoSpaceDE w:val="0"/>
              <w:autoSpaceDN w:val="0"/>
              <w:bidi w:val="0"/>
              <w:spacing w:before="157" w:line="240" w:lineRule="auto"/>
              <w:ind w:left="148" w:leftChars="0"/>
              <w:jc w:val="cente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p>
        </w:tc>
        <w:tc>
          <w:tcPr>
            <w:tcW w:w="1414" w:type="dxa"/>
            <w:noWrap w:val="0"/>
            <w:vAlign w:val="center"/>
          </w:tcPr>
          <w:p w14:paraId="46B0D599">
            <w:pPr>
              <w:keepNext w:val="0"/>
              <w:keepLines w:val="0"/>
              <w:pageBreakBefore w:val="0"/>
              <w:widowControl w:val="0"/>
              <w:kinsoku/>
              <w:wordWrap/>
              <w:overflowPunct/>
              <w:topLinePunct w:val="0"/>
              <w:bidi w:val="0"/>
              <w:spacing w:line="430" w:lineRule="exact"/>
              <w:jc w:val="cente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、项目成果管理、成果保密相应保证措施</w:t>
            </w:r>
          </w:p>
        </w:tc>
        <w:tc>
          <w:tcPr>
            <w:tcW w:w="615" w:type="dxa"/>
            <w:noWrap w:val="0"/>
            <w:vAlign w:val="center"/>
          </w:tcPr>
          <w:p w14:paraId="60E491EC">
            <w:pPr>
              <w:pStyle w:val="31"/>
              <w:keepNext w:val="0"/>
              <w:keepLines w:val="0"/>
              <w:pageBreakBefore w:val="0"/>
              <w:widowControl w:val="0"/>
              <w:kinsoku/>
              <w:wordWrap/>
              <w:overflowPunct/>
              <w:topLinePunct w:val="0"/>
              <w:bidi w:val="0"/>
              <w:spacing w:line="240" w:lineRule="auto"/>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tc>
        <w:tc>
          <w:tcPr>
            <w:tcW w:w="6315" w:type="dxa"/>
            <w:noWrap w:val="0"/>
            <w:vAlign w:val="top"/>
          </w:tcPr>
          <w:p w14:paraId="49957FD2">
            <w:pPr>
              <w:keepNext w:val="0"/>
              <w:keepLines w:val="0"/>
              <w:pageBreakBefore w:val="0"/>
              <w:widowControl w:val="0"/>
              <w:kinsoku/>
              <w:wordWrap/>
              <w:overflowPunct/>
              <w:topLinePunct w:val="0"/>
              <w:bidi w:val="0"/>
              <w:spacing w:line="430" w:lineRule="exact"/>
              <w:rPr>
                <w:rFonts w:hint="eastAsia" w:ascii="宋体" w:hAnsi="宋体" w:eastAsia="宋体" w:cs="宋体"/>
                <w:b w:val="0"/>
                <w:bCs w:val="0"/>
                <w:snapToGrid w:val="0"/>
                <w:color w:val="000000" w:themeColor="text1"/>
                <w:spacing w:val="-13"/>
                <w:kern w:val="0"/>
                <w:sz w:val="24"/>
                <w:szCs w:val="24"/>
                <w:highlight w:val="none"/>
                <w:lang w:val="en-US" w:eastAsia="en-US"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项目成果管理、成果保密相应保证措施合理、有效，保密制度健全，保密措施得力，</w:t>
            </w:r>
            <w:r>
              <w:rPr>
                <w:rFonts w:hint="eastAsia" w:ascii="宋体" w:hAnsi="宋体" w:eastAsia="宋体" w:cs="宋体"/>
                <w:color w:val="000000" w:themeColor="text1"/>
                <w:sz w:val="24"/>
                <w:szCs w:val="24"/>
                <w:highlight w:val="none"/>
                <w:lang w:val="en-US" w:eastAsia="zh-CN"/>
                <w14:textFill>
                  <w14:solidFill>
                    <w14:schemeClr w14:val="tx1"/>
                  </w14:solidFill>
                </w14:textFill>
              </w:rPr>
              <w:t>针对性及可操作性</w:t>
            </w:r>
            <w:r>
              <w:rPr>
                <w:rFonts w:hint="eastAsia" w:ascii="宋体" w:hAnsi="宋体" w:eastAsia="宋体" w:cs="宋体"/>
                <w:color w:val="000000" w:themeColor="text1"/>
                <w:sz w:val="24"/>
                <w:szCs w:val="24"/>
                <w:highlight w:val="none"/>
                <w:lang w:eastAsia="zh-CN"/>
                <w14:textFill>
                  <w14:solidFill>
                    <w14:schemeClr w14:val="tx1"/>
                  </w14:solidFill>
                </w14:textFill>
              </w:rPr>
              <w:t>全面具体，得</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分；项目成果管理措施得当，保密制度全面，得4分；有简单有效的成果管理、保密安全施工措施，得1分；缺项得0分。</w:t>
            </w:r>
          </w:p>
        </w:tc>
      </w:tr>
      <w:tr w14:paraId="22746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7" w:hRule="atLeast"/>
        </w:trPr>
        <w:tc>
          <w:tcPr>
            <w:tcW w:w="553" w:type="dxa"/>
            <w:vMerge w:val="continue"/>
            <w:noWrap w:val="0"/>
            <w:vAlign w:val="center"/>
          </w:tcPr>
          <w:p w14:paraId="5DC0CE77">
            <w:pPr>
              <w:pStyle w:val="31"/>
              <w:keepNext w:val="0"/>
              <w:keepLines w:val="0"/>
              <w:pageBreakBefore w:val="0"/>
              <w:widowControl w:val="0"/>
              <w:kinsoku/>
              <w:wordWrap/>
              <w:overflowPunct w:val="0"/>
              <w:topLinePunct w:val="0"/>
              <w:autoSpaceDE w:val="0"/>
              <w:autoSpaceDN w:val="0"/>
              <w:bidi w:val="0"/>
              <w:spacing w:line="24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765" w:type="dxa"/>
            <w:vMerge w:val="continue"/>
            <w:noWrap w:val="0"/>
            <w:vAlign w:val="center"/>
          </w:tcPr>
          <w:p w14:paraId="4E83F48F">
            <w:pPr>
              <w:keepNext w:val="0"/>
              <w:keepLines w:val="0"/>
              <w:pageBreakBefore w:val="0"/>
              <w:widowControl w:val="0"/>
              <w:kinsoku/>
              <w:wordWrap/>
              <w:overflowPunct w:val="0"/>
              <w:topLinePunct w:val="0"/>
              <w:autoSpaceDE w:val="0"/>
              <w:autoSpaceDN w:val="0"/>
              <w:bidi w:val="0"/>
              <w:spacing w:before="157" w:line="240" w:lineRule="auto"/>
              <w:ind w:left="148" w:leftChars="0"/>
              <w:jc w:val="cente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p>
        </w:tc>
        <w:tc>
          <w:tcPr>
            <w:tcW w:w="1414" w:type="dxa"/>
            <w:noWrap w:val="0"/>
            <w:vAlign w:val="center"/>
          </w:tcPr>
          <w:p w14:paraId="061BA3EF">
            <w:pPr>
              <w:keepNext w:val="0"/>
              <w:keepLines w:val="0"/>
              <w:pageBreakBefore w:val="0"/>
              <w:widowControl w:val="0"/>
              <w:kinsoku/>
              <w:wordWrap/>
              <w:overflowPunct/>
              <w:topLinePunct w:val="0"/>
              <w:bidi w:val="0"/>
              <w:spacing w:line="430" w:lineRule="exact"/>
              <w:ind w:left="0" w:leftChars="0" w:right="0" w:rightChars="0" w:firstLine="0" w:firstLine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、重、难点的理解以及关键技术问题的对策措施</w:t>
            </w:r>
          </w:p>
        </w:tc>
        <w:tc>
          <w:tcPr>
            <w:tcW w:w="615" w:type="dxa"/>
            <w:noWrap w:val="0"/>
            <w:vAlign w:val="center"/>
          </w:tcPr>
          <w:p w14:paraId="0CD033F7">
            <w:pPr>
              <w:pStyle w:val="31"/>
              <w:keepNext w:val="0"/>
              <w:keepLines w:val="0"/>
              <w:pageBreakBefore w:val="0"/>
              <w:widowControl w:val="0"/>
              <w:kinsoku/>
              <w:wordWrap/>
              <w:overflowPunct/>
              <w:topLinePunct w:val="0"/>
              <w:bidi w:val="0"/>
              <w:spacing w:line="240" w:lineRule="auto"/>
              <w:ind w:left="0" w:leftChars="0" w:right="0" w:rightChars="0"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tc>
        <w:tc>
          <w:tcPr>
            <w:tcW w:w="6315" w:type="dxa"/>
            <w:noWrap w:val="0"/>
            <w:vAlign w:val="top"/>
          </w:tcPr>
          <w:p w14:paraId="734BC932">
            <w:pPr>
              <w:keepNext w:val="0"/>
              <w:keepLines w:val="0"/>
              <w:pageBreakBefore w:val="0"/>
              <w:widowControl w:val="0"/>
              <w:kinsoku/>
              <w:wordWrap/>
              <w:overflowPunct/>
              <w:topLinePunct w:val="0"/>
              <w:bidi w:val="0"/>
              <w:spacing w:line="430" w:lineRule="exact"/>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重、难点的理解以及关键技术问题的对策措施详细、可行，提高工作质量的建议和措施合理、有效，得</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分；有具体的重、难点的分析理解和提高工作质量的建议和措施，得4分；有简单笼统的重、难点的分析理解和提高工作质量的建议和措施，得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分；缺项得0分。</w:t>
            </w:r>
          </w:p>
        </w:tc>
      </w:tr>
      <w:tr w14:paraId="26EF9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3" w:type="dxa"/>
            <w:vMerge w:val="restart"/>
            <w:noWrap w:val="0"/>
            <w:vAlign w:val="center"/>
          </w:tcPr>
          <w:p w14:paraId="4A421B9F">
            <w:pPr>
              <w:pStyle w:val="31"/>
              <w:keepNext w:val="0"/>
              <w:keepLines w:val="0"/>
              <w:pageBreakBefore w:val="0"/>
              <w:widowControl w:val="0"/>
              <w:kinsoku/>
              <w:wordWrap/>
              <w:overflowPunct w:val="0"/>
              <w:topLinePunct w:val="0"/>
              <w:autoSpaceDE w:val="0"/>
              <w:autoSpaceDN w:val="0"/>
              <w:bidi w:val="0"/>
              <w:spacing w:line="240" w:lineRule="auto"/>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t>4</w:t>
            </w:r>
          </w:p>
        </w:tc>
        <w:tc>
          <w:tcPr>
            <w:tcW w:w="765" w:type="dxa"/>
            <w:vMerge w:val="restart"/>
            <w:noWrap w:val="0"/>
            <w:vAlign w:val="center"/>
          </w:tcPr>
          <w:p w14:paraId="28AFEACD">
            <w:pPr>
              <w:keepNext w:val="0"/>
              <w:keepLines w:val="0"/>
              <w:pageBreakBefore w:val="0"/>
              <w:widowControl w:val="0"/>
              <w:kinsoku/>
              <w:wordWrap/>
              <w:overflowPunct w:val="0"/>
              <w:topLinePunct w:val="0"/>
              <w:autoSpaceDE w:val="0"/>
              <w:autoSpaceDN w:val="0"/>
              <w:bidi w:val="0"/>
              <w:spacing w:before="78" w:line="240" w:lineRule="auto"/>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服务</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承诺</w:t>
            </w:r>
            <w:r>
              <w:rPr>
                <w:rFonts w:hint="eastAsia" w:ascii="宋体" w:hAnsi="宋体" w:eastAsia="宋体" w:cs="宋体"/>
                <w:snapToGrid w:val="0"/>
                <w:color w:val="000000" w:themeColor="text1"/>
                <w:spacing w:val="0"/>
                <w:w w:val="100"/>
                <w:kern w:val="0"/>
                <w:position w:val="0"/>
                <w:sz w:val="24"/>
                <w:szCs w:val="24"/>
                <w:highlight w:val="none"/>
                <w:shd w:val="clear" w:color="auto" w:fill="auto"/>
                <w:lang w:val="en-US" w:eastAsia="zh-CN" w:bidi="en-US"/>
                <w14:textFill>
                  <w14:solidFill>
                    <w14:schemeClr w14:val="tx1"/>
                  </w14:solidFill>
                </w14:textFill>
              </w:rPr>
              <w:t>（满分15分）</w:t>
            </w:r>
          </w:p>
        </w:tc>
        <w:tc>
          <w:tcPr>
            <w:tcW w:w="1414" w:type="dxa"/>
            <w:noWrap w:val="0"/>
            <w:vAlign w:val="center"/>
          </w:tcPr>
          <w:p w14:paraId="236A0AD2">
            <w:pPr>
              <w:keepNext w:val="0"/>
              <w:keepLines w:val="0"/>
              <w:pageBreakBefore w:val="0"/>
              <w:widowControl w:val="0"/>
              <w:kinsoku/>
              <w:wordWrap/>
              <w:overflowPunct w:val="0"/>
              <w:topLinePunct w:val="0"/>
              <w:autoSpaceDE w:val="0"/>
              <w:autoSpaceDN w:val="0"/>
              <w:bidi w:val="0"/>
              <w:spacing w:before="78" w:line="240" w:lineRule="auto"/>
              <w:jc w:val="center"/>
              <w:rPr>
                <w:rFonts w:hint="eastAsia" w:ascii="宋体" w:hAnsi="宋体" w:eastAsia="宋体" w:cs="宋体"/>
                <w:b w:val="0"/>
                <w:bCs w:val="0"/>
                <w:color w:val="000000" w:themeColor="text1"/>
                <w:sz w:val="24"/>
                <w:szCs w:val="24"/>
                <w:highlight w:val="none"/>
                <w:lang w:val="en-US"/>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服务</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承诺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p>
        </w:tc>
        <w:tc>
          <w:tcPr>
            <w:tcW w:w="615" w:type="dxa"/>
            <w:noWrap w:val="0"/>
            <w:vAlign w:val="center"/>
          </w:tcPr>
          <w:p w14:paraId="516929E9">
            <w:pPr>
              <w:pStyle w:val="31"/>
              <w:keepNext w:val="0"/>
              <w:keepLines w:val="0"/>
              <w:pageBreakBefore w:val="0"/>
              <w:widowControl w:val="0"/>
              <w:kinsoku/>
              <w:wordWrap/>
              <w:overflowPunct/>
              <w:topLinePunct w:val="0"/>
              <w:bidi w:val="0"/>
              <w:spacing w:line="240" w:lineRule="auto"/>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6分</w:t>
            </w:r>
          </w:p>
        </w:tc>
        <w:tc>
          <w:tcPr>
            <w:tcW w:w="6315" w:type="dxa"/>
            <w:noWrap w:val="0"/>
            <w:vAlign w:val="center"/>
          </w:tcPr>
          <w:p w14:paraId="7C9B3982">
            <w:pPr>
              <w:keepNext w:val="0"/>
              <w:keepLines w:val="0"/>
              <w:pageBreakBefore w:val="0"/>
              <w:widowControl w:val="0"/>
              <w:shd w:val="clear" w:color="auto" w:fill="auto"/>
              <w:kinsoku/>
              <w:wordWrap/>
              <w:overflowPunct/>
              <w:topLinePunct w:val="0"/>
              <w:bidi w:val="0"/>
              <w:spacing w:line="430" w:lineRule="exact"/>
              <w:rPr>
                <w:rFonts w:hint="eastAsia" w:ascii="宋体" w:hAnsi="宋体" w:eastAsia="宋体" w:cs="宋体"/>
                <w:b w:val="0"/>
                <w:bCs w:val="0"/>
                <w:snapToGrid w:val="0"/>
                <w:color w:val="000000" w:themeColor="text1"/>
                <w:spacing w:val="-13"/>
                <w:kern w:val="0"/>
                <w:sz w:val="24"/>
                <w:szCs w:val="24"/>
                <w:highlight w:val="none"/>
                <w:lang w:val="en-US" w:eastAsia="en-US" w:bidi="ar-SA"/>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1、供应商承诺协助采购人解决和协调各种与调查划定工作有关的所有问题，并配合后期评审、备案等服务承诺。服务范围及承诺内容完整，且承诺优于项目要求的得6分；有简单的服务内容和承诺，基本满足项目要求得3分；服务范围内容与本项目实际不符、且不具有实际操作性的得1分；</w:t>
            </w:r>
            <w:r>
              <w:rPr>
                <w:rFonts w:hint="eastAsia" w:ascii="宋体" w:hAnsi="宋体" w:eastAsia="宋体" w:cs="宋体"/>
                <w:color w:val="000000" w:themeColor="text1"/>
                <w:sz w:val="24"/>
                <w:szCs w:val="24"/>
                <w:highlight w:val="none"/>
                <w:lang w:eastAsia="zh-CN"/>
                <w14:textFill>
                  <w14:solidFill>
                    <w14:schemeClr w14:val="tx1"/>
                  </w14:solidFill>
                </w14:textFill>
              </w:rPr>
              <w:t>缺项得0分</w:t>
            </w: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w:t>
            </w:r>
          </w:p>
        </w:tc>
      </w:tr>
      <w:tr w14:paraId="32178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3" w:type="dxa"/>
            <w:vMerge w:val="continue"/>
            <w:noWrap w:val="0"/>
            <w:vAlign w:val="center"/>
          </w:tcPr>
          <w:p w14:paraId="4D6DB392">
            <w:pPr>
              <w:pStyle w:val="31"/>
              <w:keepNext w:val="0"/>
              <w:keepLines w:val="0"/>
              <w:pageBreakBefore w:val="0"/>
              <w:widowControl w:val="0"/>
              <w:kinsoku/>
              <w:wordWrap/>
              <w:overflowPunct w:val="0"/>
              <w:topLinePunct w:val="0"/>
              <w:autoSpaceDE w:val="0"/>
              <w:autoSpaceDN w:val="0"/>
              <w:bidi w:val="0"/>
              <w:spacing w:line="240" w:lineRule="auto"/>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p>
        </w:tc>
        <w:tc>
          <w:tcPr>
            <w:tcW w:w="765" w:type="dxa"/>
            <w:vMerge w:val="continue"/>
            <w:noWrap w:val="0"/>
            <w:vAlign w:val="center"/>
          </w:tcPr>
          <w:p w14:paraId="708C3A7A">
            <w:pPr>
              <w:keepNext w:val="0"/>
              <w:keepLines w:val="0"/>
              <w:pageBreakBefore w:val="0"/>
              <w:widowControl w:val="0"/>
              <w:kinsoku/>
              <w:wordWrap/>
              <w:overflowPunct w:val="0"/>
              <w:topLinePunct w:val="0"/>
              <w:autoSpaceDE w:val="0"/>
              <w:autoSpaceDN w:val="0"/>
              <w:bidi w:val="0"/>
              <w:spacing w:before="78" w:line="24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414" w:type="dxa"/>
            <w:noWrap w:val="0"/>
            <w:vAlign w:val="center"/>
          </w:tcPr>
          <w:p w14:paraId="47579C3C">
            <w:pPr>
              <w:keepNext w:val="0"/>
              <w:keepLines w:val="0"/>
              <w:pageBreakBefore w:val="0"/>
              <w:widowControl w:val="0"/>
              <w:kinsoku/>
              <w:wordWrap/>
              <w:overflowPunct w:val="0"/>
              <w:topLinePunct w:val="0"/>
              <w:autoSpaceDE w:val="0"/>
              <w:autoSpaceDN w:val="0"/>
              <w:bidi w:val="0"/>
              <w:spacing w:before="78" w:line="24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服务</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承诺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615" w:type="dxa"/>
            <w:noWrap w:val="0"/>
            <w:vAlign w:val="center"/>
          </w:tcPr>
          <w:p w14:paraId="48DBFB2D">
            <w:pPr>
              <w:pStyle w:val="31"/>
              <w:keepNext w:val="0"/>
              <w:keepLines w:val="0"/>
              <w:pageBreakBefore w:val="0"/>
              <w:widowControl w:val="0"/>
              <w:kinsoku/>
              <w:wordWrap/>
              <w:overflowPunct/>
              <w:topLinePunct w:val="0"/>
              <w:bidi w:val="0"/>
              <w:spacing w:line="240" w:lineRule="auto"/>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t>6分</w:t>
            </w:r>
          </w:p>
        </w:tc>
        <w:tc>
          <w:tcPr>
            <w:tcW w:w="6315" w:type="dxa"/>
            <w:noWrap w:val="0"/>
            <w:vAlign w:val="center"/>
          </w:tcPr>
          <w:p w14:paraId="4BB2AABD">
            <w:pPr>
              <w:keepNext w:val="0"/>
              <w:keepLines w:val="0"/>
              <w:pageBreakBefore w:val="0"/>
              <w:widowControl w:val="0"/>
              <w:shd w:val="clear" w:color="auto" w:fill="auto"/>
              <w:kinsoku/>
              <w:wordWrap/>
              <w:overflowPunct/>
              <w:topLinePunct w:val="0"/>
              <w:bidi w:val="0"/>
              <w:spacing w:line="430" w:lineRule="exact"/>
              <w:rPr>
                <w:rFonts w:hint="eastAsia" w:ascii="宋体" w:hAnsi="宋体" w:eastAsia="宋体" w:cs="宋体"/>
                <w:b w:val="0"/>
                <w:bCs w:val="0"/>
                <w:snapToGrid w:val="0"/>
                <w:color w:val="000000" w:themeColor="text1"/>
                <w:spacing w:val="-13"/>
                <w:kern w:val="0"/>
                <w:sz w:val="24"/>
                <w:szCs w:val="24"/>
                <w:highlight w:val="none"/>
                <w:lang w:val="en-US" w:eastAsia="en-US" w:bidi="ar-SA"/>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2、供应商承诺不更换团队成员、数据保密、数据整理的成果满足采购人及相关管理部门要求并及时调整措施可行的，得6分；承诺数据保密、数据整理的成果基本符合要求得3分；承诺数据保密、数据整理的成果较差得1分，缺项得0分。</w:t>
            </w:r>
          </w:p>
        </w:tc>
      </w:tr>
      <w:tr w14:paraId="0FD8A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53" w:type="dxa"/>
            <w:vMerge w:val="continue"/>
            <w:noWrap w:val="0"/>
            <w:vAlign w:val="center"/>
          </w:tcPr>
          <w:p w14:paraId="6679D79C">
            <w:pPr>
              <w:pStyle w:val="31"/>
              <w:keepNext w:val="0"/>
              <w:keepLines w:val="0"/>
              <w:pageBreakBefore w:val="0"/>
              <w:widowControl w:val="0"/>
              <w:kinsoku/>
              <w:wordWrap/>
              <w:overflowPunct w:val="0"/>
              <w:topLinePunct w:val="0"/>
              <w:autoSpaceDE w:val="0"/>
              <w:autoSpaceDN w:val="0"/>
              <w:bidi w:val="0"/>
              <w:spacing w:line="240" w:lineRule="auto"/>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p>
        </w:tc>
        <w:tc>
          <w:tcPr>
            <w:tcW w:w="765" w:type="dxa"/>
            <w:vMerge w:val="continue"/>
            <w:noWrap w:val="0"/>
            <w:vAlign w:val="center"/>
          </w:tcPr>
          <w:p w14:paraId="6F7A3166">
            <w:pPr>
              <w:keepNext w:val="0"/>
              <w:keepLines w:val="0"/>
              <w:pageBreakBefore w:val="0"/>
              <w:widowControl w:val="0"/>
              <w:kinsoku/>
              <w:wordWrap/>
              <w:overflowPunct w:val="0"/>
              <w:topLinePunct w:val="0"/>
              <w:autoSpaceDE w:val="0"/>
              <w:autoSpaceDN w:val="0"/>
              <w:bidi w:val="0"/>
              <w:spacing w:before="78" w:line="24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pPr>
          </w:p>
        </w:tc>
        <w:tc>
          <w:tcPr>
            <w:tcW w:w="1414" w:type="dxa"/>
            <w:noWrap w:val="0"/>
            <w:vAlign w:val="center"/>
          </w:tcPr>
          <w:p w14:paraId="50561E52">
            <w:pPr>
              <w:keepNext w:val="0"/>
              <w:keepLines w:val="0"/>
              <w:pageBreakBefore w:val="0"/>
              <w:widowControl w:val="0"/>
              <w:kinsoku/>
              <w:wordWrap/>
              <w:overflowPunct w:val="0"/>
              <w:topLinePunct w:val="0"/>
              <w:autoSpaceDE w:val="0"/>
              <w:autoSpaceDN w:val="0"/>
              <w:bidi w:val="0"/>
              <w:spacing w:before="78" w:line="24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服务</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承诺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615" w:type="dxa"/>
            <w:noWrap w:val="0"/>
            <w:vAlign w:val="center"/>
          </w:tcPr>
          <w:p w14:paraId="0CBA223D">
            <w:pPr>
              <w:pStyle w:val="31"/>
              <w:keepNext w:val="0"/>
              <w:keepLines w:val="0"/>
              <w:pageBreakBefore w:val="0"/>
              <w:widowControl w:val="0"/>
              <w:kinsoku/>
              <w:wordWrap/>
              <w:overflowPunct w:val="0"/>
              <w:topLinePunct w:val="0"/>
              <w:autoSpaceDE w:val="0"/>
              <w:autoSpaceDN w:val="0"/>
              <w:bidi w:val="0"/>
              <w:spacing w:line="240" w:lineRule="auto"/>
              <w:jc w:val="cente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spacing w:val="-13"/>
                <w:kern w:val="0"/>
                <w:sz w:val="24"/>
                <w:szCs w:val="24"/>
                <w:highlight w:val="none"/>
                <w:lang w:val="en-US" w:eastAsia="zh-CN" w:bidi="ar-SA"/>
                <w14:textFill>
                  <w14:solidFill>
                    <w14:schemeClr w14:val="tx1"/>
                  </w14:solidFill>
                </w14:textFill>
              </w:rPr>
              <w:t>3分</w:t>
            </w:r>
          </w:p>
        </w:tc>
        <w:tc>
          <w:tcPr>
            <w:tcW w:w="6315" w:type="dxa"/>
            <w:noWrap w:val="0"/>
            <w:vAlign w:val="center"/>
          </w:tcPr>
          <w:p w14:paraId="174CDAEF">
            <w:pPr>
              <w:keepNext w:val="0"/>
              <w:keepLines w:val="0"/>
              <w:pageBreakBefore w:val="0"/>
              <w:widowControl w:val="0"/>
              <w:kinsoku/>
              <w:wordWrap/>
              <w:overflowPunct w:val="0"/>
              <w:topLinePunct w:val="0"/>
              <w:autoSpaceDE w:val="0"/>
              <w:autoSpaceDN w:val="0"/>
              <w:bidi w:val="0"/>
              <w:spacing w:line="430" w:lineRule="exact"/>
              <w:rPr>
                <w:rFonts w:hint="eastAsia" w:ascii="宋体" w:hAnsi="宋体" w:eastAsia="宋体" w:cs="宋体"/>
                <w:b w:val="0"/>
                <w:bCs w:val="0"/>
                <w:snapToGrid w:val="0"/>
                <w:color w:val="000000" w:themeColor="text1"/>
                <w:spacing w:val="-13"/>
                <w:kern w:val="0"/>
                <w:sz w:val="24"/>
                <w:szCs w:val="24"/>
                <w:highlight w:val="none"/>
                <w:lang w:val="en-US" w:eastAsia="en-US"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3、对服务过程中问题处理，有明确的时间承诺的得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分；承诺对服务过程中问题处理能及时处理得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分；缺项得0分。</w:t>
            </w:r>
          </w:p>
        </w:tc>
      </w:tr>
    </w:tbl>
    <w:p w14:paraId="5B9ABF50">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p>
    <w:p w14:paraId="27C5E43B">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11.</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有下列情况之一的，</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采购人或采购代理机构</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宣布本项目终止：</w:t>
      </w:r>
    </w:p>
    <w:p w14:paraId="0428043C">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11.1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因情况变化，不再符合规定的竞争性磋商采购方式适用情形的；</w:t>
      </w:r>
    </w:p>
    <w:p w14:paraId="7ECE2605">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11.2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出现影响采购公正的违法、违规行为的；</w:t>
      </w:r>
    </w:p>
    <w:p w14:paraId="063C892B">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11.3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法律法规规定的其他情况。</w:t>
      </w:r>
    </w:p>
    <w:p w14:paraId="5AF130F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12.</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若本项目属于政府购买服务项目，将按照《政府采购竞争性磋商采购方式管理暂行办法》和《财政部关于政府采购竞争性磋商采购方式管理暂行办法有关问题的补充通知》（财库</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﹝20</w:t>
      </w:r>
      <w:r>
        <w:rPr>
          <w:rFonts w:hint="eastAsia" w:ascii="宋体" w:hAnsi="宋体" w:eastAsia="宋体" w:cs="宋体"/>
          <w:color w:val="000000" w:themeColor="text1"/>
          <w:spacing w:val="-13"/>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124号）等规定执行。</w:t>
      </w:r>
    </w:p>
    <w:p w14:paraId="2D28ACAB">
      <w:pPr>
        <w:keepNext w:val="0"/>
        <w:keepLines w:val="0"/>
        <w:pageBreakBefore w:val="0"/>
        <w:widowControl w:val="0"/>
        <w:kinsoku/>
        <w:wordWrap/>
        <w:overflowPunct w:val="0"/>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六、</w:t>
      </w:r>
      <w:r>
        <w:rPr>
          <w:rFonts w:hint="eastAsia" w:ascii="宋体" w:hAnsi="宋体" w:eastAsia="宋体" w:cs="宋体"/>
          <w:b/>
          <w:bCs/>
          <w:snapToGrid w:val="0"/>
          <w:color w:val="000000" w:themeColor="text1"/>
          <w:kern w:val="0"/>
          <w:sz w:val="24"/>
          <w:szCs w:val="24"/>
          <w:highlight w:val="none"/>
          <w:lang w:val="en-US" w:eastAsia="en-US" w:bidi="ar-SA"/>
          <w14:textFill>
            <w14:solidFill>
              <w14:schemeClr w14:val="tx1"/>
            </w14:solidFill>
          </w14:textFill>
        </w:rPr>
        <w:t>成交</w:t>
      </w: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通知及</w:t>
      </w:r>
      <w:r>
        <w:rPr>
          <w:rFonts w:hint="eastAsia" w:ascii="宋体" w:hAnsi="宋体" w:eastAsia="宋体" w:cs="宋体"/>
          <w:b/>
          <w:bCs/>
          <w:snapToGrid w:val="0"/>
          <w:color w:val="000000" w:themeColor="text1"/>
          <w:kern w:val="0"/>
          <w:sz w:val="24"/>
          <w:szCs w:val="24"/>
          <w:highlight w:val="none"/>
          <w:lang w:val="en-US" w:eastAsia="en-US" w:bidi="ar-SA"/>
          <w14:textFill>
            <w14:solidFill>
              <w14:schemeClr w14:val="tx1"/>
            </w14:solidFill>
          </w14:textFill>
        </w:rPr>
        <w:t>签订合同</w:t>
      </w:r>
    </w:p>
    <w:p w14:paraId="2706A5ED">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成交结果公布</w:t>
      </w:r>
    </w:p>
    <w:p w14:paraId="5D227C16">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1.1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成交供应商确定后，</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采购人或采购代理机构</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将在“河南省政府采购网”和“</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内乡县</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公共资源交易中心网”上发布成交公告。</w:t>
      </w:r>
    </w:p>
    <w:p w14:paraId="1DA04DC2">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1.2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如项目终止，成交结果公告以“河南省政府采购网”发布的为准。</w:t>
      </w:r>
    </w:p>
    <w:p w14:paraId="461B95EC">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发出成交通知书</w:t>
      </w:r>
    </w:p>
    <w:p w14:paraId="7AF1A3B3">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2.1</w:t>
      </w:r>
      <w:r>
        <w:rPr>
          <w:rFonts w:hint="eastAsia" w:ascii="宋体" w:hAnsi="宋体" w:eastAsia="宋体" w:cs="宋体"/>
          <w:color w:val="000000" w:themeColor="text1"/>
          <w:sz w:val="24"/>
          <w:szCs w:val="24"/>
          <w:highlight w:val="none"/>
          <w14:textFill>
            <w14:solidFill>
              <w14:schemeClr w14:val="tx1"/>
            </w14:solidFill>
          </w14:textFill>
        </w:rPr>
        <w:t>根据采购人确定的</w:t>
      </w:r>
      <w:r>
        <w:rPr>
          <w:rFonts w:hint="eastAsia" w:ascii="宋体" w:hAnsi="宋体" w:eastAsia="宋体" w:cs="宋体"/>
          <w:color w:val="000000" w:themeColor="text1"/>
          <w:sz w:val="24"/>
          <w:szCs w:val="24"/>
          <w:highlight w:val="none"/>
          <w:lang w:eastAsia="zh-CN"/>
          <w14:textFill>
            <w14:solidFill>
              <w14:schemeClr w14:val="tx1"/>
            </w14:solidFill>
          </w14:textFill>
        </w:rPr>
        <w:t>成交供应商名单</w:t>
      </w:r>
      <w:r>
        <w:rPr>
          <w:rFonts w:hint="eastAsia" w:ascii="宋体" w:hAnsi="宋体" w:eastAsia="宋体" w:cs="宋体"/>
          <w:color w:val="000000" w:themeColor="text1"/>
          <w:sz w:val="24"/>
          <w:szCs w:val="24"/>
          <w:highlight w:val="none"/>
          <w14:textFill>
            <w14:solidFill>
              <w14:schemeClr w14:val="tx1"/>
            </w14:solidFill>
          </w14:textFill>
        </w:rPr>
        <w:t>，代理机构在</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公告发布的同一媒介发布</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公告，同时向</w:t>
      </w:r>
      <w:r>
        <w:rPr>
          <w:rFonts w:hint="eastAsia" w:ascii="宋体" w:hAnsi="宋体" w:eastAsia="宋体" w:cs="宋体"/>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发出</w:t>
      </w:r>
      <w:r>
        <w:rPr>
          <w:rFonts w:hint="eastAsia" w:ascii="宋体" w:hAnsi="宋体" w:eastAsia="宋体" w:cs="宋体"/>
          <w:color w:val="000000" w:themeColor="text1"/>
          <w:sz w:val="24"/>
          <w:szCs w:val="24"/>
          <w:highlight w:val="none"/>
          <w:lang w:eastAsia="zh-CN"/>
          <w14:textFill>
            <w14:solidFill>
              <w14:schemeClr w14:val="tx1"/>
            </w14:solidFill>
          </w14:textFill>
        </w:rPr>
        <w:t>成交通知书</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通知书为签订政府采购合同的依据，是合同的有效组成部分。</w:t>
      </w:r>
    </w:p>
    <w:p w14:paraId="6872EBFF">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2.2</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《成交通知书》是签订政府采购合同的重要依据，对采购人与成交供应商具有法律效力。</w:t>
      </w:r>
    </w:p>
    <w:p w14:paraId="14D3C02D">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签订合同</w:t>
      </w:r>
    </w:p>
    <w:p w14:paraId="117C3940">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3.1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成交供应商和采购人应在《成交通知书》发出</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后及时</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签订政府采购合同，逾期无故不签订的，按《政府采购竞争性磋商采购方式管理暂行办法》及有关规定处理。</w:t>
      </w:r>
    </w:p>
    <w:p w14:paraId="07150785">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3.2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竞争性磋商文件、响应文件、供应商在磋商过程中的承诺以及确认材料，均为合同的有效组成部分。</w:t>
      </w:r>
    </w:p>
    <w:p w14:paraId="3E62E712">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3.3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如果成交供应商不按其响应文件承诺和竞争性磋商文件要求签订政府采购合同，采购人将取消其成交资格。</w:t>
      </w:r>
    </w:p>
    <w:p w14:paraId="33FB3C10">
      <w:pPr>
        <w:keepNext w:val="0"/>
        <w:keepLines w:val="0"/>
        <w:pageBreakBefore w:val="0"/>
        <w:widowControl w:val="0"/>
        <w:kinsoku/>
        <w:wordWrap/>
        <w:overflowPunct w:val="0"/>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七、</w:t>
      </w:r>
      <w:r>
        <w:rPr>
          <w:rFonts w:hint="eastAsia" w:ascii="宋体" w:hAnsi="宋体" w:eastAsia="宋体" w:cs="宋体"/>
          <w:b/>
          <w:bCs/>
          <w:snapToGrid w:val="0"/>
          <w:color w:val="000000" w:themeColor="text1"/>
          <w:kern w:val="0"/>
          <w:sz w:val="24"/>
          <w:szCs w:val="24"/>
          <w:highlight w:val="none"/>
          <w:lang w:val="en-US" w:eastAsia="en-US" w:bidi="ar-SA"/>
          <w14:textFill>
            <w14:solidFill>
              <w14:schemeClr w14:val="tx1"/>
            </w14:solidFill>
          </w14:textFill>
        </w:rPr>
        <w:t>质疑与答复</w:t>
      </w:r>
    </w:p>
    <w:p w14:paraId="1DA5C41B">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44FB5B25">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2.质疑函须按照财政部门发布的质疑函范本格式编制，质疑事项应具体、明确，并有必要的事实依据和法律依据。</w:t>
      </w:r>
    </w:p>
    <w:p w14:paraId="6EA1DE64">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3.接收质疑的方式：</w:t>
      </w:r>
    </w:p>
    <w:p w14:paraId="314947B3">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3.1 在线接收，请质疑人上传质疑函原件扫描件到内乡县公共资源交易系统并电话通知到项目负责人。</w:t>
      </w:r>
    </w:p>
    <w:p w14:paraId="3B5FE66D">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3.2 书面提交，请质疑人将质疑函原件送达或邮寄至采购单位联系人和采购代理机构项目负责人，联系方式及地址详见采购公告。</w:t>
      </w:r>
    </w:p>
    <w:p w14:paraId="48956025">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4.超出法定质疑期的、重复提出的、分次提出的或内容、形式不符合《政府采购质疑和投诉办法》的，采购人和采购代理机构可以拒收，质疑供应商将依法承担不利后果。</w:t>
      </w:r>
    </w:p>
    <w:p w14:paraId="1E455837">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5.采购人和采购代理机构在收到质疑函后7个工作日内作出答复，并以书面形式通知质疑供应商和其他有关供应商。</w:t>
      </w:r>
    </w:p>
    <w:p w14:paraId="57BC7ADA">
      <w:pPr>
        <w:keepNext w:val="0"/>
        <w:keepLines w:val="0"/>
        <w:pageBreakBefore w:val="0"/>
        <w:widowControl w:val="0"/>
        <w:kinsoku/>
        <w:wordWrap/>
        <w:overflowPunct w:val="0"/>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八、</w:t>
      </w:r>
      <w:r>
        <w:rPr>
          <w:rFonts w:hint="eastAsia" w:ascii="宋体" w:hAnsi="宋体" w:eastAsia="宋体" w:cs="宋体"/>
          <w:b/>
          <w:bCs/>
          <w:snapToGrid w:val="0"/>
          <w:color w:val="000000" w:themeColor="text1"/>
          <w:kern w:val="0"/>
          <w:sz w:val="24"/>
          <w:szCs w:val="24"/>
          <w:highlight w:val="none"/>
          <w:lang w:val="en-US" w:eastAsia="en-US" w:bidi="ar-SA"/>
          <w14:textFill>
            <w14:solidFill>
              <w14:schemeClr w14:val="tx1"/>
            </w14:solidFill>
          </w14:textFill>
        </w:rPr>
        <w:t>注意事项</w:t>
      </w:r>
    </w:p>
    <w:p w14:paraId="296E9AA6">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如对竞争性磋商文件有疑问，应于响应文件递交截止时间前1工作日向</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采购人或采购代理机构</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提出。</w:t>
      </w:r>
    </w:p>
    <w:p w14:paraId="2D6C2E43">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供应商必须由法定代表人或授权代表参加磋商，随时接受磋商小组的询问、质疑，并按照磋商小组的要求答复。</w:t>
      </w:r>
    </w:p>
    <w:p w14:paraId="783011FD">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供应商自行承担参加竞争性磋商的全部费用。</w:t>
      </w:r>
    </w:p>
    <w:p w14:paraId="491D6C00">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本竞争性磋商文件最终解释权归</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采购人</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w:t>
      </w:r>
    </w:p>
    <w:p w14:paraId="7D29545A">
      <w:pPr>
        <w:keepNext w:val="0"/>
        <w:keepLines w:val="0"/>
        <w:pageBreakBefore w:val="0"/>
        <w:widowControl w:val="0"/>
        <w:kinsoku/>
        <w:wordWrap/>
        <w:overflowPunct w:val="0"/>
        <w:topLinePunct w:val="0"/>
        <w:autoSpaceDE w:val="0"/>
        <w:autoSpaceDN w:val="0"/>
        <w:bidi w:val="0"/>
        <w:adjustRightInd w:val="0"/>
        <w:snapToGrid w:val="0"/>
        <w:spacing w:line="360" w:lineRule="auto"/>
        <w:jc w:val="center"/>
        <w:textAlignment w:val="baseline"/>
        <w:rPr>
          <w:rFonts w:hint="eastAsia" w:ascii="宋体" w:hAnsi="宋体" w:eastAsia="宋体" w:cs="宋体"/>
          <w:b/>
          <w:bCs/>
          <w:snapToGrid w:val="0"/>
          <w:color w:val="000000" w:themeColor="text1"/>
          <w:spacing w:val="2"/>
          <w:kern w:val="0"/>
          <w:position w:val="17"/>
          <w:sz w:val="32"/>
          <w:szCs w:val="32"/>
          <w:highlight w:val="none"/>
          <w:lang w:val="en-US" w:eastAsia="zh-CN" w:bidi="ar-SA"/>
          <w14:textFill>
            <w14:solidFill>
              <w14:schemeClr w14:val="tx1"/>
            </w14:solidFill>
          </w14:textFill>
        </w:rPr>
      </w:pPr>
    </w:p>
    <w:p w14:paraId="04856161">
      <w:pPr>
        <w:keepNext w:val="0"/>
        <w:keepLines w:val="0"/>
        <w:pageBreakBefore w:val="0"/>
        <w:widowControl w:val="0"/>
        <w:kinsoku/>
        <w:wordWrap/>
        <w:overflowPunct w:val="0"/>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themeColor="text1"/>
          <w:spacing w:val="2"/>
          <w:kern w:val="0"/>
          <w:position w:val="17"/>
          <w:sz w:val="32"/>
          <w:szCs w:val="32"/>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2"/>
          <w:kern w:val="0"/>
          <w:position w:val="17"/>
          <w:sz w:val="32"/>
          <w:szCs w:val="32"/>
          <w:highlight w:val="none"/>
          <w:lang w:val="en-US" w:eastAsia="zh-CN" w:bidi="ar-SA"/>
          <w14:textFill>
            <w14:solidFill>
              <w14:schemeClr w14:val="tx1"/>
            </w14:solidFill>
          </w14:textFill>
        </w:rPr>
        <w:t>河南省政府采购合同融资政策告知函</w:t>
      </w:r>
    </w:p>
    <w:p w14:paraId="2F213B30">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各供应商：</w:t>
      </w:r>
    </w:p>
    <w:p w14:paraId="34FCA3DF">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欢迎贵公司参与河南省政府采购活动!</w:t>
      </w:r>
    </w:p>
    <w:p w14:paraId="5AFB994D">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276AC408">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贷款渠道和提供贷款的金融机构，可在河南省政府采购网“河南省政府采购合同融资平台”查询联系。</w:t>
      </w:r>
    </w:p>
    <w:p w14:paraId="68E49AEC">
      <w:pPr>
        <w:keepNext w:val="0"/>
        <w:keepLines w:val="0"/>
        <w:pageBreakBefore w:val="0"/>
        <w:widowControl w:val="0"/>
        <w:kinsoku/>
        <w:wordWrap/>
        <w:overflowPunct w:val="0"/>
        <w:topLinePunct w:val="0"/>
        <w:autoSpaceDE w:val="0"/>
        <w:autoSpaceDN w:val="0"/>
        <w:bidi w:val="0"/>
        <w:adjustRightInd w:val="0"/>
        <w:snapToGrid w:val="0"/>
        <w:spacing w:after="0" w:line="360" w:lineRule="auto"/>
        <w:ind w:firstLine="430" w:firstLineChars="200"/>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bCs/>
          <w:color w:val="000000" w:themeColor="text1"/>
          <w:spacing w:val="-13"/>
          <w:sz w:val="24"/>
          <w:szCs w:val="24"/>
          <w:highlight w:val="none"/>
          <w14:textFill>
            <w14:solidFill>
              <w14:schemeClr w14:val="tx1"/>
            </w14:solidFill>
          </w14:textFill>
        </w:rPr>
        <w:t>为更大力度激发市场活力和社会创造力，增强发展动力</w:t>
      </w:r>
      <w:r>
        <w:rPr>
          <w:rFonts w:hint="eastAsia" w:ascii="宋体" w:hAnsi="宋体" w:eastAsia="宋体" w:cs="宋体"/>
          <w:b/>
          <w:bCs/>
          <w:color w:val="000000" w:themeColor="text1"/>
          <w:spacing w:val="-13"/>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13"/>
          <w:sz w:val="24"/>
          <w:szCs w:val="24"/>
          <w:highlight w:val="none"/>
          <w14:textFill>
            <w14:solidFill>
              <w14:schemeClr w14:val="tx1"/>
            </w14:solidFill>
          </w14:textFill>
        </w:rPr>
        <w:t>进一步加强政府采购合同线上融资一站式服务（简称</w:t>
      </w:r>
      <w:r>
        <w:rPr>
          <w:rFonts w:hint="eastAsia" w:ascii="宋体" w:hAnsi="宋体" w:eastAsia="宋体" w:cs="宋体"/>
          <w:b/>
          <w:bCs/>
          <w:color w:val="000000" w:themeColor="text1"/>
          <w:spacing w:val="-13"/>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13"/>
          <w:sz w:val="24"/>
          <w:szCs w:val="24"/>
          <w:highlight w:val="none"/>
          <w14:textFill>
            <w14:solidFill>
              <w14:schemeClr w14:val="tx1"/>
            </w14:solidFill>
          </w14:textFill>
        </w:rPr>
        <w:t>政采贷</w:t>
      </w:r>
      <w:r>
        <w:rPr>
          <w:rFonts w:hint="eastAsia" w:ascii="宋体" w:hAnsi="宋体" w:eastAsia="宋体" w:cs="宋体"/>
          <w:b/>
          <w:bCs/>
          <w:color w:val="000000" w:themeColor="text1"/>
          <w:spacing w:val="-13"/>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13"/>
          <w:sz w:val="24"/>
          <w:szCs w:val="24"/>
          <w:highlight w:val="none"/>
          <w14:textFill>
            <w14:solidFill>
              <w14:schemeClr w14:val="tx1"/>
            </w14:solidFill>
          </w14:textFill>
        </w:rPr>
        <w:t>），有需求的供应商，可按上述通知要求办理政采贷。</w:t>
      </w:r>
    </w:p>
    <w:p w14:paraId="0F5398D4">
      <w:pPr>
        <w:rPr>
          <w:rFonts w:hint="eastAsia" w:ascii="宋体" w:hAnsi="宋体" w:eastAsia="宋体" w:cs="宋体"/>
          <w:b/>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pPr>
    </w:p>
    <w:p w14:paraId="29985B1D">
      <w:pPr>
        <w:pStyle w:val="3"/>
        <w:numPr>
          <w:ilvl w:val="0"/>
          <w:numId w:val="3"/>
        </w:numPr>
        <w:bidi w:val="0"/>
        <w:rPr>
          <w:rFonts w:hint="eastAsia" w:ascii="宋体" w:hAnsi="宋体" w:eastAsia="宋体" w:cs="宋体"/>
          <w:b/>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pPr>
      <w:bookmarkStart w:id="12" w:name="_Toc29692"/>
      <w:r>
        <w:rPr>
          <w:rFonts w:hint="eastAsia" w:ascii="宋体" w:hAnsi="宋体" w:eastAsia="宋体" w:cs="宋体"/>
          <w:b/>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t>合同草案条款</w:t>
      </w:r>
      <w:bookmarkEnd w:id="12"/>
    </w:p>
    <w:p w14:paraId="2C508593">
      <w:pPr>
        <w:numPr>
          <w:ilvl w:val="0"/>
          <w:numId w:val="0"/>
        </w:numPr>
        <w:jc w:val="center"/>
        <w:rPr>
          <w:rFonts w:hint="eastAsia" w:eastAsia="宋体"/>
          <w:color w:val="000000" w:themeColor="text1"/>
          <w:sz w:val="24"/>
          <w:szCs w:val="24"/>
          <w:highlight w:val="none"/>
          <w:lang w:eastAsia="zh-CN"/>
          <w14:textFill>
            <w14:solidFill>
              <w14:schemeClr w14:val="tx1"/>
            </w14:solidFill>
          </w14:textFill>
        </w:rPr>
      </w:pPr>
      <w:r>
        <w:rPr>
          <w:rFonts w:hint="eastAsia" w:eastAsia="宋体"/>
          <w:color w:val="000000" w:themeColor="text1"/>
          <w:sz w:val="24"/>
          <w:szCs w:val="24"/>
          <w:highlight w:val="none"/>
          <w:lang w:eastAsia="zh-CN"/>
          <w14:textFill>
            <w14:solidFill>
              <w14:schemeClr w14:val="tx1"/>
            </w14:solidFill>
          </w14:textFill>
        </w:rPr>
        <w:t>（仅供参考）</w:t>
      </w:r>
    </w:p>
    <w:p w14:paraId="51743452">
      <w:pPr>
        <w:pStyle w:val="5"/>
        <w:keepNext w:val="0"/>
        <w:keepLines w:val="0"/>
        <w:pageBreakBefore w:val="0"/>
        <w:kinsoku/>
        <w:wordWrap w:val="0"/>
        <w:overflowPunct/>
        <w:topLinePunct w:val="0"/>
        <w:bidi w:val="0"/>
        <w:spacing w:line="220" w:lineRule="auto"/>
        <w:ind w:left="9"/>
        <w:jc w:val="both"/>
        <w:rPr>
          <w:rFonts w:hint="eastAsia" w:ascii="宋体" w:hAnsi="宋体" w:eastAsia="宋体" w:cs="宋体"/>
          <w:color w:val="000000" w:themeColor="text1"/>
          <w:sz w:val="24"/>
          <w:szCs w:val="24"/>
          <w:highlight w:val="none"/>
          <w14:textFill>
            <w14:solidFill>
              <w14:schemeClr w14:val="tx1"/>
            </w14:solidFill>
          </w14:textFill>
        </w:rPr>
      </w:pPr>
    </w:p>
    <w:p w14:paraId="4D774836">
      <w:pPr>
        <w:spacing w:line="440" w:lineRule="exact"/>
        <w:ind w:firstLine="56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4634582B">
      <w:pPr>
        <w:spacing w:line="440" w:lineRule="exact"/>
        <w:ind w:firstLine="567"/>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w:t>
      </w:r>
      <w:r>
        <w:rPr>
          <w:rFonts w:hint="eastAsia" w:ascii="宋体" w:hAnsi="宋体" w:cs="宋体"/>
          <w:color w:val="000000" w:themeColor="text1"/>
          <w:sz w:val="24"/>
          <w:szCs w:val="24"/>
          <w:highlight w:val="none"/>
          <w:u w:val="single"/>
          <w14:textFill>
            <w14:solidFill>
              <w14:schemeClr w14:val="tx1"/>
            </w14:solidFill>
          </w14:textFill>
        </w:rPr>
        <w:t xml:space="preserve">       （供应商）</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p>
    <w:p w14:paraId="63CE2398">
      <w:pPr>
        <w:spacing w:line="440" w:lineRule="exact"/>
        <w:ind w:firstLine="567"/>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签订时间：</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p>
    <w:p w14:paraId="22E692E7">
      <w:pPr>
        <w:spacing w:line="440" w:lineRule="exact"/>
        <w:ind w:firstLine="567"/>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签订地点：</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p>
    <w:p w14:paraId="5CBA3252">
      <w:pPr>
        <w:shd w:val="clear" w:color="auto" w:fill="FFFFFF"/>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根据《中华人民共和国政府采购法》和《政府采购货物与服务招标投标管理办法》《中华人民共和国民法典》、项目名称: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、响应文件、成交通知书的要求，经甲、乙双方协商，本着平等自愿、诚实信用的原则，签订本合同并遵守以下条款：</w:t>
      </w:r>
    </w:p>
    <w:p w14:paraId="606AEB04">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 xml:space="preserve">第一条 合同文件 </w:t>
      </w:r>
    </w:p>
    <w:p w14:paraId="550447F0">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下列与本次采购活动有关的文件及附件是本合同不可分割的组成部分，与本合同具有同等法律效力，这些文件包括但不限于： </w:t>
      </w:r>
    </w:p>
    <w:p w14:paraId="115E5B63">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r>
        <w:rPr>
          <w:rFonts w:hint="eastAsia" w:ascii="宋体" w:hAnsi="宋体" w:cs="宋体"/>
          <w:color w:val="000000" w:themeColor="text1"/>
          <w:kern w:val="0"/>
          <w:sz w:val="24"/>
          <w:szCs w:val="24"/>
          <w:highlight w:val="none"/>
          <w:lang w:eastAsia="zh-CN" w:bidi="ar"/>
          <w14:textFill>
            <w14:solidFill>
              <w14:schemeClr w14:val="tx1"/>
            </w14:solidFill>
          </w14:textFill>
        </w:rPr>
        <w:t>磋商文件</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24C10282">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2.响应文件 </w:t>
      </w:r>
    </w:p>
    <w:p w14:paraId="7A2727CC">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3.成交通知书 </w:t>
      </w:r>
    </w:p>
    <w:p w14:paraId="2CF72DD1">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4.合同补充条款或说明 </w:t>
      </w:r>
    </w:p>
    <w:p w14:paraId="1BEFED7B">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5.保密协议或条款 </w:t>
      </w:r>
    </w:p>
    <w:p w14:paraId="54047660">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6.相关附件及电子版资料 </w:t>
      </w:r>
    </w:p>
    <w:p w14:paraId="673692E8">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 xml:space="preserve">第二条 服务内容 </w:t>
      </w:r>
    </w:p>
    <w:p w14:paraId="48735AAE">
      <w:pPr>
        <w:autoSpaceDE w:val="0"/>
        <w:autoSpaceDN w:val="0"/>
        <w:spacing w:line="360" w:lineRule="auto"/>
        <w:ind w:firstLine="480" w:firstLineChars="200"/>
        <w:rPr>
          <w:rFonts w:hint="eastAsia" w:ascii="宋体" w:hAnsi="宋体" w:cs="宋体"/>
          <w:color w:val="000000" w:themeColor="text1"/>
          <w:kern w:val="0"/>
          <w:sz w:val="24"/>
          <w:szCs w:val="24"/>
          <w:highlight w:val="none"/>
          <w:u w:val="singl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服务内容：</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w:t>
      </w:r>
    </w:p>
    <w:p w14:paraId="158B27E2">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服务期限：</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505B88E4">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服务地点：</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Times New Roman"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w:t>
      </w:r>
    </w:p>
    <w:p w14:paraId="3B4072CE">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质量：</w:t>
      </w:r>
      <w:r>
        <w:rPr>
          <w:rFonts w:hint="eastAsia" w:ascii="微软雅黑" w:hAnsi="微软雅黑" w:cs="微软雅黑"/>
          <w:color w:val="000000" w:themeColor="text1"/>
          <w:kern w:val="0"/>
          <w:sz w:val="24"/>
          <w:szCs w:val="16"/>
          <w:highlight w:val="none"/>
          <w:u w:val="single"/>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209E0DD8">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 xml:space="preserve">第三条 合同总金额 </w:t>
      </w:r>
    </w:p>
    <w:p w14:paraId="7B23A803">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本合同服务总金额：￥</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 xml:space="preserve">元。 </w:t>
      </w:r>
    </w:p>
    <w:p w14:paraId="128CE589">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大写：</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 xml:space="preserve">元。 </w:t>
      </w:r>
    </w:p>
    <w:p w14:paraId="6164C55C">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 xml:space="preserve">第四条 付款方式 </w:t>
      </w:r>
    </w:p>
    <w:p w14:paraId="1B91B32A">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1.本合同项下所有款项均以人民币支付。 </w:t>
      </w:r>
    </w:p>
    <w:p w14:paraId="2A972D9E">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2.乙方向甲方提交下列文件材料，经甲方审核无误后支付采购资金： </w:t>
      </w:r>
    </w:p>
    <w:p w14:paraId="1491D06C">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（1）经甲方确认的发票； </w:t>
      </w:r>
    </w:p>
    <w:p w14:paraId="6AF67434">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（2）其他材料。 </w:t>
      </w:r>
    </w:p>
    <w:p w14:paraId="166EBE70">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3.付款方式：</w:t>
      </w:r>
      <w:r>
        <w:rPr>
          <w:rFonts w:hint="eastAsia" w:ascii="宋体" w:hAnsi="宋体" w:eastAsia="宋体" w:cs="宋体"/>
          <w:color w:val="auto"/>
          <w:sz w:val="24"/>
          <w:szCs w:val="24"/>
          <w:highlight w:val="none"/>
          <w:lang w:val="en-US" w:eastAsia="zh-CN"/>
        </w:rPr>
        <w:t>合同签订后5日内，预付合同价款的50%，项目完成并验收合格后10日内支付剩余价款的50%</w:t>
      </w:r>
      <w:r>
        <w:rPr>
          <w:rFonts w:hint="eastAsia" w:ascii="宋体" w:hAnsi="宋体" w:eastAsia="宋体" w:cs="宋体"/>
          <w:color w:val="auto"/>
          <w:sz w:val="24"/>
          <w:highlight w:val="none"/>
          <w:lang w:eastAsia="zh-CN"/>
        </w:rPr>
        <w:t>。</w:t>
      </w:r>
    </w:p>
    <w:p w14:paraId="5948A6C6">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 xml:space="preserve">第五条 项目管理服务 </w:t>
      </w:r>
    </w:p>
    <w:p w14:paraId="42C0777A">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1.</w:t>
      </w:r>
      <w:r>
        <w:rPr>
          <w:rFonts w:hint="eastAsia" w:ascii="宋体" w:hAnsi="宋体" w:cs="宋体"/>
          <w:color w:val="000000" w:themeColor="text1"/>
          <w:kern w:val="0"/>
          <w:sz w:val="24"/>
          <w:szCs w:val="24"/>
          <w:highlight w:val="none"/>
          <w:lang w:bidi="ar"/>
          <w14:textFill>
            <w14:solidFill>
              <w14:schemeClr w14:val="tx1"/>
            </w14:solidFill>
          </w14:textFill>
        </w:rPr>
        <w:t xml:space="preserve">乙方要指定不少于一人全权全程负责本项目服务的落实，包括服务的咨询、执行和后续工作。 </w:t>
      </w:r>
    </w:p>
    <w:p w14:paraId="0DBEF0FE">
      <w:pPr>
        <w:spacing w:line="360" w:lineRule="auto"/>
        <w:ind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项目负责人姓名：</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 xml:space="preserve"> ； 联系电话：</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p w14:paraId="0928E83B">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 xml:space="preserve">第六条 合同的生效 </w:t>
      </w:r>
    </w:p>
    <w:p w14:paraId="32205773">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1.本合同经甲乙双方授权代表签字并加盖公章或合同专用章后生效。 </w:t>
      </w:r>
    </w:p>
    <w:p w14:paraId="3679108F">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2.生效后，除《中华人民共和国政府采购法》第 49 条、第 50 条第二款规定的情形外，甲乙双方不得擅自变更、中止或终止合同。 </w:t>
      </w:r>
    </w:p>
    <w:p w14:paraId="3976EA28">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 xml:space="preserve">第七条 违约责任 </w:t>
      </w:r>
    </w:p>
    <w:p w14:paraId="6580ECE7">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1.合同一方违约，违约方向对方支付违约金，违约金额为中标金额的10%。乙方违约，直接从进度款或履约保金中扣除；甲方违约，从合同款项中扣除。</w:t>
      </w:r>
    </w:p>
    <w:p w14:paraId="7FCF12B6">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bookmarkStart w:id="13" w:name="_Toc1630"/>
      <w:bookmarkStart w:id="14" w:name="_Toc8155"/>
      <w:r>
        <w:rPr>
          <w:rFonts w:hint="eastAsia" w:ascii="宋体" w:hAnsi="宋体" w:cs="宋体"/>
          <w:color w:val="000000" w:themeColor="text1"/>
          <w:kern w:val="0"/>
          <w:sz w:val="24"/>
          <w:szCs w:val="24"/>
          <w:highlight w:val="none"/>
          <w:lang w:bidi="ar"/>
          <w14:textFill>
            <w14:solidFill>
              <w14:schemeClr w14:val="tx1"/>
            </w14:solidFill>
          </w14:textFill>
        </w:rPr>
        <w:t>2.乙方给用户造成的实际损失高于违约金的，乙方应给用户对高出违约金的部分予以赔偿。</w:t>
      </w:r>
      <w:bookmarkEnd w:id="13"/>
      <w:bookmarkEnd w:id="14"/>
    </w:p>
    <w:p w14:paraId="4AB79C66">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bookmarkStart w:id="15" w:name="_Toc15751"/>
      <w:bookmarkStart w:id="16" w:name="_Toc23941"/>
      <w:r>
        <w:rPr>
          <w:rFonts w:hint="eastAsia" w:ascii="宋体" w:hAnsi="宋体" w:cs="宋体"/>
          <w:color w:val="000000" w:themeColor="text1"/>
          <w:kern w:val="0"/>
          <w:sz w:val="24"/>
          <w:szCs w:val="24"/>
          <w:highlight w:val="none"/>
          <w:lang w:bidi="ar"/>
          <w14:textFill>
            <w14:solidFill>
              <w14:schemeClr w14:val="tx1"/>
            </w14:solidFill>
          </w14:textFill>
        </w:rPr>
        <w:t>3.乙方迟延履行合同、不完全履行合同或提供的服务不符合</w:t>
      </w:r>
      <w:r>
        <w:rPr>
          <w:rFonts w:hint="eastAsia" w:ascii="宋体" w:hAnsi="宋体" w:cs="宋体"/>
          <w:color w:val="000000" w:themeColor="text1"/>
          <w:kern w:val="0"/>
          <w:sz w:val="24"/>
          <w:szCs w:val="24"/>
          <w:highlight w:val="none"/>
          <w:lang w:eastAsia="zh-CN" w:bidi="ar"/>
          <w14:textFill>
            <w14:solidFill>
              <w14:schemeClr w14:val="tx1"/>
            </w14:solidFill>
          </w14:textFill>
        </w:rPr>
        <w:t>磋商文件</w:t>
      </w:r>
      <w:r>
        <w:rPr>
          <w:rFonts w:hint="eastAsia" w:ascii="宋体" w:hAnsi="宋体" w:cs="宋体"/>
          <w:color w:val="000000" w:themeColor="text1"/>
          <w:kern w:val="0"/>
          <w:sz w:val="24"/>
          <w:szCs w:val="24"/>
          <w:highlight w:val="none"/>
          <w:lang w:bidi="ar"/>
          <w14:textFill>
            <w14:solidFill>
              <w14:schemeClr w14:val="tx1"/>
            </w14:solidFill>
          </w14:textFill>
        </w:rPr>
        <w:t>的要求，除支付违约金外，仍应实际履行合同或重新提供符合要求的服务。</w:t>
      </w:r>
      <w:bookmarkEnd w:id="15"/>
      <w:bookmarkEnd w:id="16"/>
    </w:p>
    <w:p w14:paraId="1FA871FA">
      <w:pPr>
        <w:spacing w:line="360" w:lineRule="auto"/>
        <w:ind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4.甲方有权对乙方提供的服务进行检查，若对服务不满意，可要求乙方进行整改或更换服务人员，直至满意为止。</w:t>
      </w:r>
    </w:p>
    <w:p w14:paraId="3CEB3634">
      <w:pPr>
        <w:spacing w:line="360" w:lineRule="auto"/>
        <w:ind w:firstLine="480" w:firstLineChars="200"/>
        <w:jc w:val="lef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5.乙方在提供服务过程中如造成事故，甲方有权解除合同；由此引起甲方损失及赔偿责任由乙方承担。 </w:t>
      </w:r>
    </w:p>
    <w:p w14:paraId="4C60B2E0">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bookmarkStart w:id="17" w:name="_Toc5115"/>
      <w:bookmarkStart w:id="18" w:name="_Toc8408"/>
      <w:r>
        <w:rPr>
          <w:rFonts w:hint="eastAsia" w:ascii="宋体" w:hAnsi="宋体" w:cs="宋体"/>
          <w:color w:val="000000" w:themeColor="text1"/>
          <w:kern w:val="0"/>
          <w:sz w:val="24"/>
          <w:szCs w:val="24"/>
          <w:highlight w:val="none"/>
          <w:lang w:val="en-US" w:eastAsia="zh-CN" w:bidi="ar"/>
          <w14:textFill>
            <w14:solidFill>
              <w14:schemeClr w14:val="tx1"/>
            </w14:solidFill>
          </w14:textFill>
        </w:rPr>
        <w:t>6</w:t>
      </w:r>
      <w:r>
        <w:rPr>
          <w:rFonts w:hint="eastAsia" w:ascii="宋体" w:hAnsi="宋体" w:cs="宋体"/>
          <w:color w:val="000000" w:themeColor="text1"/>
          <w:kern w:val="0"/>
          <w:sz w:val="24"/>
          <w:szCs w:val="24"/>
          <w:highlight w:val="none"/>
          <w:lang w:bidi="ar"/>
          <w14:textFill>
            <w14:solidFill>
              <w14:schemeClr w14:val="tx1"/>
            </w14:solidFill>
          </w14:textFill>
        </w:rPr>
        <w:t>.甲方和乙方若需签订补充协议，补充协议与该合同具有同等法律效力。</w:t>
      </w:r>
      <w:bookmarkEnd w:id="17"/>
      <w:bookmarkEnd w:id="18"/>
    </w:p>
    <w:p w14:paraId="53AF2681">
      <w:pPr>
        <w:spacing w:line="360" w:lineRule="auto"/>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bookmarkStart w:id="19" w:name="_Toc27685"/>
      <w:bookmarkStart w:id="20" w:name="_Toc2579"/>
      <w:r>
        <w:rPr>
          <w:rFonts w:hint="eastAsia" w:ascii="宋体" w:hAnsi="宋体" w:cs="宋体"/>
          <w:color w:val="000000" w:themeColor="text1"/>
          <w:kern w:val="0"/>
          <w:sz w:val="24"/>
          <w:szCs w:val="24"/>
          <w:highlight w:val="none"/>
          <w:lang w:val="en-US" w:eastAsia="zh-CN" w:bidi="ar"/>
          <w14:textFill>
            <w14:solidFill>
              <w14:schemeClr w14:val="tx1"/>
            </w14:solidFill>
          </w14:textFill>
        </w:rPr>
        <w:t>7</w:t>
      </w:r>
      <w:r>
        <w:rPr>
          <w:rFonts w:hint="eastAsia" w:ascii="宋体" w:hAnsi="宋体" w:cs="宋体"/>
          <w:color w:val="000000" w:themeColor="text1"/>
          <w:kern w:val="0"/>
          <w:sz w:val="24"/>
          <w:szCs w:val="24"/>
          <w:highlight w:val="none"/>
          <w:lang w:bidi="ar"/>
          <w14:textFill>
            <w14:solidFill>
              <w14:schemeClr w14:val="tx1"/>
            </w14:solidFill>
          </w14:textFill>
        </w:rPr>
        <w:t xml:space="preserve">.其它未尽事宜，以《中华人民共和国民法典》规定为准。 </w:t>
      </w:r>
    </w:p>
    <w:bookmarkEnd w:id="19"/>
    <w:bookmarkEnd w:id="20"/>
    <w:p w14:paraId="4543F2A0">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 xml:space="preserve">第八条 不可抗力 </w:t>
      </w:r>
    </w:p>
    <w:p w14:paraId="363B2993">
      <w:pPr>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甲、乙方中任何一方，因不可抗力不能按时或完全履行合同的，应及时通知对方，并在</w:t>
      </w:r>
      <w:r>
        <w:rPr>
          <w:rFonts w:hint="eastAsia" w:ascii="宋体" w:hAnsi="宋体" w:cs="宋体"/>
          <w:color w:val="000000" w:themeColor="text1"/>
          <w:kern w:val="0"/>
          <w:sz w:val="24"/>
          <w:szCs w:val="24"/>
          <w:highlight w:val="none"/>
          <w:u w:val="single"/>
          <w:lang w:bidi="ar"/>
          <w14:textFill>
            <w14:solidFill>
              <w14:schemeClr w14:val="tx1"/>
            </w14:solidFill>
          </w14:textFill>
        </w:rPr>
        <w:t xml:space="preserve">      </w:t>
      </w:r>
      <w:r>
        <w:rPr>
          <w:rFonts w:hint="eastAsia" w:ascii="宋体" w:hAnsi="宋体" w:cs="宋体"/>
          <w:color w:val="000000" w:themeColor="text1"/>
          <w:kern w:val="0"/>
          <w:sz w:val="24"/>
          <w:szCs w:val="24"/>
          <w:highlight w:val="none"/>
          <w:lang w:bidi="ar"/>
          <w14:textFill>
            <w14:solidFill>
              <w14:schemeClr w14:val="tx1"/>
            </w14:solidFill>
          </w14:textFill>
        </w:rPr>
        <w:t xml:space="preserve">个工作日内提供相应证明，结算服务费用。未履行的部分是否继续履行、如何履行等问题，可由双方初步协商，并向主管部门和政府采购管理部门报告。确定为不可抗力原因造成的损失，免予承担责任。 </w:t>
      </w:r>
      <w:r>
        <w:rPr>
          <w:rFonts w:hint="eastAsia" w:ascii="宋体" w:hAnsi="宋体" w:cs="宋体"/>
          <w:color w:val="000000" w:themeColor="text1"/>
          <w:sz w:val="24"/>
          <w:highlight w:val="none"/>
          <w14:textFill>
            <w14:solidFill>
              <w14:schemeClr w14:val="tx1"/>
            </w14:solidFill>
          </w14:textFill>
        </w:rPr>
        <w:t xml:space="preserve">             </w:t>
      </w:r>
    </w:p>
    <w:p w14:paraId="143873B9">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bidi="ar"/>
          <w14:textFill>
            <w14:solidFill>
              <w14:schemeClr w14:val="tx1"/>
            </w14:solidFill>
          </w14:textFill>
        </w:rPr>
        <w:t>第九</w:t>
      </w:r>
      <w:r>
        <w:rPr>
          <w:rFonts w:hint="eastAsia" w:ascii="宋体" w:hAnsi="宋体" w:cs="宋体"/>
          <w:b/>
          <w:color w:val="000000" w:themeColor="text1"/>
          <w:sz w:val="24"/>
          <w:szCs w:val="24"/>
          <w:highlight w:val="none"/>
          <w14:textFill>
            <w14:solidFill>
              <w14:schemeClr w14:val="tx1"/>
            </w14:solidFill>
          </w14:textFill>
        </w:rPr>
        <w:t>条  合同生效及其它</w:t>
      </w:r>
    </w:p>
    <w:p w14:paraId="2ED375AD">
      <w:pPr>
        <w:spacing w:line="360"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w:t>
      </w:r>
      <w:bookmarkStart w:id="21" w:name="_Toc1264"/>
      <w:bookmarkStart w:id="22" w:name="_Toc27824"/>
      <w:r>
        <w:rPr>
          <w:rFonts w:hint="eastAsia" w:ascii="宋体" w:hAnsi="宋体" w:cs="宋体"/>
          <w:color w:val="000000" w:themeColor="text1"/>
          <w:kern w:val="0"/>
          <w:sz w:val="24"/>
          <w:szCs w:val="24"/>
          <w:highlight w:val="none"/>
          <w:lang w:bidi="ar"/>
          <w14:textFill>
            <w14:solidFill>
              <w14:schemeClr w14:val="tx1"/>
            </w14:solidFill>
          </w14:textFill>
        </w:rPr>
        <w:t>合同签订后供需双方即直接产生权利与义务的关系，合同执行过程中出现的问题应按照《中华人民共和国民法典》的规定办理；在合同履行过程中，双方如有争议，经协商无效，任何一方可向需方所在地人民法院提起诉讼。</w:t>
      </w:r>
      <w:bookmarkEnd w:id="21"/>
      <w:bookmarkEnd w:id="22"/>
    </w:p>
    <w:p w14:paraId="2A56352E">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2、合同在执行过程中出现的未尽事宜，双方在不违背本合同和</w:t>
      </w:r>
      <w:r>
        <w:rPr>
          <w:rFonts w:hint="eastAsia" w:ascii="宋体" w:hAnsi="宋体" w:cs="宋体"/>
          <w:color w:val="000000" w:themeColor="text1"/>
          <w:kern w:val="0"/>
          <w:sz w:val="24"/>
          <w:szCs w:val="24"/>
          <w:highlight w:val="none"/>
          <w:lang w:eastAsia="zh-CN" w:bidi="ar"/>
          <w14:textFill>
            <w14:solidFill>
              <w14:schemeClr w14:val="tx1"/>
            </w14:solidFill>
          </w14:textFill>
        </w:rPr>
        <w:t>磋商文件</w:t>
      </w:r>
      <w:r>
        <w:rPr>
          <w:rFonts w:hint="eastAsia" w:ascii="宋体" w:hAnsi="宋体" w:cs="宋体"/>
          <w:color w:val="000000" w:themeColor="text1"/>
          <w:kern w:val="0"/>
          <w:sz w:val="24"/>
          <w:szCs w:val="24"/>
          <w:highlight w:val="none"/>
          <w:lang w:bidi="ar"/>
          <w14:textFill>
            <w14:solidFill>
              <w14:schemeClr w14:val="tx1"/>
            </w14:solidFill>
          </w14:textFill>
        </w:rPr>
        <w:t>的原则下协商解决，协商结果以书面形式盖章记录在案，作为本合同的附件，与本合同具有同等效力</w:t>
      </w:r>
      <w:r>
        <w:rPr>
          <w:rFonts w:hint="eastAsia" w:ascii="宋体" w:hAnsi="宋体" w:cs="宋体"/>
          <w:color w:val="000000" w:themeColor="text1"/>
          <w:sz w:val="24"/>
          <w:szCs w:val="24"/>
          <w:highlight w:val="none"/>
          <w14:textFill>
            <w14:solidFill>
              <w14:schemeClr w14:val="tx1"/>
            </w14:solidFill>
          </w14:textFill>
        </w:rPr>
        <w:t>。</w:t>
      </w:r>
    </w:p>
    <w:p w14:paraId="332AB7C7">
      <w:pPr>
        <w:spacing w:line="360" w:lineRule="auto"/>
        <w:ind w:firstLine="56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3、本合同经甲乙双方法定代表人</w:t>
      </w:r>
      <w:r>
        <w:rPr>
          <w:rFonts w:hint="eastAsia" w:ascii="宋体" w:hAnsi="宋体" w:cs="宋体"/>
          <w:color w:val="000000" w:themeColor="text1"/>
          <w:kern w:val="0"/>
          <w:sz w:val="24"/>
          <w:szCs w:val="24"/>
          <w:highlight w:val="none"/>
          <w14:textFill>
            <w14:solidFill>
              <w14:schemeClr w14:val="tx1"/>
            </w14:solidFill>
          </w14:textFill>
        </w:rPr>
        <w:t>或负责人</w:t>
      </w:r>
      <w:r>
        <w:rPr>
          <w:rFonts w:hint="eastAsia" w:ascii="宋体" w:hAnsi="宋体" w:cs="宋体"/>
          <w:color w:val="000000" w:themeColor="text1"/>
          <w:sz w:val="24"/>
          <w:szCs w:val="24"/>
          <w:highlight w:val="none"/>
          <w14:textFill>
            <w14:solidFill>
              <w14:schemeClr w14:val="tx1"/>
            </w14:solidFill>
          </w14:textFill>
        </w:rPr>
        <w:t>或授权代理人签字盖章后生效。</w:t>
      </w:r>
    </w:p>
    <w:p w14:paraId="1096368B">
      <w:pPr>
        <w:spacing w:line="360" w:lineRule="auto"/>
        <w:ind w:firstLine="56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4、本合同一式四份：甲乙双方各执</w:t>
      </w:r>
      <w:r>
        <w:rPr>
          <w:rFonts w:hint="eastAsia" w:ascii="宋体" w:hAnsi="宋体" w:cs="宋体"/>
          <w:color w:val="000000" w:themeColor="text1"/>
          <w:sz w:val="24"/>
          <w:szCs w:val="24"/>
          <w:highlight w:val="none"/>
          <w:lang w:eastAsia="zh-CN"/>
          <w14:textFill>
            <w14:solidFill>
              <w14:schemeClr w14:val="tx1"/>
            </w14:solidFill>
          </w14:textFill>
        </w:rPr>
        <w:t>两</w:t>
      </w:r>
      <w:r>
        <w:rPr>
          <w:rFonts w:hint="eastAsia" w:ascii="宋体" w:hAnsi="宋体" w:cs="宋体"/>
          <w:color w:val="000000" w:themeColor="text1"/>
          <w:sz w:val="24"/>
          <w:szCs w:val="24"/>
          <w:highlight w:val="none"/>
          <w14:textFill>
            <w14:solidFill>
              <w14:schemeClr w14:val="tx1"/>
            </w14:solidFill>
          </w14:textFill>
        </w:rPr>
        <w:t>份。</w:t>
      </w:r>
    </w:p>
    <w:p w14:paraId="51C0F26F">
      <w:pPr>
        <w:spacing w:line="360" w:lineRule="auto"/>
        <w:ind w:firstLine="600" w:firstLineChars="250"/>
        <w:rPr>
          <w:rFonts w:hint="eastAsia" w:ascii="宋体" w:hAnsi="宋体" w:cs="宋体"/>
          <w:color w:val="000000" w:themeColor="text1"/>
          <w:sz w:val="24"/>
          <w:szCs w:val="24"/>
          <w:highlight w:val="none"/>
          <w14:textFill>
            <w14:solidFill>
              <w14:schemeClr w14:val="tx1"/>
            </w14:solidFill>
          </w14:textFill>
        </w:rPr>
      </w:pPr>
    </w:p>
    <w:p w14:paraId="117F812B">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甲方：（公章）</w:t>
      </w:r>
      <w:r>
        <w:rPr>
          <w:rFonts w:ascii="宋体" w:hAnsi="宋体" w:cs="宋体"/>
          <w:color w:val="000000" w:themeColor="text1"/>
          <w:sz w:val="24"/>
          <w:szCs w:val="24"/>
          <w:highlight w:val="none"/>
          <w14:textFill>
            <w14:solidFill>
              <w14:schemeClr w14:val="tx1"/>
            </w14:solidFill>
          </w14:textFill>
        </w:rPr>
        <w:tab/>
      </w:r>
      <w:r>
        <w:rPr>
          <w:rFonts w:ascii="宋体" w:hAnsi="宋体" w:cs="宋体"/>
          <w:color w:val="000000" w:themeColor="text1"/>
          <w:sz w:val="24"/>
          <w:szCs w:val="24"/>
          <w:highlight w:val="none"/>
          <w14:textFill>
            <w14:solidFill>
              <w14:schemeClr w14:val="tx1"/>
            </w14:solidFill>
          </w14:textFill>
        </w:rPr>
        <w:tab/>
      </w:r>
      <w:r>
        <w:rPr>
          <w:rFonts w:ascii="宋体" w:hAnsi="宋体" w:cs="宋体"/>
          <w:color w:val="000000" w:themeColor="text1"/>
          <w:sz w:val="24"/>
          <w:szCs w:val="24"/>
          <w:highlight w:val="none"/>
          <w14:textFill>
            <w14:solidFill>
              <w14:schemeClr w14:val="tx1"/>
            </w14:solidFill>
          </w14:textFill>
        </w:rPr>
        <w:tab/>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乙方：（公章）</w:t>
      </w:r>
    </w:p>
    <w:p w14:paraId="7AEC60CC">
      <w:pPr>
        <w:spacing w:line="360" w:lineRule="auto"/>
        <w:ind w:firstLine="56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法定代表人（授权代表）：</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法定代表人</w:t>
      </w:r>
      <w:r>
        <w:rPr>
          <w:rFonts w:hint="eastAsia" w:ascii="宋体" w:hAnsi="宋体" w:cs="宋体"/>
          <w:color w:val="000000" w:themeColor="text1"/>
          <w:kern w:val="0"/>
          <w:sz w:val="24"/>
          <w:szCs w:val="24"/>
          <w:highlight w:val="none"/>
          <w14:textFill>
            <w14:solidFill>
              <w14:schemeClr w14:val="tx1"/>
            </w14:solidFill>
          </w14:textFill>
        </w:rPr>
        <w:t>或负责人</w:t>
      </w:r>
      <w:r>
        <w:rPr>
          <w:rFonts w:hint="eastAsia" w:ascii="宋体" w:hAnsi="宋体" w:cs="宋体"/>
          <w:color w:val="000000" w:themeColor="text1"/>
          <w:sz w:val="24"/>
          <w:szCs w:val="24"/>
          <w:highlight w:val="none"/>
          <w14:textFill>
            <w14:solidFill>
              <w14:schemeClr w14:val="tx1"/>
            </w14:solidFill>
          </w14:textFill>
        </w:rPr>
        <w:t>（授权代表）：</w:t>
      </w:r>
    </w:p>
    <w:p w14:paraId="266C9C6E">
      <w:pPr>
        <w:spacing w:line="360" w:lineRule="auto"/>
        <w:ind w:firstLine="56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ascii="宋体" w:hAnsi="宋体" w:cs="宋体"/>
          <w:color w:val="000000" w:themeColor="text1"/>
          <w:sz w:val="24"/>
          <w:szCs w:val="24"/>
          <w:highlight w:val="none"/>
          <w14:textFill>
            <w14:solidFill>
              <w14:schemeClr w14:val="tx1"/>
            </w14:solidFill>
          </w14:textFill>
        </w:rPr>
        <w:tab/>
      </w:r>
      <w:r>
        <w:rPr>
          <w:rFonts w:ascii="宋体" w:hAnsi="宋体" w:cs="宋体"/>
          <w:color w:val="000000" w:themeColor="text1"/>
          <w:sz w:val="24"/>
          <w:szCs w:val="24"/>
          <w:highlight w:val="none"/>
          <w14:textFill>
            <w14:solidFill>
              <w14:schemeClr w14:val="tx1"/>
            </w14:solidFill>
          </w14:textFill>
        </w:rPr>
        <w:tab/>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地址：</w:t>
      </w:r>
    </w:p>
    <w:p w14:paraId="105B08BA">
      <w:pPr>
        <w:spacing w:line="360" w:lineRule="auto"/>
        <w:ind w:firstLine="56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电话：</w:t>
      </w:r>
    </w:p>
    <w:p w14:paraId="1970E230">
      <w:pPr>
        <w:spacing w:line="360" w:lineRule="auto"/>
        <w:ind w:firstLine="56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传真：</w:t>
      </w:r>
    </w:p>
    <w:p w14:paraId="77684642">
      <w:pPr>
        <w:autoSpaceDE w:val="0"/>
        <w:autoSpaceDN w:val="0"/>
        <w:adjustRightIn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开户银行：                         开户银行： </w:t>
      </w:r>
    </w:p>
    <w:p w14:paraId="6DC5A095">
      <w:pPr>
        <w:autoSpaceDE w:val="0"/>
        <w:autoSpaceDN w:val="0"/>
        <w:adjustRightIn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开户名称：                         开户名称： </w:t>
      </w:r>
    </w:p>
    <w:p w14:paraId="049DCDD4">
      <w:pPr>
        <w:autoSpaceDE w:val="0"/>
        <w:autoSpaceDN w:val="0"/>
        <w:adjustRightIn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开户账号：</w:t>
      </w:r>
      <w:r>
        <w:rPr>
          <w:rFonts w:hint="eastAsia" w:ascii="宋体" w:hAnsi="宋体" w:cs="宋体"/>
          <w:color w:val="000000" w:themeColor="text1"/>
          <w:sz w:val="24"/>
          <w:szCs w:val="24"/>
          <w:highlight w:val="none"/>
          <w:lang w:val="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开户账号：</w:t>
      </w:r>
    </w:p>
    <w:p w14:paraId="7DE2B562">
      <w:pPr>
        <w:keepNext w:val="0"/>
        <w:keepLines w:val="0"/>
        <w:pageBreakBefore w:val="0"/>
        <w:numPr>
          <w:ilvl w:val="0"/>
          <w:numId w:val="0"/>
        </w:numPr>
        <w:kinsoku/>
        <w:wordWrap/>
        <w:overflowPunct/>
        <w:topLinePunct w:val="0"/>
        <w:autoSpaceDE/>
        <w:autoSpaceDN/>
        <w:bidi w:val="0"/>
        <w:adjustRightInd/>
        <w:snapToGrid/>
        <w:spacing w:line="380" w:lineRule="exact"/>
        <w:ind w:right="0" w:rightChars="0" w:firstLine="480" w:firstLineChars="200"/>
        <w:textAlignment w:val="auto"/>
        <w:rPr>
          <w:rFonts w:hint="eastAsia" w:ascii="宋体" w:hAnsi="宋体" w:eastAsia="宋体" w:cs="宋体"/>
          <w:b/>
          <w:bCs/>
          <w:color w:val="000000" w:themeColor="text1"/>
          <w:spacing w:val="0"/>
          <w:w w:val="100"/>
          <w:position w:val="0"/>
          <w:sz w:val="24"/>
          <w:szCs w:val="24"/>
          <w:highlight w:val="none"/>
          <w:u w:val="none"/>
          <w:shd w:val="clear" w:color="auto" w:fill="auto"/>
          <w:lang w:val="en-US" w:eastAsia="zh-CN" w:bidi="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14:paraId="5AB4066E">
      <w:pPr>
        <w:rPr>
          <w:rFonts w:hint="eastAsia" w:ascii="宋体" w:hAnsi="宋体" w:eastAsia="宋体" w:cs="宋体"/>
          <w:color w:val="000000" w:themeColor="text1"/>
          <w:szCs w:val="24"/>
          <w:highlight w:val="none"/>
          <w14:textFill>
            <w14:solidFill>
              <w14:schemeClr w14:val="tx1"/>
            </w14:solidFill>
          </w14:textFill>
        </w:rPr>
      </w:pPr>
    </w:p>
    <w:p w14:paraId="3C826CE1">
      <w:pPr>
        <w:keepNext w:val="0"/>
        <w:keepLines w:val="0"/>
        <w:pageBreakBefore w:val="0"/>
        <w:kinsoku/>
        <w:wordWrap w:val="0"/>
        <w:overflowPunct/>
        <w:topLinePunct w:val="0"/>
        <w:bidi w:val="0"/>
        <w:spacing w:line="220" w:lineRule="auto"/>
        <w:jc w:val="both"/>
        <w:rPr>
          <w:rFonts w:hint="eastAsia" w:ascii="宋体" w:hAnsi="宋体" w:eastAsia="宋体" w:cs="宋体"/>
          <w:color w:val="000000" w:themeColor="text1"/>
          <w:sz w:val="24"/>
          <w:szCs w:val="24"/>
          <w:highlight w:val="none"/>
          <w14:textFill>
            <w14:solidFill>
              <w14:schemeClr w14:val="tx1"/>
            </w14:solidFill>
          </w14:textFill>
        </w:rPr>
        <w:sectPr>
          <w:footerReference r:id="rId7" w:type="default"/>
          <w:pgSz w:w="11907" w:h="16840"/>
          <w:pgMar w:top="1440" w:right="1474" w:bottom="1440" w:left="1474" w:header="878" w:footer="886" w:gutter="0"/>
          <w:pgNumType w:fmt="decimal" w:start="1"/>
          <w:cols w:space="720" w:num="1"/>
        </w:sectPr>
      </w:pPr>
    </w:p>
    <w:p w14:paraId="1B225B6B">
      <w:pPr>
        <w:pStyle w:val="3"/>
        <w:bidi w:val="0"/>
        <w:rPr>
          <w:rFonts w:hint="eastAsia" w:ascii="宋体" w:hAnsi="宋体" w:eastAsia="宋体" w:cs="宋体"/>
          <w:b/>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pPr>
      <w:bookmarkStart w:id="23" w:name="_Toc15870"/>
      <w:r>
        <w:rPr>
          <w:rFonts w:hint="eastAsia" w:ascii="宋体" w:hAnsi="宋体" w:eastAsia="宋体" w:cs="宋体"/>
          <w:b/>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t>第六章</w:t>
      </w:r>
      <w:r>
        <w:rPr>
          <w:rFonts w:hint="eastAsia" w:ascii="宋体" w:hAnsi="宋体" w:eastAsia="宋体" w:cs="宋体"/>
          <w:b/>
          <w:color w:val="000000" w:themeColor="text1"/>
          <w:spacing w:val="-1"/>
          <w:sz w:val="36"/>
          <w:szCs w:val="36"/>
          <w:highlight w:val="none"/>
          <w:lang w:val="en-US" w:eastAsia="zh-CN"/>
          <w14:textOutline w14:w="2306" w14:cap="flat" w14:cmpd="sng">
            <w14:solidFill>
              <w14:srgbClr w14:val="000000"/>
            </w14:solidFill>
            <w14:prstDash w14:val="solid"/>
            <w14:miter w14:val="0"/>
          </w14:textOutline>
          <w14:textFill>
            <w14:solidFill>
              <w14:schemeClr w14:val="tx1"/>
            </w14:solidFill>
          </w14:textFill>
        </w:rPr>
        <w:t xml:space="preserve"> </w:t>
      </w:r>
      <w:r>
        <w:rPr>
          <w:rFonts w:hint="eastAsia" w:ascii="宋体" w:hAnsi="宋体" w:eastAsia="宋体" w:cs="宋体"/>
          <w:b/>
          <w:color w:val="000000" w:themeColor="text1"/>
          <w:spacing w:val="-1"/>
          <w:sz w:val="36"/>
          <w:szCs w:val="36"/>
          <w:highlight w:val="none"/>
          <w14:textOutline w14:w="2306" w14:cap="flat" w14:cmpd="sng">
            <w14:solidFill>
              <w14:srgbClr w14:val="000000"/>
            </w14:solidFill>
            <w14:prstDash w14:val="solid"/>
            <w14:miter w14:val="0"/>
          </w14:textOutline>
          <w14:textFill>
            <w14:solidFill>
              <w14:schemeClr w14:val="tx1"/>
            </w14:solidFill>
          </w14:textFill>
        </w:rPr>
        <w:t>响应文件格式</w:t>
      </w:r>
      <w:bookmarkEnd w:id="23"/>
    </w:p>
    <w:p w14:paraId="7E7B6960">
      <w:pPr>
        <w:tabs>
          <w:tab w:val="left" w:pos="7980"/>
        </w:tabs>
        <w:spacing w:line="360" w:lineRule="auto"/>
        <w:ind w:firstLine="3092" w:firstLineChars="1100"/>
        <w:jc w:val="both"/>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pPr>
    </w:p>
    <w:p w14:paraId="3B4465C8">
      <w:pPr>
        <w:tabs>
          <w:tab w:val="left" w:pos="7980"/>
        </w:tabs>
        <w:spacing w:line="360" w:lineRule="auto"/>
        <w:ind w:firstLine="3092" w:firstLineChars="1100"/>
        <w:jc w:val="both"/>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pPr>
    </w:p>
    <w:p w14:paraId="1883FDA8">
      <w:pPr>
        <w:tabs>
          <w:tab w:val="left" w:pos="7980"/>
        </w:tabs>
        <w:spacing w:line="360" w:lineRule="auto"/>
        <w:ind w:firstLine="3092" w:firstLineChars="1100"/>
        <w:jc w:val="both"/>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14:textFill>
            <w14:solidFill>
              <w14:schemeClr w14:val="tx1"/>
            </w14:solidFill>
          </w14:textFill>
        </w:rPr>
        <w:t>（项目名称）</w:t>
      </w:r>
      <w:r>
        <w:rPr>
          <w:rFonts w:hint="eastAsia" w:ascii="宋体" w:hAnsi="宋体" w:eastAsia="宋体" w:cs="宋体"/>
          <w:b/>
          <w:color w:val="000000" w:themeColor="text1"/>
          <w:sz w:val="28"/>
          <w:szCs w:val="28"/>
          <w:highlight w:val="none"/>
          <w:u w:val="single"/>
          <w:lang w:val="en-US" w:eastAsia="zh-CN"/>
          <w14:textFill>
            <w14:solidFill>
              <w14:schemeClr w14:val="tx1"/>
            </w14:solidFill>
          </w14:textFill>
        </w:rPr>
        <w:t xml:space="preserve">     </w:t>
      </w:r>
    </w:p>
    <w:p w14:paraId="383F4DF2">
      <w:pPr>
        <w:spacing w:line="360" w:lineRule="auto"/>
        <w:jc w:val="center"/>
        <w:rPr>
          <w:rFonts w:hint="eastAsia" w:ascii="宋体" w:hAnsi="宋体" w:eastAsia="宋体" w:cs="宋体"/>
          <w:b/>
          <w:bCs/>
          <w:color w:val="000000" w:themeColor="text1"/>
          <w:sz w:val="32"/>
          <w:highlight w:val="none"/>
          <w14:textFill>
            <w14:solidFill>
              <w14:schemeClr w14:val="tx1"/>
            </w14:solidFill>
          </w14:textFill>
        </w:rPr>
      </w:pPr>
    </w:p>
    <w:p w14:paraId="029159D1">
      <w:pPr>
        <w:spacing w:line="360" w:lineRule="auto"/>
        <w:jc w:val="center"/>
        <w:rPr>
          <w:rFonts w:hint="eastAsia" w:ascii="宋体" w:hAnsi="宋体" w:eastAsia="宋体" w:cs="宋体"/>
          <w:b/>
          <w:bCs/>
          <w:color w:val="000000" w:themeColor="text1"/>
          <w:sz w:val="32"/>
          <w:highlight w:val="none"/>
          <w14:textFill>
            <w14:solidFill>
              <w14:schemeClr w14:val="tx1"/>
            </w14:solidFill>
          </w14:textFill>
        </w:rPr>
      </w:pPr>
    </w:p>
    <w:p w14:paraId="43635627">
      <w:pPr>
        <w:spacing w:line="360" w:lineRule="auto"/>
        <w:jc w:val="center"/>
        <w:rPr>
          <w:rFonts w:hint="eastAsia" w:ascii="宋体" w:hAnsi="宋体" w:eastAsia="宋体" w:cs="宋体"/>
          <w:b/>
          <w:bCs/>
          <w:color w:val="000000" w:themeColor="text1"/>
          <w:sz w:val="32"/>
          <w:highlight w:val="none"/>
          <w14:textFill>
            <w14:solidFill>
              <w14:schemeClr w14:val="tx1"/>
            </w14:solidFill>
          </w14:textFill>
        </w:rPr>
      </w:pPr>
    </w:p>
    <w:p w14:paraId="3AC62D5B">
      <w:pPr>
        <w:pStyle w:val="5"/>
        <w:rPr>
          <w:rFonts w:hint="eastAsia" w:ascii="宋体" w:hAnsi="宋体" w:eastAsia="宋体" w:cs="宋体"/>
          <w:color w:val="000000" w:themeColor="text1"/>
          <w:highlight w:val="none"/>
          <w14:textFill>
            <w14:solidFill>
              <w14:schemeClr w14:val="tx1"/>
            </w14:solidFill>
          </w14:textFill>
        </w:rPr>
      </w:pPr>
    </w:p>
    <w:p w14:paraId="5688A57F">
      <w:pPr>
        <w:spacing w:line="360" w:lineRule="auto"/>
        <w:jc w:val="center"/>
        <w:rPr>
          <w:rFonts w:hint="eastAsia" w:ascii="宋体" w:hAnsi="宋体" w:eastAsia="宋体" w:cs="宋体"/>
          <w:b/>
          <w:bCs/>
          <w:color w:val="000000" w:themeColor="text1"/>
          <w:sz w:val="32"/>
          <w:highlight w:val="none"/>
          <w14:textFill>
            <w14:solidFill>
              <w14:schemeClr w14:val="tx1"/>
            </w14:solidFill>
          </w14:textFill>
        </w:rPr>
      </w:pPr>
    </w:p>
    <w:p w14:paraId="7557C499">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84"/>
          <w:highlight w:val="none"/>
          <w14:textFill>
            <w14:solidFill>
              <w14:schemeClr w14:val="tx1"/>
            </w14:solidFill>
          </w14:textFill>
        </w:rPr>
        <w:t>磋商响应文件</w:t>
      </w:r>
    </w:p>
    <w:p w14:paraId="1CC6FAD5">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（项目编号：        ）</w:t>
      </w:r>
    </w:p>
    <w:p w14:paraId="40D750F2">
      <w:pPr>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p>
    <w:p w14:paraId="24935287">
      <w:pPr>
        <w:spacing w:line="360" w:lineRule="auto"/>
        <w:rPr>
          <w:rFonts w:hint="eastAsia" w:ascii="宋体" w:hAnsi="宋体" w:eastAsia="宋体" w:cs="宋体"/>
          <w:color w:val="000000" w:themeColor="text1"/>
          <w:highlight w:val="none"/>
          <w:u w:val="single"/>
          <w14:textFill>
            <w14:solidFill>
              <w14:schemeClr w14:val="tx1"/>
            </w14:solidFill>
          </w14:textFill>
        </w:rPr>
      </w:pPr>
    </w:p>
    <w:p w14:paraId="23E45ADF">
      <w:pPr>
        <w:spacing w:line="360" w:lineRule="auto"/>
        <w:ind w:firstLine="2730" w:firstLineChars="1300"/>
        <w:rPr>
          <w:rFonts w:hint="eastAsia" w:ascii="宋体" w:hAnsi="宋体" w:eastAsia="宋体" w:cs="宋体"/>
          <w:color w:val="000000" w:themeColor="text1"/>
          <w:highlight w:val="none"/>
          <w:u w:val="single"/>
          <w14:textFill>
            <w14:solidFill>
              <w14:schemeClr w14:val="tx1"/>
            </w14:solidFill>
          </w14:textFill>
        </w:rPr>
      </w:pPr>
    </w:p>
    <w:p w14:paraId="575486A9">
      <w:pPr>
        <w:spacing w:line="360" w:lineRule="auto"/>
        <w:ind w:firstLine="2730" w:firstLineChars="1300"/>
        <w:rPr>
          <w:rFonts w:hint="eastAsia" w:ascii="宋体" w:hAnsi="宋体" w:eastAsia="宋体" w:cs="宋体"/>
          <w:color w:val="000000" w:themeColor="text1"/>
          <w:highlight w:val="none"/>
          <w:u w:val="single"/>
          <w14:textFill>
            <w14:solidFill>
              <w14:schemeClr w14:val="tx1"/>
            </w14:solidFill>
          </w14:textFill>
        </w:rPr>
      </w:pPr>
    </w:p>
    <w:p w14:paraId="4717FE4E">
      <w:pPr>
        <w:pStyle w:val="5"/>
        <w:rPr>
          <w:rFonts w:hint="eastAsia" w:ascii="宋体" w:hAnsi="宋体" w:eastAsia="宋体" w:cs="宋体"/>
          <w:color w:val="000000" w:themeColor="text1"/>
          <w:highlight w:val="none"/>
          <w14:textFill>
            <w14:solidFill>
              <w14:schemeClr w14:val="tx1"/>
            </w14:solidFill>
          </w14:textFill>
        </w:rPr>
      </w:pPr>
    </w:p>
    <w:p w14:paraId="1C2ED4FF">
      <w:pPr>
        <w:pStyle w:val="6"/>
        <w:rPr>
          <w:rFonts w:hint="eastAsia" w:ascii="宋体" w:hAnsi="宋体" w:eastAsia="宋体" w:cs="宋体"/>
          <w:color w:val="000000" w:themeColor="text1"/>
          <w:highlight w:val="none"/>
          <w14:textFill>
            <w14:solidFill>
              <w14:schemeClr w14:val="tx1"/>
            </w14:solidFill>
          </w14:textFill>
        </w:rPr>
      </w:pPr>
    </w:p>
    <w:p w14:paraId="10C5312B">
      <w:pPr>
        <w:spacing w:line="360" w:lineRule="auto"/>
        <w:rPr>
          <w:rFonts w:hint="eastAsia" w:ascii="宋体" w:hAnsi="宋体" w:eastAsia="宋体" w:cs="宋体"/>
          <w:color w:val="000000" w:themeColor="text1"/>
          <w:highlight w:val="none"/>
          <w:u w:val="single"/>
          <w14:textFill>
            <w14:solidFill>
              <w14:schemeClr w14:val="tx1"/>
            </w14:solidFill>
          </w14:textFill>
        </w:rPr>
      </w:pPr>
    </w:p>
    <w:p w14:paraId="3723F628">
      <w:pPr>
        <w:spacing w:line="360" w:lineRule="auto"/>
        <w:ind w:firstLine="2730" w:firstLineChars="1300"/>
        <w:rPr>
          <w:rFonts w:hint="eastAsia" w:ascii="宋体" w:hAnsi="宋体" w:eastAsia="宋体" w:cs="宋体"/>
          <w:color w:val="000000" w:themeColor="text1"/>
          <w:highlight w:val="none"/>
          <w:u w:val="single"/>
          <w14:textFill>
            <w14:solidFill>
              <w14:schemeClr w14:val="tx1"/>
            </w14:solidFill>
          </w14:textFill>
        </w:rPr>
      </w:pPr>
    </w:p>
    <w:p w14:paraId="03E0594F">
      <w:pPr>
        <w:pStyle w:val="5"/>
        <w:rPr>
          <w:rFonts w:hint="eastAsia" w:ascii="宋体" w:hAnsi="宋体" w:eastAsia="宋体" w:cs="宋体"/>
          <w:color w:val="000000" w:themeColor="text1"/>
          <w:highlight w:val="none"/>
          <w14:textFill>
            <w14:solidFill>
              <w14:schemeClr w14:val="tx1"/>
            </w14:solidFill>
          </w14:textFill>
        </w:rPr>
      </w:pPr>
    </w:p>
    <w:p w14:paraId="2FA3130A">
      <w:pPr>
        <w:tabs>
          <w:tab w:val="left" w:pos="798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 xml:space="preserve">        </w:t>
      </w:r>
      <w:r>
        <w:rPr>
          <w:rFonts w:hint="eastAsia" w:ascii="宋体" w:hAnsi="宋体" w:eastAsia="宋体" w:cs="宋体"/>
          <w:b/>
          <w:color w:val="000000" w:themeColor="text1"/>
          <w:sz w:val="28"/>
          <w:szCs w:val="28"/>
          <w:highlight w:val="none"/>
          <w:lang w:eastAsia="zh-CN"/>
          <w14:textFill>
            <w14:solidFill>
              <w14:schemeClr w14:val="tx1"/>
            </w14:solidFill>
          </w14:textFill>
        </w:rPr>
        <w:t>供应商</w:t>
      </w:r>
      <w:r>
        <w:rPr>
          <w:rFonts w:hint="eastAsia" w:ascii="宋体" w:hAnsi="宋体" w:eastAsia="宋体" w:cs="宋体"/>
          <w:b/>
          <w:color w:val="000000" w:themeColor="text1"/>
          <w:sz w:val="28"/>
          <w:szCs w:val="28"/>
          <w:highlight w:val="none"/>
          <w14:textFill>
            <w14:solidFill>
              <w14:schemeClr w14:val="tx1"/>
            </w14:solidFill>
          </w14:textFill>
        </w:rPr>
        <w:t>名称：</w:t>
      </w:r>
      <w:r>
        <w:rPr>
          <w:rFonts w:hint="eastAsia" w:ascii="宋体" w:hAnsi="宋体" w:eastAsia="宋体" w:cs="宋体"/>
          <w:b/>
          <w:color w:val="000000" w:themeColor="text1"/>
          <w:sz w:val="24"/>
          <w:szCs w:val="24"/>
          <w:highlight w:val="none"/>
          <w14:textFill>
            <w14:solidFill>
              <w14:schemeClr w14:val="tx1"/>
            </w14:solidFill>
          </w14:textFill>
        </w:rPr>
        <w:t>（电子签章）</w:t>
      </w:r>
    </w:p>
    <w:p w14:paraId="71F8CC0D">
      <w:pPr>
        <w:tabs>
          <w:tab w:val="left" w:pos="7980"/>
        </w:tabs>
        <w:spacing w:line="360" w:lineRule="auto"/>
        <w:ind w:firstLine="1105" w:firstLineChars="393"/>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法定代表人或授权代表：</w:t>
      </w:r>
      <w:r>
        <w:rPr>
          <w:rFonts w:hint="eastAsia" w:ascii="宋体" w:hAnsi="宋体" w:eastAsia="宋体" w:cs="宋体"/>
          <w:b/>
          <w:color w:val="000000" w:themeColor="text1"/>
          <w:sz w:val="24"/>
          <w:szCs w:val="24"/>
          <w:highlight w:val="none"/>
          <w14:textFill>
            <w14:solidFill>
              <w14:schemeClr w14:val="tx1"/>
            </w14:solidFill>
          </w14:textFill>
        </w:rPr>
        <w:t>（电子签章/签名）</w:t>
      </w:r>
      <w:r>
        <w:rPr>
          <w:rFonts w:hint="eastAsia" w:ascii="宋体" w:hAnsi="宋体" w:eastAsia="宋体" w:cs="宋体"/>
          <w:b/>
          <w:color w:val="000000" w:themeColor="text1"/>
          <w:sz w:val="28"/>
          <w:szCs w:val="28"/>
          <w:highlight w:val="none"/>
          <w14:textFill>
            <w14:solidFill>
              <w14:schemeClr w14:val="tx1"/>
            </w14:solidFill>
          </w14:textFill>
        </w:rPr>
        <w:t xml:space="preserve">   </w:t>
      </w:r>
    </w:p>
    <w:p w14:paraId="435BAD19">
      <w:pPr>
        <w:spacing w:line="360" w:lineRule="auto"/>
        <w:ind w:firstLine="1110" w:firstLineChars="395"/>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日        期：</w:t>
      </w:r>
    </w:p>
    <w:p w14:paraId="47E48CA0">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2C5DFF83">
      <w:pPr>
        <w:tabs>
          <w:tab w:val="left" w:pos="7980"/>
        </w:tabs>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目录</w:t>
      </w:r>
    </w:p>
    <w:p w14:paraId="4B42484C">
      <w:pPr>
        <w:tabs>
          <w:tab w:val="left" w:pos="7980"/>
        </w:tabs>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（由</w:t>
      </w:r>
      <w:r>
        <w:rPr>
          <w:rFonts w:hint="eastAsia" w:ascii="宋体" w:hAnsi="宋体" w:eastAsia="宋体" w:cs="宋体"/>
          <w:b/>
          <w:color w:val="000000" w:themeColor="text1"/>
          <w:sz w:val="28"/>
          <w:szCs w:val="28"/>
          <w:highlight w:val="none"/>
          <w:lang w:eastAsia="zh-CN"/>
          <w14:textFill>
            <w14:solidFill>
              <w14:schemeClr w14:val="tx1"/>
            </w14:solidFill>
          </w14:textFill>
        </w:rPr>
        <w:t>供应商</w:t>
      </w:r>
      <w:r>
        <w:rPr>
          <w:rFonts w:hint="eastAsia" w:ascii="宋体" w:hAnsi="宋体" w:eastAsia="宋体" w:cs="宋体"/>
          <w:b/>
          <w:color w:val="000000" w:themeColor="text1"/>
          <w:sz w:val="28"/>
          <w:szCs w:val="28"/>
          <w:highlight w:val="none"/>
          <w14:textFill>
            <w14:solidFill>
              <w14:schemeClr w14:val="tx1"/>
            </w14:solidFill>
          </w14:textFill>
        </w:rPr>
        <w:t>自行编制并设置页码）</w:t>
      </w:r>
    </w:p>
    <w:p w14:paraId="214D2674">
      <w:pPr>
        <w:spacing w:line="360" w:lineRule="auto"/>
        <w:ind w:firstLine="1110" w:firstLineChars="395"/>
        <w:rPr>
          <w:rFonts w:hint="eastAsia" w:ascii="宋体" w:hAnsi="宋体" w:eastAsia="宋体" w:cs="宋体"/>
          <w:b/>
          <w:color w:val="000000" w:themeColor="text1"/>
          <w:sz w:val="28"/>
          <w:szCs w:val="28"/>
          <w:highlight w:val="none"/>
          <w14:textFill>
            <w14:solidFill>
              <w14:schemeClr w14:val="tx1"/>
            </w14:solidFill>
          </w14:textFill>
        </w:rPr>
      </w:pPr>
    </w:p>
    <w:p w14:paraId="322EE697">
      <w:pP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p>
    <w:p w14:paraId="702F973E">
      <w:pP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br w:type="page"/>
      </w:r>
    </w:p>
    <w:p w14:paraId="29795E17">
      <w:pPr>
        <w:keepNext w:val="0"/>
        <w:keepLines w:val="0"/>
        <w:pageBreakBefore w:val="0"/>
        <w:numPr>
          <w:ilvl w:val="0"/>
          <w:numId w:val="0"/>
        </w:numPr>
        <w:kinsoku/>
        <w:wordWrap w:val="0"/>
        <w:overflowPunct/>
        <w:topLinePunct w:val="0"/>
        <w:bidi w:val="0"/>
        <w:spacing w:after="0" w:line="360" w:lineRule="auto"/>
        <w:jc w:val="both"/>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一、</w:t>
      </w:r>
      <w: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t>响应函格式</w:t>
      </w:r>
    </w:p>
    <w:p w14:paraId="40BF3DF9">
      <w:pPr>
        <w:spacing w:line="360" w:lineRule="auto"/>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响应函</w:t>
      </w:r>
    </w:p>
    <w:p w14:paraId="4B88AC90">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04311522">
      <w:pPr>
        <w:keepNext w:val="0"/>
        <w:keepLines w:val="0"/>
        <w:pageBreakBefore w:val="0"/>
        <w:kinsoku/>
        <w:wordWrap w:val="0"/>
        <w:overflowPunct/>
        <w:topLinePunct w:val="0"/>
        <w:bidi w:val="0"/>
        <w:spacing w:after="0" w:line="360" w:lineRule="auto"/>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致：</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采购人或采购代理机构</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w:t>
      </w:r>
    </w:p>
    <w:p w14:paraId="54ED6988">
      <w:pPr>
        <w:keepNext w:val="0"/>
        <w:keepLines w:val="0"/>
        <w:pageBreakBefore w:val="0"/>
        <w:kinsoku/>
        <w:wordWrap w:val="0"/>
        <w:overflowPunct/>
        <w:topLinePunct w:val="0"/>
        <w:bidi w:val="0"/>
        <w:spacing w:after="0" w:line="360" w:lineRule="auto"/>
        <w:ind w:firstLine="567"/>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根据贵方项目编号为____________的</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竞争性磋商文件</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要求，签字代表_________（全名、职务）经正式授权并代表_________（供应商名称、地址）提交包含响应文件组成第</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1</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项至第</w:t>
      </w:r>
      <w:r>
        <w:rPr>
          <w:rFonts w:hint="eastAsia" w:ascii="宋体" w:hAnsi="宋体" w:eastAsia="宋体" w:cs="宋体"/>
          <w:snapToGrid w:val="0"/>
          <w:color w:val="000000" w:themeColor="text1"/>
          <w:spacing w:val="-3"/>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项的响应文件电子版本一份。</w:t>
      </w:r>
    </w:p>
    <w:p w14:paraId="77D8F894">
      <w:pPr>
        <w:keepNext w:val="0"/>
        <w:keepLines w:val="0"/>
        <w:pageBreakBefore w:val="0"/>
        <w:kinsoku/>
        <w:wordWrap w:val="0"/>
        <w:overflowPunct/>
        <w:topLinePunct w:val="0"/>
        <w:bidi w:val="0"/>
        <w:spacing w:after="0" w:line="360" w:lineRule="auto"/>
        <w:ind w:firstLine="567"/>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据此函，签字代表宣布同意并郑重承诺如下：</w:t>
      </w:r>
    </w:p>
    <w:p w14:paraId="784CC700">
      <w:pPr>
        <w:keepNext w:val="0"/>
        <w:keepLines w:val="0"/>
        <w:pageBreakBefore w:val="0"/>
        <w:kinsoku/>
        <w:wordWrap w:val="0"/>
        <w:overflowPunct/>
        <w:topLinePunct w:val="0"/>
        <w:bidi w:val="0"/>
        <w:spacing w:after="0" w:line="360" w:lineRule="auto"/>
        <w:ind w:firstLine="567"/>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1、我方递交的响应文件中所有的资料均为真实的、准确的，无任何虚假内容。若存在有虚假内容，我方愿意承担法律责任。</w:t>
      </w:r>
    </w:p>
    <w:p w14:paraId="0964D6CF">
      <w:pPr>
        <w:keepNext w:val="0"/>
        <w:keepLines w:val="0"/>
        <w:pageBreakBefore w:val="0"/>
        <w:kinsoku/>
        <w:wordWrap w:val="0"/>
        <w:overflowPunct/>
        <w:topLinePunct w:val="0"/>
        <w:bidi w:val="0"/>
        <w:spacing w:after="0" w:line="360" w:lineRule="auto"/>
        <w:ind w:firstLine="567"/>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2、我方已详细审查全部</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竞争性磋商文件</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，包括修改文件（如有的话）以及全部参考资料和有关附件。我们完全理解并同意放弃对这方面有不明白及误解的权利。</w:t>
      </w:r>
    </w:p>
    <w:p w14:paraId="2A06CC9A">
      <w:pPr>
        <w:pStyle w:val="5"/>
        <w:keepNext w:val="0"/>
        <w:keepLines w:val="0"/>
        <w:pageBreakBefore w:val="0"/>
        <w:kinsoku/>
        <w:wordWrap w:val="0"/>
        <w:overflowPunct/>
        <w:topLinePunct w:val="0"/>
        <w:bidi w:val="0"/>
        <w:spacing w:after="0" w:line="360" w:lineRule="auto"/>
        <w:ind w:firstLine="468" w:firstLineChars="200"/>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3、若成交，我方将按照</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竞争性磋商文件</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的具体规定与采购人签订供货安装调试</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或服务</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合同，并且严格按合同履行义务，按时交付使用，保证设备</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或服务</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质量符合</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竞争性磋商文件</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要求，并提供优质服务。如果在合同执行过程中，发现问题，我方一定尽快对其进行调整，并承担相应的经济责任。</w:t>
      </w:r>
    </w:p>
    <w:p w14:paraId="0AEFA8D4">
      <w:pPr>
        <w:pStyle w:val="5"/>
        <w:keepNext w:val="0"/>
        <w:keepLines w:val="0"/>
        <w:pageBreakBefore w:val="0"/>
        <w:kinsoku/>
        <w:wordWrap w:val="0"/>
        <w:overflowPunct/>
        <w:topLinePunct w:val="0"/>
        <w:bidi w:val="0"/>
        <w:spacing w:after="0" w:line="360" w:lineRule="auto"/>
        <w:ind w:firstLine="468" w:firstLineChars="200"/>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4、我方保证，严格遵守</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中华人民共和国</w:t>
      </w:r>
      <w:r>
        <w:rPr>
          <w:rFonts w:hint="eastAsia" w:ascii="宋体" w:hAnsi="宋体" w:eastAsia="宋体" w:cs="宋体"/>
          <w:color w:val="000000" w:themeColor="text1"/>
          <w:sz w:val="24"/>
          <w:szCs w:val="24"/>
          <w:highlight w:val="none"/>
          <w:lang w:eastAsia="zh-CN"/>
          <w14:textFill>
            <w14:solidFill>
              <w14:schemeClr w14:val="tx1"/>
            </w14:solidFill>
          </w14:textFill>
        </w:rPr>
        <w:t>政府采购法》《</w:t>
      </w:r>
      <w:r>
        <w:rPr>
          <w:rFonts w:hint="eastAsia" w:ascii="宋体" w:hAnsi="宋体" w:eastAsia="宋体" w:cs="宋体"/>
          <w:color w:val="000000" w:themeColor="text1"/>
          <w:sz w:val="24"/>
          <w:szCs w:val="24"/>
          <w:highlight w:val="none"/>
          <w:lang w:val="en-US" w:eastAsia="zh-CN"/>
          <w14:textFill>
            <w14:solidFill>
              <w14:schemeClr w14:val="tx1"/>
            </w14:solidFill>
          </w14:textFill>
        </w:rPr>
        <w:t>中华人民共和国</w:t>
      </w:r>
      <w:r>
        <w:rPr>
          <w:rFonts w:hint="eastAsia" w:ascii="宋体" w:hAnsi="宋体" w:eastAsia="宋体" w:cs="宋体"/>
          <w:color w:val="000000" w:themeColor="text1"/>
          <w:sz w:val="24"/>
          <w:szCs w:val="24"/>
          <w:highlight w:val="none"/>
          <w:lang w:eastAsia="zh-CN"/>
          <w14:textFill>
            <w14:solidFill>
              <w14:schemeClr w14:val="tx1"/>
            </w14:solidFill>
          </w14:textFill>
        </w:rPr>
        <w:t>政府采购法实施条例》</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《政府采购竞争性磋商采购方式管理暂行办法》</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及其他相关法律法规的规定，若有违反上述法律法规的行为，愿意接受处罚并承担相应的法律责任。</w:t>
      </w:r>
    </w:p>
    <w:p w14:paraId="388A1E15">
      <w:pPr>
        <w:pStyle w:val="5"/>
        <w:keepNext w:val="0"/>
        <w:keepLines w:val="0"/>
        <w:pageBreakBefore w:val="0"/>
        <w:kinsoku/>
        <w:wordWrap w:val="0"/>
        <w:overflowPunct/>
        <w:topLinePunct w:val="0"/>
        <w:bidi w:val="0"/>
        <w:spacing w:after="0" w:line="360" w:lineRule="auto"/>
        <w:ind w:firstLine="468" w:firstLineChars="200"/>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5、本承诺将成为合同不可分割的一部分，与合同具有同等的法律效力。</w:t>
      </w:r>
    </w:p>
    <w:p w14:paraId="7DADF7BD">
      <w:pPr>
        <w:keepNext w:val="0"/>
        <w:keepLines w:val="0"/>
        <w:pageBreakBefore w:val="0"/>
        <w:kinsoku/>
        <w:wordWrap w:val="0"/>
        <w:overflowPunct/>
        <w:topLinePunct w:val="0"/>
        <w:bidi w:val="0"/>
        <w:spacing w:after="0" w:line="360" w:lineRule="auto"/>
        <w:ind w:firstLine="567"/>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p>
    <w:p w14:paraId="41F347B1">
      <w:pPr>
        <w:keepNext w:val="0"/>
        <w:keepLines w:val="0"/>
        <w:pageBreakBefore w:val="0"/>
        <w:kinsoku/>
        <w:wordWrap w:val="0"/>
        <w:overflowPunct/>
        <w:topLinePunct w:val="0"/>
        <w:bidi w:val="0"/>
        <w:spacing w:after="0" w:line="360" w:lineRule="auto"/>
        <w:ind w:firstLine="1170" w:firstLineChars="500"/>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供应商名称（公章）：</w:t>
      </w:r>
    </w:p>
    <w:p w14:paraId="4F7D3265">
      <w:pPr>
        <w:keepNext w:val="0"/>
        <w:keepLines w:val="0"/>
        <w:pageBreakBefore w:val="0"/>
        <w:kinsoku/>
        <w:wordWrap w:val="0"/>
        <w:overflowPunct/>
        <w:topLinePunct w:val="0"/>
        <w:bidi w:val="0"/>
        <w:spacing w:after="0" w:line="360" w:lineRule="auto"/>
        <w:ind w:firstLine="1170" w:firstLineChars="500"/>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法定代表人或负责人或被授权人签名（或盖章）：</w:t>
      </w:r>
    </w:p>
    <w:p w14:paraId="4F62A8DF">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宋体" w:hAnsi="宋体" w:eastAsia="宋体" w:cs="宋体"/>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zh-CN" w:eastAsia="zh-CN" w:bidi="ar-SA"/>
          <w14:textFill>
            <w14:solidFill>
              <w14:schemeClr w14:val="tx1"/>
            </w14:solidFill>
          </w14:textFill>
        </w:rPr>
        <w:t>日期：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日</w:t>
      </w:r>
    </w:p>
    <w:p w14:paraId="07712766">
      <w:pPr>
        <w:keepNext w:val="0"/>
        <w:keepLines w:val="0"/>
        <w:pageBreakBefore w:val="0"/>
        <w:kinsoku/>
        <w:wordWrap w:val="0"/>
        <w:overflowPunct/>
        <w:topLinePunct w:val="0"/>
        <w:bidi w:val="0"/>
        <w:spacing w:after="0" w:line="360" w:lineRule="auto"/>
        <w:jc w:val="both"/>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pPr>
    </w:p>
    <w:p w14:paraId="6B69B6F9">
      <w:pPr>
        <w:keepNext w:val="0"/>
        <w:keepLines w:val="0"/>
        <w:pageBreakBefore w:val="0"/>
        <w:kinsoku/>
        <w:wordWrap w:val="0"/>
        <w:overflowPunct/>
        <w:topLinePunct w:val="0"/>
        <w:bidi w:val="0"/>
        <w:spacing w:after="0" w:line="360" w:lineRule="auto"/>
        <w:jc w:val="both"/>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pPr>
    </w:p>
    <w:p w14:paraId="5A591A28">
      <w:pPr>
        <w:keepNext w:val="0"/>
        <w:keepLines w:val="0"/>
        <w:pageBreakBefore w:val="0"/>
        <w:kinsoku/>
        <w:wordWrap w:val="0"/>
        <w:overflowPunct/>
        <w:topLinePunct w:val="0"/>
        <w:bidi w:val="0"/>
        <w:spacing w:after="0" w:line="360" w:lineRule="auto"/>
        <w:jc w:val="both"/>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pPr>
    </w:p>
    <w:p w14:paraId="74B6746A">
      <w:pP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br w:type="page"/>
      </w:r>
    </w:p>
    <w:p w14:paraId="3512833C">
      <w:pPr>
        <w:keepNext w:val="0"/>
        <w:keepLines w:val="0"/>
        <w:pageBreakBefore w:val="0"/>
        <w:kinsoku/>
        <w:wordWrap w:val="0"/>
        <w:overflowPunct/>
        <w:topLinePunct w:val="0"/>
        <w:bidi w:val="0"/>
        <w:spacing w:after="0" w:line="360" w:lineRule="auto"/>
        <w:jc w:val="both"/>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t>二、法定代表人或负责人授权委托书格式：</w:t>
      </w:r>
    </w:p>
    <w:p w14:paraId="6DE5A505">
      <w:pPr>
        <w:keepNext w:val="0"/>
        <w:keepLines w:val="0"/>
        <w:pageBreakBefore w:val="0"/>
        <w:kinsoku/>
        <w:wordWrap w:val="0"/>
        <w:overflowPunct/>
        <w:topLinePunct w:val="0"/>
        <w:bidi w:val="0"/>
        <w:spacing w:after="0" w:line="360" w:lineRule="auto"/>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p>
    <w:p w14:paraId="658483C2">
      <w:pPr>
        <w:keepNext w:val="0"/>
        <w:keepLines w:val="0"/>
        <w:pageBreakBefore w:val="0"/>
        <w:kinsoku/>
        <w:wordWrap w:val="0"/>
        <w:overflowPunct/>
        <w:topLinePunct w:val="0"/>
        <w:bidi w:val="0"/>
        <w:spacing w:after="0" w:line="360" w:lineRule="auto"/>
        <w:jc w:val="cente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t>法定代表人或负责人授权委托书</w:t>
      </w:r>
    </w:p>
    <w:p w14:paraId="670142D2">
      <w:pPr>
        <w:keepNext w:val="0"/>
        <w:keepLines w:val="0"/>
        <w:pageBreakBefore w:val="0"/>
        <w:kinsoku/>
        <w:wordWrap w:val="0"/>
        <w:overflowPunct/>
        <w:topLinePunct w:val="0"/>
        <w:bidi w:val="0"/>
        <w:spacing w:after="0" w:line="360" w:lineRule="auto"/>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p>
    <w:p w14:paraId="48308ECC">
      <w:pPr>
        <w:keepNext w:val="0"/>
        <w:keepLines w:val="0"/>
        <w:pageBreakBefore w:val="0"/>
        <w:kinsoku/>
        <w:wordWrap w:val="0"/>
        <w:overflowPunct/>
        <w:topLinePunct w:val="0"/>
        <w:bidi w:val="0"/>
        <w:spacing w:after="0" w:line="360" w:lineRule="auto"/>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致</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采购人或采购代理机构</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w:t>
      </w:r>
    </w:p>
    <w:p w14:paraId="4C8F751F">
      <w:pPr>
        <w:keepNext w:val="0"/>
        <w:keepLines w:val="0"/>
        <w:pageBreakBefore w:val="0"/>
        <w:kinsoku/>
        <w:wordWrap w:val="0"/>
        <w:overflowPunct/>
        <w:topLinePunct w:val="0"/>
        <w:bidi w:val="0"/>
        <w:spacing w:after="0" w:line="360" w:lineRule="auto"/>
        <w:ind w:firstLine="702" w:firstLineChars="300"/>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我</w:t>
      </w:r>
      <w:r>
        <w:rPr>
          <w:rFonts w:hint="eastAsia" w:ascii="宋体" w:hAnsi="宋体" w:eastAsia="宋体" w:cs="宋体"/>
          <w:snapToGrid w:val="0"/>
          <w:color w:val="000000" w:themeColor="text1"/>
          <w:spacing w:val="-3"/>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（姓名）系</w:t>
      </w:r>
      <w:r>
        <w:rPr>
          <w:rFonts w:hint="eastAsia" w:ascii="宋体" w:hAnsi="宋体" w:eastAsia="宋体" w:cs="宋体"/>
          <w:snapToGrid w:val="0"/>
          <w:color w:val="000000" w:themeColor="text1"/>
          <w:spacing w:val="-3"/>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（供应商名称）的法定代表人或负责人，现授权委托本单位在职职工</w:t>
      </w:r>
      <w:r>
        <w:rPr>
          <w:rFonts w:hint="eastAsia" w:ascii="宋体" w:hAnsi="宋体" w:eastAsia="宋体" w:cs="宋体"/>
          <w:snapToGrid w:val="0"/>
          <w:color w:val="000000" w:themeColor="text1"/>
          <w:spacing w:val="-3"/>
          <w:kern w:val="0"/>
          <w:sz w:val="24"/>
          <w:szCs w:val="24"/>
          <w:highlight w:val="none"/>
          <w:u w:val="single"/>
          <w:lang w:val="en-US" w:eastAsia="en-US" w:bidi="ar-SA"/>
          <w14:textFill>
            <w14:solidFill>
              <w14:schemeClr w14:val="tx1"/>
            </w14:solidFill>
          </w14:textFill>
        </w:rPr>
        <w:t>（姓名）</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以我方的名义参加</w:t>
      </w:r>
      <w:r>
        <w:rPr>
          <w:rFonts w:hint="eastAsia" w:ascii="宋体" w:hAnsi="宋体" w:eastAsia="宋体" w:cs="宋体"/>
          <w:snapToGrid w:val="0"/>
          <w:color w:val="000000" w:themeColor="text1"/>
          <w:spacing w:val="-3"/>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项目的</w:t>
      </w: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竞争性磋商</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活动，并代表我方全权办理针对上述项目的具体事务和签署相关文件。我方对被授权人的签名事项负全部责任。</w:t>
      </w:r>
    </w:p>
    <w:p w14:paraId="30DB8F38">
      <w:pPr>
        <w:keepNext w:val="0"/>
        <w:keepLines w:val="0"/>
        <w:pageBreakBefore w:val="0"/>
        <w:kinsoku/>
        <w:wordWrap w:val="0"/>
        <w:overflowPunct/>
        <w:topLinePunct w:val="0"/>
        <w:bidi w:val="0"/>
        <w:spacing w:after="0" w:line="360" w:lineRule="auto"/>
        <w:ind w:firstLine="480"/>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在撤销授权的书面通知以前，本授权书一直有效。被授权人在授权书有效期内签署的所有文件不因授权的撤销而失效。</w:t>
      </w:r>
    </w:p>
    <w:p w14:paraId="328A3F67">
      <w:pPr>
        <w:keepNext w:val="0"/>
        <w:keepLines w:val="0"/>
        <w:pageBreakBefore w:val="0"/>
        <w:kinsoku/>
        <w:wordWrap w:val="0"/>
        <w:overflowPunct/>
        <w:topLinePunct w:val="0"/>
        <w:bidi w:val="0"/>
        <w:spacing w:after="0" w:line="360" w:lineRule="auto"/>
        <w:ind w:firstLine="480"/>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被授权人无转委托权，特此委托。</w:t>
      </w:r>
    </w:p>
    <w:p w14:paraId="39D72EFF">
      <w:pPr>
        <w:keepNext w:val="0"/>
        <w:keepLines w:val="0"/>
        <w:pageBreakBefore w:val="0"/>
        <w:kinsoku/>
        <w:wordWrap w:val="0"/>
        <w:overflowPunct/>
        <w:topLinePunct w:val="0"/>
        <w:bidi w:val="0"/>
        <w:spacing w:after="0" w:line="360" w:lineRule="auto"/>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p>
    <w:p w14:paraId="2831517C">
      <w:pPr>
        <w:keepNext w:val="0"/>
        <w:keepLines w:val="0"/>
        <w:pageBreakBefore w:val="0"/>
        <w:kinsoku/>
        <w:wordWrap w:val="0"/>
        <w:overflowPunct/>
        <w:topLinePunct w:val="0"/>
        <w:bidi w:val="0"/>
        <w:spacing w:after="0" w:line="360" w:lineRule="auto"/>
        <w:ind w:firstLine="2574" w:firstLineChars="1100"/>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法定代表人或负责人签名（或盖章）：</w:t>
      </w:r>
    </w:p>
    <w:p w14:paraId="2F8B8582">
      <w:pPr>
        <w:keepNext w:val="0"/>
        <w:keepLines w:val="0"/>
        <w:pageBreakBefore w:val="0"/>
        <w:kinsoku/>
        <w:wordWrap w:val="0"/>
        <w:overflowPunct/>
        <w:topLinePunct w:val="0"/>
        <w:bidi w:val="0"/>
        <w:spacing w:after="0" w:line="360" w:lineRule="auto"/>
        <w:ind w:firstLine="2574" w:firstLineChars="1100"/>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被授权人签名（或盖章）：</w:t>
      </w:r>
    </w:p>
    <w:p w14:paraId="411824D0">
      <w:pPr>
        <w:keepNext w:val="0"/>
        <w:keepLines w:val="0"/>
        <w:pageBreakBefore w:val="0"/>
        <w:kinsoku/>
        <w:wordWrap w:val="0"/>
        <w:overflowPunct/>
        <w:topLinePunct w:val="0"/>
        <w:bidi w:val="0"/>
        <w:spacing w:after="0" w:line="360" w:lineRule="auto"/>
        <w:ind w:firstLine="2574" w:firstLineChars="1100"/>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职务：</w:t>
      </w:r>
    </w:p>
    <w:p w14:paraId="5AB0AE1B">
      <w:pPr>
        <w:keepNext w:val="0"/>
        <w:keepLines w:val="0"/>
        <w:pageBreakBefore w:val="0"/>
        <w:kinsoku/>
        <w:wordWrap w:val="0"/>
        <w:overflowPunct/>
        <w:topLinePunct w:val="0"/>
        <w:bidi w:val="0"/>
        <w:spacing w:after="0" w:line="360" w:lineRule="auto"/>
        <w:ind w:firstLine="2634" w:firstLineChars="1126"/>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联系电话：</w:t>
      </w:r>
    </w:p>
    <w:p w14:paraId="1BE8A47B">
      <w:pPr>
        <w:keepNext w:val="0"/>
        <w:keepLines w:val="0"/>
        <w:pageBreakBefore w:val="0"/>
        <w:kinsoku/>
        <w:wordWrap w:val="0"/>
        <w:overflowPunct/>
        <w:topLinePunct w:val="0"/>
        <w:bidi w:val="0"/>
        <w:spacing w:after="0" w:line="360" w:lineRule="auto"/>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p>
    <w:p w14:paraId="615D208F">
      <w:pPr>
        <w:keepNext w:val="0"/>
        <w:keepLines w:val="0"/>
        <w:pageBreakBefore w:val="0"/>
        <w:kinsoku/>
        <w:wordWrap w:val="0"/>
        <w:overflowPunct/>
        <w:topLinePunct w:val="0"/>
        <w:bidi w:val="0"/>
        <w:spacing w:after="0" w:line="360" w:lineRule="auto"/>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法定代表人或负责人、被授权人身份证复印件</w:t>
      </w:r>
    </w:p>
    <w:p w14:paraId="62FCAB84">
      <w:pPr>
        <w:keepNext w:val="0"/>
        <w:keepLines w:val="0"/>
        <w:pageBreakBefore w:val="0"/>
        <w:kinsoku/>
        <w:wordWrap w:val="0"/>
        <w:overflowPunct/>
        <w:topLinePunct w:val="0"/>
        <w:bidi w:val="0"/>
        <w:spacing w:after="0" w:line="360" w:lineRule="auto"/>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p>
    <w:p w14:paraId="433CA4B4">
      <w:pPr>
        <w:keepNext w:val="0"/>
        <w:keepLines w:val="0"/>
        <w:pageBreakBefore w:val="0"/>
        <w:kinsoku/>
        <w:wordWrap w:val="0"/>
        <w:overflowPunct/>
        <w:topLinePunct w:val="0"/>
        <w:bidi w:val="0"/>
        <w:spacing w:after="0" w:line="360" w:lineRule="auto"/>
        <w:ind w:firstLine="6786" w:firstLineChars="2900"/>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p>
    <w:p w14:paraId="313BD12D">
      <w:pPr>
        <w:keepNext w:val="0"/>
        <w:keepLines w:val="0"/>
        <w:pageBreakBefore w:val="0"/>
        <w:kinsoku/>
        <w:wordWrap w:val="0"/>
        <w:overflowPunct/>
        <w:topLinePunct w:val="0"/>
        <w:bidi w:val="0"/>
        <w:spacing w:after="0" w:line="360" w:lineRule="auto"/>
        <w:ind w:left="0" w:leftChars="0" w:firstLine="5257" w:firstLineChars="2247"/>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供应商公章：</w:t>
      </w:r>
    </w:p>
    <w:p w14:paraId="4179D02A">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宋体" w:hAnsi="宋体" w:eastAsia="宋体" w:cs="宋体"/>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zh-CN" w:eastAsia="zh-CN" w:bidi="ar-SA"/>
          <w14:textFill>
            <w14:solidFill>
              <w14:schemeClr w14:val="tx1"/>
            </w14:solidFill>
          </w14:textFill>
        </w:rPr>
        <w:t>日期：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日</w:t>
      </w:r>
    </w:p>
    <w:p w14:paraId="1C5531DE">
      <w:pPr>
        <w:keepNext w:val="0"/>
        <w:keepLines w:val="0"/>
        <w:pageBreakBefore w:val="0"/>
        <w:kinsoku/>
        <w:wordWrap w:val="0"/>
        <w:overflowPunct/>
        <w:topLinePunct w:val="0"/>
        <w:bidi w:val="0"/>
        <w:spacing w:after="0" w:line="360" w:lineRule="auto"/>
        <w:jc w:val="both"/>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sectPr>
          <w:headerReference r:id="rId8" w:type="default"/>
          <w:footerReference r:id="rId9" w:type="default"/>
          <w:pgSz w:w="11906" w:h="16838"/>
          <w:pgMar w:top="1440" w:right="1474" w:bottom="1440" w:left="1474" w:header="851" w:footer="992" w:gutter="0"/>
          <w:pgNumType w:fmt="decimal"/>
          <w:cols w:space="720" w:num="1"/>
          <w:docGrid w:type="lines" w:linePitch="312" w:charSpace="0"/>
        </w:sectPr>
      </w:pPr>
    </w:p>
    <w:p w14:paraId="4B9FEB77">
      <w:pPr>
        <w:keepNext w:val="0"/>
        <w:keepLines w:val="0"/>
        <w:pageBreakBefore w:val="0"/>
        <w:numPr>
          <w:ilvl w:val="0"/>
          <w:numId w:val="0"/>
        </w:numPr>
        <w:kinsoku/>
        <w:wordWrap w:val="0"/>
        <w:overflowPunct/>
        <w:topLinePunct w:val="0"/>
        <w:bidi w:val="0"/>
        <w:snapToGrid w:val="0"/>
        <w:spacing w:line="360" w:lineRule="auto"/>
        <w:jc w:val="both"/>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三、</w:t>
      </w:r>
      <w:r>
        <w:rPr>
          <w:rFonts w:hint="eastAsia" w:ascii="宋体" w:hAnsi="宋体" w:eastAsia="宋体" w:cs="宋体"/>
          <w:b/>
          <w:bCs/>
          <w:snapToGrid w:val="0"/>
          <w:color w:val="000000" w:themeColor="text1"/>
          <w:spacing w:val="-3"/>
          <w:kern w:val="0"/>
          <w:sz w:val="24"/>
          <w:szCs w:val="24"/>
          <w:highlight w:val="none"/>
          <w:lang w:val="en-US" w:eastAsia="en-US" w:bidi="ar-SA"/>
          <w14:textFill>
            <w14:solidFill>
              <w14:schemeClr w14:val="tx1"/>
            </w14:solidFill>
          </w14:textFill>
        </w:rPr>
        <w:t>报价一览表格式：</w:t>
      </w:r>
    </w:p>
    <w:p w14:paraId="0780EBF6">
      <w:pPr>
        <w:keepNext w:val="0"/>
        <w:keepLines w:val="0"/>
        <w:pageBreakBefore w:val="0"/>
        <w:numPr>
          <w:ilvl w:val="0"/>
          <w:numId w:val="0"/>
        </w:numPr>
        <w:kinsoku/>
        <w:wordWrap w:val="0"/>
        <w:overflowPunct/>
        <w:topLinePunct w:val="0"/>
        <w:bidi w:val="0"/>
        <w:snapToGrid w:val="0"/>
        <w:spacing w:line="360" w:lineRule="auto"/>
        <w:jc w:val="both"/>
        <w:rPr>
          <w:rFonts w:hint="eastAsia" w:ascii="宋体" w:hAnsi="宋体" w:eastAsia="宋体" w:cs="宋体"/>
          <w:snapToGrid w:val="0"/>
          <w:color w:val="000000" w:themeColor="text1"/>
          <w:spacing w:val="24"/>
          <w:kern w:val="0"/>
          <w:sz w:val="24"/>
          <w:szCs w:val="24"/>
          <w:highlight w:val="none"/>
          <w:lang w:val="en-US" w:eastAsia="zh-CN" w:bidi="ar-SA"/>
          <w14:textOutline w14:w="1537"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服务类</w:t>
      </w:r>
    </w:p>
    <w:p w14:paraId="4A9D1961">
      <w:pPr>
        <w:keepNext w:val="0"/>
        <w:keepLines w:val="0"/>
        <w:pageBreakBefore w:val="0"/>
        <w:numPr>
          <w:ilvl w:val="0"/>
          <w:numId w:val="0"/>
        </w:numPr>
        <w:kinsoku/>
        <w:wordWrap w:val="0"/>
        <w:overflowPunct/>
        <w:topLinePunct w:val="0"/>
        <w:bidi w:val="0"/>
        <w:snapToGrid w:val="0"/>
        <w:spacing w:line="360" w:lineRule="auto"/>
        <w:jc w:val="both"/>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t>报价型：</w:t>
      </w:r>
    </w:p>
    <w:tbl>
      <w:tblPr>
        <w:tblStyle w:val="14"/>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36E8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8F9569B">
            <w:pPr>
              <w:keepNext w:val="0"/>
              <w:keepLines w:val="0"/>
              <w:pageBreakBefore w:val="0"/>
              <w:kinsoku/>
              <w:wordWrap w:val="0"/>
              <w:overflowPunct/>
              <w:topLinePunct w:val="0"/>
              <w:bidi w:val="0"/>
              <w:spacing w:line="360" w:lineRule="auto"/>
              <w:jc w:val="both"/>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91E17E8">
            <w:pPr>
              <w:keepNext w:val="0"/>
              <w:keepLines w:val="0"/>
              <w:pageBreakBefore w:val="0"/>
              <w:kinsoku/>
              <w:wordWrap w:val="0"/>
              <w:overflowPunct/>
              <w:topLinePunct w:val="0"/>
              <w:bidi w:val="0"/>
              <w:spacing w:line="360" w:lineRule="auto"/>
              <w:jc w:val="both"/>
              <w:rPr>
                <w:rFonts w:hint="eastAsia" w:ascii="宋体" w:hAnsi="宋体" w:eastAsia="宋体" w:cs="宋体"/>
                <w:snapToGrid w:val="0"/>
                <w:color w:val="000000" w:themeColor="text1"/>
                <w:spacing w:val="24"/>
                <w:kern w:val="0"/>
                <w:sz w:val="24"/>
                <w:szCs w:val="24"/>
                <w:highlight w:val="none"/>
                <w:lang w:val="en-US" w:eastAsia="zh-CN" w:bidi="ar-SA"/>
                <w14:textOutline w14:w="1537" w14:cap="flat" w14:cmpd="sng">
                  <w14:solidFill>
                    <w14:srgbClr w14:val="000000"/>
                  </w14:solidFill>
                  <w14:prstDash w14:val="solid"/>
                  <w14:miter w14:val="0"/>
                </w14:textOutline>
                <w14:textFill>
                  <w14:solidFill>
                    <w14:schemeClr w14:val="tx1"/>
                  </w14:solidFill>
                </w14:textFill>
              </w:rPr>
            </w:pPr>
          </w:p>
        </w:tc>
      </w:tr>
      <w:tr w14:paraId="44E7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3B39026">
            <w:pPr>
              <w:keepNext w:val="0"/>
              <w:keepLines w:val="0"/>
              <w:pageBreakBefore w:val="0"/>
              <w:kinsoku/>
              <w:wordWrap w:val="0"/>
              <w:overflowPunct/>
              <w:topLinePunct w:val="0"/>
              <w:bidi w:val="0"/>
              <w:spacing w:line="360" w:lineRule="auto"/>
              <w:jc w:val="both"/>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56D882A">
            <w:pPr>
              <w:keepNext w:val="0"/>
              <w:keepLines w:val="0"/>
              <w:pageBreakBefore w:val="0"/>
              <w:kinsoku/>
              <w:wordWrap w:val="0"/>
              <w:overflowPunct/>
              <w:topLinePunct w:val="0"/>
              <w:bidi w:val="0"/>
              <w:spacing w:line="360" w:lineRule="auto"/>
              <w:jc w:val="both"/>
              <w:rPr>
                <w:rFonts w:hint="eastAsia" w:ascii="宋体" w:hAnsi="宋体" w:eastAsia="宋体" w:cs="宋体"/>
                <w:snapToGrid w:val="0"/>
                <w:color w:val="000000" w:themeColor="text1"/>
                <w:spacing w:val="24"/>
                <w:kern w:val="0"/>
                <w:sz w:val="24"/>
                <w:szCs w:val="24"/>
                <w:highlight w:val="none"/>
                <w:lang w:val="en-US" w:eastAsia="zh-CN" w:bidi="ar-SA"/>
                <w14:textOutline w14:w="1537" w14:cap="flat" w14:cmpd="sng">
                  <w14:solidFill>
                    <w14:srgbClr w14:val="000000"/>
                  </w14:solidFill>
                  <w14:prstDash w14:val="solid"/>
                  <w14:miter w14:val="0"/>
                </w14:textOutline>
                <w14:textFill>
                  <w14:solidFill>
                    <w14:schemeClr w14:val="tx1"/>
                  </w14:solidFill>
                </w14:textFill>
              </w:rPr>
            </w:pPr>
          </w:p>
        </w:tc>
      </w:tr>
      <w:tr w14:paraId="6BDF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2C70DF9">
            <w:pPr>
              <w:keepNext w:val="0"/>
              <w:keepLines w:val="0"/>
              <w:pageBreakBefore w:val="0"/>
              <w:kinsoku/>
              <w:wordWrap w:val="0"/>
              <w:overflowPunct/>
              <w:topLinePunct w:val="0"/>
              <w:bidi w:val="0"/>
              <w:spacing w:line="360" w:lineRule="auto"/>
              <w:jc w:val="both"/>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供应商</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8174611">
            <w:pPr>
              <w:keepNext w:val="0"/>
              <w:keepLines w:val="0"/>
              <w:pageBreakBefore w:val="0"/>
              <w:kinsoku/>
              <w:wordWrap w:val="0"/>
              <w:overflowPunct/>
              <w:topLinePunct w:val="0"/>
              <w:bidi w:val="0"/>
              <w:spacing w:line="360" w:lineRule="auto"/>
              <w:jc w:val="both"/>
              <w:rPr>
                <w:rFonts w:hint="eastAsia" w:ascii="宋体" w:hAnsi="宋体" w:eastAsia="宋体" w:cs="宋体"/>
                <w:snapToGrid w:val="0"/>
                <w:color w:val="000000" w:themeColor="text1"/>
                <w:spacing w:val="24"/>
                <w:kern w:val="0"/>
                <w:sz w:val="24"/>
                <w:szCs w:val="24"/>
                <w:highlight w:val="none"/>
                <w:lang w:val="en-US" w:eastAsia="zh-CN" w:bidi="ar-SA"/>
                <w14:textOutline w14:w="1537" w14:cap="flat" w14:cmpd="sng">
                  <w14:solidFill>
                    <w14:srgbClr w14:val="000000"/>
                  </w14:solidFill>
                  <w14:prstDash w14:val="solid"/>
                  <w14:miter w14:val="0"/>
                </w14:textOutline>
                <w14:textFill>
                  <w14:solidFill>
                    <w14:schemeClr w14:val="tx1"/>
                  </w14:solidFill>
                </w14:textFill>
              </w:rPr>
            </w:pPr>
          </w:p>
        </w:tc>
      </w:tr>
      <w:tr w14:paraId="6E61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EEAA4ED">
            <w:pPr>
              <w:keepNext w:val="0"/>
              <w:keepLines w:val="0"/>
              <w:pageBreakBefore w:val="0"/>
              <w:kinsoku/>
              <w:wordWrap w:val="0"/>
              <w:overflowPunct/>
              <w:topLinePunct w:val="0"/>
              <w:bidi w:val="0"/>
              <w:spacing w:line="360" w:lineRule="auto"/>
              <w:jc w:val="both"/>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磋商报价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3D3E609E">
            <w:pPr>
              <w:keepNext w:val="0"/>
              <w:keepLines w:val="0"/>
              <w:pageBreakBefore w:val="0"/>
              <w:kinsoku/>
              <w:wordWrap w:val="0"/>
              <w:overflowPunct/>
              <w:topLinePunct w:val="0"/>
              <w:bidi w:val="0"/>
              <w:spacing w:line="360" w:lineRule="auto"/>
              <w:jc w:val="both"/>
              <w:rPr>
                <w:rFonts w:hint="eastAsia" w:ascii="宋体" w:hAnsi="宋体" w:eastAsia="宋体" w:cs="宋体"/>
                <w:snapToGrid w:val="0"/>
                <w:color w:val="000000" w:themeColor="text1"/>
                <w:spacing w:val="24"/>
                <w:kern w:val="0"/>
                <w:sz w:val="24"/>
                <w:szCs w:val="24"/>
                <w:highlight w:val="none"/>
                <w:lang w:val="en-US" w:eastAsia="zh-CN" w:bidi="ar-SA"/>
                <w14:textOutline w14:w="1537"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snapToGrid w:val="0"/>
                <w:color w:val="000000" w:themeColor="text1"/>
                <w:spacing w:val="-8"/>
                <w:kern w:val="0"/>
                <w:sz w:val="24"/>
                <w:szCs w:val="24"/>
                <w:highlight w:val="none"/>
                <w:lang w:val="en-US" w:eastAsia="zh-CN" w:bidi="ar-SA"/>
                <w14:textFill>
                  <w14:solidFill>
                    <w14:schemeClr w14:val="tx1"/>
                  </w14:solidFill>
                </w14:textFill>
              </w:rPr>
              <w:t>大写：               （￥：       ）</w:t>
            </w:r>
          </w:p>
        </w:tc>
      </w:tr>
      <w:tr w14:paraId="5592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F71281">
            <w:pPr>
              <w:keepNext w:val="0"/>
              <w:keepLines w:val="0"/>
              <w:pageBreakBefore w:val="0"/>
              <w:kinsoku/>
              <w:wordWrap w:val="0"/>
              <w:overflowPunct/>
              <w:topLinePunct w:val="0"/>
              <w:bidi w:val="0"/>
              <w:spacing w:line="360" w:lineRule="auto"/>
              <w:jc w:val="both"/>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完成时间</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EAF9F94">
            <w:pPr>
              <w:keepNext w:val="0"/>
              <w:keepLines w:val="0"/>
              <w:pageBreakBefore w:val="0"/>
              <w:kinsoku/>
              <w:wordWrap w:val="0"/>
              <w:overflowPunct/>
              <w:topLinePunct w:val="0"/>
              <w:bidi w:val="0"/>
              <w:spacing w:line="360" w:lineRule="auto"/>
              <w:jc w:val="both"/>
              <w:rPr>
                <w:rFonts w:hint="eastAsia" w:ascii="宋体" w:hAnsi="宋体" w:eastAsia="宋体" w:cs="宋体"/>
                <w:snapToGrid w:val="0"/>
                <w:color w:val="000000" w:themeColor="text1"/>
                <w:spacing w:val="24"/>
                <w:kern w:val="0"/>
                <w:sz w:val="24"/>
                <w:szCs w:val="24"/>
                <w:highlight w:val="none"/>
                <w:lang w:val="en-US" w:eastAsia="zh-CN" w:bidi="ar-SA"/>
                <w14:textOutline w14:w="1537" w14:cap="flat" w14:cmpd="sng">
                  <w14:solidFill>
                    <w14:srgbClr w14:val="000000"/>
                  </w14:solidFill>
                  <w14:prstDash w14:val="solid"/>
                  <w14:miter w14:val="0"/>
                </w14:textOutline>
                <w14:textFill>
                  <w14:solidFill>
                    <w14:schemeClr w14:val="tx1"/>
                  </w14:solidFill>
                </w14:textFill>
              </w:rPr>
            </w:pPr>
          </w:p>
        </w:tc>
      </w:tr>
      <w:tr w14:paraId="787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4CBB642">
            <w:pPr>
              <w:keepNext w:val="0"/>
              <w:keepLines w:val="0"/>
              <w:pageBreakBefore w:val="0"/>
              <w:kinsoku/>
              <w:wordWrap w:val="0"/>
              <w:overflowPunct/>
              <w:topLinePunct w:val="0"/>
              <w:bidi w:val="0"/>
              <w:spacing w:line="360" w:lineRule="auto"/>
              <w:jc w:val="both"/>
              <w:rPr>
                <w:rFonts w:hint="default"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129377DC">
            <w:pPr>
              <w:keepNext w:val="0"/>
              <w:keepLines w:val="0"/>
              <w:pageBreakBefore w:val="0"/>
              <w:kinsoku/>
              <w:wordWrap w:val="0"/>
              <w:overflowPunct/>
              <w:topLinePunct w:val="0"/>
              <w:bidi w:val="0"/>
              <w:spacing w:line="360" w:lineRule="auto"/>
              <w:jc w:val="both"/>
              <w:rPr>
                <w:rFonts w:hint="eastAsia" w:ascii="宋体" w:hAnsi="宋体" w:eastAsia="宋体" w:cs="宋体"/>
                <w:snapToGrid w:val="0"/>
                <w:color w:val="000000" w:themeColor="text1"/>
                <w:spacing w:val="24"/>
                <w:kern w:val="0"/>
                <w:sz w:val="24"/>
                <w:szCs w:val="24"/>
                <w:highlight w:val="none"/>
                <w:lang w:val="en-US" w:eastAsia="zh-CN" w:bidi="ar-SA"/>
                <w14:textOutline w14:w="1537" w14:cap="flat" w14:cmpd="sng">
                  <w14:solidFill>
                    <w14:srgbClr w14:val="000000"/>
                  </w14:solidFill>
                  <w14:prstDash w14:val="solid"/>
                  <w14:miter w14:val="0"/>
                </w14:textOutline>
                <w14:textFill>
                  <w14:solidFill>
                    <w14:schemeClr w14:val="tx1"/>
                  </w14:solidFill>
                </w14:textFill>
              </w:rPr>
            </w:pPr>
          </w:p>
        </w:tc>
      </w:tr>
      <w:tr w14:paraId="5B35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0EBF19">
            <w:pPr>
              <w:keepNext w:val="0"/>
              <w:keepLines w:val="0"/>
              <w:pageBreakBefore w:val="0"/>
              <w:kinsoku/>
              <w:wordWrap w:val="0"/>
              <w:overflowPunct/>
              <w:topLinePunct w:val="0"/>
              <w:bidi w:val="0"/>
              <w:spacing w:line="360" w:lineRule="auto"/>
              <w:jc w:val="both"/>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响应有效期</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3AFBC8C0">
            <w:pPr>
              <w:keepNext w:val="0"/>
              <w:keepLines w:val="0"/>
              <w:pageBreakBefore w:val="0"/>
              <w:kinsoku/>
              <w:wordWrap w:val="0"/>
              <w:overflowPunct/>
              <w:topLinePunct w:val="0"/>
              <w:bidi w:val="0"/>
              <w:spacing w:line="360" w:lineRule="auto"/>
              <w:jc w:val="both"/>
              <w:rPr>
                <w:rFonts w:hint="eastAsia" w:ascii="宋体" w:hAnsi="宋体" w:eastAsia="宋体" w:cs="宋体"/>
                <w:snapToGrid w:val="0"/>
                <w:color w:val="000000" w:themeColor="text1"/>
                <w:spacing w:val="24"/>
                <w:kern w:val="0"/>
                <w:sz w:val="24"/>
                <w:szCs w:val="24"/>
                <w:highlight w:val="none"/>
                <w:lang w:val="en-US" w:eastAsia="zh-CN" w:bidi="ar-SA"/>
                <w14:textOutline w14:w="1537" w14:cap="flat" w14:cmpd="sng">
                  <w14:solidFill>
                    <w14:srgbClr w14:val="000000"/>
                  </w14:solidFill>
                  <w14:prstDash w14:val="solid"/>
                  <w14:miter w14:val="0"/>
                </w14:textOutline>
                <w14:textFill>
                  <w14:solidFill>
                    <w14:schemeClr w14:val="tx1"/>
                  </w14:solidFill>
                </w14:textFill>
              </w:rPr>
            </w:pPr>
          </w:p>
        </w:tc>
      </w:tr>
      <w:tr w14:paraId="336B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9E155A2">
            <w:pPr>
              <w:keepNext w:val="0"/>
              <w:keepLines w:val="0"/>
              <w:pageBreakBefore w:val="0"/>
              <w:kinsoku/>
              <w:wordWrap w:val="0"/>
              <w:overflowPunct/>
              <w:topLinePunct w:val="0"/>
              <w:bidi w:val="0"/>
              <w:spacing w:line="360" w:lineRule="auto"/>
              <w:jc w:val="both"/>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538215F">
            <w:pPr>
              <w:keepNext w:val="0"/>
              <w:keepLines w:val="0"/>
              <w:pageBreakBefore w:val="0"/>
              <w:kinsoku/>
              <w:wordWrap w:val="0"/>
              <w:overflowPunct/>
              <w:topLinePunct w:val="0"/>
              <w:bidi w:val="0"/>
              <w:spacing w:line="360" w:lineRule="auto"/>
              <w:jc w:val="both"/>
              <w:rPr>
                <w:rFonts w:hint="eastAsia" w:ascii="宋体" w:hAnsi="宋体" w:eastAsia="宋体" w:cs="宋体"/>
                <w:snapToGrid w:val="0"/>
                <w:color w:val="000000" w:themeColor="text1"/>
                <w:spacing w:val="24"/>
                <w:kern w:val="0"/>
                <w:sz w:val="24"/>
                <w:szCs w:val="24"/>
                <w:highlight w:val="none"/>
                <w:lang w:val="en-US" w:eastAsia="zh-CN" w:bidi="ar-SA"/>
                <w14:textOutline w14:w="1537" w14:cap="flat" w14:cmpd="sng">
                  <w14:solidFill>
                    <w14:srgbClr w14:val="000000"/>
                  </w14:solidFill>
                  <w14:prstDash w14:val="solid"/>
                  <w14:miter w14:val="0"/>
                </w14:textOutline>
                <w14:textFill>
                  <w14:solidFill>
                    <w14:schemeClr w14:val="tx1"/>
                  </w14:solidFill>
                </w14:textFill>
              </w:rPr>
            </w:pPr>
          </w:p>
          <w:p w14:paraId="775D8432">
            <w:pPr>
              <w:keepNext w:val="0"/>
              <w:keepLines w:val="0"/>
              <w:pageBreakBefore w:val="0"/>
              <w:kinsoku/>
              <w:wordWrap w:val="0"/>
              <w:overflowPunct/>
              <w:topLinePunct w:val="0"/>
              <w:bidi w:val="0"/>
              <w:spacing w:line="360" w:lineRule="auto"/>
              <w:jc w:val="both"/>
              <w:rPr>
                <w:rFonts w:hint="eastAsia" w:ascii="宋体" w:hAnsi="宋体" w:eastAsia="宋体" w:cs="宋体"/>
                <w:snapToGrid w:val="0"/>
                <w:color w:val="000000" w:themeColor="text1"/>
                <w:spacing w:val="24"/>
                <w:kern w:val="0"/>
                <w:sz w:val="24"/>
                <w:szCs w:val="24"/>
                <w:highlight w:val="none"/>
                <w:lang w:val="en-US" w:eastAsia="zh-CN" w:bidi="ar-SA"/>
                <w14:textOutline w14:w="1537" w14:cap="flat" w14:cmpd="sng">
                  <w14:solidFill>
                    <w14:srgbClr w14:val="000000"/>
                  </w14:solidFill>
                  <w14:prstDash w14:val="solid"/>
                  <w14:miter w14:val="0"/>
                </w14:textOutline>
                <w14:textFill>
                  <w14:solidFill>
                    <w14:schemeClr w14:val="tx1"/>
                  </w14:solidFill>
                </w14:textFill>
              </w:rPr>
            </w:pPr>
          </w:p>
        </w:tc>
      </w:tr>
    </w:tbl>
    <w:p w14:paraId="6F5DD319">
      <w:pPr>
        <w:keepNext w:val="0"/>
        <w:keepLines w:val="0"/>
        <w:pageBreakBefore w:val="0"/>
        <w:kinsoku/>
        <w:wordWrap w:val="0"/>
        <w:overflowPunct/>
        <w:topLinePunct w:val="0"/>
        <w:bidi w:val="0"/>
        <w:spacing w:line="360" w:lineRule="auto"/>
        <w:jc w:val="both"/>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pPr>
    </w:p>
    <w:p w14:paraId="4ACCB5D7">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供应商（全称）：（电子签章）</w:t>
      </w:r>
    </w:p>
    <w:p w14:paraId="5BDE8B7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 xml:space="preserve">法定代表人（负责人）或其授权代表（电子签章/签名）： </w:t>
      </w:r>
    </w:p>
    <w:p w14:paraId="2FD6164E">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宋体" w:hAnsi="宋体" w:eastAsia="宋体" w:cs="宋体"/>
          <w:b/>
          <w:bCs/>
          <w:snapToGrid w:val="0"/>
          <w:color w:val="000000" w:themeColor="text1"/>
          <w:spacing w:val="-8"/>
          <w:kern w:val="0"/>
          <w:sz w:val="24"/>
          <w:szCs w:val="24"/>
          <w:highlight w:val="none"/>
          <w:lang w:val="zh-CN" w:eastAsia="zh-CN" w:bidi="ar-SA"/>
          <w14:textFill>
            <w14:solidFill>
              <w14:schemeClr w14:val="tx1"/>
            </w14:solidFill>
          </w14:textFill>
        </w:rPr>
      </w:pP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日期：</w:t>
      </w:r>
      <w:r>
        <w:rPr>
          <w:rFonts w:hint="eastAsia" w:ascii="宋体" w:hAnsi="宋体" w:eastAsia="宋体" w:cs="宋体"/>
          <w:b/>
          <w:bCs/>
          <w:snapToGrid w:val="0"/>
          <w:color w:val="000000" w:themeColor="text1"/>
          <w:spacing w:val="-8"/>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年</w:t>
      </w:r>
      <w:r>
        <w:rPr>
          <w:rFonts w:hint="eastAsia" w:ascii="宋体" w:hAnsi="宋体" w:eastAsia="宋体" w:cs="宋体"/>
          <w:b/>
          <w:bCs/>
          <w:snapToGrid w:val="0"/>
          <w:color w:val="000000" w:themeColor="text1"/>
          <w:spacing w:val="-8"/>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月</w:t>
      </w:r>
      <w:r>
        <w:rPr>
          <w:rFonts w:hint="eastAsia" w:ascii="宋体" w:hAnsi="宋体" w:eastAsia="宋体" w:cs="宋体"/>
          <w:b/>
          <w:bCs/>
          <w:snapToGrid w:val="0"/>
          <w:color w:val="000000" w:themeColor="text1"/>
          <w:spacing w:val="-8"/>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日</w:t>
      </w:r>
    </w:p>
    <w:p w14:paraId="76F570B3">
      <w:pPr>
        <w:keepNext w:val="0"/>
        <w:keepLines w:val="0"/>
        <w:pageBreakBefore w:val="0"/>
        <w:kinsoku/>
        <w:wordWrap w:val="0"/>
        <w:overflowPunct/>
        <w:topLinePunct w:val="0"/>
        <w:bidi w:val="0"/>
        <w:spacing w:line="360" w:lineRule="auto"/>
        <w:jc w:val="both"/>
        <w:rPr>
          <w:rFonts w:hint="eastAsia" w:ascii="宋体" w:hAnsi="宋体" w:eastAsia="宋体" w:cs="宋体"/>
          <w:snapToGrid w:val="0"/>
          <w:color w:val="000000" w:themeColor="text1"/>
          <w:spacing w:val="24"/>
          <w:kern w:val="0"/>
          <w:sz w:val="24"/>
          <w:szCs w:val="24"/>
          <w:highlight w:val="none"/>
          <w:lang w:val="en-US" w:eastAsia="zh-CN" w:bidi="ar-SA"/>
          <w14:textOutline w14:w="1537" w14:cap="flat" w14:cmpd="sng">
            <w14:solidFill>
              <w14:srgbClr w14:val="000000"/>
            </w14:solidFill>
            <w14:prstDash w14:val="solid"/>
            <w14:miter w14:val="0"/>
          </w14:textOutline>
          <w14:textFill>
            <w14:solidFill>
              <w14:schemeClr w14:val="tx1"/>
            </w14:solidFill>
          </w14:textFill>
        </w:rPr>
      </w:pPr>
    </w:p>
    <w:p w14:paraId="1381B08D">
      <w:pPr>
        <w:keepNext w:val="0"/>
        <w:keepLines w:val="0"/>
        <w:pageBreakBefore w:val="0"/>
        <w:kinsoku/>
        <w:wordWrap w:val="0"/>
        <w:overflowPunct/>
        <w:topLinePunct w:val="0"/>
        <w:bidi w:val="0"/>
        <w:spacing w:line="360" w:lineRule="auto"/>
        <w:jc w:val="both"/>
        <w:rPr>
          <w:rFonts w:hint="eastAsia" w:ascii="宋体" w:hAnsi="宋体" w:eastAsia="宋体" w:cs="宋体"/>
          <w:snapToGrid w:val="0"/>
          <w:color w:val="000000" w:themeColor="text1"/>
          <w:spacing w:val="24"/>
          <w:kern w:val="0"/>
          <w:sz w:val="24"/>
          <w:szCs w:val="24"/>
          <w:highlight w:val="none"/>
          <w:lang w:val="en-US" w:eastAsia="zh-CN" w:bidi="ar-SA"/>
          <w14:textOutline w14:w="1537" w14:cap="flat" w14:cmpd="sng">
            <w14:solidFill>
              <w14:srgbClr w14:val="000000"/>
            </w14:solidFill>
            <w14:prstDash w14:val="solid"/>
            <w14:miter w14:val="0"/>
          </w14:textOutline>
          <w14:textFill>
            <w14:solidFill>
              <w14:schemeClr w14:val="tx1"/>
            </w14:solidFill>
          </w14:textFill>
        </w:rPr>
      </w:pPr>
    </w:p>
    <w:p w14:paraId="532DA89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四、营业执照副本、企业资质、依法缴纳税收和社会保障资金的缴费凭证、审计或财务报告、</w:t>
      </w:r>
      <w:r>
        <w:rPr>
          <w:rFonts w:hint="eastAsia" w:ascii="宋体" w:hAnsi="宋体" w:eastAsia="宋体" w:cs="宋体"/>
          <w:b/>
          <w:bCs/>
          <w:color w:val="000000" w:themeColor="text1"/>
          <w:sz w:val="24"/>
          <w:szCs w:val="24"/>
          <w:highlight w:val="none"/>
          <w:lang w:eastAsia="zh-CN"/>
          <w14:textFill>
            <w14:solidFill>
              <w14:schemeClr w14:val="tx1"/>
            </w14:solidFill>
          </w14:textFill>
        </w:rPr>
        <w:t>具有履行合同所必需的设备和专业技术能力的承诺、</w:t>
      </w: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近三年内在经营活动中没有重大违法记录的声明、无行贿犯罪记录承诺函、信用查询等；</w:t>
      </w:r>
    </w:p>
    <w:p w14:paraId="2912E2F4">
      <w:pPr>
        <w:keepNext w:val="0"/>
        <w:keepLines w:val="0"/>
        <w:pageBreakBefore w:val="0"/>
        <w:kinsoku/>
        <w:wordWrap w:val="0"/>
        <w:overflowPunct/>
        <w:topLinePunct w:val="0"/>
        <w:bidi w:val="0"/>
        <w:spacing w:line="360" w:lineRule="auto"/>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审计或财务报告</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说明：</w:t>
      </w:r>
    </w:p>
    <w:p w14:paraId="1CB22782">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提供本单位上年度经会计师事务所出具的审计报告或本公司出具的财务报表或提供银行出具的证明文件。银行出具的证明文件应能说明该</w:t>
      </w:r>
      <w:r>
        <w:rPr>
          <w:rFonts w:hint="eastAsia" w:ascii="宋体" w:hAnsi="宋体" w:eastAsia="宋体" w:cs="宋体"/>
          <w:color w:val="000000" w:themeColor="text1"/>
          <w:spacing w:val="2"/>
          <w:sz w:val="24"/>
          <w:szCs w:val="24"/>
          <w:highlight w:val="none"/>
          <w14:textFill>
            <w14:solidFill>
              <w14:schemeClr w14:val="tx1"/>
            </w14:solidFill>
          </w14:textFill>
        </w:rPr>
        <w:t>供应商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与银行之间业务往来正常，企业信誉良好等。</w:t>
      </w:r>
    </w:p>
    <w:p w14:paraId="1FC770F2">
      <w:pPr>
        <w:keepNext w:val="0"/>
        <w:keepLines w:val="0"/>
        <w:pageBreakBefore w:val="0"/>
        <w:kinsoku/>
        <w:wordWrap w:val="0"/>
        <w:overflowPunct/>
        <w:topLinePunct w:val="0"/>
        <w:bidi w:val="0"/>
        <w:spacing w:line="360" w:lineRule="auto"/>
        <w:ind w:firstLine="480" w:firstLineChars="200"/>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2"/>
          <w:sz w:val="24"/>
          <w:szCs w:val="24"/>
          <w:highlight w:val="none"/>
          <w14:textFill>
            <w14:solidFill>
              <w14:schemeClr w14:val="tx1"/>
            </w14:solidFill>
          </w14:textFill>
        </w:rPr>
        <w:t>供应商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提供企业有关财务会计制度。</w:t>
      </w:r>
    </w:p>
    <w:p w14:paraId="254857B5">
      <w:pPr>
        <w:keepNext w:val="0"/>
        <w:keepLines w:val="0"/>
        <w:pageBreakBefore w:val="0"/>
        <w:kinsoku/>
        <w:wordWrap w:val="0"/>
        <w:overflowPunct/>
        <w:topLinePunct w:val="0"/>
        <w:bidi w:val="0"/>
        <w:spacing w:line="360" w:lineRule="auto"/>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4793CE4E">
      <w:pPr>
        <w:keepNext w:val="0"/>
        <w:keepLines w:val="0"/>
        <w:pageBreakBefore w:val="0"/>
        <w:kinsoku/>
        <w:wordWrap w:val="0"/>
        <w:overflowPunct/>
        <w:topLinePunct w:val="0"/>
        <w:bidi w:val="0"/>
        <w:spacing w:line="360" w:lineRule="auto"/>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近三年内在经营活动中没有重大违法记录的声明（格式）</w:t>
      </w:r>
    </w:p>
    <w:p w14:paraId="6EDBE6AF">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041F37B9">
      <w:pPr>
        <w:keepNext w:val="0"/>
        <w:keepLines w:val="0"/>
        <w:pageBreakBefore w:val="0"/>
        <w:kinsoku/>
        <w:wordWrap w:val="0"/>
        <w:overflowPunct/>
        <w:topLinePunct w:val="0"/>
        <w:bidi w:val="0"/>
        <w:spacing w:line="360" w:lineRule="auto"/>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声明函</w:t>
      </w:r>
    </w:p>
    <w:p w14:paraId="56ABC159">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54EEE804">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（法定代表人或其授权代表）代表</w:t>
      </w:r>
      <w:r>
        <w:rPr>
          <w:rFonts w:hint="eastAsia" w:ascii="宋体" w:hAnsi="宋体" w:eastAsia="宋体" w:cs="宋体"/>
          <w:b w:val="0"/>
          <w:bCs w:val="0"/>
          <w:color w:val="000000" w:themeColor="text1"/>
          <w:sz w:val="24"/>
          <w:szCs w:val="24"/>
          <w:highlight w:val="none"/>
          <w:u w:val="single"/>
          <w:lang w:eastAsia="zh-CN"/>
          <w14:textFill>
            <w14:solidFill>
              <w14:schemeClr w14:val="tx1"/>
            </w14:solidFill>
          </w14:textFill>
        </w:rPr>
        <w:t>（公司全称）</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向本项目的采购人和采购代理机构郑重声明如下：</w:t>
      </w:r>
    </w:p>
    <w:p w14:paraId="2B3A9DA6">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我公司近三年来的经营活动中，未因违法经营受到刑事处罚或者责令停产停业、吊销许可证或者执照、较大数额罚款等行政处罚。</w:t>
      </w:r>
    </w:p>
    <w:p w14:paraId="55DF17F4">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特此声明。</w:t>
      </w:r>
    </w:p>
    <w:p w14:paraId="11D91D80">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5AD9800D">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2BA47A1E">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供应商（盖章）：</w:t>
      </w:r>
    </w:p>
    <w:p w14:paraId="7D387CBB">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法定代表人或其授权代表（签字）：</w:t>
      </w:r>
    </w:p>
    <w:p w14:paraId="07F43086">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日期：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日</w:t>
      </w:r>
    </w:p>
    <w:p w14:paraId="5A910141">
      <w:pPr>
        <w:keepNext w:val="0"/>
        <w:keepLines w:val="0"/>
        <w:pageBreakBefore w:val="0"/>
        <w:numPr>
          <w:ilvl w:val="0"/>
          <w:numId w:val="0"/>
        </w:numPr>
        <w:kinsoku/>
        <w:wordWrap w:val="0"/>
        <w:overflowPunct/>
        <w:topLinePunct w:val="0"/>
        <w:bidi w:val="0"/>
        <w:snapToGrid w:val="0"/>
        <w:spacing w:line="360" w:lineRule="auto"/>
        <w:jc w:val="both"/>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p>
    <w:p w14:paraId="1B2041B5">
      <w:pPr>
        <w:keepNext w:val="0"/>
        <w:keepLines w:val="0"/>
        <w:pageBreakBefore w:val="0"/>
        <w:numPr>
          <w:ilvl w:val="0"/>
          <w:numId w:val="0"/>
        </w:numPr>
        <w:kinsoku/>
        <w:wordWrap w:val="0"/>
        <w:overflowPunct/>
        <w:topLinePunct w:val="0"/>
        <w:bidi w:val="0"/>
        <w:snapToGrid w:val="0"/>
        <w:spacing w:line="360" w:lineRule="auto"/>
        <w:jc w:val="both"/>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p>
    <w:p w14:paraId="175C6C18">
      <w:pP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br w:type="page"/>
      </w:r>
    </w:p>
    <w:p w14:paraId="0D6A6619">
      <w:pPr>
        <w:spacing w:line="360" w:lineRule="auto"/>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五、分项报价一览表、项目管理机构、项目实施方案、服务承诺、磋商文件要求的其它材料及供应商认为有必要提供的材料等；</w:t>
      </w:r>
    </w:p>
    <w:p w14:paraId="186BAE18">
      <w:pPr>
        <w:keepNext w:val="0"/>
        <w:keepLines w:val="0"/>
        <w:pageBreakBefore w:val="0"/>
        <w:kinsoku/>
        <w:wordWrap w:val="0"/>
        <w:overflowPunct/>
        <w:topLinePunct w:val="0"/>
        <w:bidi w:val="0"/>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p>
    <w:p w14:paraId="2D3B8516">
      <w:pPr>
        <w:keepNext w:val="0"/>
        <w:keepLines w:val="0"/>
        <w:pageBreakBefore w:val="0"/>
        <w:kinsoku/>
        <w:wordWrap w:val="0"/>
        <w:overflowPunct/>
        <w:topLinePunct w:val="0"/>
        <w:bidi w:val="0"/>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p>
    <w:p w14:paraId="6542B6F6">
      <w:pPr>
        <w:keepNext w:val="0"/>
        <w:keepLines w:val="0"/>
        <w:pageBreakBefore w:val="0"/>
        <w:kinsoku/>
        <w:wordWrap w:val="0"/>
        <w:overflowPunct/>
        <w:topLinePunct w:val="0"/>
        <w:bidi w:val="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5.1</w:t>
      </w:r>
      <w:r>
        <w:rPr>
          <w:rFonts w:hint="eastAsia" w:ascii="宋体" w:hAnsi="宋体" w:eastAsia="宋体" w:cs="宋体"/>
          <w:b/>
          <w:color w:val="000000" w:themeColor="text1"/>
          <w:sz w:val="24"/>
          <w:szCs w:val="24"/>
          <w:highlight w:val="none"/>
          <w:lang w:eastAsia="zh-CN"/>
          <w14:textFill>
            <w14:solidFill>
              <w14:schemeClr w14:val="tx1"/>
            </w14:solidFill>
          </w14:textFill>
        </w:rPr>
        <w:t>分项</w:t>
      </w:r>
      <w:r>
        <w:rPr>
          <w:rFonts w:hint="eastAsia" w:ascii="宋体" w:hAnsi="宋体" w:eastAsia="宋体" w:cs="宋体"/>
          <w:b/>
          <w:color w:val="000000" w:themeColor="text1"/>
          <w:sz w:val="24"/>
          <w:szCs w:val="24"/>
          <w:highlight w:val="none"/>
          <w14:textFill>
            <w14:solidFill>
              <w14:schemeClr w14:val="tx1"/>
            </w14:solidFill>
          </w14:textFill>
        </w:rPr>
        <w:t>报价一览表</w:t>
      </w:r>
    </w:p>
    <w:p w14:paraId="21121E08">
      <w:pPr>
        <w:keepNext w:val="0"/>
        <w:keepLines w:val="0"/>
        <w:pageBreakBefore w:val="0"/>
        <w:kinsoku/>
        <w:wordWrap w:val="0"/>
        <w:overflowPunct/>
        <w:topLinePunct w:val="0"/>
        <w:bidi w:val="0"/>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p>
    <w:p w14:paraId="30545189">
      <w:pPr>
        <w:keepNext w:val="0"/>
        <w:keepLines w:val="0"/>
        <w:pageBreakBefore w:val="0"/>
        <w:kinsoku/>
        <w:wordWrap w:val="0"/>
        <w:overflowPunct/>
        <w:topLinePunct w:val="0"/>
        <w:bidi w:val="0"/>
        <w:spacing w:line="360" w:lineRule="auto"/>
        <w:jc w:val="both"/>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631"/>
        <w:gridCol w:w="2024"/>
        <w:gridCol w:w="2716"/>
      </w:tblGrid>
      <w:tr w14:paraId="554F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75" w:type="dxa"/>
            <w:noWrap w:val="0"/>
            <w:vAlign w:val="center"/>
          </w:tcPr>
          <w:p w14:paraId="5FB2552C">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2631" w:type="dxa"/>
            <w:noWrap w:val="0"/>
            <w:vAlign w:val="center"/>
          </w:tcPr>
          <w:p w14:paraId="56A832B4">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项目内容</w:t>
            </w:r>
          </w:p>
        </w:tc>
        <w:tc>
          <w:tcPr>
            <w:tcW w:w="2024" w:type="dxa"/>
            <w:noWrap w:val="0"/>
            <w:vAlign w:val="center"/>
          </w:tcPr>
          <w:p w14:paraId="76570ED9">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投标报价</w:t>
            </w:r>
          </w:p>
        </w:tc>
        <w:tc>
          <w:tcPr>
            <w:tcW w:w="2716" w:type="dxa"/>
            <w:noWrap w:val="0"/>
            <w:vAlign w:val="center"/>
          </w:tcPr>
          <w:p w14:paraId="79AB3874">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备注</w:t>
            </w:r>
          </w:p>
        </w:tc>
      </w:tr>
      <w:tr w14:paraId="6034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75" w:type="dxa"/>
            <w:noWrap w:val="0"/>
            <w:vAlign w:val="center"/>
          </w:tcPr>
          <w:p w14:paraId="521D81F2">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p>
        </w:tc>
        <w:tc>
          <w:tcPr>
            <w:tcW w:w="2631" w:type="dxa"/>
            <w:noWrap w:val="0"/>
            <w:vAlign w:val="center"/>
          </w:tcPr>
          <w:p w14:paraId="6C5D6B8E">
            <w:pPr>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2024" w:type="dxa"/>
            <w:noWrap w:val="0"/>
            <w:vAlign w:val="center"/>
          </w:tcPr>
          <w:p w14:paraId="5C6E4598">
            <w:pPr>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2716" w:type="dxa"/>
            <w:noWrap w:val="0"/>
            <w:vAlign w:val="center"/>
          </w:tcPr>
          <w:p w14:paraId="12058843">
            <w:pPr>
              <w:jc w:val="center"/>
              <w:rPr>
                <w:rFonts w:hint="eastAsia" w:ascii="宋体" w:hAnsi="宋体" w:eastAsia="宋体" w:cs="宋体"/>
                <w:b/>
                <w:color w:val="000000" w:themeColor="text1"/>
                <w:sz w:val="24"/>
                <w:szCs w:val="24"/>
                <w:highlight w:val="none"/>
                <w14:textFill>
                  <w14:solidFill>
                    <w14:schemeClr w14:val="tx1"/>
                  </w14:solidFill>
                </w14:textFill>
              </w:rPr>
            </w:pPr>
          </w:p>
        </w:tc>
      </w:tr>
      <w:tr w14:paraId="1A3A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75" w:type="dxa"/>
            <w:noWrap w:val="0"/>
            <w:vAlign w:val="center"/>
          </w:tcPr>
          <w:p w14:paraId="29A624B9">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p>
        </w:tc>
        <w:tc>
          <w:tcPr>
            <w:tcW w:w="2631" w:type="dxa"/>
            <w:noWrap w:val="0"/>
            <w:vAlign w:val="center"/>
          </w:tcPr>
          <w:p w14:paraId="029BFE2E">
            <w:pPr>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2024" w:type="dxa"/>
            <w:noWrap w:val="0"/>
            <w:vAlign w:val="center"/>
          </w:tcPr>
          <w:p w14:paraId="6F6CD89A">
            <w:pPr>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2716" w:type="dxa"/>
            <w:noWrap w:val="0"/>
            <w:vAlign w:val="center"/>
          </w:tcPr>
          <w:p w14:paraId="56E2B59A">
            <w:pPr>
              <w:jc w:val="center"/>
              <w:rPr>
                <w:rFonts w:hint="eastAsia" w:ascii="宋体" w:hAnsi="宋体" w:eastAsia="宋体" w:cs="宋体"/>
                <w:b/>
                <w:color w:val="000000" w:themeColor="text1"/>
                <w:sz w:val="24"/>
                <w:szCs w:val="24"/>
                <w:highlight w:val="none"/>
                <w14:textFill>
                  <w14:solidFill>
                    <w14:schemeClr w14:val="tx1"/>
                  </w14:solidFill>
                </w14:textFill>
              </w:rPr>
            </w:pPr>
          </w:p>
        </w:tc>
      </w:tr>
      <w:tr w14:paraId="306F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75" w:type="dxa"/>
            <w:noWrap w:val="0"/>
            <w:vAlign w:val="center"/>
          </w:tcPr>
          <w:p w14:paraId="125EA52E">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w:t>
            </w:r>
          </w:p>
        </w:tc>
        <w:tc>
          <w:tcPr>
            <w:tcW w:w="2631" w:type="dxa"/>
            <w:noWrap w:val="0"/>
            <w:vAlign w:val="center"/>
          </w:tcPr>
          <w:p w14:paraId="30CAF402">
            <w:pPr>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2024" w:type="dxa"/>
            <w:noWrap w:val="0"/>
            <w:vAlign w:val="center"/>
          </w:tcPr>
          <w:p w14:paraId="0A753297">
            <w:pPr>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2716" w:type="dxa"/>
            <w:noWrap w:val="0"/>
            <w:vAlign w:val="center"/>
          </w:tcPr>
          <w:p w14:paraId="103F68F2">
            <w:pPr>
              <w:jc w:val="center"/>
              <w:rPr>
                <w:rFonts w:hint="eastAsia" w:ascii="宋体" w:hAnsi="宋体" w:eastAsia="宋体" w:cs="宋体"/>
                <w:b/>
                <w:color w:val="000000" w:themeColor="text1"/>
                <w:sz w:val="24"/>
                <w:szCs w:val="24"/>
                <w:highlight w:val="none"/>
                <w14:textFill>
                  <w14:solidFill>
                    <w14:schemeClr w14:val="tx1"/>
                  </w14:solidFill>
                </w14:textFill>
              </w:rPr>
            </w:pPr>
          </w:p>
        </w:tc>
      </w:tr>
      <w:tr w14:paraId="3B9C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75" w:type="dxa"/>
            <w:noWrap w:val="0"/>
            <w:vAlign w:val="center"/>
          </w:tcPr>
          <w:p w14:paraId="34CDAC5F">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w:t>
            </w:r>
          </w:p>
        </w:tc>
        <w:tc>
          <w:tcPr>
            <w:tcW w:w="2631" w:type="dxa"/>
            <w:noWrap w:val="0"/>
            <w:vAlign w:val="center"/>
          </w:tcPr>
          <w:p w14:paraId="2B6D1C21">
            <w:pPr>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2024" w:type="dxa"/>
            <w:noWrap w:val="0"/>
            <w:vAlign w:val="center"/>
          </w:tcPr>
          <w:p w14:paraId="317CEB67">
            <w:pPr>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2716" w:type="dxa"/>
            <w:noWrap w:val="0"/>
            <w:vAlign w:val="center"/>
          </w:tcPr>
          <w:p w14:paraId="081CB79A">
            <w:pPr>
              <w:jc w:val="center"/>
              <w:rPr>
                <w:rFonts w:hint="eastAsia" w:ascii="宋体" w:hAnsi="宋体" w:eastAsia="宋体" w:cs="宋体"/>
                <w:b/>
                <w:color w:val="000000" w:themeColor="text1"/>
                <w:sz w:val="24"/>
                <w:szCs w:val="24"/>
                <w:highlight w:val="none"/>
                <w14:textFill>
                  <w14:solidFill>
                    <w14:schemeClr w14:val="tx1"/>
                  </w14:solidFill>
                </w14:textFill>
              </w:rPr>
            </w:pPr>
          </w:p>
        </w:tc>
      </w:tr>
      <w:tr w14:paraId="1454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75" w:type="dxa"/>
            <w:noWrap w:val="0"/>
            <w:vAlign w:val="center"/>
          </w:tcPr>
          <w:p w14:paraId="5FCA4390">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p>
        </w:tc>
        <w:tc>
          <w:tcPr>
            <w:tcW w:w="2631" w:type="dxa"/>
            <w:noWrap w:val="0"/>
            <w:vAlign w:val="center"/>
          </w:tcPr>
          <w:p w14:paraId="242A4897">
            <w:pPr>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2024" w:type="dxa"/>
            <w:noWrap w:val="0"/>
            <w:vAlign w:val="center"/>
          </w:tcPr>
          <w:p w14:paraId="194CAC60">
            <w:pPr>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2716" w:type="dxa"/>
            <w:noWrap w:val="0"/>
            <w:vAlign w:val="center"/>
          </w:tcPr>
          <w:p w14:paraId="0AC1C23B">
            <w:pPr>
              <w:jc w:val="center"/>
              <w:rPr>
                <w:rFonts w:hint="eastAsia" w:ascii="宋体" w:hAnsi="宋体" w:eastAsia="宋体" w:cs="宋体"/>
                <w:b/>
                <w:color w:val="000000" w:themeColor="text1"/>
                <w:sz w:val="24"/>
                <w:szCs w:val="24"/>
                <w:highlight w:val="none"/>
                <w14:textFill>
                  <w14:solidFill>
                    <w14:schemeClr w14:val="tx1"/>
                  </w14:solidFill>
                </w14:textFill>
              </w:rPr>
            </w:pPr>
          </w:p>
        </w:tc>
      </w:tr>
      <w:tr w14:paraId="396A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6" w:type="dxa"/>
            <w:gridSpan w:val="4"/>
            <w:noWrap w:val="0"/>
            <w:vAlign w:val="center"/>
          </w:tcPr>
          <w:p w14:paraId="05290EAF">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投标报价合计（大写）：</w:t>
            </w:r>
          </w:p>
        </w:tc>
      </w:tr>
    </w:tbl>
    <w:p w14:paraId="41A3A078">
      <w:pPr>
        <w:keepNext w:val="0"/>
        <w:keepLines w:val="0"/>
        <w:pageBreakBefore w:val="0"/>
        <w:kinsoku/>
        <w:wordWrap w:val="0"/>
        <w:overflowPunct/>
        <w:topLinePunct w:val="0"/>
        <w:bidi w:val="0"/>
        <w:spacing w:line="360" w:lineRule="auto"/>
        <w:ind w:firstLine="482" w:firstLineChars="200"/>
        <w:jc w:val="both"/>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14:paraId="3E0BFEFD">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供应商（全称）：（电子签章）</w:t>
      </w:r>
    </w:p>
    <w:p w14:paraId="2D25DC4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 xml:space="preserve">法定代表人（负责人）或其授权代表（电子签章/签名）： </w:t>
      </w:r>
    </w:p>
    <w:p w14:paraId="3EE9FD90">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宋体" w:hAnsi="宋体" w:eastAsia="宋体" w:cs="宋体"/>
          <w:b/>
          <w:bCs/>
          <w:snapToGrid w:val="0"/>
          <w:color w:val="000000" w:themeColor="text1"/>
          <w:spacing w:val="-8"/>
          <w:kern w:val="0"/>
          <w:sz w:val="24"/>
          <w:szCs w:val="24"/>
          <w:highlight w:val="none"/>
          <w:lang w:val="zh-CN" w:eastAsia="zh-CN" w:bidi="ar-SA"/>
          <w14:textFill>
            <w14:solidFill>
              <w14:schemeClr w14:val="tx1"/>
            </w14:solidFill>
          </w14:textFill>
        </w:rPr>
      </w:pP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日期：</w:t>
      </w:r>
      <w:r>
        <w:rPr>
          <w:rFonts w:hint="eastAsia" w:ascii="宋体" w:hAnsi="宋体" w:eastAsia="宋体" w:cs="宋体"/>
          <w:b/>
          <w:bCs/>
          <w:snapToGrid w:val="0"/>
          <w:color w:val="000000" w:themeColor="text1"/>
          <w:spacing w:val="-8"/>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年</w:t>
      </w:r>
      <w:r>
        <w:rPr>
          <w:rFonts w:hint="eastAsia" w:ascii="宋体" w:hAnsi="宋体" w:eastAsia="宋体" w:cs="宋体"/>
          <w:b/>
          <w:bCs/>
          <w:snapToGrid w:val="0"/>
          <w:color w:val="000000" w:themeColor="text1"/>
          <w:spacing w:val="-8"/>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月</w:t>
      </w:r>
      <w:r>
        <w:rPr>
          <w:rFonts w:hint="eastAsia" w:ascii="宋体" w:hAnsi="宋体" w:eastAsia="宋体" w:cs="宋体"/>
          <w:b/>
          <w:bCs/>
          <w:snapToGrid w:val="0"/>
          <w:color w:val="000000" w:themeColor="text1"/>
          <w:spacing w:val="-8"/>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bCs/>
          <w:snapToGrid w:val="0"/>
          <w:color w:val="000000" w:themeColor="text1"/>
          <w:spacing w:val="-8"/>
          <w:kern w:val="0"/>
          <w:sz w:val="24"/>
          <w:szCs w:val="24"/>
          <w:highlight w:val="none"/>
          <w:lang w:val="en-US" w:eastAsia="zh-CN" w:bidi="ar-SA"/>
          <w14:textFill>
            <w14:solidFill>
              <w14:schemeClr w14:val="tx1"/>
            </w14:solidFill>
          </w14:textFill>
        </w:rPr>
        <w:t>日</w:t>
      </w:r>
    </w:p>
    <w:p w14:paraId="05CDEEF7">
      <w:pPr>
        <w:keepNext w:val="0"/>
        <w:keepLines w:val="0"/>
        <w:pageBreakBefore w:val="0"/>
        <w:kinsoku/>
        <w:wordWrap w:val="0"/>
        <w:overflowPunct/>
        <w:topLinePunct w:val="0"/>
        <w:bidi w:val="0"/>
        <w:spacing w:line="360" w:lineRule="auto"/>
        <w:ind w:firstLine="240" w:firstLineChars="100"/>
        <w:jc w:val="both"/>
        <w:rPr>
          <w:rFonts w:hint="eastAsia" w:ascii="宋体" w:hAnsi="宋体" w:eastAsia="宋体" w:cs="宋体"/>
          <w:color w:val="000000" w:themeColor="text1"/>
          <w:sz w:val="24"/>
          <w:szCs w:val="24"/>
          <w:highlight w:val="none"/>
          <w:lang w:eastAsia="zh-CN"/>
          <w14:textFill>
            <w14:solidFill>
              <w14:schemeClr w14:val="tx1"/>
            </w14:solidFill>
          </w14:textFill>
        </w:rPr>
      </w:pPr>
    </w:p>
    <w:p w14:paraId="272001F7">
      <w:pPr>
        <w:keepNext w:val="0"/>
        <w:keepLines w:val="0"/>
        <w:pageBreakBefore w:val="0"/>
        <w:kinsoku/>
        <w:wordWrap w:val="0"/>
        <w:overflowPunct/>
        <w:topLinePunct w:val="0"/>
        <w:bidi w:val="0"/>
        <w:spacing w:line="360" w:lineRule="auto"/>
        <w:ind w:firstLine="240" w:firstLineChars="100"/>
        <w:jc w:val="both"/>
        <w:rPr>
          <w:rFonts w:hint="eastAsia" w:ascii="宋体" w:hAnsi="宋体" w:eastAsia="宋体" w:cs="宋体"/>
          <w:color w:val="000000" w:themeColor="text1"/>
          <w:sz w:val="24"/>
          <w:szCs w:val="24"/>
          <w:highlight w:val="none"/>
          <w:lang w:eastAsia="zh-CN"/>
          <w14:textFill>
            <w14:solidFill>
              <w14:schemeClr w14:val="tx1"/>
            </w14:solidFill>
          </w14:textFill>
        </w:rPr>
        <w:sectPr>
          <w:headerReference r:id="rId10" w:type="default"/>
          <w:footerReference r:id="rId11" w:type="default"/>
          <w:pgSz w:w="11907" w:h="16840"/>
          <w:pgMar w:top="1440" w:right="1474" w:bottom="1440" w:left="1474" w:header="851" w:footer="992" w:gutter="0"/>
          <w:pgNumType w:fmt="decimal"/>
          <w:cols w:space="720" w:num="1"/>
          <w:docGrid w:linePitch="332" w:charSpace="0"/>
        </w:sectPr>
      </w:pPr>
    </w:p>
    <w:p w14:paraId="4D791A79">
      <w:pPr>
        <w:keepNext w:val="0"/>
        <w:keepLines w:val="0"/>
        <w:pageBreakBefore w:val="0"/>
        <w:kinsoku/>
        <w:wordWrap w:val="0"/>
        <w:overflowPunct/>
        <w:topLinePunct w:val="0"/>
        <w:bidi w:val="0"/>
        <w:spacing w:line="360" w:lineRule="auto"/>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5.2项目管理机构</w:t>
      </w:r>
    </w:p>
    <w:p w14:paraId="33177EBC">
      <w:pPr>
        <w:spacing w:line="360" w:lineRule="auto"/>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（一）项目管理机构主要人员组成表</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6"/>
        <w:gridCol w:w="1285"/>
        <w:gridCol w:w="1837"/>
        <w:gridCol w:w="1838"/>
        <w:gridCol w:w="2091"/>
      </w:tblGrid>
      <w:tr w14:paraId="6F4BB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216" w:type="dxa"/>
            <w:noWrap w:val="0"/>
            <w:vAlign w:val="center"/>
          </w:tcPr>
          <w:p w14:paraId="725B1EB1">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职务</w:t>
            </w:r>
          </w:p>
        </w:tc>
        <w:tc>
          <w:tcPr>
            <w:tcW w:w="1285" w:type="dxa"/>
            <w:noWrap w:val="0"/>
            <w:vAlign w:val="center"/>
          </w:tcPr>
          <w:p w14:paraId="129507B8">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837" w:type="dxa"/>
            <w:noWrap w:val="0"/>
            <w:vAlign w:val="center"/>
          </w:tcPr>
          <w:p w14:paraId="7478612C">
            <w:pPr>
              <w:spacing w:line="276"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职称</w:t>
            </w:r>
          </w:p>
        </w:tc>
        <w:tc>
          <w:tcPr>
            <w:tcW w:w="1838" w:type="dxa"/>
            <w:noWrap w:val="0"/>
            <w:vAlign w:val="center"/>
          </w:tcPr>
          <w:p w14:paraId="7AB05A96">
            <w:pPr>
              <w:spacing w:line="276"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专业</w:t>
            </w:r>
          </w:p>
        </w:tc>
        <w:tc>
          <w:tcPr>
            <w:tcW w:w="2091" w:type="dxa"/>
            <w:noWrap w:val="0"/>
            <w:vAlign w:val="center"/>
          </w:tcPr>
          <w:p w14:paraId="0D4F4B15">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006BE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216" w:type="dxa"/>
            <w:noWrap w:val="0"/>
            <w:vAlign w:val="center"/>
          </w:tcPr>
          <w:p w14:paraId="5D78276E">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5" w:type="dxa"/>
            <w:noWrap w:val="0"/>
            <w:vAlign w:val="center"/>
          </w:tcPr>
          <w:p w14:paraId="0A057835">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7" w:type="dxa"/>
            <w:noWrap w:val="0"/>
            <w:vAlign w:val="center"/>
          </w:tcPr>
          <w:p w14:paraId="1FD709B0">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8" w:type="dxa"/>
            <w:noWrap w:val="0"/>
            <w:vAlign w:val="center"/>
          </w:tcPr>
          <w:p w14:paraId="74F2D349">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91" w:type="dxa"/>
            <w:noWrap w:val="0"/>
            <w:vAlign w:val="center"/>
          </w:tcPr>
          <w:p w14:paraId="2E61DE35">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12AD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216" w:type="dxa"/>
            <w:noWrap w:val="0"/>
            <w:vAlign w:val="center"/>
          </w:tcPr>
          <w:p w14:paraId="18B6C726">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5" w:type="dxa"/>
            <w:noWrap w:val="0"/>
            <w:vAlign w:val="center"/>
          </w:tcPr>
          <w:p w14:paraId="181207F3">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7" w:type="dxa"/>
            <w:noWrap w:val="0"/>
            <w:vAlign w:val="center"/>
          </w:tcPr>
          <w:p w14:paraId="5558767A">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8" w:type="dxa"/>
            <w:noWrap w:val="0"/>
            <w:vAlign w:val="center"/>
          </w:tcPr>
          <w:p w14:paraId="4FBF0C7B">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91" w:type="dxa"/>
            <w:noWrap w:val="0"/>
            <w:vAlign w:val="center"/>
          </w:tcPr>
          <w:p w14:paraId="2FD3D7B9">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AEDC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216" w:type="dxa"/>
            <w:noWrap w:val="0"/>
            <w:vAlign w:val="center"/>
          </w:tcPr>
          <w:p w14:paraId="6131E6EF">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5" w:type="dxa"/>
            <w:noWrap w:val="0"/>
            <w:vAlign w:val="center"/>
          </w:tcPr>
          <w:p w14:paraId="5921EE70">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7" w:type="dxa"/>
            <w:noWrap w:val="0"/>
            <w:vAlign w:val="center"/>
          </w:tcPr>
          <w:p w14:paraId="2A3A7CC3">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8" w:type="dxa"/>
            <w:noWrap w:val="0"/>
            <w:vAlign w:val="center"/>
          </w:tcPr>
          <w:p w14:paraId="7D50CF44">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91" w:type="dxa"/>
            <w:noWrap w:val="0"/>
            <w:vAlign w:val="center"/>
          </w:tcPr>
          <w:p w14:paraId="5CF13ED0">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7F3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216" w:type="dxa"/>
            <w:noWrap w:val="0"/>
            <w:vAlign w:val="center"/>
          </w:tcPr>
          <w:p w14:paraId="0F86C5D0">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5" w:type="dxa"/>
            <w:noWrap w:val="0"/>
            <w:vAlign w:val="center"/>
          </w:tcPr>
          <w:p w14:paraId="5A30D4B6">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7" w:type="dxa"/>
            <w:noWrap w:val="0"/>
            <w:vAlign w:val="center"/>
          </w:tcPr>
          <w:p w14:paraId="1EDDB46E">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8" w:type="dxa"/>
            <w:noWrap w:val="0"/>
            <w:vAlign w:val="center"/>
          </w:tcPr>
          <w:p w14:paraId="5D845F5E">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91" w:type="dxa"/>
            <w:noWrap w:val="0"/>
            <w:vAlign w:val="center"/>
          </w:tcPr>
          <w:p w14:paraId="74237B1F">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304A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216" w:type="dxa"/>
            <w:noWrap w:val="0"/>
            <w:vAlign w:val="center"/>
          </w:tcPr>
          <w:p w14:paraId="0E2E9570">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5" w:type="dxa"/>
            <w:noWrap w:val="0"/>
            <w:vAlign w:val="center"/>
          </w:tcPr>
          <w:p w14:paraId="631397D0">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7" w:type="dxa"/>
            <w:noWrap w:val="0"/>
            <w:vAlign w:val="center"/>
          </w:tcPr>
          <w:p w14:paraId="5A31268F">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8" w:type="dxa"/>
            <w:noWrap w:val="0"/>
            <w:vAlign w:val="center"/>
          </w:tcPr>
          <w:p w14:paraId="5FC31A6B">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91" w:type="dxa"/>
            <w:noWrap w:val="0"/>
            <w:vAlign w:val="center"/>
          </w:tcPr>
          <w:p w14:paraId="48F361C5">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A7DE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216" w:type="dxa"/>
            <w:noWrap w:val="0"/>
            <w:vAlign w:val="center"/>
          </w:tcPr>
          <w:p w14:paraId="7E5CB936">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5" w:type="dxa"/>
            <w:noWrap w:val="0"/>
            <w:vAlign w:val="center"/>
          </w:tcPr>
          <w:p w14:paraId="7B61486D">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7" w:type="dxa"/>
            <w:noWrap w:val="0"/>
            <w:vAlign w:val="center"/>
          </w:tcPr>
          <w:p w14:paraId="20DC2B5C">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8" w:type="dxa"/>
            <w:noWrap w:val="0"/>
            <w:vAlign w:val="center"/>
          </w:tcPr>
          <w:p w14:paraId="1DBC9402">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91" w:type="dxa"/>
            <w:noWrap w:val="0"/>
            <w:vAlign w:val="center"/>
          </w:tcPr>
          <w:p w14:paraId="11B912F2">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5D9B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216" w:type="dxa"/>
            <w:noWrap w:val="0"/>
            <w:vAlign w:val="center"/>
          </w:tcPr>
          <w:p w14:paraId="625FFCDD">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5" w:type="dxa"/>
            <w:noWrap w:val="0"/>
            <w:vAlign w:val="center"/>
          </w:tcPr>
          <w:p w14:paraId="47F68DC4">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7" w:type="dxa"/>
            <w:noWrap w:val="0"/>
            <w:vAlign w:val="center"/>
          </w:tcPr>
          <w:p w14:paraId="52D0A651">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8" w:type="dxa"/>
            <w:noWrap w:val="0"/>
            <w:vAlign w:val="center"/>
          </w:tcPr>
          <w:p w14:paraId="2EAC5CDF">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91" w:type="dxa"/>
            <w:noWrap w:val="0"/>
            <w:vAlign w:val="center"/>
          </w:tcPr>
          <w:p w14:paraId="5712A8B5">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6FA2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216" w:type="dxa"/>
            <w:noWrap w:val="0"/>
            <w:vAlign w:val="center"/>
          </w:tcPr>
          <w:p w14:paraId="2EE80B6F">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5" w:type="dxa"/>
            <w:noWrap w:val="0"/>
            <w:vAlign w:val="center"/>
          </w:tcPr>
          <w:p w14:paraId="70388CDB">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7" w:type="dxa"/>
            <w:noWrap w:val="0"/>
            <w:vAlign w:val="center"/>
          </w:tcPr>
          <w:p w14:paraId="082093D5">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8" w:type="dxa"/>
            <w:noWrap w:val="0"/>
            <w:vAlign w:val="center"/>
          </w:tcPr>
          <w:p w14:paraId="431F2A4B">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91" w:type="dxa"/>
            <w:noWrap w:val="0"/>
            <w:vAlign w:val="center"/>
          </w:tcPr>
          <w:p w14:paraId="46484CEF">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3C2E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216" w:type="dxa"/>
            <w:noWrap w:val="0"/>
            <w:vAlign w:val="center"/>
          </w:tcPr>
          <w:p w14:paraId="721A4089">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5" w:type="dxa"/>
            <w:noWrap w:val="0"/>
            <w:vAlign w:val="center"/>
          </w:tcPr>
          <w:p w14:paraId="2DD6CDDE">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7" w:type="dxa"/>
            <w:noWrap w:val="0"/>
            <w:vAlign w:val="center"/>
          </w:tcPr>
          <w:p w14:paraId="75119333">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8" w:type="dxa"/>
            <w:noWrap w:val="0"/>
            <w:vAlign w:val="center"/>
          </w:tcPr>
          <w:p w14:paraId="54C1ED11">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91" w:type="dxa"/>
            <w:noWrap w:val="0"/>
            <w:vAlign w:val="center"/>
          </w:tcPr>
          <w:p w14:paraId="5D5CC7AF">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3360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216" w:type="dxa"/>
            <w:noWrap w:val="0"/>
            <w:vAlign w:val="center"/>
          </w:tcPr>
          <w:p w14:paraId="27936EF6">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5" w:type="dxa"/>
            <w:noWrap w:val="0"/>
            <w:vAlign w:val="center"/>
          </w:tcPr>
          <w:p w14:paraId="2FA68CF4">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7" w:type="dxa"/>
            <w:noWrap w:val="0"/>
            <w:vAlign w:val="center"/>
          </w:tcPr>
          <w:p w14:paraId="37C31C4C">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8" w:type="dxa"/>
            <w:noWrap w:val="0"/>
            <w:vAlign w:val="center"/>
          </w:tcPr>
          <w:p w14:paraId="44D4E781">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91" w:type="dxa"/>
            <w:noWrap w:val="0"/>
            <w:vAlign w:val="center"/>
          </w:tcPr>
          <w:p w14:paraId="2F89EB2F">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125F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216" w:type="dxa"/>
            <w:noWrap w:val="0"/>
            <w:vAlign w:val="center"/>
          </w:tcPr>
          <w:p w14:paraId="17CF1FF9">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5" w:type="dxa"/>
            <w:noWrap w:val="0"/>
            <w:vAlign w:val="center"/>
          </w:tcPr>
          <w:p w14:paraId="44A0DF54">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7" w:type="dxa"/>
            <w:noWrap w:val="0"/>
            <w:vAlign w:val="center"/>
          </w:tcPr>
          <w:p w14:paraId="1537FB07">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838" w:type="dxa"/>
            <w:noWrap w:val="0"/>
            <w:vAlign w:val="center"/>
          </w:tcPr>
          <w:p w14:paraId="7E3D8715">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91" w:type="dxa"/>
            <w:noWrap w:val="0"/>
            <w:vAlign w:val="center"/>
          </w:tcPr>
          <w:p w14:paraId="6D835FFB">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1E142698">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16D80A51">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bCs/>
          <w:color w:val="000000" w:themeColor="text1"/>
          <w:sz w:val="24"/>
          <w:szCs w:val="24"/>
          <w:highlight w:val="none"/>
          <w:lang w:eastAsia="zh-CN"/>
          <w14:textFill>
            <w14:solidFill>
              <w14:schemeClr w14:val="tx1"/>
            </w14:solidFill>
          </w14:textFill>
        </w:rPr>
        <w:t>（二）主要人员简历表</w:t>
      </w:r>
    </w:p>
    <w:tbl>
      <w:tblPr>
        <w:tblStyle w:val="14"/>
        <w:tblW w:w="935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2"/>
        <w:gridCol w:w="1346"/>
        <w:gridCol w:w="1521"/>
        <w:gridCol w:w="1559"/>
        <w:gridCol w:w="1701"/>
        <w:gridCol w:w="1598"/>
      </w:tblGrid>
      <w:tr w14:paraId="3737C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632" w:type="dxa"/>
            <w:noWrap w:val="0"/>
            <w:vAlign w:val="center"/>
          </w:tcPr>
          <w:p w14:paraId="35C9D750">
            <w:pPr>
              <w:spacing w:line="276" w:lineRule="auto"/>
              <w:ind w:left="-143" w:leftChars="-68" w:firstLine="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346" w:type="dxa"/>
            <w:noWrap w:val="0"/>
            <w:vAlign w:val="center"/>
          </w:tcPr>
          <w:p w14:paraId="2E1BB7D8">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21" w:type="dxa"/>
            <w:noWrap w:val="0"/>
            <w:vAlign w:val="center"/>
          </w:tcPr>
          <w:p w14:paraId="2B0ACC45">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年龄</w:t>
            </w:r>
          </w:p>
        </w:tc>
        <w:tc>
          <w:tcPr>
            <w:tcW w:w="1559" w:type="dxa"/>
            <w:noWrap w:val="0"/>
            <w:vAlign w:val="center"/>
          </w:tcPr>
          <w:p w14:paraId="0BAE6BB5">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noWrap w:val="0"/>
            <w:vAlign w:val="center"/>
          </w:tcPr>
          <w:p w14:paraId="0D28D5DC">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学历</w:t>
            </w:r>
          </w:p>
        </w:tc>
        <w:tc>
          <w:tcPr>
            <w:tcW w:w="1598" w:type="dxa"/>
            <w:noWrap w:val="0"/>
            <w:vAlign w:val="center"/>
          </w:tcPr>
          <w:p w14:paraId="6A608B08">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9E74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632" w:type="dxa"/>
            <w:noWrap w:val="0"/>
            <w:vAlign w:val="center"/>
          </w:tcPr>
          <w:p w14:paraId="75FC2141">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岗位资格</w:t>
            </w:r>
          </w:p>
        </w:tc>
        <w:tc>
          <w:tcPr>
            <w:tcW w:w="7725" w:type="dxa"/>
            <w:gridSpan w:val="5"/>
            <w:noWrap w:val="0"/>
            <w:vAlign w:val="center"/>
          </w:tcPr>
          <w:p w14:paraId="6C02FB31">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88D5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632" w:type="dxa"/>
            <w:noWrap w:val="0"/>
            <w:vAlign w:val="center"/>
          </w:tcPr>
          <w:p w14:paraId="79BBFE0B">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w:t>
            </w:r>
          </w:p>
        </w:tc>
        <w:tc>
          <w:tcPr>
            <w:tcW w:w="1346" w:type="dxa"/>
            <w:noWrap w:val="0"/>
            <w:vAlign w:val="center"/>
          </w:tcPr>
          <w:p w14:paraId="7CE83826">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21" w:type="dxa"/>
            <w:noWrap w:val="0"/>
            <w:vAlign w:val="center"/>
          </w:tcPr>
          <w:p w14:paraId="080E46B3">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职务</w:t>
            </w:r>
          </w:p>
        </w:tc>
        <w:tc>
          <w:tcPr>
            <w:tcW w:w="1559" w:type="dxa"/>
            <w:noWrap w:val="0"/>
            <w:vAlign w:val="center"/>
          </w:tcPr>
          <w:p w14:paraId="6A250DAA">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noWrap w:val="0"/>
            <w:vAlign w:val="center"/>
          </w:tcPr>
          <w:p w14:paraId="064F22FA">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拟在本</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任职</w:t>
            </w:r>
          </w:p>
        </w:tc>
        <w:tc>
          <w:tcPr>
            <w:tcW w:w="1598" w:type="dxa"/>
            <w:noWrap w:val="0"/>
            <w:vAlign w:val="center"/>
          </w:tcPr>
          <w:p w14:paraId="5270E104">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5981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632" w:type="dxa"/>
            <w:noWrap w:val="0"/>
            <w:vAlign w:val="center"/>
          </w:tcPr>
          <w:p w14:paraId="735EAD2C">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毕业学校</w:t>
            </w:r>
          </w:p>
        </w:tc>
        <w:tc>
          <w:tcPr>
            <w:tcW w:w="7725" w:type="dxa"/>
            <w:gridSpan w:val="5"/>
            <w:noWrap w:val="0"/>
            <w:vAlign w:val="center"/>
          </w:tcPr>
          <w:p w14:paraId="57726584">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A63C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9357" w:type="dxa"/>
            <w:gridSpan w:val="6"/>
            <w:noWrap w:val="0"/>
            <w:vAlign w:val="center"/>
          </w:tcPr>
          <w:p w14:paraId="3CE6EBE2">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主要工作经历</w:t>
            </w:r>
          </w:p>
        </w:tc>
      </w:tr>
      <w:tr w14:paraId="7645B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632" w:type="dxa"/>
            <w:noWrap w:val="0"/>
            <w:vAlign w:val="center"/>
          </w:tcPr>
          <w:p w14:paraId="675122F3">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p>
        </w:tc>
        <w:tc>
          <w:tcPr>
            <w:tcW w:w="4426" w:type="dxa"/>
            <w:gridSpan w:val="3"/>
            <w:noWrap w:val="0"/>
            <w:vAlign w:val="center"/>
          </w:tcPr>
          <w:p w14:paraId="23FAD29A">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参加过的类似项目</w:t>
            </w:r>
          </w:p>
        </w:tc>
        <w:tc>
          <w:tcPr>
            <w:tcW w:w="1701" w:type="dxa"/>
            <w:noWrap w:val="0"/>
            <w:vAlign w:val="center"/>
          </w:tcPr>
          <w:p w14:paraId="665178B1">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担任职务</w:t>
            </w:r>
          </w:p>
        </w:tc>
        <w:tc>
          <w:tcPr>
            <w:tcW w:w="1598" w:type="dxa"/>
            <w:noWrap w:val="0"/>
            <w:vAlign w:val="center"/>
          </w:tcPr>
          <w:p w14:paraId="6A243FF2">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发包人</w:t>
            </w:r>
          </w:p>
        </w:tc>
      </w:tr>
      <w:tr w14:paraId="2DC58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632" w:type="dxa"/>
            <w:noWrap w:val="0"/>
            <w:vAlign w:val="center"/>
          </w:tcPr>
          <w:p w14:paraId="71E418A1">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426" w:type="dxa"/>
            <w:gridSpan w:val="3"/>
            <w:noWrap w:val="0"/>
            <w:vAlign w:val="center"/>
          </w:tcPr>
          <w:p w14:paraId="23573FF6">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noWrap w:val="0"/>
            <w:vAlign w:val="center"/>
          </w:tcPr>
          <w:p w14:paraId="184298BA">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98" w:type="dxa"/>
            <w:noWrap w:val="0"/>
            <w:vAlign w:val="center"/>
          </w:tcPr>
          <w:p w14:paraId="2EA10B26">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0E31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632" w:type="dxa"/>
            <w:noWrap w:val="0"/>
            <w:vAlign w:val="center"/>
          </w:tcPr>
          <w:p w14:paraId="182F8C4B">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426" w:type="dxa"/>
            <w:gridSpan w:val="3"/>
            <w:noWrap w:val="0"/>
            <w:vAlign w:val="center"/>
          </w:tcPr>
          <w:p w14:paraId="36CF1BBC">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noWrap w:val="0"/>
            <w:vAlign w:val="center"/>
          </w:tcPr>
          <w:p w14:paraId="1410B9C4">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98" w:type="dxa"/>
            <w:noWrap w:val="0"/>
            <w:vAlign w:val="center"/>
          </w:tcPr>
          <w:p w14:paraId="078EE807">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156D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632" w:type="dxa"/>
            <w:noWrap w:val="0"/>
            <w:vAlign w:val="center"/>
          </w:tcPr>
          <w:p w14:paraId="51C6E55B">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426" w:type="dxa"/>
            <w:gridSpan w:val="3"/>
            <w:noWrap w:val="0"/>
            <w:vAlign w:val="center"/>
          </w:tcPr>
          <w:p w14:paraId="18F65677">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noWrap w:val="0"/>
            <w:vAlign w:val="center"/>
          </w:tcPr>
          <w:p w14:paraId="2D64B03C">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98" w:type="dxa"/>
            <w:noWrap w:val="0"/>
            <w:vAlign w:val="center"/>
          </w:tcPr>
          <w:p w14:paraId="6D35004F">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1C70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632" w:type="dxa"/>
            <w:noWrap w:val="0"/>
            <w:vAlign w:val="center"/>
          </w:tcPr>
          <w:p w14:paraId="5642B097">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426" w:type="dxa"/>
            <w:gridSpan w:val="3"/>
            <w:noWrap w:val="0"/>
            <w:vAlign w:val="center"/>
          </w:tcPr>
          <w:p w14:paraId="3CE812D8">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noWrap w:val="0"/>
            <w:vAlign w:val="center"/>
          </w:tcPr>
          <w:p w14:paraId="771D528F">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98" w:type="dxa"/>
            <w:noWrap w:val="0"/>
            <w:vAlign w:val="center"/>
          </w:tcPr>
          <w:p w14:paraId="30347450">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8866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632" w:type="dxa"/>
            <w:noWrap w:val="0"/>
            <w:vAlign w:val="center"/>
          </w:tcPr>
          <w:p w14:paraId="2EB7B7AA">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426" w:type="dxa"/>
            <w:gridSpan w:val="3"/>
            <w:noWrap w:val="0"/>
            <w:vAlign w:val="center"/>
          </w:tcPr>
          <w:p w14:paraId="11A47BFA">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noWrap w:val="0"/>
            <w:vAlign w:val="center"/>
          </w:tcPr>
          <w:p w14:paraId="0B8595D7">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98" w:type="dxa"/>
            <w:noWrap w:val="0"/>
            <w:vAlign w:val="center"/>
          </w:tcPr>
          <w:p w14:paraId="39FD7198">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798F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632" w:type="dxa"/>
            <w:noWrap w:val="0"/>
            <w:vAlign w:val="center"/>
          </w:tcPr>
          <w:p w14:paraId="74920E5B">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426" w:type="dxa"/>
            <w:gridSpan w:val="3"/>
            <w:noWrap w:val="0"/>
            <w:vAlign w:val="center"/>
          </w:tcPr>
          <w:p w14:paraId="2E8BEADC">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noWrap w:val="0"/>
            <w:vAlign w:val="center"/>
          </w:tcPr>
          <w:p w14:paraId="0CC18AD3">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98" w:type="dxa"/>
            <w:noWrap w:val="0"/>
            <w:vAlign w:val="center"/>
          </w:tcPr>
          <w:p w14:paraId="7B66D12A">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47B95A47">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注：主要人员指项目负责人及项目组其它主要人员。每个人员各填一张表，后附相关证书扫描件并加盖公章、社保等。</w:t>
      </w:r>
    </w:p>
    <w:p w14:paraId="5D005EEC">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5F4978E4">
      <w:pPr>
        <w:keepNext w:val="0"/>
        <w:keepLines w:val="0"/>
        <w:pageBreakBefore w:val="0"/>
        <w:numPr>
          <w:ilvl w:val="0"/>
          <w:numId w:val="0"/>
        </w:numPr>
        <w:kinsoku/>
        <w:wordWrap w:val="0"/>
        <w:overflowPunct/>
        <w:topLinePunct w:val="0"/>
        <w:bidi w:val="0"/>
        <w:snapToGrid w:val="0"/>
        <w:spacing w:line="360" w:lineRule="auto"/>
        <w:jc w:val="both"/>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p>
    <w:p w14:paraId="24F89D93">
      <w:pPr>
        <w:keepNext w:val="0"/>
        <w:keepLines w:val="0"/>
        <w:pageBreakBefore w:val="0"/>
        <w:numPr>
          <w:ilvl w:val="0"/>
          <w:numId w:val="0"/>
        </w:numPr>
        <w:kinsoku/>
        <w:wordWrap w:val="0"/>
        <w:overflowPunct/>
        <w:topLinePunct w:val="0"/>
        <w:bidi w:val="0"/>
        <w:snapToGrid w:val="0"/>
        <w:spacing w:line="360" w:lineRule="auto"/>
        <w:jc w:val="both"/>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p>
    <w:p w14:paraId="0090A47E">
      <w:pPr>
        <w:keepNext w:val="0"/>
        <w:keepLines w:val="0"/>
        <w:pageBreakBefore w:val="0"/>
        <w:numPr>
          <w:ilvl w:val="0"/>
          <w:numId w:val="0"/>
        </w:numPr>
        <w:kinsoku/>
        <w:wordWrap w:val="0"/>
        <w:overflowPunct/>
        <w:topLinePunct w:val="0"/>
        <w:bidi w:val="0"/>
        <w:snapToGrid w:val="0"/>
        <w:spacing w:line="360" w:lineRule="auto"/>
        <w:jc w:val="both"/>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p>
    <w:p w14:paraId="3047E728">
      <w:pPr>
        <w:keepNext w:val="0"/>
        <w:keepLines w:val="0"/>
        <w:pageBreakBefore w:val="0"/>
        <w:numPr>
          <w:ilvl w:val="0"/>
          <w:numId w:val="0"/>
        </w:numPr>
        <w:kinsoku/>
        <w:wordWrap w:val="0"/>
        <w:overflowPunct/>
        <w:topLinePunct w:val="0"/>
        <w:bidi w:val="0"/>
        <w:snapToGrid w:val="0"/>
        <w:spacing w:line="360" w:lineRule="auto"/>
        <w:jc w:val="both"/>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p>
    <w:p w14:paraId="1421347F">
      <w:pPr>
        <w:keepNext w:val="0"/>
        <w:keepLines w:val="0"/>
        <w:pageBreakBefore w:val="0"/>
        <w:numPr>
          <w:ilvl w:val="0"/>
          <w:numId w:val="0"/>
        </w:numPr>
        <w:kinsoku/>
        <w:wordWrap w:val="0"/>
        <w:overflowPunct/>
        <w:topLinePunct w:val="0"/>
        <w:bidi w:val="0"/>
        <w:snapToGrid w:val="0"/>
        <w:spacing w:line="360" w:lineRule="auto"/>
        <w:jc w:val="both"/>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p>
    <w:p w14:paraId="704E8D9E">
      <w:pP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br w:type="page"/>
      </w:r>
    </w:p>
    <w:p w14:paraId="79DBFB2E">
      <w:pPr>
        <w:spacing w:line="720" w:lineRule="auto"/>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5.3项目实施方案</w:t>
      </w:r>
    </w:p>
    <w:p w14:paraId="2C519BFD">
      <w:pPr>
        <w:spacing w:line="720" w:lineRule="auto"/>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5.4服务承诺</w:t>
      </w:r>
    </w:p>
    <w:p w14:paraId="2947C300">
      <w:pPr>
        <w:spacing w:line="720" w:lineRule="auto"/>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5.5磋商文件要求的其它材料及供应商认为有必要提供的材料</w:t>
      </w: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br w:type="page"/>
      </w:r>
    </w:p>
    <w:p w14:paraId="11B512D2">
      <w:pPr>
        <w:spacing w:before="100" w:after="100" w:line="360" w:lineRule="exact"/>
        <w:jc w:val="both"/>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六、供应商诚信承诺书、磋商承诺函、信用承诺书和采购代理服务费承诺函</w:t>
      </w:r>
    </w:p>
    <w:p w14:paraId="37F1D604">
      <w:pPr>
        <w:keepNext w:val="0"/>
        <w:keepLines w:val="0"/>
        <w:pageBreakBefore w:val="0"/>
        <w:kinsoku/>
        <w:wordWrap w:val="0"/>
        <w:overflowPunct/>
        <w:topLinePunct w:val="0"/>
        <w:bidi w:val="0"/>
        <w:spacing w:line="360" w:lineRule="auto"/>
        <w:jc w:val="both"/>
        <w:rPr>
          <w:rFonts w:hint="eastAsia" w:ascii="宋体" w:hAnsi="宋体" w:eastAsia="宋体" w:cs="宋体"/>
          <w:b/>
          <w:bCs/>
          <w:color w:val="000000" w:themeColor="text1"/>
          <w:sz w:val="24"/>
          <w:szCs w:val="24"/>
          <w:highlight w:val="none"/>
          <w:lang w:eastAsia="zh-CN"/>
          <w14:textFill>
            <w14:solidFill>
              <w14:schemeClr w14:val="tx1"/>
            </w14:solidFill>
          </w14:textFill>
        </w:rPr>
      </w:pPr>
    </w:p>
    <w:p w14:paraId="05B940E4">
      <w:pPr>
        <w:keepNext w:val="0"/>
        <w:keepLines w:val="0"/>
        <w:pageBreakBefore w:val="0"/>
        <w:kinsoku/>
        <w:wordWrap w:val="0"/>
        <w:overflowPunct/>
        <w:topLinePunct w:val="0"/>
        <w:bidi w:val="0"/>
        <w:spacing w:line="360" w:lineRule="auto"/>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6.1诚信承诺书</w:t>
      </w:r>
    </w:p>
    <w:p w14:paraId="2076F197">
      <w:pPr>
        <w:keepNext w:val="0"/>
        <w:keepLines w:val="0"/>
        <w:pageBreakBefore w:val="0"/>
        <w:kinsoku/>
        <w:wordWrap w:val="0"/>
        <w:overflowPunct/>
        <w:topLinePunct w:val="0"/>
        <w:bidi w:val="0"/>
        <w:spacing w:line="360" w:lineRule="auto"/>
        <w:ind w:firstLine="607" w:firstLineChars="252"/>
        <w:jc w:val="both"/>
        <w:rPr>
          <w:rFonts w:hint="eastAsia" w:ascii="宋体" w:hAnsi="宋体" w:eastAsia="宋体" w:cs="宋体"/>
          <w:b/>
          <w:bCs/>
          <w:color w:val="000000" w:themeColor="text1"/>
          <w:sz w:val="24"/>
          <w:szCs w:val="24"/>
          <w:highlight w:val="none"/>
          <w:lang w:eastAsia="zh-CN"/>
          <w14:textFill>
            <w14:solidFill>
              <w14:schemeClr w14:val="tx1"/>
            </w14:solidFill>
          </w14:textFill>
        </w:rPr>
      </w:pPr>
    </w:p>
    <w:p w14:paraId="73279DC5">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为维护市场公平竞争，营造诚实守信的公共资源交易环境，本公司郑重承诺：</w:t>
      </w:r>
    </w:p>
    <w:p w14:paraId="315F3FAF">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1、本次</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在电子</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9EF2D33">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2、本公司在参加本项目过程中严格遵守各项诚信廉洁规定，如有违反，自愿按规定接受处罚。</w:t>
      </w:r>
    </w:p>
    <w:p w14:paraId="62CFFC0F">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16324132">
      <w:pPr>
        <w:keepNext w:val="0"/>
        <w:keepLines w:val="0"/>
        <w:pageBreakBefore w:val="0"/>
        <w:kinsoku/>
        <w:wordWrap w:val="0"/>
        <w:overflowPunct/>
        <w:topLinePunct w:val="0"/>
        <w:bidi w:val="0"/>
        <w:spacing w:line="360" w:lineRule="auto"/>
        <w:ind w:firstLine="1562" w:firstLineChars="651"/>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承诺人法定名称（盖章）：</w:t>
      </w:r>
    </w:p>
    <w:p w14:paraId="5CD1B84A">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承诺人法定地址：</w:t>
      </w:r>
    </w:p>
    <w:p w14:paraId="1E99767D">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授权代表（签字或盖章）：</w:t>
      </w:r>
    </w:p>
    <w:p w14:paraId="27CB1CA9">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电话：</w:t>
      </w:r>
    </w:p>
    <w:p w14:paraId="18243EF3">
      <w:pPr>
        <w:keepNext w:val="0"/>
        <w:keepLines w:val="0"/>
        <w:pageBreakBefore w:val="0"/>
        <w:widowControl w:val="0"/>
        <w:kinsoku/>
        <w:wordWrap w:val="0"/>
        <w:overflowPunct/>
        <w:topLinePunct w:val="0"/>
        <w:autoSpaceDE w:val="0"/>
        <w:autoSpaceDN w:val="0"/>
        <w:bidi w:val="0"/>
        <w:adjustRightInd w:val="0"/>
        <w:spacing w:line="360" w:lineRule="auto"/>
        <w:ind w:left="0" w:leftChars="0" w:firstLine="1478" w:firstLineChars="660"/>
        <w:jc w:val="both"/>
        <w:rPr>
          <w:rFonts w:hint="eastAsia" w:ascii="宋体" w:hAnsi="宋体" w:eastAsia="宋体" w:cs="宋体"/>
          <w:b w:val="0"/>
          <w:bCs w:val="0"/>
          <w:snapToGrid w:val="0"/>
          <w:color w:val="000000" w:themeColor="text1"/>
          <w:spacing w:val="-8"/>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日期：</w:t>
      </w:r>
      <w:r>
        <w:rPr>
          <w:rFonts w:hint="eastAsia" w:ascii="宋体" w:hAnsi="宋体" w:eastAsia="宋体" w:cs="宋体"/>
          <w:b w:val="0"/>
          <w:bCs w:val="0"/>
          <w:snapToGrid w:val="0"/>
          <w:color w:val="000000" w:themeColor="text1"/>
          <w:spacing w:val="-8"/>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年</w:t>
      </w:r>
      <w:r>
        <w:rPr>
          <w:rFonts w:hint="eastAsia" w:ascii="宋体" w:hAnsi="宋体" w:eastAsia="宋体" w:cs="宋体"/>
          <w:b w:val="0"/>
          <w:bCs w:val="0"/>
          <w:snapToGrid w:val="0"/>
          <w:color w:val="000000" w:themeColor="text1"/>
          <w:spacing w:val="-8"/>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月</w:t>
      </w:r>
      <w:r>
        <w:rPr>
          <w:rFonts w:hint="eastAsia" w:ascii="宋体" w:hAnsi="宋体" w:eastAsia="宋体" w:cs="宋体"/>
          <w:b w:val="0"/>
          <w:bCs w:val="0"/>
          <w:snapToGrid w:val="0"/>
          <w:color w:val="000000" w:themeColor="text1"/>
          <w:spacing w:val="-8"/>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日</w:t>
      </w:r>
    </w:p>
    <w:p w14:paraId="42F1E61C">
      <w:pPr>
        <w:keepNext w:val="0"/>
        <w:keepLines w:val="0"/>
        <w:pageBreakBefore w:val="0"/>
        <w:numPr>
          <w:ilvl w:val="0"/>
          <w:numId w:val="0"/>
        </w:numPr>
        <w:kinsoku/>
        <w:wordWrap w:val="0"/>
        <w:overflowPunct/>
        <w:topLinePunct w:val="0"/>
        <w:bidi w:val="0"/>
        <w:snapToGrid w:val="0"/>
        <w:spacing w:line="360" w:lineRule="auto"/>
        <w:jc w:val="both"/>
        <w:rPr>
          <w:rFonts w:hint="eastAsia" w:ascii="宋体" w:hAnsi="宋体" w:eastAsia="宋体" w:cs="宋体"/>
          <w:snapToGrid w:val="0"/>
          <w:color w:val="000000" w:themeColor="text1"/>
          <w:spacing w:val="-3"/>
          <w:kern w:val="0"/>
          <w:sz w:val="24"/>
          <w:szCs w:val="24"/>
          <w:highlight w:val="none"/>
          <w:lang w:val="en-US" w:eastAsia="zh-CN" w:bidi="ar-SA"/>
          <w14:textFill>
            <w14:solidFill>
              <w14:schemeClr w14:val="tx1"/>
            </w14:solidFill>
          </w14:textFill>
        </w:rPr>
      </w:pPr>
    </w:p>
    <w:p w14:paraId="6812F2F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p>
    <w:p w14:paraId="752F92F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p>
    <w:p w14:paraId="7D22C5C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p>
    <w:p w14:paraId="2878EEBB">
      <w:pPr>
        <w:widowControl/>
        <w:jc w:val="center"/>
        <w:rPr>
          <w:rFonts w:hint="eastAsia" w:ascii="宋体" w:hAnsi="宋体" w:eastAsia="宋体" w:cs="宋体"/>
          <w:b/>
          <w:color w:val="000000" w:themeColor="text1"/>
          <w:sz w:val="28"/>
          <w:szCs w:val="28"/>
          <w:highlight w:val="none"/>
          <w14:textFill>
            <w14:solidFill>
              <w14:schemeClr w14:val="tx1"/>
            </w14:solidFill>
          </w14:textFill>
        </w:rPr>
      </w:pPr>
    </w:p>
    <w:p w14:paraId="7F288315">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br w:type="page"/>
      </w:r>
    </w:p>
    <w:p w14:paraId="3DB65BA9">
      <w:pPr>
        <w:autoSpaceDE w:val="0"/>
        <w:autoSpaceDN w:val="0"/>
        <w:adjustRightInd w:val="0"/>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6.2</w:t>
      </w:r>
      <w:r>
        <w:rPr>
          <w:rFonts w:hint="eastAsia" w:ascii="宋体" w:hAnsi="宋体" w:eastAsia="宋体" w:cs="宋体"/>
          <w:b/>
          <w:color w:val="000000" w:themeColor="text1"/>
          <w:sz w:val="24"/>
          <w:szCs w:val="24"/>
          <w:highlight w:val="none"/>
          <w14:textFill>
            <w14:solidFill>
              <w14:schemeClr w14:val="tx1"/>
            </w14:solidFill>
          </w14:textFill>
        </w:rPr>
        <w:t>磋商承诺函</w:t>
      </w:r>
    </w:p>
    <w:p w14:paraId="54A2D5E8">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致（采购人及采购代理机构）：</w:t>
      </w:r>
    </w:p>
    <w:p w14:paraId="54817F27">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我公司作为本次采购项目的供应商，根据磋商文件要求，现郑重承诺若存在以下行为之一的愿意接受相关部门的处理：</w:t>
      </w:r>
    </w:p>
    <w:p w14:paraId="63056756">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（一）投标有效期内撤销响应文件的；</w:t>
      </w:r>
    </w:p>
    <w:p w14:paraId="5C1FBC18">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（二）在采购人确定中标人以前放弃中标候选资格的；</w:t>
      </w:r>
    </w:p>
    <w:p w14:paraId="1215CD14">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（三）由于中标人的原因未能按照磋商文件的规定与采购人签订合同；</w:t>
      </w:r>
    </w:p>
    <w:p w14:paraId="6C915792">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（四）在响应文件中提供虚假材料谋取中标；</w:t>
      </w:r>
    </w:p>
    <w:p w14:paraId="548E861D">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（五）与采购人、其他供应商或者采购代理机构恶意串通的；</w:t>
      </w:r>
    </w:p>
    <w:p w14:paraId="1841B10D">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（六）投标有效期内，供应商在政府采购活动中有违法、违规、违纪行为。</w:t>
      </w:r>
    </w:p>
    <w:p w14:paraId="16632AE0">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由此产生的一切法律后果和责任由我公司承担。我公司声明放弃对此提出任何异议和追索的权利。</w:t>
      </w:r>
    </w:p>
    <w:p w14:paraId="3ECEBA87">
      <w:pPr>
        <w:keepNext w:val="0"/>
        <w:keepLines w:val="0"/>
        <w:pageBreakBefore w:val="0"/>
        <w:kinsoku/>
        <w:wordWrap w:val="0"/>
        <w:overflowPunct/>
        <w:topLinePunct w:val="0"/>
        <w:bidi w:val="0"/>
        <w:spacing w:line="360" w:lineRule="auto"/>
        <w:ind w:firstLine="604" w:firstLineChars="252"/>
        <w:jc w:val="both"/>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本公司对上述承诺的内容事项真实性负责。如经查实上述承诺的内容事项存在虚假，我公司愿意接受以提供虚假材料谋取中标追究法律责任。</w:t>
      </w:r>
    </w:p>
    <w:p w14:paraId="01E1F09E">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p w14:paraId="67ACA782">
      <w:pPr>
        <w:autoSpaceDE w:val="0"/>
        <w:autoSpaceDN w:val="0"/>
        <w:adjustRightInd w:val="0"/>
        <w:spacing w:line="420" w:lineRule="exact"/>
        <w:rPr>
          <w:rFonts w:hint="eastAsia" w:ascii="宋体" w:hAnsi="宋体" w:eastAsia="宋体" w:cs="宋体"/>
          <w:color w:val="000000" w:themeColor="text1"/>
          <w:sz w:val="24"/>
          <w:szCs w:val="24"/>
          <w:highlight w:val="none"/>
          <w14:textFill>
            <w14:solidFill>
              <w14:schemeClr w14:val="tx1"/>
            </w14:solidFill>
          </w14:textFill>
        </w:rPr>
      </w:pPr>
    </w:p>
    <w:p w14:paraId="5B0BA745">
      <w:pPr>
        <w:spacing w:line="360" w:lineRule="auto"/>
        <w:ind w:left="42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color w:val="000000" w:themeColor="text1"/>
          <w:sz w:val="24"/>
          <w:szCs w:val="24"/>
          <w:highlight w:val="none"/>
          <w14:textFill>
            <w14:solidFill>
              <w14:schemeClr w14:val="tx1"/>
            </w14:solidFill>
          </w14:textFill>
        </w:rPr>
        <w:t>（全称）：（电子签章）</w:t>
      </w:r>
    </w:p>
    <w:p w14:paraId="2D3A654F">
      <w:pPr>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法定代表人</w:t>
      </w:r>
      <w:r>
        <w:rPr>
          <w:rFonts w:hint="eastAsia" w:ascii="宋体" w:hAnsi="宋体" w:eastAsia="宋体" w:cs="宋体"/>
          <w:b/>
          <w:color w:val="000000" w:themeColor="text1"/>
          <w:sz w:val="24"/>
          <w:szCs w:val="24"/>
          <w:highlight w:val="none"/>
          <w:lang w:eastAsia="zh-CN"/>
          <w14:textFill>
            <w14:solidFill>
              <w14:schemeClr w14:val="tx1"/>
            </w14:solidFill>
          </w14:textFill>
        </w:rPr>
        <w:t>（负责人）</w:t>
      </w:r>
      <w:r>
        <w:rPr>
          <w:rFonts w:hint="eastAsia" w:ascii="宋体" w:hAnsi="宋体" w:eastAsia="宋体" w:cs="宋体"/>
          <w:b/>
          <w:color w:val="000000" w:themeColor="text1"/>
          <w:sz w:val="24"/>
          <w:szCs w:val="24"/>
          <w:highlight w:val="none"/>
          <w14:textFill>
            <w14:solidFill>
              <w14:schemeClr w14:val="tx1"/>
            </w14:solidFill>
          </w14:textFill>
        </w:rPr>
        <w:t xml:space="preserve">或其授权代表（电子签章/签名）：  </w:t>
      </w:r>
    </w:p>
    <w:p w14:paraId="6691F54C">
      <w:pPr>
        <w:spacing w:line="360" w:lineRule="auto"/>
        <w:ind w:left="424" w:leftChars="202" w:firstLine="1181" w:firstLineChars="49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年  月  日</w:t>
      </w:r>
    </w:p>
    <w:p w14:paraId="75A53C21">
      <w:pPr>
        <w:autoSpaceDE w:val="0"/>
        <w:autoSpaceDN w:val="0"/>
        <w:adjustRightInd w:val="0"/>
        <w:spacing w:line="360" w:lineRule="auto"/>
        <w:jc w:val="both"/>
        <w:rPr>
          <w:rFonts w:hint="eastAsia" w:ascii="宋体" w:hAnsi="宋体" w:eastAsia="宋体" w:cs="宋体"/>
          <w:b/>
          <w:color w:val="000000" w:themeColor="text1"/>
          <w:sz w:val="24"/>
          <w:szCs w:val="24"/>
          <w:highlight w:val="none"/>
          <w14:textFill>
            <w14:solidFill>
              <w14:schemeClr w14:val="tx1"/>
            </w14:solidFill>
          </w14:textFill>
        </w:rPr>
      </w:pPr>
    </w:p>
    <w:p w14:paraId="484C5325">
      <w:pPr>
        <w:autoSpaceDE w:val="0"/>
        <w:autoSpaceDN w:val="0"/>
        <w:adjustRightIn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6.3</w:t>
      </w:r>
      <w:r>
        <w:rPr>
          <w:rFonts w:hint="eastAsia" w:ascii="宋体" w:hAnsi="宋体" w:eastAsia="宋体" w:cs="宋体"/>
          <w:b/>
          <w:color w:val="000000" w:themeColor="text1"/>
          <w:sz w:val="24"/>
          <w:szCs w:val="24"/>
          <w:highlight w:val="none"/>
          <w14:textFill>
            <w14:solidFill>
              <w14:schemeClr w14:val="tx1"/>
            </w14:solidFill>
          </w14:textFill>
        </w:rPr>
        <w:t>信用承诺书</w:t>
      </w:r>
    </w:p>
    <w:p w14:paraId="67790EFD">
      <w:pPr>
        <w:autoSpaceDE w:val="0"/>
        <w:autoSpaceDN w:val="0"/>
        <w:adjustRightIn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（投标单位范本）</w:t>
      </w:r>
    </w:p>
    <w:p w14:paraId="51819D1C">
      <w:pPr>
        <w:pStyle w:val="12"/>
        <w:rPr>
          <w:rFonts w:hint="eastAsia" w:ascii="宋体" w:hAnsi="宋体" w:eastAsia="宋体" w:cs="宋体"/>
          <w:color w:val="000000" w:themeColor="text1"/>
          <w:highlight w:val="none"/>
          <w14:textFill>
            <w14:solidFill>
              <w14:schemeClr w14:val="tx1"/>
            </w14:solidFill>
          </w14:textFill>
        </w:rPr>
      </w:pPr>
    </w:p>
    <w:p w14:paraId="6F12AB9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为营造公开、公平、公正、诚实守信的公共资源交易环境，树立诚信守法的供应商形象，本人代表本单位作出以下承诺：</w:t>
      </w:r>
    </w:p>
    <w:p w14:paraId="5390739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bookmarkStart w:id="24" w:name="bookmark46"/>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bookmarkEnd w:id="24"/>
      <w:r>
        <w:rPr>
          <w:rFonts w:hint="eastAsia" w:ascii="宋体" w:hAnsi="宋体" w:eastAsia="宋体" w:cs="宋体"/>
          <w:color w:val="000000" w:themeColor="text1"/>
          <w:kern w:val="0"/>
          <w:sz w:val="24"/>
          <w:szCs w:val="24"/>
          <w:highlight w:val="none"/>
          <w:lang w:eastAsia="zh-CN"/>
          <w14:textFill>
            <w14:solidFill>
              <w14:schemeClr w14:val="tx1"/>
            </w14:solidFill>
          </w14:textFill>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7949E1F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bookmarkStart w:id="25" w:name="bookmark47"/>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bookmarkEnd w:id="25"/>
      <w:r>
        <w:rPr>
          <w:rFonts w:hint="eastAsia" w:ascii="宋体" w:hAnsi="宋体" w:eastAsia="宋体" w:cs="宋体"/>
          <w:color w:val="000000" w:themeColor="text1"/>
          <w:kern w:val="0"/>
          <w:sz w:val="24"/>
          <w:szCs w:val="24"/>
          <w:highlight w:val="none"/>
          <w:lang w:eastAsia="zh-CN"/>
          <w14:textFill>
            <w14:solidFill>
              <w14:schemeClr w14:val="tx1"/>
            </w14:solidFill>
          </w14:textFill>
        </w:rPr>
        <w:t>二）严格依照国家和河南省关于招标投标的法律、法规、规章、规范性文件，参加公共资源招标投标活动，不挂靠、借用、出租、出借、转让资质，积极履行社会责任，促进廉政建设。</w:t>
      </w:r>
    </w:p>
    <w:p w14:paraId="7CDDCB9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bookmarkStart w:id="26" w:name="bookmark48"/>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bookmarkEnd w:id="26"/>
      <w:r>
        <w:rPr>
          <w:rFonts w:hint="eastAsia" w:ascii="宋体" w:hAnsi="宋体" w:eastAsia="宋体" w:cs="宋体"/>
          <w:color w:val="000000" w:themeColor="text1"/>
          <w:kern w:val="0"/>
          <w:sz w:val="24"/>
          <w:szCs w:val="24"/>
          <w:highlight w:val="none"/>
          <w:lang w:eastAsia="zh-CN"/>
          <w14:textFill>
            <w14:solidFill>
              <w14:schemeClr w14:val="tx1"/>
            </w14:solidFill>
          </w14:textFill>
        </w:rPr>
        <w:t>三）自我约束、自我管理，守合同、重信用，不参与围标串标、弄虚作假、骗取中标、干扰评标、胁迫他人投标（放弃中标）、恶意投诉、违约毁约等行为，自觉维护公共资源招标投标的良好秩序。</w:t>
      </w:r>
    </w:p>
    <w:p w14:paraId="3D3DE79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本单位及项目经办人员信用状况良好，未被列为失信惩戒对象或“老赖”，符合参与公共资源交易活动的相关要求。</w:t>
      </w:r>
    </w:p>
    <w:p w14:paraId="5B4E9D3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bookmarkStart w:id="27" w:name="bookmark49"/>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bookmarkEnd w:id="27"/>
      <w:r>
        <w:rPr>
          <w:rFonts w:hint="eastAsia" w:ascii="宋体" w:hAnsi="宋体" w:eastAsia="宋体" w:cs="宋体"/>
          <w:color w:val="000000" w:themeColor="text1"/>
          <w:kern w:val="0"/>
          <w:sz w:val="24"/>
          <w:szCs w:val="24"/>
          <w:highlight w:val="none"/>
          <w:lang w:eastAsia="zh-CN"/>
          <w14:textFill>
            <w14:solidFill>
              <w14:schemeClr w14:val="tx1"/>
            </w14:solidFill>
          </w14:textFill>
        </w:rPr>
        <w:t>五）本单位不存在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被人力资源和社会保障部门列入拖欠农民工工资“黑名单”或因拖欠农民工工资被县级及以上有关行政主管部门限制投标资格之情形，若中标，</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本单位将自觉落实农民工工资保障的有关措施，及时缴纳缴纳农民工工资保证金，切实维护农民工权益。</w:t>
      </w:r>
    </w:p>
    <w:p w14:paraId="6E049B7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（六）若中标，本单位将在规定的时间内与招标人签订合同并自觉履行合同义务，不转包或违法分包中标项目。</w:t>
      </w:r>
    </w:p>
    <w:p w14:paraId="2FF746E8">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bookmarkStart w:id="28" w:name="bookmark50"/>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bookmarkEnd w:id="28"/>
      <w:r>
        <w:rPr>
          <w:rFonts w:hint="eastAsia" w:ascii="宋体" w:hAnsi="宋体" w:eastAsia="宋体" w:cs="宋体"/>
          <w:color w:val="000000" w:themeColor="text1"/>
          <w:kern w:val="0"/>
          <w:sz w:val="24"/>
          <w:szCs w:val="24"/>
          <w:highlight w:val="none"/>
          <w:lang w:eastAsia="zh-CN"/>
          <w14:textFill>
            <w14:solidFill>
              <w14:schemeClr w14:val="tx1"/>
            </w14:solidFill>
          </w14:textFill>
        </w:rPr>
        <w:t>七）自觉接受政府、行业组织、社会公众、新闻舆论的监督。</w:t>
      </w:r>
    </w:p>
    <w:p w14:paraId="6785874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bookmarkStart w:id="29" w:name="bookmark51"/>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bookmarkEnd w:id="29"/>
      <w:r>
        <w:rPr>
          <w:rFonts w:hint="eastAsia" w:ascii="宋体" w:hAnsi="宋体" w:eastAsia="宋体" w:cs="宋体"/>
          <w:color w:val="000000" w:themeColor="text1"/>
          <w:kern w:val="0"/>
          <w:sz w:val="24"/>
          <w:szCs w:val="24"/>
          <w:highlight w:val="none"/>
          <w:lang w:eastAsia="zh-CN"/>
          <w14:textFill>
            <w14:solidFill>
              <w14:schemeClr w14:val="tx1"/>
            </w14:solidFill>
          </w14:textFill>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19B454D8">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（九）本人已认真阅读了上述承诺，并向本单位员工作了宣传教育。</w:t>
      </w:r>
    </w:p>
    <w:p w14:paraId="18CF0609">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color w:val="000000" w:themeColor="text1"/>
          <w:sz w:val="24"/>
          <w:highlight w:val="none"/>
          <w14:textFill>
            <w14:solidFill>
              <w14:schemeClr w14:val="tx1"/>
            </w14:solidFill>
          </w14:textFill>
        </w:rPr>
        <w:t>（电子签章）</w:t>
      </w:r>
      <w:r>
        <w:rPr>
          <w:rFonts w:hint="eastAsia" w:ascii="宋体" w:hAnsi="宋体" w:eastAsia="宋体" w:cs="宋体"/>
          <w:b/>
          <w:bCs/>
          <w:color w:val="000000" w:themeColor="text1"/>
          <w:sz w:val="24"/>
          <w:highlight w:val="none"/>
          <w14:textFill>
            <w14:solidFill>
              <w14:schemeClr w14:val="tx1"/>
            </w14:solidFill>
          </w14:textFill>
        </w:rPr>
        <w:t>：</w:t>
      </w:r>
    </w:p>
    <w:p w14:paraId="54FD5EA3">
      <w:pPr>
        <w:keepNext w:val="0"/>
        <w:keepLines w:val="0"/>
        <w:pageBreakBefore w:val="0"/>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法定代表人</w:t>
      </w:r>
      <w:r>
        <w:rPr>
          <w:rFonts w:hint="eastAsia" w:ascii="宋体" w:hAnsi="宋体" w:eastAsia="宋体" w:cs="宋体"/>
          <w:b/>
          <w:bCs/>
          <w:color w:val="000000" w:themeColor="text1"/>
          <w:sz w:val="24"/>
          <w:highlight w:val="none"/>
          <w:lang w:eastAsia="zh-CN"/>
          <w14:textFill>
            <w14:solidFill>
              <w14:schemeClr w14:val="tx1"/>
            </w14:solidFill>
          </w14:textFill>
        </w:rPr>
        <w:t>（负责人）</w:t>
      </w:r>
      <w:r>
        <w:rPr>
          <w:rFonts w:hint="eastAsia" w:ascii="宋体" w:hAnsi="宋体" w:eastAsia="宋体" w:cs="宋体"/>
          <w:b/>
          <w:bCs/>
          <w:color w:val="000000" w:themeColor="text1"/>
          <w:sz w:val="24"/>
          <w:highlight w:val="none"/>
          <w14:textFill>
            <w14:solidFill>
              <w14:schemeClr w14:val="tx1"/>
            </w14:solidFill>
          </w14:textFill>
        </w:rPr>
        <w:t>或授权代表（</w:t>
      </w:r>
      <w:r>
        <w:rPr>
          <w:rFonts w:hint="eastAsia" w:ascii="宋体" w:hAnsi="宋体" w:eastAsia="宋体" w:cs="宋体"/>
          <w:b/>
          <w:color w:val="000000" w:themeColor="text1"/>
          <w:sz w:val="24"/>
          <w:highlight w:val="none"/>
          <w14:textFill>
            <w14:solidFill>
              <w14:schemeClr w14:val="tx1"/>
            </w14:solidFill>
          </w14:textFill>
        </w:rPr>
        <w:t>电子签章/签名</w:t>
      </w:r>
      <w:r>
        <w:rPr>
          <w:rFonts w:hint="eastAsia" w:ascii="宋体" w:hAnsi="宋体" w:eastAsia="宋体" w:cs="宋体"/>
          <w:b/>
          <w:bCs/>
          <w:color w:val="000000" w:themeColor="text1"/>
          <w:sz w:val="24"/>
          <w:highlight w:val="none"/>
          <w14:textFill>
            <w14:solidFill>
              <w14:schemeClr w14:val="tx1"/>
            </w14:solidFill>
          </w14:textFill>
        </w:rPr>
        <w:t>）：</w:t>
      </w:r>
    </w:p>
    <w:p w14:paraId="22B2E07D">
      <w:pPr>
        <w:keepNext w:val="0"/>
        <w:keepLines w:val="0"/>
        <w:pageBreakBefore w:val="0"/>
        <w:tabs>
          <w:tab w:val="left" w:pos="360"/>
          <w:tab w:val="left" w:pos="540"/>
        </w:tabs>
        <w:kinsoku/>
        <w:wordWrap/>
        <w:overflowPunct/>
        <w:topLinePunct w:val="0"/>
        <w:autoSpaceDE/>
        <w:autoSpaceDN/>
        <w:bidi w:val="0"/>
        <w:spacing w:line="420" w:lineRule="exact"/>
        <w:textAlignment w:val="auto"/>
        <w:rPr>
          <w:rFonts w:hint="eastAsia" w:ascii="宋体" w:hAnsi="宋体" w:eastAsia="宋体" w:cs="宋体"/>
          <w:color w:val="000000" w:themeColor="text1"/>
          <w:sz w:val="24"/>
          <w:highlight w:val="none"/>
          <w:lang w:val="en-US" w:eastAsia="zh-CN"/>
          <w14:textFill>
            <w14:solidFill>
              <w14:schemeClr w14:val="tx1"/>
            </w14:solidFill>
          </w14:textFill>
        </w:rPr>
        <w:sectPr>
          <w:headerReference r:id="rId13" w:type="first"/>
          <w:footerReference r:id="rId15" w:type="first"/>
          <w:headerReference r:id="rId12" w:type="default"/>
          <w:footerReference r:id="rId14" w:type="default"/>
          <w:pgSz w:w="11906" w:h="16838"/>
          <w:pgMar w:top="1417" w:right="1474" w:bottom="1417" w:left="1474" w:header="851" w:footer="992" w:gutter="0"/>
          <w:pgNumType w:fmt="decimal"/>
          <w:cols w:space="720" w:num="1"/>
          <w:titlePg/>
          <w:docGrid w:linePitch="312" w:charSpace="0"/>
        </w:sectPr>
      </w:pPr>
      <w:r>
        <w:rPr>
          <w:rFonts w:hint="eastAsia" w:ascii="宋体" w:hAnsi="宋体" w:eastAsia="宋体" w:cs="宋体"/>
          <w:b/>
          <w:color w:val="000000" w:themeColor="text1"/>
          <w:sz w:val="24"/>
          <w:highlight w:val="none"/>
          <w14:textFill>
            <w14:solidFill>
              <w14:schemeClr w14:val="tx1"/>
            </w14:solidFill>
          </w14:textFill>
        </w:rPr>
        <w:t xml:space="preserve">日   期：   年   月   </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日</w:t>
      </w:r>
    </w:p>
    <w:p w14:paraId="47EB9814">
      <w:pPr>
        <w:spacing w:before="100" w:after="100" w:line="36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6.4采购</w:t>
      </w:r>
      <w:r>
        <w:rPr>
          <w:rFonts w:hint="eastAsia" w:ascii="宋体" w:hAnsi="宋体" w:eastAsia="宋体" w:cs="宋体"/>
          <w:b/>
          <w:bCs/>
          <w:color w:val="000000" w:themeColor="text1"/>
          <w:spacing w:val="8"/>
          <w:sz w:val="24"/>
          <w:highlight w:val="none"/>
          <w14:textFill>
            <w14:solidFill>
              <w14:schemeClr w14:val="tx1"/>
            </w14:solidFill>
          </w14:textFill>
        </w:rPr>
        <w:t>代理服务费承诺函</w:t>
      </w:r>
    </w:p>
    <w:p w14:paraId="3D540862">
      <w:pPr>
        <w:spacing w:before="100" w:after="100" w:line="4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8"/>
          <w:sz w:val="24"/>
          <w:highlight w:val="none"/>
          <w:shd w:val="clear" w:color="auto" w:fill="FFFFFF"/>
          <w14:textFill>
            <w14:solidFill>
              <w14:schemeClr w14:val="tx1"/>
            </w14:solidFill>
          </w14:textFill>
        </w:rPr>
        <w:t> </w:t>
      </w:r>
    </w:p>
    <w:p w14:paraId="36363969">
      <w:pPr>
        <w:spacing w:before="100" w:after="100" w:line="48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8"/>
          <w:sz w:val="24"/>
          <w:highlight w:val="none"/>
          <w:shd w:val="clear" w:color="auto" w:fill="FFFFFF"/>
          <w14:textFill>
            <w14:solidFill>
              <w14:schemeClr w14:val="tx1"/>
            </w14:solidFill>
          </w14:textFill>
        </w:rPr>
        <w:t>致（采购代理机构）：</w:t>
      </w:r>
    </w:p>
    <w:p w14:paraId="572A4C85">
      <w:pPr>
        <w:autoSpaceDE w:val="0"/>
        <w:autoSpaceDN w:val="0"/>
        <w:adjustRightIn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我们在贵公司组织的（项目名称：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，项目编号：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中若获中标，我们保证在成交公告发布后5个工作日内，按</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文件的规定，以银行转账或现金方式向贵公司一次性支付</w:t>
      </w:r>
      <w:r>
        <w:rPr>
          <w:rFonts w:hint="eastAsia" w:ascii="宋体" w:hAnsi="宋体" w:eastAsia="宋体" w:cs="宋体"/>
          <w:color w:val="000000" w:themeColor="text1"/>
          <w:sz w:val="24"/>
          <w:highlight w:val="none"/>
          <w:lang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代理服务费用。否则，由此产生的一切法律后果和责任由我公司承担。我公司声明放弃对此提出任何异议和追索的权利。</w:t>
      </w:r>
    </w:p>
    <w:p w14:paraId="5F04A5ED">
      <w:pPr>
        <w:autoSpaceDE w:val="0"/>
        <w:autoSpaceDN w:val="0"/>
        <w:adjustRightIn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特此承诺。</w:t>
      </w:r>
    </w:p>
    <w:p w14:paraId="0EECA8EC">
      <w:pPr>
        <w:spacing w:before="100" w:after="100" w:line="480" w:lineRule="exact"/>
        <w:rPr>
          <w:rFonts w:hint="eastAsia" w:ascii="宋体" w:hAnsi="宋体" w:eastAsia="宋体" w:cs="宋体"/>
          <w:color w:val="000000" w:themeColor="text1"/>
          <w:spacing w:val="8"/>
          <w:sz w:val="18"/>
          <w:szCs w:val="18"/>
          <w:highlight w:val="none"/>
          <w:shd w:val="clear" w:color="auto" w:fill="FFFFFF"/>
          <w14:textFill>
            <w14:solidFill>
              <w14:schemeClr w14:val="tx1"/>
            </w14:solidFill>
          </w14:textFill>
        </w:rPr>
      </w:pPr>
    </w:p>
    <w:p w14:paraId="2FD1E8D0">
      <w:pPr>
        <w:spacing w:line="360" w:lineRule="auto"/>
        <w:ind w:firstLine="567"/>
        <w:rPr>
          <w:rFonts w:hint="eastAsia" w:ascii="宋体" w:hAnsi="宋体" w:eastAsia="宋体" w:cs="宋体"/>
          <w:color w:val="000000" w:themeColor="text1"/>
          <w:sz w:val="24"/>
          <w:highlight w:val="none"/>
          <w14:textFill>
            <w14:solidFill>
              <w14:schemeClr w14:val="tx1"/>
            </w14:solidFill>
          </w14:textFill>
        </w:rPr>
      </w:pPr>
    </w:p>
    <w:p w14:paraId="19675912">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7CE48B64">
      <w:pPr>
        <w:adjustRightInd w:val="0"/>
        <w:snapToGrid w:val="0"/>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color w:val="000000" w:themeColor="text1"/>
          <w:sz w:val="24"/>
          <w:highlight w:val="none"/>
          <w14:textFill>
            <w14:solidFill>
              <w14:schemeClr w14:val="tx1"/>
            </w14:solidFill>
          </w14:textFill>
        </w:rPr>
        <w:t>（电子签章）</w:t>
      </w:r>
      <w:r>
        <w:rPr>
          <w:rFonts w:hint="eastAsia" w:ascii="宋体" w:hAnsi="宋体" w:eastAsia="宋体" w:cs="宋体"/>
          <w:b/>
          <w:bCs/>
          <w:color w:val="000000" w:themeColor="text1"/>
          <w:sz w:val="24"/>
          <w:highlight w:val="none"/>
          <w14:textFill>
            <w14:solidFill>
              <w14:schemeClr w14:val="tx1"/>
            </w14:solidFill>
          </w14:textFill>
        </w:rPr>
        <w:t>：</w:t>
      </w:r>
    </w:p>
    <w:p w14:paraId="349E6F75">
      <w:pPr>
        <w:adjustRightInd w:val="0"/>
        <w:snapToGrid w:val="0"/>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法定代表人</w:t>
      </w:r>
      <w:r>
        <w:rPr>
          <w:rFonts w:hint="eastAsia" w:ascii="宋体" w:hAnsi="宋体" w:eastAsia="宋体" w:cs="宋体"/>
          <w:b/>
          <w:bCs/>
          <w:color w:val="000000" w:themeColor="text1"/>
          <w:sz w:val="24"/>
          <w:highlight w:val="none"/>
          <w:lang w:eastAsia="zh-CN"/>
          <w14:textFill>
            <w14:solidFill>
              <w14:schemeClr w14:val="tx1"/>
            </w14:solidFill>
          </w14:textFill>
        </w:rPr>
        <w:t>（负责人）</w:t>
      </w:r>
      <w:r>
        <w:rPr>
          <w:rFonts w:hint="eastAsia" w:ascii="宋体" w:hAnsi="宋体" w:eastAsia="宋体" w:cs="宋体"/>
          <w:b/>
          <w:bCs/>
          <w:color w:val="000000" w:themeColor="text1"/>
          <w:sz w:val="24"/>
          <w:highlight w:val="none"/>
          <w14:textFill>
            <w14:solidFill>
              <w14:schemeClr w14:val="tx1"/>
            </w14:solidFill>
          </w14:textFill>
        </w:rPr>
        <w:t>或授权代表（</w:t>
      </w:r>
      <w:r>
        <w:rPr>
          <w:rFonts w:hint="eastAsia" w:ascii="宋体" w:hAnsi="宋体" w:eastAsia="宋体" w:cs="宋体"/>
          <w:b/>
          <w:color w:val="000000" w:themeColor="text1"/>
          <w:sz w:val="24"/>
          <w:highlight w:val="none"/>
          <w14:textFill>
            <w14:solidFill>
              <w14:schemeClr w14:val="tx1"/>
            </w14:solidFill>
          </w14:textFill>
        </w:rPr>
        <w:t>电子签章/签名</w:t>
      </w:r>
      <w:r>
        <w:rPr>
          <w:rFonts w:hint="eastAsia" w:ascii="宋体" w:hAnsi="宋体" w:eastAsia="宋体" w:cs="宋体"/>
          <w:b/>
          <w:bCs/>
          <w:color w:val="000000" w:themeColor="text1"/>
          <w:sz w:val="24"/>
          <w:highlight w:val="none"/>
          <w14:textFill>
            <w14:solidFill>
              <w14:schemeClr w14:val="tx1"/>
            </w14:solidFill>
          </w14:textFill>
        </w:rPr>
        <w:t>）：</w:t>
      </w:r>
    </w:p>
    <w:p w14:paraId="5E06315D">
      <w:pPr>
        <w:tabs>
          <w:tab w:val="left" w:pos="360"/>
          <w:tab w:val="left" w:pos="540"/>
        </w:tabs>
        <w:spacing w:line="360" w:lineRule="auto"/>
        <w:rPr>
          <w:rFonts w:hint="eastAsia" w:ascii="宋体" w:hAnsi="宋体" w:eastAsia="宋体" w:cs="宋体"/>
          <w:color w:val="000000" w:themeColor="text1"/>
          <w:sz w:val="24"/>
          <w:highlight w:val="none"/>
          <w14:textFill>
            <w14:solidFill>
              <w14:schemeClr w14:val="tx1"/>
            </w14:solidFill>
          </w14:textFill>
        </w:rPr>
        <w:sectPr>
          <w:footerReference r:id="rId18" w:type="first"/>
          <w:headerReference r:id="rId16" w:type="default"/>
          <w:footerReference r:id="rId17" w:type="default"/>
          <w:pgSz w:w="11906" w:h="16838"/>
          <w:pgMar w:top="1417" w:right="1474" w:bottom="1417" w:left="1474" w:header="851" w:footer="992" w:gutter="0"/>
          <w:pgNumType w:fmt="decimal"/>
          <w:cols w:space="720" w:num="1"/>
          <w:titlePg/>
          <w:docGrid w:linePitch="312" w:charSpace="0"/>
        </w:sectPr>
      </w:pPr>
      <w:r>
        <w:rPr>
          <w:rFonts w:hint="eastAsia" w:ascii="宋体" w:hAnsi="宋体" w:eastAsia="宋体" w:cs="宋体"/>
          <w:b/>
          <w:color w:val="000000" w:themeColor="text1"/>
          <w:sz w:val="24"/>
          <w:highlight w:val="none"/>
          <w14:textFill>
            <w14:solidFill>
              <w14:schemeClr w14:val="tx1"/>
            </w14:solidFill>
          </w14:textFill>
        </w:rPr>
        <w:t>日   期：   年   月   日</w:t>
      </w:r>
    </w:p>
    <w:p w14:paraId="2EC25B6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3"/>
          <w:kern w:val="0"/>
          <w:sz w:val="24"/>
          <w:szCs w:val="24"/>
          <w:highlight w:val="none"/>
          <w:lang w:val="en-US" w:eastAsia="zh-CN" w:bidi="ar-SA"/>
          <w14:textFill>
            <w14:solidFill>
              <w14:schemeClr w14:val="tx1"/>
            </w14:solidFill>
          </w14:textFill>
        </w:rPr>
        <w:t>七、供应商认为需要的其他文件资料</w:t>
      </w:r>
    </w:p>
    <w:p w14:paraId="5E80CFF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pacing w:val="-2"/>
          <w:sz w:val="36"/>
          <w:szCs w:val="36"/>
          <w:highlight w:val="none"/>
          <w14:textOutline w14:w="2306" w14:cap="flat" w14:cmpd="sng">
            <w14:solidFill>
              <w14:srgbClr w14:val="000000"/>
            </w14:solidFill>
            <w14:prstDash w14:val="solid"/>
            <w14:miter w14:val="0"/>
          </w14:textOutline>
          <w14:textFill>
            <w14:solidFill>
              <w14:schemeClr w14:val="tx1"/>
            </w14:solidFill>
          </w14:textFill>
        </w:rPr>
        <w:t>中小企业声明函（服务）</w:t>
      </w:r>
    </w:p>
    <w:p w14:paraId="442387F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000000" w:themeColor="text1"/>
          <w:sz w:val="21"/>
          <w:highlight w:val="none"/>
          <w14:textFill>
            <w14:solidFill>
              <w14:schemeClr w14:val="tx1"/>
            </w14:solidFill>
          </w14:textFill>
        </w:rPr>
      </w:pPr>
    </w:p>
    <w:p w14:paraId="70AA2AB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本公司（联合体）郑重声明，根据《政府采购促进中小企业发展管理办法》（财</w:t>
      </w:r>
      <w:r>
        <w:rPr>
          <w:rFonts w:hint="eastAsia" w:ascii="宋体" w:hAnsi="宋体" w:eastAsia="宋体" w:cs="宋体"/>
          <w:color w:val="000000" w:themeColor="text1"/>
          <w:spacing w:val="1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库﹝2020﹞46 号）</w:t>
      </w:r>
      <w:r>
        <w:rPr>
          <w:rFonts w:hint="eastAsia" w:ascii="宋体" w:hAnsi="宋体" w:eastAsia="宋体" w:cs="宋体"/>
          <w:color w:val="000000" w:themeColor="text1"/>
          <w:spacing w:val="-6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的规定，本公司（联合体）参加（单位名称）</w:t>
      </w:r>
      <w:r>
        <w:rPr>
          <w:rFonts w:hint="eastAsia" w:ascii="宋体" w:hAnsi="宋体" w:eastAsia="宋体" w:cs="宋体"/>
          <w:color w:val="000000" w:themeColor="text1"/>
          <w:spacing w:val="-6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的（项目</w:t>
      </w:r>
      <w:r>
        <w:rPr>
          <w:rFonts w:hint="eastAsia" w:ascii="宋体" w:hAnsi="宋体" w:eastAsia="宋体" w:cs="宋体"/>
          <w:color w:val="000000" w:themeColor="text1"/>
          <w:spacing w:val="9"/>
          <w:sz w:val="24"/>
          <w:szCs w:val="24"/>
          <w:highlight w:val="none"/>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14:textFill>
            <w14:solidFill>
              <w14:schemeClr w14:val="tx1"/>
            </w14:solidFill>
          </w14:textFill>
        </w:rPr>
        <w:t>采购活动，工程的施工单位全部为符合政策要求</w:t>
      </w:r>
      <w:r>
        <w:rPr>
          <w:rFonts w:hint="eastAsia" w:ascii="宋体" w:hAnsi="宋体" w:eastAsia="宋体" w:cs="宋体"/>
          <w:color w:val="000000" w:themeColor="text1"/>
          <w:spacing w:val="11"/>
          <w:sz w:val="24"/>
          <w:szCs w:val="24"/>
          <w:highlight w:val="none"/>
          <w14:textFill>
            <w14:solidFill>
              <w14:schemeClr w14:val="tx1"/>
            </w14:solidFill>
          </w14:textFill>
        </w:rPr>
        <w:t>的中小企业（或者：服务全部由符</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合政策要求的中小企业承接）。相关企业（含联合体中的中小企业</w:t>
      </w:r>
      <w:r>
        <w:rPr>
          <w:rFonts w:hint="eastAsia" w:ascii="宋体" w:hAnsi="宋体" w:eastAsia="宋体" w:cs="宋体"/>
          <w:color w:val="000000" w:themeColor="text1"/>
          <w:spacing w:val="4"/>
          <w:sz w:val="24"/>
          <w:szCs w:val="24"/>
          <w:highlight w:val="none"/>
          <w14:textFill>
            <w14:solidFill>
              <w14:schemeClr w14:val="tx1"/>
            </w14:solidFill>
          </w14:textFill>
        </w:rPr>
        <w:t>、签订分包意向协</w:t>
      </w:r>
    </w:p>
    <w:p w14:paraId="3DB206F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议的中小企业）</w:t>
      </w:r>
      <w:r>
        <w:rPr>
          <w:rFonts w:hint="eastAsia" w:ascii="宋体" w:hAnsi="宋体" w:eastAsia="宋体" w:cs="宋体"/>
          <w:color w:val="000000" w:themeColor="text1"/>
          <w:spacing w:val="-6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的具体情况如下：</w:t>
      </w:r>
    </w:p>
    <w:p w14:paraId="7FC771E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1.</w:t>
      </w:r>
      <w:r>
        <w:rPr>
          <w:rFonts w:hint="eastAsia" w:ascii="宋体" w:hAnsi="宋体" w:eastAsia="宋体" w:cs="宋体"/>
          <w:color w:val="000000" w:themeColor="text1"/>
          <w:spacing w:val="8"/>
          <w:sz w:val="24"/>
          <w:szCs w:val="24"/>
          <w:highlight w:val="none"/>
          <w:u w:val="single" w:color="auto"/>
          <w14:textFill>
            <w14:solidFill>
              <w14:schemeClr w14:val="tx1"/>
            </w14:solidFill>
          </w14:textFill>
        </w:rPr>
        <w:t>（标的名称</w:t>
      </w:r>
      <w:r>
        <w:rPr>
          <w:rFonts w:hint="eastAsia" w:ascii="宋体" w:hAnsi="宋体" w:eastAsia="宋体" w:cs="宋体"/>
          <w:color w:val="000000" w:themeColor="text1"/>
          <w:spacing w:val="-48"/>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48"/>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属于</w:t>
      </w:r>
      <w:r>
        <w:rPr>
          <w:rFonts w:hint="eastAsia" w:ascii="宋体" w:hAnsi="宋体" w:eastAsia="宋体" w:cs="宋体"/>
          <w:color w:val="000000" w:themeColor="text1"/>
          <w:spacing w:val="8"/>
          <w:sz w:val="24"/>
          <w:szCs w:val="24"/>
          <w:highlight w:val="none"/>
          <w:u w:val="single" w:color="auto"/>
          <w14:textFill>
            <w14:solidFill>
              <w14:schemeClr w14:val="tx1"/>
            </w14:solidFill>
          </w14:textFill>
        </w:rPr>
        <w:t>（采购文件中明确的所属行业）</w:t>
      </w:r>
      <w:r>
        <w:rPr>
          <w:rFonts w:hint="eastAsia" w:ascii="宋体" w:hAnsi="宋体" w:eastAsia="宋体" w:cs="宋体"/>
          <w:color w:val="000000" w:themeColor="text1"/>
          <w:spacing w:val="8"/>
          <w:sz w:val="24"/>
          <w:szCs w:val="24"/>
          <w:highlight w:val="none"/>
          <w14:textFill>
            <w14:solidFill>
              <w14:schemeClr w14:val="tx1"/>
            </w14:solidFill>
          </w14:textFill>
        </w:rPr>
        <w:t>行业；承建</w:t>
      </w:r>
      <w:r>
        <w:rPr>
          <w:rFonts w:hint="eastAsia" w:ascii="宋体" w:hAnsi="宋体" w:eastAsia="宋体" w:cs="宋体"/>
          <w:color w:val="000000" w:themeColor="text1"/>
          <w:spacing w:val="7"/>
          <w:sz w:val="24"/>
          <w:szCs w:val="24"/>
          <w:highlight w:val="none"/>
          <w14:textFill>
            <w14:solidFill>
              <w14:schemeClr w14:val="tx1"/>
            </w14:solidFill>
          </w14:textFill>
        </w:rPr>
        <w:t>（承接）企业</w:t>
      </w:r>
      <w:r>
        <w:rPr>
          <w:rFonts w:hint="eastAsia" w:ascii="宋体" w:hAnsi="宋体" w:eastAsia="宋体" w:cs="宋体"/>
          <w:color w:val="000000" w:themeColor="text1"/>
          <w:spacing w:val="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为</w:t>
      </w:r>
      <w:r>
        <w:rPr>
          <w:rFonts w:hint="eastAsia" w:ascii="宋体" w:hAnsi="宋体" w:eastAsia="宋体" w:cs="宋体"/>
          <w:color w:val="000000" w:themeColor="text1"/>
          <w:spacing w:val="7"/>
          <w:sz w:val="24"/>
          <w:szCs w:val="24"/>
          <w:highlight w:val="none"/>
          <w:u w:val="single" w:color="auto"/>
          <w14:textFill>
            <w14:solidFill>
              <w14:schemeClr w14:val="tx1"/>
            </w14:solidFill>
          </w14:textFill>
        </w:rPr>
        <w:t>（企业名称</w:t>
      </w:r>
      <w:r>
        <w:rPr>
          <w:rFonts w:hint="eastAsia" w:ascii="宋体" w:hAnsi="宋体" w:eastAsia="宋体" w:cs="宋体"/>
          <w:color w:val="000000" w:themeColor="text1"/>
          <w:spacing w:val="-25"/>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25"/>
          <w:sz w:val="24"/>
          <w:szCs w:val="24"/>
          <w:highlight w:val="none"/>
          <w14:textFill>
            <w14:solidFill>
              <w14:schemeClr w14:val="tx1"/>
            </w14:solidFill>
          </w14:textFill>
        </w:rPr>
        <w:t>，</w:t>
      </w:r>
      <w:r>
        <w:rPr>
          <w:rFonts w:hint="eastAsia" w:ascii="宋体" w:hAnsi="宋体" w:eastAsia="宋体" w:cs="宋体"/>
          <w:color w:val="000000" w:themeColor="text1"/>
          <w:spacing w:val="7"/>
          <w:sz w:val="24"/>
          <w:szCs w:val="24"/>
          <w:highlight w:val="none"/>
          <w14:textFill>
            <w14:solidFill>
              <w14:schemeClr w14:val="tx1"/>
            </w14:solidFill>
          </w14:textFill>
        </w:rPr>
        <w:t>从业人员</w:t>
      </w:r>
      <w:r>
        <w:rPr>
          <w:rFonts w:hint="eastAsia" w:ascii="宋体" w:hAnsi="宋体" w:eastAsia="宋体" w:cs="宋体"/>
          <w:color w:val="000000" w:themeColor="text1"/>
          <w:spacing w:val="-10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人，</w:t>
      </w:r>
      <w:r>
        <w:rPr>
          <w:rFonts w:hint="eastAsia" w:ascii="宋体" w:hAnsi="宋体" w:eastAsia="宋体" w:cs="宋体"/>
          <w:color w:val="000000" w:themeColor="text1"/>
          <w:spacing w:val="-7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营业收入为</w:t>
      </w:r>
      <w:r>
        <w:rPr>
          <w:rFonts w:hint="eastAsia" w:ascii="宋体" w:hAnsi="宋体" w:eastAsia="宋体" w:cs="宋体"/>
          <w:color w:val="000000" w:themeColor="text1"/>
          <w:spacing w:val="-10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万元，</w:t>
      </w:r>
      <w:r>
        <w:rPr>
          <w:rFonts w:hint="eastAsia" w:ascii="宋体" w:hAnsi="宋体" w:eastAsia="宋体" w:cs="宋体"/>
          <w:color w:val="000000" w:themeColor="text1"/>
          <w:spacing w:val="-7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资产总额为</w:t>
      </w:r>
      <w:r>
        <w:rPr>
          <w:rFonts w:hint="eastAsia" w:ascii="宋体" w:hAnsi="宋体" w:eastAsia="宋体" w:cs="宋体"/>
          <w:color w:val="000000" w:themeColor="text1"/>
          <w:spacing w:val="-107"/>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万元</w:t>
      </w:r>
      <w:r>
        <w:rPr>
          <w:rFonts w:hint="eastAsia" w:ascii="宋体" w:hAnsi="宋体" w:eastAsia="宋体" w:cs="宋体"/>
          <w:color w:val="000000" w:themeColor="text1"/>
          <w:spacing w:val="-2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position w:val="6"/>
          <w:sz w:val="16"/>
          <w:szCs w:val="16"/>
          <w:highlight w:val="none"/>
          <w14:textFill>
            <w14:solidFill>
              <w14:schemeClr w14:val="tx1"/>
            </w14:solidFill>
          </w14:textFill>
        </w:rPr>
        <w:t>1</w:t>
      </w:r>
      <w:r>
        <w:rPr>
          <w:rFonts w:hint="eastAsia" w:ascii="宋体" w:hAnsi="宋体" w:eastAsia="宋体" w:cs="宋体"/>
          <w:color w:val="000000" w:themeColor="text1"/>
          <w:spacing w:val="-12"/>
          <w:position w:val="6"/>
          <w:sz w:val="16"/>
          <w:szCs w:val="16"/>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，属于</w:t>
      </w:r>
      <w:r>
        <w:rPr>
          <w:rFonts w:hint="eastAsia" w:ascii="宋体" w:hAnsi="宋体" w:eastAsia="宋体" w:cs="宋体"/>
          <w:color w:val="000000" w:themeColor="text1"/>
          <w:spacing w:val="8"/>
          <w:sz w:val="24"/>
          <w:szCs w:val="24"/>
          <w:highlight w:val="none"/>
          <w:u w:val="single" w:color="auto"/>
          <w14:textFill>
            <w14:solidFill>
              <w14:schemeClr w14:val="tx1"/>
            </w14:solidFill>
          </w14:textFill>
        </w:rPr>
        <w:t>（中型企业、小型企业、微型企业</w:t>
      </w:r>
      <w:r>
        <w:rPr>
          <w:rFonts w:hint="eastAsia" w:ascii="宋体" w:hAnsi="宋体" w:eastAsia="宋体" w:cs="宋体"/>
          <w:color w:val="000000" w:themeColor="text1"/>
          <w:spacing w:val="-50"/>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50"/>
          <w:sz w:val="24"/>
          <w:szCs w:val="24"/>
          <w:highlight w:val="none"/>
          <w14:textFill>
            <w14:solidFill>
              <w14:schemeClr w14:val="tx1"/>
            </w14:solidFill>
          </w14:textFill>
        </w:rPr>
        <w:t>；</w:t>
      </w:r>
    </w:p>
    <w:p w14:paraId="1A3EED5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2.</w:t>
      </w:r>
      <w:r>
        <w:rPr>
          <w:rFonts w:hint="eastAsia" w:ascii="宋体" w:hAnsi="宋体" w:eastAsia="宋体" w:cs="宋体"/>
          <w:color w:val="000000" w:themeColor="text1"/>
          <w:spacing w:val="8"/>
          <w:sz w:val="24"/>
          <w:szCs w:val="24"/>
          <w:highlight w:val="none"/>
          <w:u w:val="single" w:color="auto"/>
          <w14:textFill>
            <w14:solidFill>
              <w14:schemeClr w14:val="tx1"/>
            </w14:solidFill>
          </w14:textFill>
        </w:rPr>
        <w:t>（标的名称</w:t>
      </w:r>
      <w:r>
        <w:rPr>
          <w:rFonts w:hint="eastAsia" w:ascii="宋体" w:hAnsi="宋体" w:eastAsia="宋体" w:cs="宋体"/>
          <w:color w:val="000000" w:themeColor="text1"/>
          <w:spacing w:val="-46"/>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46"/>
          <w:sz w:val="24"/>
          <w:szCs w:val="24"/>
          <w:highlight w:val="none"/>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属于</w:t>
      </w:r>
      <w:r>
        <w:rPr>
          <w:rFonts w:hint="eastAsia" w:ascii="宋体" w:hAnsi="宋体" w:eastAsia="宋体" w:cs="宋体"/>
          <w:color w:val="000000" w:themeColor="text1"/>
          <w:spacing w:val="8"/>
          <w:sz w:val="24"/>
          <w:szCs w:val="24"/>
          <w:highlight w:val="none"/>
          <w:u w:val="single" w:color="auto"/>
          <w14:textFill>
            <w14:solidFill>
              <w14:schemeClr w14:val="tx1"/>
            </w14:solidFill>
          </w14:textFill>
        </w:rPr>
        <w:t>（采购文件中明确的所属行业）</w:t>
      </w:r>
      <w:r>
        <w:rPr>
          <w:rFonts w:hint="eastAsia" w:ascii="宋体" w:hAnsi="宋体" w:eastAsia="宋体" w:cs="宋体"/>
          <w:color w:val="000000" w:themeColor="text1"/>
          <w:spacing w:val="8"/>
          <w:sz w:val="24"/>
          <w:szCs w:val="24"/>
          <w:highlight w:val="none"/>
          <w14:textFill>
            <w14:solidFill>
              <w14:schemeClr w14:val="tx1"/>
            </w14:solidFill>
          </w14:textFill>
        </w:rPr>
        <w:t>行业；承建（承接）企业</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为</w:t>
      </w:r>
      <w:r>
        <w:rPr>
          <w:rFonts w:hint="eastAsia" w:ascii="宋体" w:hAnsi="宋体" w:eastAsia="宋体" w:cs="宋体"/>
          <w:color w:val="000000" w:themeColor="text1"/>
          <w:spacing w:val="7"/>
          <w:sz w:val="24"/>
          <w:szCs w:val="24"/>
          <w:highlight w:val="none"/>
          <w:u w:val="single" w:color="auto"/>
          <w14:textFill>
            <w14:solidFill>
              <w14:schemeClr w14:val="tx1"/>
            </w14:solidFill>
          </w14:textFill>
        </w:rPr>
        <w:t>（企业名称</w:t>
      </w:r>
      <w:r>
        <w:rPr>
          <w:rFonts w:hint="eastAsia" w:ascii="宋体" w:hAnsi="宋体" w:eastAsia="宋体" w:cs="宋体"/>
          <w:color w:val="000000" w:themeColor="text1"/>
          <w:spacing w:val="-25"/>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25"/>
          <w:sz w:val="24"/>
          <w:szCs w:val="24"/>
          <w:highlight w:val="none"/>
          <w14:textFill>
            <w14:solidFill>
              <w14:schemeClr w14:val="tx1"/>
            </w14:solidFill>
          </w14:textFill>
        </w:rPr>
        <w:t>，</w:t>
      </w:r>
      <w:r>
        <w:rPr>
          <w:rFonts w:hint="eastAsia" w:ascii="宋体" w:hAnsi="宋体" w:eastAsia="宋体" w:cs="宋体"/>
          <w:color w:val="000000" w:themeColor="text1"/>
          <w:spacing w:val="7"/>
          <w:sz w:val="24"/>
          <w:szCs w:val="24"/>
          <w:highlight w:val="none"/>
          <w14:textFill>
            <w14:solidFill>
              <w14:schemeClr w14:val="tx1"/>
            </w14:solidFill>
          </w14:textFill>
        </w:rPr>
        <w:t>从业人员</w:t>
      </w:r>
      <w:r>
        <w:rPr>
          <w:rFonts w:hint="eastAsia" w:ascii="宋体" w:hAnsi="宋体" w:eastAsia="宋体" w:cs="宋体"/>
          <w:color w:val="000000" w:themeColor="text1"/>
          <w:spacing w:val="-10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人，</w:t>
      </w:r>
      <w:r>
        <w:rPr>
          <w:rFonts w:hint="eastAsia" w:ascii="宋体" w:hAnsi="宋体" w:eastAsia="宋体" w:cs="宋体"/>
          <w:color w:val="000000" w:themeColor="text1"/>
          <w:spacing w:val="-7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营业收入为</w:t>
      </w:r>
      <w:r>
        <w:rPr>
          <w:rFonts w:hint="eastAsia" w:ascii="宋体" w:hAnsi="宋体" w:eastAsia="宋体" w:cs="宋体"/>
          <w:color w:val="000000" w:themeColor="text1"/>
          <w:spacing w:val="-10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万元，</w:t>
      </w:r>
      <w:r>
        <w:rPr>
          <w:rFonts w:hint="eastAsia" w:ascii="宋体" w:hAnsi="宋体" w:eastAsia="宋体" w:cs="宋体"/>
          <w:color w:val="000000" w:themeColor="text1"/>
          <w:spacing w:val="-7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资产总额为</w:t>
      </w:r>
      <w:r>
        <w:rPr>
          <w:rFonts w:hint="eastAsia" w:ascii="宋体" w:hAnsi="宋体" w:eastAsia="宋体" w:cs="宋体"/>
          <w:color w:val="000000" w:themeColor="text1"/>
          <w:spacing w:val="-107"/>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万元，属于</w:t>
      </w:r>
      <w:r>
        <w:rPr>
          <w:rFonts w:hint="eastAsia" w:ascii="宋体" w:hAnsi="宋体" w:eastAsia="宋体" w:cs="宋体"/>
          <w:color w:val="000000" w:themeColor="text1"/>
          <w:spacing w:val="10"/>
          <w:sz w:val="24"/>
          <w:szCs w:val="24"/>
          <w:highlight w:val="none"/>
          <w:u w:val="single" w:color="auto"/>
          <w14:textFill>
            <w14:solidFill>
              <w14:schemeClr w14:val="tx1"/>
            </w14:solidFill>
          </w14:textFill>
        </w:rPr>
        <w:t>（中型企业、小型企业、微型企业</w:t>
      </w:r>
      <w:r>
        <w:rPr>
          <w:rFonts w:hint="eastAsia" w:ascii="宋体" w:hAnsi="宋体" w:eastAsia="宋体" w:cs="宋体"/>
          <w:color w:val="000000" w:themeColor="text1"/>
          <w:spacing w:val="-46"/>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46"/>
          <w:sz w:val="24"/>
          <w:szCs w:val="24"/>
          <w:highlight w:val="none"/>
          <w14:textFill>
            <w14:solidFill>
              <w14:schemeClr w14:val="tx1"/>
            </w14:solidFill>
          </w14:textFill>
        </w:rPr>
        <w:t>；</w:t>
      </w:r>
    </w:p>
    <w:p w14:paraId="5284ADD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000000" w:themeColor="text1"/>
          <w:sz w:val="21"/>
          <w:highlight w:val="none"/>
          <w14:textFill>
            <w14:solidFill>
              <w14:schemeClr w14:val="tx1"/>
            </w14:solidFill>
          </w14:textFill>
        </w:rPr>
      </w:pPr>
    </w:p>
    <w:p w14:paraId="72D1C49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2"/>
          <w:position w:val="1"/>
          <w:sz w:val="24"/>
          <w:szCs w:val="24"/>
          <w:highlight w:val="none"/>
          <w14:textFill>
            <w14:solidFill>
              <w14:schemeClr w14:val="tx1"/>
            </w14:solidFill>
          </w14:textFill>
        </w:rPr>
        <w:t>……</w:t>
      </w:r>
    </w:p>
    <w:p w14:paraId="5C912C6E">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000000" w:themeColor="text1"/>
          <w:spacing w:val="11"/>
          <w:position w:val="17"/>
          <w:sz w:val="24"/>
          <w:szCs w:val="24"/>
          <w:highlight w:val="none"/>
          <w14:textFill>
            <w14:solidFill>
              <w14:schemeClr w14:val="tx1"/>
            </w14:solidFill>
          </w14:textFill>
        </w:rPr>
      </w:pPr>
      <w:r>
        <w:rPr>
          <w:rFonts w:hint="eastAsia" w:ascii="宋体" w:hAnsi="宋体" w:eastAsia="宋体" w:cs="宋体"/>
          <w:color w:val="000000" w:themeColor="text1"/>
          <w:spacing w:val="11"/>
          <w:position w:val="17"/>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5309B045">
      <w:pPr>
        <w:pStyle w:val="5"/>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000000" w:themeColor="text1"/>
          <w:spacing w:val="11"/>
          <w:position w:val="17"/>
          <w:sz w:val="24"/>
          <w:szCs w:val="24"/>
          <w:highlight w:val="none"/>
          <w14:textFill>
            <w14:solidFill>
              <w14:schemeClr w14:val="tx1"/>
            </w14:solidFill>
          </w14:textFill>
        </w:rPr>
      </w:pPr>
      <w:r>
        <w:rPr>
          <w:rFonts w:hint="eastAsia" w:ascii="宋体" w:hAnsi="宋体" w:eastAsia="宋体" w:cs="宋体"/>
          <w:color w:val="000000" w:themeColor="text1"/>
          <w:spacing w:val="11"/>
          <w:position w:val="17"/>
          <w:sz w:val="24"/>
          <w:szCs w:val="24"/>
          <w:highlight w:val="none"/>
          <w14:textFill>
            <w14:solidFill>
              <w14:schemeClr w14:val="tx1"/>
            </w14:solidFill>
          </w14:textFill>
        </w:rPr>
        <w:t>本企业对上述声明内容的真实性负责。如有虚假，将依法承担相应责任。</w:t>
      </w:r>
    </w:p>
    <w:p w14:paraId="3E02BCC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000000" w:themeColor="text1"/>
          <w:sz w:val="21"/>
          <w:highlight w:val="none"/>
          <w14:textFill>
            <w14:solidFill>
              <w14:schemeClr w14:val="tx1"/>
            </w14:solidFill>
          </w14:textFill>
        </w:rPr>
      </w:pPr>
    </w:p>
    <w:p w14:paraId="4B1B3D2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000000" w:themeColor="text1"/>
          <w:sz w:val="21"/>
          <w:highlight w:val="none"/>
          <w14:textFill>
            <w14:solidFill>
              <w14:schemeClr w14:val="tx1"/>
            </w14:solidFill>
          </w14:textFill>
        </w:rPr>
      </w:pPr>
    </w:p>
    <w:p w14:paraId="4C7EA12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9"/>
          <w:sz w:val="24"/>
          <w:szCs w:val="24"/>
          <w:highlight w:val="none"/>
          <w14:textFill>
            <w14:solidFill>
              <w14:schemeClr w14:val="tx1"/>
            </w14:solidFill>
          </w14:textFill>
        </w:rPr>
        <w:t>企业名称（盖章</w:t>
      </w: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p>
    <w:p w14:paraId="0CC537AC">
      <w:pPr>
        <w:keepNext w:val="0"/>
        <w:keepLines w:val="0"/>
        <w:pageBreakBefore w:val="0"/>
        <w:kinsoku/>
        <w:wordWrap w:val="0"/>
        <w:overflowPunct/>
        <w:topLinePunct w:val="0"/>
        <w:bidi w:val="0"/>
        <w:spacing w:line="360" w:lineRule="auto"/>
        <w:ind w:firstLine="5040" w:firstLineChars="2100"/>
        <w:jc w:val="both"/>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日期：</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年</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月</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日</w:t>
      </w:r>
    </w:p>
    <w:p w14:paraId="50D07E1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000000" w:themeColor="text1"/>
          <w:spacing w:val="9"/>
          <w:position w:val="5"/>
          <w:sz w:val="24"/>
          <w:szCs w:val="24"/>
          <w:highlight w:val="none"/>
          <w:lang w:val="en-US" w:eastAsia="zh-CN"/>
          <w14:textFill>
            <w14:solidFill>
              <w14:schemeClr w14:val="tx1"/>
            </w14:solidFill>
          </w14:textFill>
        </w:rPr>
      </w:pPr>
    </w:p>
    <w:p w14:paraId="5F2218C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position w:val="5"/>
          <w:sz w:val="24"/>
          <w:szCs w:val="24"/>
          <w:highlight w:val="none"/>
          <w:lang w:val="en-US" w:eastAsia="zh-CN"/>
          <w14:textFill>
            <w14:solidFill>
              <w14:schemeClr w14:val="tx1"/>
            </w14:solidFill>
          </w14:textFill>
        </w:rPr>
        <w:t>备注：</w:t>
      </w:r>
      <w:r>
        <w:rPr>
          <w:rFonts w:hint="eastAsia" w:ascii="宋体" w:hAnsi="宋体" w:eastAsia="宋体" w:cs="宋体"/>
          <w:color w:val="000000" w:themeColor="text1"/>
          <w:spacing w:val="9"/>
          <w:sz w:val="24"/>
          <w:szCs w:val="24"/>
          <w:highlight w:val="none"/>
          <w14:textFill>
            <w14:solidFill>
              <w14:schemeClr w14:val="tx1"/>
            </w14:solidFill>
          </w14:textFill>
        </w:rPr>
        <w:t>从业人员、营业收入、资产总额填报上一年度数据，无上一年度数据的新成立企业可不填报。</w:t>
      </w:r>
    </w:p>
    <w:p w14:paraId="6A23ED6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000000" w:themeColor="text1"/>
          <w:sz w:val="36"/>
          <w:szCs w:val="36"/>
          <w:highlight w:val="none"/>
          <w14:textOutline w14:w="2306" w14:cap="flat" w14:cmpd="sng">
            <w14:solidFill>
              <w14:srgbClr w14:val="000000"/>
            </w14:solidFill>
            <w14:prstDash w14:val="solid"/>
            <w14:miter w14:val="0"/>
          </w14:textOutline>
          <w14:textFill>
            <w14:solidFill>
              <w14:schemeClr w14:val="tx1"/>
            </w14:solidFill>
          </w14:textFill>
        </w:rPr>
      </w:pPr>
    </w:p>
    <w:p w14:paraId="7BC5E06B">
      <w:pPr>
        <w:rPr>
          <w:rFonts w:hint="eastAsia" w:ascii="宋体" w:hAnsi="宋体" w:eastAsia="宋体" w:cs="宋体"/>
          <w:color w:val="000000" w:themeColor="text1"/>
          <w:sz w:val="36"/>
          <w:szCs w:val="36"/>
          <w:highlight w:val="none"/>
          <w14:textOutline w14:w="2306" w14:cap="flat" w14:cmpd="sng">
            <w14:solidFill>
              <w14:srgbClr w14:val="000000"/>
            </w14:solidFill>
            <w14:prstDash w14:val="solid"/>
            <w14:miter w14:val="0"/>
          </w14:textOutline>
          <w14:textFill>
            <w14:solidFill>
              <w14:schemeClr w14:val="tx1"/>
            </w14:solidFill>
          </w14:textFill>
        </w:rPr>
      </w:pPr>
      <w:r>
        <w:rPr>
          <w:rFonts w:hint="eastAsia" w:ascii="宋体" w:hAnsi="宋体" w:eastAsia="宋体" w:cs="宋体"/>
          <w:color w:val="000000" w:themeColor="text1"/>
          <w:sz w:val="36"/>
          <w:szCs w:val="36"/>
          <w:highlight w:val="none"/>
          <w14:textOutline w14:w="2306" w14:cap="flat" w14:cmpd="sng">
            <w14:solidFill>
              <w14:srgbClr w14:val="000000"/>
            </w14:solidFill>
            <w14:prstDash w14:val="solid"/>
            <w14:miter w14:val="0"/>
          </w14:textOutline>
          <w14:textFill>
            <w14:solidFill>
              <w14:schemeClr w14:val="tx1"/>
            </w14:solidFill>
          </w14:textFill>
        </w:rPr>
        <w:br w:type="page"/>
      </w:r>
    </w:p>
    <w:p w14:paraId="5A3FD89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Outline w14:w="2306" w14:cap="flat" w14:cmpd="sng">
            <w14:solidFill>
              <w14:srgbClr w14:val="000000"/>
            </w14:solidFill>
            <w14:prstDash w14:val="solid"/>
            <w14:miter w14:val="0"/>
          </w14:textOutline>
          <w14:textFill>
            <w14:solidFill>
              <w14:schemeClr w14:val="tx1"/>
            </w14:solidFill>
          </w14:textFill>
        </w:rPr>
        <w:t>残疾人福利性单位声明函格式</w:t>
      </w:r>
    </w:p>
    <w:p w14:paraId="0E04DBE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position w:val="26"/>
          <w:sz w:val="24"/>
          <w:szCs w:val="24"/>
          <w:highlight w:val="none"/>
          <w14:textFill>
            <w14:solidFill>
              <w14:schemeClr w14:val="tx1"/>
            </w14:solidFill>
          </w14:textFill>
        </w:rPr>
        <w:t>本单位郑重声明，根据《财政部民政部中国残疾人联合会关于促进残疾人就</w:t>
      </w:r>
    </w:p>
    <w:p w14:paraId="3837C3F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业政府采购政策的通知》（财库〔2017〕141号）的规定，本单位</w:t>
      </w:r>
      <w:r>
        <w:rPr>
          <w:rFonts w:hint="eastAsia" w:ascii="宋体" w:hAnsi="宋体" w:eastAsia="宋体" w:cs="宋体"/>
          <w:color w:val="000000" w:themeColor="text1"/>
          <w:spacing w:val="3"/>
          <w:sz w:val="24"/>
          <w:szCs w:val="24"/>
          <w:highlight w:val="none"/>
          <w14:textOutline w14:w="1537" w14:cap="flat" w14:cmpd="sng">
            <w14:solidFill>
              <w14:srgbClr w14:val="000000"/>
            </w14:solidFill>
            <w14:prstDash w14:val="solid"/>
            <w14:miter w14:val="0"/>
          </w14:textOutline>
          <w14:textFill>
            <w14:solidFill>
              <w14:schemeClr w14:val="tx1"/>
            </w14:solidFill>
          </w14:textFill>
        </w:rPr>
        <w:t>（请进行选择</w:t>
      </w:r>
      <w:r>
        <w:rPr>
          <w:rFonts w:hint="eastAsia" w:ascii="宋体" w:hAnsi="宋体" w:eastAsia="宋体" w:cs="宋体"/>
          <w:color w:val="000000" w:themeColor="text1"/>
          <w:spacing w:val="-46"/>
          <w:sz w:val="24"/>
          <w:szCs w:val="24"/>
          <w:highlight w:val="none"/>
          <w14:textOutline w14:w="1537" w14:cap="flat" w14:cmpd="sng">
            <w14:solidFill>
              <w14:srgbClr w14:val="000000"/>
            </w14:solidFill>
            <w14:prstDash w14:val="solid"/>
            <w14:miter w14:val="0"/>
          </w14:textOutline>
          <w14:textFill>
            <w14:solidFill>
              <w14:schemeClr w14:val="tx1"/>
            </w14:solidFill>
          </w14:textFill>
        </w:rPr>
        <w:t>）</w:t>
      </w:r>
      <w:r>
        <w:rPr>
          <w:rFonts w:hint="eastAsia" w:ascii="宋体" w:hAnsi="宋体" w:eastAsia="宋体" w:cs="宋体"/>
          <w:color w:val="000000" w:themeColor="text1"/>
          <w:spacing w:val="-46"/>
          <w:sz w:val="24"/>
          <w:szCs w:val="24"/>
          <w:highlight w:val="none"/>
          <w14:textFill>
            <w14:solidFill>
              <w14:schemeClr w14:val="tx1"/>
            </w14:solidFill>
          </w14:textFill>
        </w:rPr>
        <w:t>：</w:t>
      </w:r>
    </w:p>
    <w:p w14:paraId="5A95B2F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
          <w:sz w:val="24"/>
          <w:szCs w:val="24"/>
          <w:highlight w:val="none"/>
          <w14:textOutline w14:w="1537" w14:cap="flat" w14:cmpd="sng">
            <w14:solidFill>
              <w14:srgbClr w14:val="000000"/>
            </w14:solidFill>
            <w14:prstDash w14:val="solid"/>
            <w14:miter w14:val="0"/>
          </w14:textOutline>
          <w14:textFill>
            <w14:solidFill>
              <w14:schemeClr w14:val="tx1"/>
            </w14:solidFill>
          </w14:textFill>
        </w:rPr>
        <w:t>不属于符合条件的残疾人福利性单位。</w:t>
      </w:r>
    </w:p>
    <w:p w14:paraId="0A9A23A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0"/>
          <w:sz w:val="24"/>
          <w:szCs w:val="24"/>
          <w:highlight w:val="none"/>
          <w14:textOutline w14:w="1537" w14:cap="flat" w14:cmpd="sng">
            <w14:solidFill>
              <w14:srgbClr w14:val="000000"/>
            </w14:solidFill>
            <w14:prstDash w14:val="solid"/>
            <w14:miter w14:val="0"/>
          </w14:textOutline>
          <w14:textFill>
            <w14:solidFill>
              <w14:schemeClr w14:val="tx1"/>
            </w14:solidFill>
          </w14:textFill>
        </w:rPr>
        <w:t>属于符合条件的残疾人福利性单位，</w:t>
      </w:r>
      <w:r>
        <w:rPr>
          <w:rFonts w:hint="eastAsia" w:ascii="宋体" w:hAnsi="宋体" w:eastAsia="宋体" w:cs="宋体"/>
          <w:color w:val="000000" w:themeColor="text1"/>
          <w:spacing w:val="10"/>
          <w:sz w:val="24"/>
          <w:szCs w:val="24"/>
          <w:highlight w:val="none"/>
          <w14:textFill>
            <w14:solidFill>
              <w14:schemeClr w14:val="tx1"/>
            </w14:solidFill>
          </w14:textFill>
        </w:rPr>
        <w:t>且本单位参加</w:t>
      </w:r>
      <w:r>
        <w:rPr>
          <w:rFonts w:hint="eastAsia" w:ascii="宋体" w:hAnsi="宋体" w:eastAsia="宋体" w:cs="宋体"/>
          <w:color w:val="000000" w:themeColor="text1"/>
          <w:spacing w:val="-10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单位的</w:t>
      </w:r>
      <w:r>
        <w:rPr>
          <w:rFonts w:hint="eastAsia" w:ascii="宋体" w:hAnsi="宋体" w:eastAsia="宋体" w:cs="宋体"/>
          <w:color w:val="000000" w:themeColor="text1"/>
          <w:spacing w:val="-10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项目</w:t>
      </w:r>
      <w:r>
        <w:rPr>
          <w:rFonts w:hint="eastAsia" w:ascii="宋体" w:hAnsi="宋体" w:eastAsia="宋体" w:cs="宋体"/>
          <w:color w:val="000000" w:themeColor="text1"/>
          <w:spacing w:val="21"/>
          <w:sz w:val="24"/>
          <w:szCs w:val="24"/>
          <w:highlight w:val="none"/>
          <w14:textFill>
            <w14:solidFill>
              <w14:schemeClr w14:val="tx1"/>
            </w14:solidFill>
          </w14:textFill>
        </w:rPr>
        <w:t>采购活动</w:t>
      </w:r>
      <w:r>
        <w:rPr>
          <w:rFonts w:hint="eastAsia" w:ascii="宋体" w:hAnsi="宋体" w:eastAsia="宋体" w:cs="宋体"/>
          <w:color w:val="000000" w:themeColor="text1"/>
          <w:spacing w:val="21"/>
          <w:sz w:val="24"/>
          <w:szCs w:val="24"/>
          <w:highlight w:val="none"/>
          <w:lang w:val="en-US" w:eastAsia="zh-CN"/>
          <w14:textFill>
            <w14:solidFill>
              <w14:schemeClr w14:val="tx1"/>
            </w14:solidFill>
          </w14:textFill>
        </w:rPr>
        <w:t>提</w:t>
      </w:r>
      <w:r>
        <w:rPr>
          <w:rFonts w:hint="eastAsia" w:ascii="宋体" w:hAnsi="宋体" w:eastAsia="宋体" w:cs="宋体"/>
          <w:color w:val="000000" w:themeColor="text1"/>
          <w:spacing w:val="21"/>
          <w:sz w:val="24"/>
          <w:szCs w:val="24"/>
          <w:highlight w:val="none"/>
          <w14:textFill>
            <w14:solidFill>
              <w14:schemeClr w14:val="tx1"/>
            </w14:solidFill>
          </w14:textFill>
        </w:rPr>
        <w:t>供本单位制造的货物（由本单位承担工程/</w:t>
      </w:r>
      <w:r>
        <w:rPr>
          <w:rFonts w:hint="eastAsia" w:ascii="宋体" w:hAnsi="宋体" w:eastAsia="宋体" w:cs="宋体"/>
          <w:color w:val="000000" w:themeColor="text1"/>
          <w:spacing w:val="21"/>
          <w:sz w:val="24"/>
          <w:szCs w:val="24"/>
          <w:highlight w:val="none"/>
          <w:lang w:eastAsia="zh-CN"/>
          <w14:textFill>
            <w14:solidFill>
              <w14:schemeClr w14:val="tx1"/>
            </w14:solidFill>
          </w14:textFill>
        </w:rPr>
        <w:t>提</w:t>
      </w:r>
      <w:r>
        <w:rPr>
          <w:rFonts w:hint="eastAsia" w:ascii="宋体" w:hAnsi="宋体" w:eastAsia="宋体" w:cs="宋体"/>
          <w:color w:val="000000" w:themeColor="text1"/>
          <w:spacing w:val="21"/>
          <w:sz w:val="24"/>
          <w:szCs w:val="24"/>
          <w:highlight w:val="none"/>
          <w14:textFill>
            <w14:solidFill>
              <w14:schemeClr w14:val="tx1"/>
            </w14:solidFill>
          </w14:textFill>
        </w:rPr>
        <w:t>供服务</w:t>
      </w:r>
      <w:r>
        <w:rPr>
          <w:rFonts w:hint="eastAsia" w:ascii="宋体" w:hAnsi="宋体" w:eastAsia="宋体" w:cs="宋体"/>
          <w:color w:val="000000" w:themeColor="text1"/>
          <w:spacing w:val="-62"/>
          <w:sz w:val="24"/>
          <w:szCs w:val="24"/>
          <w:highlight w:val="none"/>
          <w14:textFill>
            <w14:solidFill>
              <w14:schemeClr w14:val="tx1"/>
            </w14:solidFill>
          </w14:textFill>
        </w:rPr>
        <w:t>），</w:t>
      </w:r>
      <w:r>
        <w:rPr>
          <w:rFonts w:hint="eastAsia" w:ascii="宋体" w:hAnsi="宋体" w:eastAsia="宋体" w:cs="宋体"/>
          <w:color w:val="000000" w:themeColor="text1"/>
          <w:spacing w:val="-7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1"/>
          <w:sz w:val="24"/>
          <w:szCs w:val="24"/>
          <w:highlight w:val="none"/>
          <w14:textFill>
            <w14:solidFill>
              <w14:schemeClr w14:val="tx1"/>
            </w14:solidFill>
          </w14:textFill>
        </w:rPr>
        <w:t>或者</w:t>
      </w:r>
      <w:r>
        <w:rPr>
          <w:rFonts w:hint="eastAsia" w:ascii="宋体" w:hAnsi="宋体" w:eastAsia="宋体" w:cs="宋体"/>
          <w:color w:val="000000" w:themeColor="text1"/>
          <w:spacing w:val="21"/>
          <w:sz w:val="24"/>
          <w:szCs w:val="24"/>
          <w:highlight w:val="none"/>
          <w:lang w:eastAsia="zh-CN"/>
          <w14:textFill>
            <w14:solidFill>
              <w14:schemeClr w14:val="tx1"/>
            </w14:solidFill>
          </w14:textFill>
        </w:rPr>
        <w:t>提</w:t>
      </w:r>
      <w:r>
        <w:rPr>
          <w:rFonts w:hint="eastAsia" w:ascii="宋体" w:hAnsi="宋体" w:eastAsia="宋体" w:cs="宋体"/>
          <w:color w:val="000000" w:themeColor="text1"/>
          <w:spacing w:val="21"/>
          <w:sz w:val="24"/>
          <w:szCs w:val="24"/>
          <w:highlight w:val="none"/>
          <w14:textFill>
            <w14:solidFill>
              <w14:schemeClr w14:val="tx1"/>
            </w14:solidFill>
          </w14:textFill>
        </w:rPr>
        <w:t>供其他残</w:t>
      </w:r>
      <w:r>
        <w:rPr>
          <w:rFonts w:hint="eastAsia" w:ascii="宋体" w:hAnsi="宋体" w:eastAsia="宋体" w:cs="宋体"/>
          <w:color w:val="000000" w:themeColor="text1"/>
          <w:spacing w:val="7"/>
          <w:sz w:val="24"/>
          <w:szCs w:val="24"/>
          <w:highlight w:val="none"/>
          <w14:textFill>
            <w14:solidFill>
              <w14:schemeClr w14:val="tx1"/>
            </w14:solidFill>
          </w14:textFill>
        </w:rPr>
        <w:t>疾人福利性单位制造的货物（不包括使用非残疾人福利性单位注册商标的货物）。</w:t>
      </w:r>
    </w:p>
    <w:p w14:paraId="1CFFDDE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pacing w:val="12"/>
          <w:sz w:val="24"/>
          <w:szCs w:val="24"/>
          <w:highlight w:val="none"/>
          <w14:textOutline w14:w="1537" w14:cap="flat" w14:cmpd="sng">
            <w14:solidFill>
              <w14:srgbClr w14:val="000000"/>
            </w14:solidFill>
            <w14:prstDash w14:val="solid"/>
            <w14:miter w14:val="0"/>
          </w14:textOutline>
          <w14:textFill>
            <w14:solidFill>
              <w14:schemeClr w14:val="tx1"/>
            </w14:solidFill>
          </w14:textFill>
        </w:rPr>
        <w:t>本单位对上述声明的真实性负责。如有虚假，将依法</w:t>
      </w:r>
      <w:r>
        <w:rPr>
          <w:rFonts w:hint="eastAsia" w:ascii="宋体" w:hAnsi="宋体" w:eastAsia="宋体" w:cs="宋体"/>
          <w:color w:val="000000" w:themeColor="text1"/>
          <w:spacing w:val="11"/>
          <w:sz w:val="24"/>
          <w:szCs w:val="24"/>
          <w:highlight w:val="none"/>
          <w14:textOutline w14:w="1537" w14:cap="flat" w14:cmpd="sng">
            <w14:solidFill>
              <w14:srgbClr w14:val="000000"/>
            </w14:solidFill>
            <w14:prstDash w14:val="solid"/>
            <w14:miter w14:val="0"/>
          </w14:textOutline>
          <w14:textFill>
            <w14:solidFill>
              <w14:schemeClr w14:val="tx1"/>
            </w14:solidFill>
          </w14:textFill>
        </w:rPr>
        <w:t>承担相应责任。</w:t>
      </w:r>
    </w:p>
    <w:p w14:paraId="2060E5B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000000" w:themeColor="text1"/>
          <w:sz w:val="21"/>
          <w:highlight w:val="none"/>
          <w14:textFill>
            <w14:solidFill>
              <w14:schemeClr w14:val="tx1"/>
            </w14:solidFill>
          </w14:textFill>
        </w:rPr>
      </w:pPr>
    </w:p>
    <w:p w14:paraId="3CC4FC6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position w:val="26"/>
          <w:sz w:val="24"/>
          <w:szCs w:val="24"/>
          <w:highlight w:val="none"/>
          <w14:textFill>
            <w14:solidFill>
              <w14:schemeClr w14:val="tx1"/>
            </w14:solidFill>
          </w14:textFill>
        </w:rPr>
        <w:t>单位名称（盖章</w:t>
      </w:r>
      <w:r>
        <w:rPr>
          <w:rFonts w:hint="eastAsia" w:ascii="宋体" w:hAnsi="宋体" w:eastAsia="宋体" w:cs="宋体"/>
          <w:color w:val="000000" w:themeColor="text1"/>
          <w:spacing w:val="-60"/>
          <w:position w:val="26"/>
          <w:sz w:val="24"/>
          <w:szCs w:val="24"/>
          <w:highlight w:val="none"/>
          <w14:textFill>
            <w14:solidFill>
              <w14:schemeClr w14:val="tx1"/>
            </w14:solidFill>
          </w14:textFill>
        </w:rPr>
        <w:t>）：</w:t>
      </w:r>
    </w:p>
    <w:p w14:paraId="5E6D0164">
      <w:pPr>
        <w:keepNext w:val="0"/>
        <w:keepLines w:val="0"/>
        <w:pageBreakBefore w:val="0"/>
        <w:kinsoku/>
        <w:wordWrap w:val="0"/>
        <w:overflowPunct/>
        <w:topLinePunct w:val="0"/>
        <w:bidi w:val="0"/>
        <w:spacing w:line="360" w:lineRule="auto"/>
        <w:ind w:firstLine="5040" w:firstLineChars="2100"/>
        <w:jc w:val="both"/>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日期：</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年</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月</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日</w:t>
      </w:r>
    </w:p>
    <w:p w14:paraId="284B15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000000" w:themeColor="text1"/>
          <w:kern w:val="0"/>
          <w:sz w:val="36"/>
          <w:szCs w:val="36"/>
          <w:highlight w:val="none"/>
          <w:lang w:val="en-US" w:eastAsia="zh-CN" w:bidi="ar-SA"/>
          <w14:textOutline w14:w="2306" w14:cap="flat" w14:cmpd="sng">
            <w14:solidFill>
              <w14:srgbClr w14:val="000000"/>
            </w14:solidFill>
            <w14:prstDash w14:val="solid"/>
            <w14:miter w14:val="0"/>
          </w14:textOutline>
          <w14:textFill>
            <w14:solidFill>
              <w14:schemeClr w14:val="tx1"/>
            </w14:solidFill>
          </w14:textFill>
        </w:rPr>
      </w:pPr>
    </w:p>
    <w:p w14:paraId="287352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snapToGrid w:val="0"/>
          <w:color w:val="000000" w:themeColor="text1"/>
          <w:kern w:val="0"/>
          <w:sz w:val="36"/>
          <w:szCs w:val="36"/>
          <w:highlight w:val="none"/>
          <w:lang w:val="en-US" w:eastAsia="zh-CN" w:bidi="ar-SA"/>
          <w14:textOutline w14:w="2306" w14:cap="flat" w14:cmpd="sng">
            <w14:solidFill>
              <w14:srgbClr w14:val="000000"/>
            </w14:solidFill>
            <w14:prstDash w14:val="solid"/>
            <w14:miter w14:val="0"/>
          </w14:textOutline>
          <w14:textFill>
            <w14:solidFill>
              <w14:schemeClr w14:val="tx1"/>
            </w14:solidFill>
          </w14:textFill>
        </w:rPr>
      </w:pPr>
    </w:p>
    <w:p w14:paraId="6A85986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36"/>
          <w:szCs w:val="36"/>
          <w:highlight w:val="none"/>
          <w:lang w:val="en-US" w:eastAsia="zh-CN" w:bidi="ar-SA"/>
          <w14:textOutline w14:w="2306" w14:cap="flat" w14:cmpd="sng">
            <w14:solidFill>
              <w14:srgbClr w14:val="000000"/>
            </w14:solidFill>
            <w14:prstDash w14:val="solid"/>
            <w14:miter w14:val="0"/>
          </w14:textOutline>
          <w14:textFill>
            <w14:solidFill>
              <w14:schemeClr w14:val="tx1"/>
            </w14:solidFill>
          </w14:textFill>
        </w:rPr>
        <w:t>监狱企业声明函格式</w:t>
      </w:r>
    </w:p>
    <w:p w14:paraId="5650537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b/>
          <w:color w:val="000000" w:themeColor="text1"/>
          <w:sz w:val="28"/>
          <w:szCs w:val="28"/>
          <w:highlight w:val="none"/>
          <w:lang w:eastAsia="zh-CN"/>
          <w14:textFill>
            <w14:solidFill>
              <w14:schemeClr w14:val="tx1"/>
            </w14:solidFill>
          </w14:textFill>
        </w:rPr>
      </w:pPr>
    </w:p>
    <w:p w14:paraId="2534512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000000" w:themeColor="text1"/>
          <w:spacing w:val="7"/>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7"/>
          <w:kern w:val="0"/>
          <w:sz w:val="24"/>
          <w:szCs w:val="24"/>
          <w:highlight w:val="none"/>
          <w:lang w:val="en-US" w:eastAsia="zh-CN" w:bidi="ar-SA"/>
          <w14:textFill>
            <w14:solidFill>
              <w14:schemeClr w14:val="tx1"/>
            </w14:solidFill>
          </w14:textFill>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68140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000000" w:themeColor="text1"/>
          <w:spacing w:val="7"/>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7"/>
          <w:kern w:val="0"/>
          <w:sz w:val="24"/>
          <w:szCs w:val="24"/>
          <w:highlight w:val="none"/>
          <w:lang w:val="en-US" w:eastAsia="zh-CN" w:bidi="ar-SA"/>
          <w14:textFill>
            <w14:solidFill>
              <w14:schemeClr w14:val="tx1"/>
            </w14:solidFill>
          </w14:textFill>
        </w:rPr>
        <w:t>本企业对上述声明的真实性负责。如有虚假，将依法承担相应责任。</w:t>
      </w:r>
    </w:p>
    <w:p w14:paraId="769AD1E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000000" w:themeColor="text1"/>
          <w:spacing w:val="7"/>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7"/>
          <w:kern w:val="0"/>
          <w:sz w:val="24"/>
          <w:szCs w:val="24"/>
          <w:highlight w:val="none"/>
          <w:lang w:val="en-US" w:eastAsia="zh-CN" w:bidi="ar-SA"/>
          <w14:textFill>
            <w14:solidFill>
              <w14:schemeClr w14:val="tx1"/>
            </w14:solidFill>
          </w14:textFill>
        </w:rPr>
        <w:t xml:space="preserve">                         </w:t>
      </w:r>
    </w:p>
    <w:p w14:paraId="137509D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snapToGrid w:val="0"/>
          <w:color w:val="000000" w:themeColor="text1"/>
          <w:spacing w:val="7"/>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7"/>
          <w:kern w:val="0"/>
          <w:sz w:val="24"/>
          <w:szCs w:val="24"/>
          <w:highlight w:val="none"/>
          <w:lang w:val="en-US" w:eastAsia="zh-CN" w:bidi="ar-SA"/>
          <w14:textFill>
            <w14:solidFill>
              <w14:schemeClr w14:val="tx1"/>
            </w14:solidFill>
          </w14:textFill>
        </w:rPr>
        <w:t xml:space="preserve">                             企业名称（盖章）： </w:t>
      </w:r>
    </w:p>
    <w:p w14:paraId="5EC7DCD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spacing w:val="7"/>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日期：</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年</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月</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snapToGrid w:val="0"/>
          <w:color w:val="000000" w:themeColor="text1"/>
          <w:spacing w:val="-8"/>
          <w:kern w:val="0"/>
          <w:sz w:val="24"/>
          <w:szCs w:val="24"/>
          <w:highlight w:val="none"/>
          <w:lang w:val="en-US" w:eastAsia="zh-CN" w:bidi="ar-SA"/>
          <w14:textFill>
            <w14:solidFill>
              <w14:schemeClr w14:val="tx1"/>
            </w14:solidFill>
          </w14:textFill>
        </w:rPr>
        <w:t>日</w:t>
      </w:r>
    </w:p>
    <w:p w14:paraId="541D1D0F">
      <w:pP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p>
    <w:sectPr>
      <w:headerReference r:id="rId19" w:type="default"/>
      <w:footerReference r:id="rId20" w:type="default"/>
      <w:pgSz w:w="11907" w:h="16840"/>
      <w:pgMar w:top="1440" w:right="1474" w:bottom="1440" w:left="1474"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ourceHanSansCN-Regular">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2F8CB">
    <w:pPr>
      <w:spacing w:line="189" w:lineRule="auto"/>
      <w:ind w:left="4435"/>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9FFF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7A2D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417A2D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E1A41">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067A4">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6067A4">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D149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28A5E">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328A5E">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6975A">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7912B">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E7912B">
                    <w:pPr>
                      <w:pStyle w:val="8"/>
                    </w:pPr>
                    <w:r>
                      <w:fldChar w:fldCharType="begin"/>
                    </w:r>
                    <w:r>
                      <w:instrText xml:space="preserve"> PAGE  \* MERGEFORMAT </w:instrText>
                    </w:r>
                    <w:r>
                      <w:fldChar w:fldCharType="separate"/>
                    </w:r>
                    <w:r>
                      <w:t>45</w:t>
                    </w:r>
                    <w:r>
                      <w:fldChar w:fldCharType="end"/>
                    </w:r>
                  </w:p>
                </w:txbxContent>
              </v:textbox>
            </v:shape>
          </w:pict>
        </mc:Fallback>
      </mc:AlternateContent>
    </w:r>
  </w:p>
  <w:p w14:paraId="75283B92">
    <w:pPr>
      <w:pStyle w:val="8"/>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79394">
    <w:pPr>
      <w:snapToGrid w:val="0"/>
      <w:jc w:val="center"/>
      <w:rPr>
        <w:rFonts w:hint="default"/>
        <w:sz w:val="18"/>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9EDE1">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F79EDE1">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BF91">
    <w:pPr>
      <w:pStyle w:val="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961B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D4961B5">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44F1622F">
    <w:pPr>
      <w:pStyle w:val="8"/>
      <w:jc w:val="both"/>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E313">
    <w:pPr>
      <w:snapToGrid w:val="0"/>
      <w:rPr>
        <w:sz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9BBF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0F9BBF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EF457">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A04F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34A04F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08755">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53784">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605B">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46E86">
    <w:pPr>
      <w:pStyle w:val="9"/>
      <w:pBdr>
        <w:bottom w:val="none" w:color="auto" w:sz="0" w:space="1"/>
      </w:pBdr>
      <w:ind w:firstLine="400" w:firstLineChars="200"/>
      <w:jc w:val="both"/>
      <w:rPr>
        <w:iCs/>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4D8D0">
    <w:pPr>
      <w:pStyle w:val="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6DD12">
    <w:pPr>
      <w:pStyle w:val="9"/>
      <w:pBdr>
        <w:bottom w:val="single" w:color="auto" w:sz="4" w:space="1"/>
      </w:pBdr>
      <w:jc w:val="both"/>
      <w:rPr>
        <w:iCs/>
        <w:sz w:val="20"/>
      </w:rPr>
    </w:pPr>
    <w:r>
      <w:rPr>
        <w:rFonts w:hint="eastAsia" w:eastAsia="宋体"/>
        <w:iCs/>
        <w:sz w:val="20"/>
        <w:lang w:eastAsia="zh-CN"/>
      </w:rPr>
      <w:t>河南省启元招标代理有限公司</w:t>
    </w:r>
    <w:r>
      <w:rPr>
        <w:rFonts w:hint="eastAsia"/>
        <w:iCs/>
        <w:sz w:val="20"/>
      </w:rPr>
      <w:t xml:space="preserve">                                   </w:t>
    </w:r>
    <w:r>
      <w:rPr>
        <w:rFonts w:hint="eastAsia"/>
        <w:iCs/>
        <w:sz w:val="20"/>
        <w:lang w:val="en-US" w:eastAsia="zh-CN"/>
      </w:rPr>
      <w:t xml:space="preserve">        </w:t>
    </w:r>
    <w:r>
      <w:rPr>
        <w:rFonts w:hint="eastAsia"/>
        <w:iCs/>
        <w:sz w:val="20"/>
      </w:rPr>
      <w:t xml:space="preserve">       公正、公平、公开</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99AD0">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AA85D"/>
    <w:multiLevelType w:val="singleLevel"/>
    <w:tmpl w:val="A21AA85D"/>
    <w:lvl w:ilvl="0" w:tentative="0">
      <w:start w:val="5"/>
      <w:numFmt w:val="chineseCounting"/>
      <w:suff w:val="space"/>
      <w:lvlText w:val="第%1章"/>
      <w:lvlJc w:val="left"/>
      <w:rPr>
        <w:rFonts w:hint="eastAsia"/>
      </w:rPr>
    </w:lvl>
  </w:abstractNum>
  <w:abstractNum w:abstractNumId="1">
    <w:nsid w:val="E5FF544F"/>
    <w:multiLevelType w:val="singleLevel"/>
    <w:tmpl w:val="E5FF544F"/>
    <w:lvl w:ilvl="0" w:tentative="0">
      <w:start w:val="1"/>
      <w:numFmt w:val="decimal"/>
      <w:suff w:val="nothing"/>
      <w:lvlText w:val="%1、"/>
      <w:lvlJc w:val="left"/>
    </w:lvl>
  </w:abstractNum>
  <w:abstractNum w:abstractNumId="2">
    <w:nsid w:val="5FE18424"/>
    <w:multiLevelType w:val="singleLevel"/>
    <w:tmpl w:val="5FE1842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cxOWJiMDg4Mzk2NGQwYjkzYzYzMzI5ODYzYmVjZWQifQ=="/>
  </w:docVars>
  <w:rsids>
    <w:rsidRoot w:val="00000000"/>
    <w:rsid w:val="00673371"/>
    <w:rsid w:val="006A785A"/>
    <w:rsid w:val="00E6284A"/>
    <w:rsid w:val="01162874"/>
    <w:rsid w:val="01CF4339"/>
    <w:rsid w:val="02820350"/>
    <w:rsid w:val="02980B47"/>
    <w:rsid w:val="02D7069C"/>
    <w:rsid w:val="02DC2156"/>
    <w:rsid w:val="0304627B"/>
    <w:rsid w:val="03EA43FF"/>
    <w:rsid w:val="03F005BF"/>
    <w:rsid w:val="049308F0"/>
    <w:rsid w:val="04F93158"/>
    <w:rsid w:val="051A5F1D"/>
    <w:rsid w:val="05AB5E10"/>
    <w:rsid w:val="05C82C12"/>
    <w:rsid w:val="06093262"/>
    <w:rsid w:val="064B2778"/>
    <w:rsid w:val="06731CDB"/>
    <w:rsid w:val="06A73B13"/>
    <w:rsid w:val="06BD7DF4"/>
    <w:rsid w:val="075524D7"/>
    <w:rsid w:val="080B1B13"/>
    <w:rsid w:val="08222857"/>
    <w:rsid w:val="086022C9"/>
    <w:rsid w:val="08743EB7"/>
    <w:rsid w:val="08896F10"/>
    <w:rsid w:val="089D0B20"/>
    <w:rsid w:val="08DF64FD"/>
    <w:rsid w:val="095962AF"/>
    <w:rsid w:val="09A960A9"/>
    <w:rsid w:val="09D015CF"/>
    <w:rsid w:val="09DC1BA5"/>
    <w:rsid w:val="0A2175C7"/>
    <w:rsid w:val="0A3B1FDF"/>
    <w:rsid w:val="0A402FCB"/>
    <w:rsid w:val="0A486323"/>
    <w:rsid w:val="0A4E3858"/>
    <w:rsid w:val="0A530F50"/>
    <w:rsid w:val="0A8C6210"/>
    <w:rsid w:val="0ADC6029"/>
    <w:rsid w:val="0AEE504D"/>
    <w:rsid w:val="0B3250D4"/>
    <w:rsid w:val="0C272EF4"/>
    <w:rsid w:val="0C450913"/>
    <w:rsid w:val="0CEF20D4"/>
    <w:rsid w:val="0CF167FE"/>
    <w:rsid w:val="0D0D57FB"/>
    <w:rsid w:val="0D1F38CD"/>
    <w:rsid w:val="0D27282F"/>
    <w:rsid w:val="0E3E7CBD"/>
    <w:rsid w:val="0E4F51C1"/>
    <w:rsid w:val="0EAE3464"/>
    <w:rsid w:val="0EC341CA"/>
    <w:rsid w:val="0EE83C0B"/>
    <w:rsid w:val="0F130CAE"/>
    <w:rsid w:val="0FB544CE"/>
    <w:rsid w:val="0FB57FB7"/>
    <w:rsid w:val="0FF95996"/>
    <w:rsid w:val="0FFF7484"/>
    <w:rsid w:val="101271B8"/>
    <w:rsid w:val="1080556E"/>
    <w:rsid w:val="10832DEB"/>
    <w:rsid w:val="10D94D6D"/>
    <w:rsid w:val="11A02217"/>
    <w:rsid w:val="11E54B27"/>
    <w:rsid w:val="11F10D0E"/>
    <w:rsid w:val="12777DD8"/>
    <w:rsid w:val="12F40DF6"/>
    <w:rsid w:val="1331204B"/>
    <w:rsid w:val="13504EE3"/>
    <w:rsid w:val="13B54A2A"/>
    <w:rsid w:val="13D318D3"/>
    <w:rsid w:val="13F9093E"/>
    <w:rsid w:val="140E5EE8"/>
    <w:rsid w:val="14184102"/>
    <w:rsid w:val="1432607A"/>
    <w:rsid w:val="146A4AEC"/>
    <w:rsid w:val="146A4EE4"/>
    <w:rsid w:val="147A2410"/>
    <w:rsid w:val="14B05372"/>
    <w:rsid w:val="15172DA4"/>
    <w:rsid w:val="156F62EF"/>
    <w:rsid w:val="158A5A42"/>
    <w:rsid w:val="15A0298F"/>
    <w:rsid w:val="15C27640"/>
    <w:rsid w:val="16344D3C"/>
    <w:rsid w:val="16655340"/>
    <w:rsid w:val="16882EF5"/>
    <w:rsid w:val="16905B4A"/>
    <w:rsid w:val="16FD3ABE"/>
    <w:rsid w:val="172F0E42"/>
    <w:rsid w:val="17991F6C"/>
    <w:rsid w:val="17B325A7"/>
    <w:rsid w:val="17CE60BA"/>
    <w:rsid w:val="18CC45D2"/>
    <w:rsid w:val="18EE2EED"/>
    <w:rsid w:val="19140EF5"/>
    <w:rsid w:val="193A152D"/>
    <w:rsid w:val="196A0814"/>
    <w:rsid w:val="1B7D44E4"/>
    <w:rsid w:val="1BA07D6D"/>
    <w:rsid w:val="1BB9498B"/>
    <w:rsid w:val="1BFF6021"/>
    <w:rsid w:val="1C2A3ADB"/>
    <w:rsid w:val="1C587110"/>
    <w:rsid w:val="1CC05665"/>
    <w:rsid w:val="1D3123C5"/>
    <w:rsid w:val="1D3F35B6"/>
    <w:rsid w:val="1D7A4F6C"/>
    <w:rsid w:val="1D7F2147"/>
    <w:rsid w:val="1D996CC8"/>
    <w:rsid w:val="1DA01659"/>
    <w:rsid w:val="1DD57CDD"/>
    <w:rsid w:val="1E0D5462"/>
    <w:rsid w:val="1E101817"/>
    <w:rsid w:val="1E391E85"/>
    <w:rsid w:val="1E3921C2"/>
    <w:rsid w:val="1E6454A8"/>
    <w:rsid w:val="1EB442C6"/>
    <w:rsid w:val="1EF1268E"/>
    <w:rsid w:val="1F941997"/>
    <w:rsid w:val="1FCD677B"/>
    <w:rsid w:val="1FCF0C21"/>
    <w:rsid w:val="1FCF1E87"/>
    <w:rsid w:val="208E4164"/>
    <w:rsid w:val="21190A7F"/>
    <w:rsid w:val="212A1EC0"/>
    <w:rsid w:val="21966375"/>
    <w:rsid w:val="21A07893"/>
    <w:rsid w:val="21AB5E04"/>
    <w:rsid w:val="21C03D73"/>
    <w:rsid w:val="221B6922"/>
    <w:rsid w:val="22EB500F"/>
    <w:rsid w:val="230C5CE8"/>
    <w:rsid w:val="23554AEF"/>
    <w:rsid w:val="23641680"/>
    <w:rsid w:val="23645F64"/>
    <w:rsid w:val="23B16948"/>
    <w:rsid w:val="23F5677C"/>
    <w:rsid w:val="23FB5E39"/>
    <w:rsid w:val="242A28CA"/>
    <w:rsid w:val="244A2A1D"/>
    <w:rsid w:val="24D240A9"/>
    <w:rsid w:val="25631732"/>
    <w:rsid w:val="2564491D"/>
    <w:rsid w:val="25830F73"/>
    <w:rsid w:val="25B83A87"/>
    <w:rsid w:val="25FF1B34"/>
    <w:rsid w:val="260845C9"/>
    <w:rsid w:val="266463E7"/>
    <w:rsid w:val="26E9311B"/>
    <w:rsid w:val="2727113C"/>
    <w:rsid w:val="27400ED1"/>
    <w:rsid w:val="275639D6"/>
    <w:rsid w:val="28032F0B"/>
    <w:rsid w:val="28607208"/>
    <w:rsid w:val="28A7785B"/>
    <w:rsid w:val="290221A3"/>
    <w:rsid w:val="29032191"/>
    <w:rsid w:val="293031C0"/>
    <w:rsid w:val="29AE18A7"/>
    <w:rsid w:val="29B10CBF"/>
    <w:rsid w:val="2A3D0E7D"/>
    <w:rsid w:val="2A7D74CC"/>
    <w:rsid w:val="2A924A38"/>
    <w:rsid w:val="2ACE5316"/>
    <w:rsid w:val="2AE32E31"/>
    <w:rsid w:val="2B783F4C"/>
    <w:rsid w:val="2C4300EA"/>
    <w:rsid w:val="2CD208B5"/>
    <w:rsid w:val="2DC25921"/>
    <w:rsid w:val="2DC34B54"/>
    <w:rsid w:val="2DD6428A"/>
    <w:rsid w:val="2E2F6D2F"/>
    <w:rsid w:val="2E4100F2"/>
    <w:rsid w:val="2E6C7ED8"/>
    <w:rsid w:val="2EA57FA1"/>
    <w:rsid w:val="2ED7364E"/>
    <w:rsid w:val="2EF243BC"/>
    <w:rsid w:val="2F487E78"/>
    <w:rsid w:val="2F6D7B0F"/>
    <w:rsid w:val="2F6F6733"/>
    <w:rsid w:val="2FDA18B4"/>
    <w:rsid w:val="302D729E"/>
    <w:rsid w:val="30EF0857"/>
    <w:rsid w:val="3140197F"/>
    <w:rsid w:val="31922423"/>
    <w:rsid w:val="31C77B0D"/>
    <w:rsid w:val="31E05F1C"/>
    <w:rsid w:val="31E542D4"/>
    <w:rsid w:val="320C16C0"/>
    <w:rsid w:val="321A2D0F"/>
    <w:rsid w:val="32672625"/>
    <w:rsid w:val="32831B16"/>
    <w:rsid w:val="32981347"/>
    <w:rsid w:val="32F6583E"/>
    <w:rsid w:val="333A48FA"/>
    <w:rsid w:val="334A1323"/>
    <w:rsid w:val="337A6C9E"/>
    <w:rsid w:val="33D92F7A"/>
    <w:rsid w:val="33EC7B9C"/>
    <w:rsid w:val="34480B4A"/>
    <w:rsid w:val="34657EA4"/>
    <w:rsid w:val="34B2130C"/>
    <w:rsid w:val="34DD3806"/>
    <w:rsid w:val="350E12EA"/>
    <w:rsid w:val="351153E0"/>
    <w:rsid w:val="35197428"/>
    <w:rsid w:val="354173ED"/>
    <w:rsid w:val="35523A2F"/>
    <w:rsid w:val="35992C99"/>
    <w:rsid w:val="360F3354"/>
    <w:rsid w:val="36B02AD5"/>
    <w:rsid w:val="36BA5D2F"/>
    <w:rsid w:val="371F3DE4"/>
    <w:rsid w:val="37BD0585"/>
    <w:rsid w:val="37CA6352"/>
    <w:rsid w:val="37F012DD"/>
    <w:rsid w:val="38533A18"/>
    <w:rsid w:val="386E6977"/>
    <w:rsid w:val="38E259BD"/>
    <w:rsid w:val="396226AE"/>
    <w:rsid w:val="39D8513B"/>
    <w:rsid w:val="3A4A67AD"/>
    <w:rsid w:val="3A6E4173"/>
    <w:rsid w:val="3A9F1392"/>
    <w:rsid w:val="3AB900AC"/>
    <w:rsid w:val="3B223EA3"/>
    <w:rsid w:val="3B497682"/>
    <w:rsid w:val="3B5F50F7"/>
    <w:rsid w:val="3B8E778B"/>
    <w:rsid w:val="3BA87498"/>
    <w:rsid w:val="3BAF7174"/>
    <w:rsid w:val="3C065573"/>
    <w:rsid w:val="3C0B4937"/>
    <w:rsid w:val="3C6024C2"/>
    <w:rsid w:val="3C755413"/>
    <w:rsid w:val="3CF61143"/>
    <w:rsid w:val="3D153E56"/>
    <w:rsid w:val="3D660BE0"/>
    <w:rsid w:val="3D6A1B31"/>
    <w:rsid w:val="3E245126"/>
    <w:rsid w:val="3E2974DE"/>
    <w:rsid w:val="3E5A3954"/>
    <w:rsid w:val="3E742C68"/>
    <w:rsid w:val="3EB41E07"/>
    <w:rsid w:val="3F3C12AC"/>
    <w:rsid w:val="41054895"/>
    <w:rsid w:val="414D0AF2"/>
    <w:rsid w:val="418D7EAA"/>
    <w:rsid w:val="41F66AB4"/>
    <w:rsid w:val="428033F9"/>
    <w:rsid w:val="43655275"/>
    <w:rsid w:val="43AB3F27"/>
    <w:rsid w:val="43C81360"/>
    <w:rsid w:val="43D372D6"/>
    <w:rsid w:val="43F32881"/>
    <w:rsid w:val="43FE7FBC"/>
    <w:rsid w:val="44191BBB"/>
    <w:rsid w:val="44B74AB0"/>
    <w:rsid w:val="44C27AD5"/>
    <w:rsid w:val="44EB5004"/>
    <w:rsid w:val="450C2B5E"/>
    <w:rsid w:val="45300AE7"/>
    <w:rsid w:val="463F4C16"/>
    <w:rsid w:val="467121DE"/>
    <w:rsid w:val="46832AB5"/>
    <w:rsid w:val="46942B8F"/>
    <w:rsid w:val="46A75668"/>
    <w:rsid w:val="474358CD"/>
    <w:rsid w:val="47613FA5"/>
    <w:rsid w:val="48425CB4"/>
    <w:rsid w:val="484C07B1"/>
    <w:rsid w:val="48536656"/>
    <w:rsid w:val="498A3D49"/>
    <w:rsid w:val="49A119E4"/>
    <w:rsid w:val="49A63EF1"/>
    <w:rsid w:val="49D4280C"/>
    <w:rsid w:val="4A9207BC"/>
    <w:rsid w:val="4AA523FB"/>
    <w:rsid w:val="4ABA1ABF"/>
    <w:rsid w:val="4AE178D7"/>
    <w:rsid w:val="4B094738"/>
    <w:rsid w:val="4BBB7B8C"/>
    <w:rsid w:val="4C1415E6"/>
    <w:rsid w:val="4C1568D9"/>
    <w:rsid w:val="4C1B50C8"/>
    <w:rsid w:val="4CB97E79"/>
    <w:rsid w:val="4CBA2C7D"/>
    <w:rsid w:val="4D16313C"/>
    <w:rsid w:val="4D3A507C"/>
    <w:rsid w:val="4D7D0AE3"/>
    <w:rsid w:val="4E32497E"/>
    <w:rsid w:val="4E49392F"/>
    <w:rsid w:val="4E5C03B2"/>
    <w:rsid w:val="4E7518EA"/>
    <w:rsid w:val="4EED611E"/>
    <w:rsid w:val="4F894099"/>
    <w:rsid w:val="4FA36E2B"/>
    <w:rsid w:val="5003209D"/>
    <w:rsid w:val="50B45146"/>
    <w:rsid w:val="50BB1DDA"/>
    <w:rsid w:val="50C03542"/>
    <w:rsid w:val="50CD1D3A"/>
    <w:rsid w:val="50DF62FA"/>
    <w:rsid w:val="50E33C7D"/>
    <w:rsid w:val="516C75F5"/>
    <w:rsid w:val="51FC2F19"/>
    <w:rsid w:val="521453D5"/>
    <w:rsid w:val="522B009F"/>
    <w:rsid w:val="52862B12"/>
    <w:rsid w:val="5305223A"/>
    <w:rsid w:val="5314011E"/>
    <w:rsid w:val="53334A48"/>
    <w:rsid w:val="536B75FD"/>
    <w:rsid w:val="538452A3"/>
    <w:rsid w:val="53CE20D2"/>
    <w:rsid w:val="5447629B"/>
    <w:rsid w:val="54BD2442"/>
    <w:rsid w:val="554A067A"/>
    <w:rsid w:val="556C5FEF"/>
    <w:rsid w:val="562B2D19"/>
    <w:rsid w:val="566F2249"/>
    <w:rsid w:val="56785D5C"/>
    <w:rsid w:val="568C0859"/>
    <w:rsid w:val="56C105BC"/>
    <w:rsid w:val="570A6798"/>
    <w:rsid w:val="571C70F4"/>
    <w:rsid w:val="573A3ECB"/>
    <w:rsid w:val="578C1E3F"/>
    <w:rsid w:val="58122B18"/>
    <w:rsid w:val="582157B7"/>
    <w:rsid w:val="583737A8"/>
    <w:rsid w:val="58A22D62"/>
    <w:rsid w:val="5919648E"/>
    <w:rsid w:val="596A4F3B"/>
    <w:rsid w:val="59791FCF"/>
    <w:rsid w:val="59A520CF"/>
    <w:rsid w:val="59C70462"/>
    <w:rsid w:val="59FE58AB"/>
    <w:rsid w:val="5A513A05"/>
    <w:rsid w:val="5A5D23AA"/>
    <w:rsid w:val="5B45594A"/>
    <w:rsid w:val="5B8A3673"/>
    <w:rsid w:val="5B8F181D"/>
    <w:rsid w:val="5B942EAB"/>
    <w:rsid w:val="5BFB1656"/>
    <w:rsid w:val="5C2C64D8"/>
    <w:rsid w:val="5C590AED"/>
    <w:rsid w:val="5C805C3A"/>
    <w:rsid w:val="5CED210B"/>
    <w:rsid w:val="5D6B16F6"/>
    <w:rsid w:val="5D6D6DA8"/>
    <w:rsid w:val="5DC16123"/>
    <w:rsid w:val="5DD33159"/>
    <w:rsid w:val="5DE83779"/>
    <w:rsid w:val="5E401EE1"/>
    <w:rsid w:val="5E494E06"/>
    <w:rsid w:val="5E4E4E2C"/>
    <w:rsid w:val="5E4F4700"/>
    <w:rsid w:val="5E862024"/>
    <w:rsid w:val="5F2A505B"/>
    <w:rsid w:val="5FE54AEF"/>
    <w:rsid w:val="5FE62E42"/>
    <w:rsid w:val="604F0386"/>
    <w:rsid w:val="604F0C94"/>
    <w:rsid w:val="60811390"/>
    <w:rsid w:val="608F0ECC"/>
    <w:rsid w:val="60BC076B"/>
    <w:rsid w:val="60E905BC"/>
    <w:rsid w:val="611C486A"/>
    <w:rsid w:val="612C3317"/>
    <w:rsid w:val="613320B7"/>
    <w:rsid w:val="61D07906"/>
    <w:rsid w:val="628F5B29"/>
    <w:rsid w:val="629372B1"/>
    <w:rsid w:val="630747C4"/>
    <w:rsid w:val="6334507F"/>
    <w:rsid w:val="638F4325"/>
    <w:rsid w:val="63B40B11"/>
    <w:rsid w:val="63D56270"/>
    <w:rsid w:val="64373C6C"/>
    <w:rsid w:val="647749B0"/>
    <w:rsid w:val="64AD1208"/>
    <w:rsid w:val="64B4350F"/>
    <w:rsid w:val="64C17C5F"/>
    <w:rsid w:val="64E32222"/>
    <w:rsid w:val="64F272F3"/>
    <w:rsid w:val="660C0310"/>
    <w:rsid w:val="66195DC1"/>
    <w:rsid w:val="664240C0"/>
    <w:rsid w:val="666D7E19"/>
    <w:rsid w:val="66CB2AEA"/>
    <w:rsid w:val="674A54CB"/>
    <w:rsid w:val="676C6322"/>
    <w:rsid w:val="67CC4327"/>
    <w:rsid w:val="67D619EE"/>
    <w:rsid w:val="68106CAE"/>
    <w:rsid w:val="68324E76"/>
    <w:rsid w:val="685A43CD"/>
    <w:rsid w:val="68680898"/>
    <w:rsid w:val="68740EAF"/>
    <w:rsid w:val="691A37DC"/>
    <w:rsid w:val="695F7E2D"/>
    <w:rsid w:val="6993637A"/>
    <w:rsid w:val="6A443604"/>
    <w:rsid w:val="6A633A0D"/>
    <w:rsid w:val="6ACC2E0B"/>
    <w:rsid w:val="6B083608"/>
    <w:rsid w:val="6B6B37C9"/>
    <w:rsid w:val="6B9F656F"/>
    <w:rsid w:val="6BAD56C3"/>
    <w:rsid w:val="6BD60B0F"/>
    <w:rsid w:val="6DAF0580"/>
    <w:rsid w:val="6DD02520"/>
    <w:rsid w:val="6DE17F47"/>
    <w:rsid w:val="6E0A419F"/>
    <w:rsid w:val="6E1128F7"/>
    <w:rsid w:val="6E6B7F83"/>
    <w:rsid w:val="6EE2110B"/>
    <w:rsid w:val="6F665B7C"/>
    <w:rsid w:val="6F6D0E8A"/>
    <w:rsid w:val="70394304"/>
    <w:rsid w:val="70411D13"/>
    <w:rsid w:val="705B0CE2"/>
    <w:rsid w:val="705D0EFE"/>
    <w:rsid w:val="70763D6E"/>
    <w:rsid w:val="70A84617"/>
    <w:rsid w:val="70D40A8E"/>
    <w:rsid w:val="70ED48AF"/>
    <w:rsid w:val="714300F4"/>
    <w:rsid w:val="718B602C"/>
    <w:rsid w:val="71E13469"/>
    <w:rsid w:val="7222612A"/>
    <w:rsid w:val="722D66AE"/>
    <w:rsid w:val="725531A4"/>
    <w:rsid w:val="727D45B0"/>
    <w:rsid w:val="727F5D14"/>
    <w:rsid w:val="734E4B2E"/>
    <w:rsid w:val="74143D3D"/>
    <w:rsid w:val="74C40453"/>
    <w:rsid w:val="7571756C"/>
    <w:rsid w:val="75D457BF"/>
    <w:rsid w:val="76102BC1"/>
    <w:rsid w:val="768D73E4"/>
    <w:rsid w:val="77070DBF"/>
    <w:rsid w:val="772C33D8"/>
    <w:rsid w:val="778B45A3"/>
    <w:rsid w:val="778D20C9"/>
    <w:rsid w:val="77AC443F"/>
    <w:rsid w:val="780F0D30"/>
    <w:rsid w:val="786749F3"/>
    <w:rsid w:val="78F607B2"/>
    <w:rsid w:val="78FC01BA"/>
    <w:rsid w:val="7903403A"/>
    <w:rsid w:val="79A15AC2"/>
    <w:rsid w:val="7A335BF5"/>
    <w:rsid w:val="7AB7745D"/>
    <w:rsid w:val="7AC90676"/>
    <w:rsid w:val="7B4837DB"/>
    <w:rsid w:val="7BB13D5A"/>
    <w:rsid w:val="7BC65611"/>
    <w:rsid w:val="7BEC1388"/>
    <w:rsid w:val="7BEC7283"/>
    <w:rsid w:val="7C0977CA"/>
    <w:rsid w:val="7C2C76E7"/>
    <w:rsid w:val="7C374CF9"/>
    <w:rsid w:val="7C637FAB"/>
    <w:rsid w:val="7C9147C1"/>
    <w:rsid w:val="7CB42C94"/>
    <w:rsid w:val="7D370572"/>
    <w:rsid w:val="7DAB214F"/>
    <w:rsid w:val="7DB77972"/>
    <w:rsid w:val="7DCD148E"/>
    <w:rsid w:val="7E6B6157"/>
    <w:rsid w:val="7E6B61EE"/>
    <w:rsid w:val="7EAD1CF9"/>
    <w:rsid w:val="7EF173E1"/>
    <w:rsid w:val="7EF412DC"/>
    <w:rsid w:val="7F1949BF"/>
    <w:rsid w:val="7F4219EB"/>
    <w:rsid w:val="7F5361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宋体"/>
      <w:b/>
      <w:kern w:val="44"/>
      <w:sz w:val="36"/>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4">
    <w:name w:val="annotation text"/>
    <w:basedOn w:val="1"/>
    <w:autoRedefine/>
    <w:qFormat/>
    <w:uiPriority w:val="0"/>
    <w:pPr>
      <w:jc w:val="left"/>
    </w:pPr>
  </w:style>
  <w:style w:type="paragraph" w:styleId="5">
    <w:name w:val="Body Text"/>
    <w:basedOn w:val="1"/>
    <w:next w:val="6"/>
    <w:autoRedefine/>
    <w:qFormat/>
    <w:uiPriority w:val="0"/>
    <w:rPr>
      <w:rFonts w:ascii="宋体" w:hAnsi="宋体" w:eastAsia="宋体" w:cs="宋体"/>
      <w:sz w:val="31"/>
      <w:szCs w:val="31"/>
      <w:lang w:val="en-US" w:eastAsia="en-US" w:bidi="ar-SA"/>
    </w:rPr>
  </w:style>
  <w:style w:type="paragraph" w:customStyle="1" w:styleId="6">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7">
    <w:name w:val="Body Text Indent"/>
    <w:basedOn w:val="1"/>
    <w:next w:val="1"/>
    <w:autoRedefine/>
    <w:qFormat/>
    <w:uiPriority w:val="0"/>
    <w:pPr>
      <w:tabs>
        <w:tab w:val="left" w:pos="0"/>
      </w:tabs>
      <w:ind w:firstLine="538" w:firstLineChars="192"/>
    </w:pPr>
    <w:rPr>
      <w:rFonts w:ascii="Tahoma" w:hAnsi="Tahoma"/>
      <w:kern w:val="2"/>
      <w:sz w:val="28"/>
      <w:szCs w:val="24"/>
    </w:rPr>
  </w:style>
  <w:style w:type="paragraph" w:styleId="8">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0">
    <w:name w:val="toc 1"/>
    <w:basedOn w:val="1"/>
    <w:next w:val="1"/>
    <w:qFormat/>
    <w:uiPriority w:val="0"/>
    <w:pPr>
      <w:spacing w:line="360" w:lineRule="auto"/>
    </w:pPr>
    <w:rPr>
      <w:rFonts w:ascii="Arial" w:hAnsi="Arial" w:eastAsia="宋体"/>
      <w:sz w:val="2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2">
    <w:name w:val="Body Text First Indent"/>
    <w:basedOn w:val="5"/>
    <w:next w:val="1"/>
    <w:qFormat/>
    <w:uiPriority w:val="99"/>
    <w:pPr>
      <w:ind w:firstLine="420" w:firstLineChars="100"/>
    </w:pPr>
    <w:rPr>
      <w:szCs w:val="21"/>
    </w:rPr>
  </w:style>
  <w:style w:type="paragraph" w:styleId="13">
    <w:name w:val="Body Text First Indent 2"/>
    <w:basedOn w:val="7"/>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333333"/>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333333"/>
      <w:u w:val="none"/>
    </w:rPr>
  </w:style>
  <w:style w:type="character" w:styleId="25">
    <w:name w:val="HTML Code"/>
    <w:basedOn w:val="16"/>
    <w:qFormat/>
    <w:uiPriority w:val="0"/>
    <w:rPr>
      <w:rFonts w:hint="default" w:ascii="monospace" w:hAnsi="monospace" w:eastAsia="monospace" w:cs="monospace"/>
      <w:sz w:val="20"/>
    </w:rPr>
  </w:style>
  <w:style w:type="character" w:styleId="26">
    <w:name w:val="HTML Cite"/>
    <w:basedOn w:val="16"/>
    <w:qFormat/>
    <w:uiPriority w:val="0"/>
  </w:style>
  <w:style w:type="character" w:styleId="27">
    <w:name w:val="HTML Keyboard"/>
    <w:basedOn w:val="16"/>
    <w:qFormat/>
    <w:uiPriority w:val="0"/>
    <w:rPr>
      <w:rFonts w:ascii="monospace" w:hAnsi="monospace" w:eastAsia="monospace" w:cs="monospace"/>
      <w:sz w:val="20"/>
    </w:rPr>
  </w:style>
  <w:style w:type="character" w:styleId="28">
    <w:name w:val="HTML Sample"/>
    <w:basedOn w:val="16"/>
    <w:qFormat/>
    <w:uiPriority w:val="0"/>
    <w:rPr>
      <w:rFonts w:hint="default" w:ascii="monospace" w:hAnsi="monospace" w:eastAsia="monospace" w:cs="monospace"/>
    </w:rPr>
  </w:style>
  <w:style w:type="paragraph" w:customStyle="1" w:styleId="29">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Table Text"/>
    <w:basedOn w:val="1"/>
    <w:autoRedefine/>
    <w:semiHidden/>
    <w:qFormat/>
    <w:uiPriority w:val="0"/>
    <w:rPr>
      <w:rFonts w:ascii="Arial" w:hAnsi="Arial" w:eastAsia="Arial" w:cs="Arial"/>
      <w:sz w:val="21"/>
      <w:szCs w:val="21"/>
      <w:lang w:val="en-US" w:eastAsia="en-US" w:bidi="ar-SA"/>
    </w:rPr>
  </w:style>
  <w:style w:type="character" w:customStyle="1" w:styleId="32">
    <w:name w:val="current-btn"/>
    <w:basedOn w:val="16"/>
    <w:qFormat/>
    <w:uiPriority w:val="0"/>
    <w:rPr>
      <w:b/>
      <w:bCs/>
      <w:color w:val="FFFFFF"/>
      <w:sz w:val="19"/>
      <w:szCs w:val="19"/>
      <w:bdr w:val="single" w:color="A00100" w:sz="6" w:space="0"/>
      <w:shd w:val="clear" w:fill="C00100"/>
    </w:rPr>
  </w:style>
  <w:style w:type="character" w:customStyle="1" w:styleId="33">
    <w:name w:val="layui-laypage-curr"/>
    <w:basedOn w:val="16"/>
    <w:qFormat/>
    <w:uiPriority w:val="0"/>
  </w:style>
  <w:style w:type="paragraph" w:customStyle="1" w:styleId="34">
    <w:name w:val="大标题"/>
    <w:basedOn w:val="1"/>
    <w:next w:val="13"/>
    <w:qFormat/>
    <w:uiPriority w:val="0"/>
    <w:pPr>
      <w:jc w:val="center"/>
    </w:pPr>
    <w:rPr>
      <w:rFonts w:ascii="Arial" w:hAnsi="Arial"/>
      <w:b/>
      <w:sz w:val="28"/>
      <w:szCs w:val="24"/>
    </w:rPr>
  </w:style>
  <w:style w:type="paragraph" w:customStyle="1" w:styleId="35">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36">
    <w:name w:val="nth-child(1)"/>
    <w:basedOn w:val="16"/>
    <w:qFormat/>
    <w:uiPriority w:val="0"/>
  </w:style>
  <w:style w:type="character" w:customStyle="1" w:styleId="37">
    <w:name w:val="first-child"/>
    <w:basedOn w:val="16"/>
    <w:qFormat/>
    <w:uiPriority w:val="0"/>
    <w:rPr>
      <w:color w:val="1F3149"/>
      <w:sz w:val="24"/>
      <w:szCs w:val="24"/>
    </w:rPr>
  </w:style>
  <w:style w:type="character" w:customStyle="1" w:styleId="38">
    <w:name w:val="first-child1"/>
    <w:basedOn w:val="16"/>
    <w:qFormat/>
    <w:uiPriority w:val="0"/>
    <w:rPr>
      <w:color w:val="1F3149"/>
      <w:sz w:val="24"/>
      <w:szCs w:val="24"/>
    </w:rPr>
  </w:style>
  <w:style w:type="character" w:customStyle="1" w:styleId="39">
    <w:name w:val="fr"/>
    <w:basedOn w:val="16"/>
    <w:qFormat/>
    <w:uiPriority w:val="0"/>
  </w:style>
  <w:style w:type="paragraph" w:customStyle="1" w:styleId="40">
    <w:name w:val="shsj2em"/>
    <w:basedOn w:val="1"/>
    <w:qFormat/>
    <w:uiPriority w:val="0"/>
    <w:pPr>
      <w:ind w:firstLine="420"/>
      <w:jc w:val="left"/>
    </w:pPr>
    <w:rPr>
      <w:kern w:val="0"/>
      <w:lang w:val="en-US" w:eastAsia="zh-CN" w:bidi="ar"/>
    </w:rPr>
  </w:style>
  <w:style w:type="character" w:customStyle="1" w:styleId="41">
    <w:name w:val="xiadan"/>
    <w:basedOn w:val="16"/>
    <w:qFormat/>
    <w:uiPriority w:val="0"/>
    <w:rPr>
      <w:shd w:val="clear" w:fill="E4393C"/>
    </w:rPr>
  </w:style>
  <w:style w:type="character" w:customStyle="1" w:styleId="42">
    <w:name w:val="icon_ds"/>
    <w:basedOn w:val="16"/>
    <w:qFormat/>
    <w:uiPriority w:val="0"/>
  </w:style>
  <w:style w:type="character" w:customStyle="1" w:styleId="43">
    <w:name w:val="icon_ds1"/>
    <w:basedOn w:val="16"/>
    <w:qFormat/>
    <w:uiPriority w:val="0"/>
    <w:rPr>
      <w:sz w:val="21"/>
      <w:szCs w:val="21"/>
    </w:rPr>
  </w:style>
  <w:style w:type="character" w:customStyle="1" w:styleId="44">
    <w:name w:val="icon_gys"/>
    <w:basedOn w:val="16"/>
    <w:qFormat/>
    <w:uiPriority w:val="0"/>
    <w:rPr>
      <w:sz w:val="21"/>
      <w:szCs w:val="21"/>
    </w:rPr>
  </w:style>
  <w:style w:type="character" w:customStyle="1" w:styleId="45">
    <w:name w:val="first-child2"/>
    <w:basedOn w:val="16"/>
    <w:qFormat/>
    <w:uiPriority w:val="0"/>
    <w:rPr>
      <w:color w:val="1F3149"/>
      <w:sz w:val="24"/>
      <w:szCs w:val="24"/>
    </w:rPr>
  </w:style>
  <w:style w:type="character" w:customStyle="1" w:styleId="46">
    <w:name w:val="nth-child(n+2)"/>
    <w:basedOn w:val="16"/>
    <w:qFormat/>
    <w:uiPriority w:val="0"/>
  </w:style>
  <w:style w:type="character" w:customStyle="1" w:styleId="47">
    <w:name w:val="layui-layer-tabnow"/>
    <w:basedOn w:val="16"/>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14791</Words>
  <Characters>15898</Characters>
  <TotalTime>0</TotalTime>
  <ScaleCrop>false</ScaleCrop>
  <LinksUpToDate>false</LinksUpToDate>
  <CharactersWithSpaces>16337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cp:lastPrinted>2025-10-14T08:54:00Z</cp:lastPrinted>
  <dcterms:modified xsi:type="dcterms:W3CDTF">2025-10-23T07:32:56Z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2052-12.1.0.23125</vt:lpwstr>
  </property>
  <property fmtid="{D5CDD505-2E9C-101B-9397-08002B2CF9AE}" pid="5" name="ICV">
    <vt:lpwstr>8DC1B6AC3E51449489DD02ED1E885BF7_12</vt:lpwstr>
  </property>
  <property fmtid="{D5CDD505-2E9C-101B-9397-08002B2CF9AE}" pid="6" name="KSOTemplateDocerSaveRecord">
    <vt:lpwstr>eyJoZGlkIjoiMmY5MWQwNWM2NmE1MDM5ODU4OWNiZWJlNGEyZjdhZGEifQ==</vt:lpwstr>
  </property>
</Properties>
</file>