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108A">
      <w:pPr>
        <w:pageBreakBefore w:val="0"/>
        <w:kinsoku/>
        <w:wordWrap w:val="0"/>
        <w:overflowPunct/>
        <w:bidi w:val="0"/>
        <w:spacing w:line="360" w:lineRule="auto"/>
        <w:jc w:val="center"/>
        <w:rPr>
          <w:rFonts w:hint="eastAsia" w:ascii="宋体" w:hAnsi="宋体" w:eastAsia="宋体" w:cs="宋体"/>
          <w:b/>
          <w:color w:val="auto"/>
          <w:sz w:val="48"/>
          <w:szCs w:val="96"/>
          <w:highlight w:val="none"/>
          <w:lang w:eastAsia="zh-CN"/>
        </w:rPr>
      </w:pPr>
    </w:p>
    <w:p w14:paraId="277FF826">
      <w:pPr>
        <w:spacing w:line="360" w:lineRule="auto"/>
        <w:jc w:val="center"/>
        <w:rPr>
          <w:rFonts w:hint="eastAsia" w:ascii="宋体" w:hAnsi="Times New Roman" w:eastAsia="宋体" w:cs="Times New Roman"/>
          <w:b/>
          <w:sz w:val="44"/>
          <w:szCs w:val="44"/>
        </w:rPr>
      </w:pPr>
      <w:r>
        <w:rPr>
          <w:rFonts w:hint="eastAsia" w:ascii="宋体" w:hAnsi="Times New Roman" w:eastAsia="宋体" w:cs="Times New Roman"/>
          <w:b/>
          <w:sz w:val="56"/>
          <w:szCs w:val="56"/>
        </w:rPr>
        <w:t>固始县2024年中央财政油茶产业发展示范奖补项目设计招标</w:t>
      </w:r>
    </w:p>
    <w:p w14:paraId="06DC8B7B">
      <w:pPr>
        <w:tabs>
          <w:tab w:val="left" w:pos="315"/>
          <w:tab w:val="left" w:pos="8820"/>
        </w:tabs>
        <w:spacing w:line="500" w:lineRule="exact"/>
        <w:ind w:right="267" w:rightChars="127"/>
        <w:jc w:val="both"/>
        <w:rPr>
          <w:rFonts w:hint="eastAsia"/>
          <w:b/>
          <w:bCs/>
          <w:color w:val="000000"/>
          <w:sz w:val="48"/>
        </w:rPr>
      </w:pPr>
    </w:p>
    <w:p w14:paraId="02C3B30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竞争性磋商文件</w:t>
      </w:r>
    </w:p>
    <w:p w14:paraId="0E9F0B06">
      <w:pPr>
        <w:spacing w:line="360" w:lineRule="auto"/>
        <w:jc w:val="center"/>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采购编号：固财磋</w:t>
      </w:r>
      <w:r>
        <w:rPr>
          <w:rFonts w:hint="eastAsia" w:hAnsi="宋体" w:cs="宋体"/>
          <w:b/>
          <w:sz w:val="32"/>
          <w:szCs w:val="32"/>
          <w:highlight w:val="none"/>
          <w:lang w:val="en-US" w:eastAsia="zh-CN"/>
        </w:rPr>
        <w:t>商</w:t>
      </w:r>
      <w:r>
        <w:rPr>
          <w:rFonts w:hint="eastAsia" w:ascii="宋体" w:hAnsi="宋体" w:eastAsia="宋体" w:cs="宋体"/>
          <w:b/>
          <w:sz w:val="32"/>
          <w:szCs w:val="32"/>
          <w:highlight w:val="none"/>
        </w:rPr>
        <w:t>采购-2024-</w:t>
      </w:r>
      <w:r>
        <w:rPr>
          <w:rFonts w:hint="eastAsia" w:ascii="宋体" w:hAnsi="宋体" w:cs="宋体"/>
          <w:b/>
          <w:sz w:val="32"/>
          <w:szCs w:val="32"/>
          <w:highlight w:val="none"/>
          <w:lang w:val="en-US" w:eastAsia="zh-CN"/>
        </w:rPr>
        <w:t>48</w:t>
      </w:r>
    </w:p>
    <w:p w14:paraId="7710FEF5">
      <w:pPr>
        <w:rPr>
          <w:rFonts w:hint="eastAsia" w:ascii="宋体" w:hAnsi="宋体" w:eastAsia="宋体" w:cs="宋体"/>
          <w:color w:val="auto"/>
          <w:highlight w:val="none"/>
          <w:lang w:val="en-US" w:eastAsia="zh-CN"/>
        </w:rPr>
      </w:pPr>
    </w:p>
    <w:p w14:paraId="730E0C09">
      <w:pPr>
        <w:bidi w:val="0"/>
        <w:rPr>
          <w:rFonts w:hint="eastAsia"/>
          <w:lang w:val="en-US" w:eastAsia="zh-CN"/>
        </w:rPr>
      </w:pPr>
    </w:p>
    <w:p w14:paraId="1CCC71D8">
      <w:pPr>
        <w:bidi w:val="0"/>
        <w:rPr>
          <w:rFonts w:hint="eastAsia"/>
          <w:lang w:val="en-US" w:eastAsia="zh-CN"/>
        </w:rPr>
      </w:pPr>
    </w:p>
    <w:p w14:paraId="159C5F93">
      <w:pPr>
        <w:pageBreakBefore w:val="0"/>
        <w:kinsoku/>
        <w:wordWrap w:val="0"/>
        <w:overflowPunct/>
        <w:bidi w:val="0"/>
        <w:spacing w:line="720" w:lineRule="auto"/>
        <w:ind w:left="0" w:leftChars="0" w:firstLine="0" w:firstLineChars="0"/>
        <w:jc w:val="center"/>
        <w:rPr>
          <w:rFonts w:hint="eastAsia" w:ascii="宋体" w:hAnsi="宋体" w:eastAsia="宋体" w:cs="宋体"/>
          <w:b/>
          <w:color w:val="auto"/>
          <w:sz w:val="30"/>
          <w:szCs w:val="30"/>
          <w:highlight w:val="none"/>
          <w:lang w:eastAsia="zh-CN"/>
        </w:rPr>
      </w:pPr>
    </w:p>
    <w:p w14:paraId="47106788">
      <w:pPr>
        <w:pStyle w:val="2"/>
        <w:rPr>
          <w:rFonts w:hint="eastAsia" w:ascii="宋体" w:hAnsi="宋体" w:eastAsia="宋体" w:cs="宋体"/>
          <w:b/>
          <w:color w:val="auto"/>
          <w:sz w:val="30"/>
          <w:szCs w:val="30"/>
          <w:highlight w:val="none"/>
          <w:lang w:eastAsia="zh-CN"/>
        </w:rPr>
      </w:pPr>
    </w:p>
    <w:p w14:paraId="028D444D">
      <w:pPr>
        <w:rPr>
          <w:rFonts w:hint="eastAsia" w:ascii="宋体" w:hAnsi="宋体" w:eastAsia="宋体" w:cs="宋体"/>
          <w:b/>
          <w:color w:val="auto"/>
          <w:sz w:val="30"/>
          <w:szCs w:val="30"/>
          <w:highlight w:val="none"/>
          <w:lang w:eastAsia="zh-CN"/>
        </w:rPr>
      </w:pPr>
    </w:p>
    <w:p w14:paraId="463BAB9B">
      <w:pPr>
        <w:pStyle w:val="2"/>
        <w:rPr>
          <w:rFonts w:hint="eastAsia" w:ascii="宋体" w:hAnsi="宋体" w:eastAsia="宋体" w:cs="宋体"/>
          <w:b/>
          <w:color w:val="auto"/>
          <w:sz w:val="30"/>
          <w:szCs w:val="30"/>
          <w:highlight w:val="none"/>
          <w:lang w:eastAsia="zh-CN"/>
        </w:rPr>
      </w:pPr>
    </w:p>
    <w:p w14:paraId="4D73A558">
      <w:pPr>
        <w:rPr>
          <w:rFonts w:hint="eastAsia" w:ascii="宋体" w:hAnsi="宋体" w:eastAsia="宋体" w:cs="宋体"/>
          <w:b/>
          <w:color w:val="auto"/>
          <w:sz w:val="30"/>
          <w:szCs w:val="30"/>
          <w:highlight w:val="none"/>
          <w:lang w:eastAsia="zh-CN"/>
        </w:rPr>
      </w:pPr>
    </w:p>
    <w:p w14:paraId="2953B67E">
      <w:pPr>
        <w:pStyle w:val="2"/>
        <w:rPr>
          <w:rFonts w:hint="eastAsia"/>
          <w:lang w:eastAsia="zh-CN"/>
        </w:rPr>
      </w:pPr>
    </w:p>
    <w:p w14:paraId="063B75A2">
      <w:pPr>
        <w:bidi w:val="0"/>
        <w:rPr>
          <w:rFonts w:hint="eastAsia"/>
          <w:lang w:eastAsia="zh-CN"/>
        </w:rPr>
      </w:pPr>
    </w:p>
    <w:p w14:paraId="1B0CADD6">
      <w:pPr>
        <w:pageBreakBefore w:val="0"/>
        <w:kinsoku/>
        <w:wordWrap w:val="0"/>
        <w:overflowPunct/>
        <w:bidi w:val="0"/>
        <w:spacing w:line="480" w:lineRule="auto"/>
        <w:ind w:firstLine="1494" w:firstLineChars="496"/>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采   购   人：</w:t>
      </w:r>
      <w:r>
        <w:rPr>
          <w:rFonts w:hint="eastAsia" w:ascii="宋体" w:hAnsi="宋体" w:cs="宋体"/>
          <w:b/>
          <w:color w:val="auto"/>
          <w:sz w:val="30"/>
          <w:szCs w:val="30"/>
          <w:highlight w:val="none"/>
          <w:lang w:val="en-US" w:eastAsia="zh-CN"/>
        </w:rPr>
        <w:t>固始县林业局</w:t>
      </w:r>
    </w:p>
    <w:p w14:paraId="07A05E3E">
      <w:pPr>
        <w:pageBreakBefore w:val="0"/>
        <w:kinsoku/>
        <w:wordWrap w:val="0"/>
        <w:overflowPunct/>
        <w:bidi w:val="0"/>
        <w:spacing w:line="480" w:lineRule="auto"/>
        <w:ind w:firstLine="1494" w:firstLineChars="496"/>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采购代理机构：</w:t>
      </w:r>
      <w:r>
        <w:rPr>
          <w:rFonts w:hint="eastAsia" w:ascii="宋体" w:hAnsi="宋体" w:cs="宋体"/>
          <w:b/>
          <w:color w:val="auto"/>
          <w:sz w:val="30"/>
          <w:szCs w:val="30"/>
          <w:highlight w:val="none"/>
          <w:lang w:val="en-US" w:eastAsia="zh-CN"/>
        </w:rPr>
        <w:t>河南中金闳藤代理有限公司</w:t>
      </w:r>
    </w:p>
    <w:p w14:paraId="48B392C4">
      <w:pPr>
        <w:pageBreakBefore w:val="0"/>
        <w:kinsoku/>
        <w:wordWrap w:val="0"/>
        <w:overflowPunct/>
        <w:bidi w:val="0"/>
        <w:spacing w:line="480" w:lineRule="auto"/>
        <w:ind w:firstLine="1494" w:firstLineChars="496"/>
        <w:rPr>
          <w:rFonts w:hint="eastAsia" w:ascii="宋体" w:hAnsi="宋体" w:eastAsia="宋体" w:cs="宋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0" w:gutter="0"/>
          <w:pgNumType w:start="1"/>
          <w:cols w:space="720" w:num="1"/>
          <w:titlePg/>
          <w:docGrid w:linePitch="312" w:charSpace="0"/>
        </w:sectPr>
      </w:pPr>
      <w:r>
        <w:rPr>
          <w:rFonts w:hint="eastAsia" w:ascii="宋体" w:hAnsi="宋体" w:eastAsia="宋体" w:cs="宋体"/>
          <w:b/>
          <w:color w:val="auto"/>
          <w:sz w:val="30"/>
          <w:szCs w:val="30"/>
          <w:highlight w:val="none"/>
        </w:rPr>
        <w:t>日        期：二〇二</w:t>
      </w: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月</w:t>
      </w:r>
    </w:p>
    <w:p w14:paraId="73A9CDB4">
      <w:pPr>
        <w:pStyle w:val="41"/>
        <w:pageBreakBefore w:val="0"/>
        <w:tabs>
          <w:tab w:val="right" w:leader="dot" w:pos="9412"/>
          <w:tab w:val="clear" w:pos="8778"/>
        </w:tabs>
        <w:kinsoku/>
        <w:wordWrap w:val="0"/>
        <w:overflowPunct/>
        <w:bidi w:val="0"/>
        <w:rPr>
          <w:rFonts w:hint="eastAsia" w:ascii="宋体" w:hAnsi="宋体" w:eastAsia="宋体" w:cs="宋体"/>
          <w:bCs w:val="0"/>
          <w:iCs w:val="0"/>
          <w:caps w:val="0"/>
          <w:color w:val="auto"/>
          <w:sz w:val="28"/>
          <w:szCs w:val="48"/>
          <w:highlight w:val="none"/>
        </w:rPr>
      </w:pPr>
      <w:bookmarkStart w:id="0" w:name="_Toc246996899"/>
      <w:bookmarkStart w:id="1" w:name="_Toc247085670"/>
      <w:bookmarkStart w:id="2" w:name="_Toc246996156"/>
      <w:r>
        <w:rPr>
          <w:rFonts w:hint="eastAsia" w:ascii="宋体" w:hAnsi="宋体" w:eastAsia="宋体" w:cs="宋体"/>
          <w:bCs w:val="0"/>
          <w:iCs w:val="0"/>
          <w:caps w:val="0"/>
          <w:color w:val="auto"/>
          <w:sz w:val="28"/>
          <w:szCs w:val="48"/>
          <w:highlight w:val="none"/>
        </w:rPr>
        <w:t>目     录</w:t>
      </w:r>
      <w:bookmarkEnd w:id="0"/>
      <w:bookmarkEnd w:id="1"/>
      <w:bookmarkEnd w:id="2"/>
    </w:p>
    <w:p w14:paraId="4D51D609">
      <w:pPr>
        <w:pStyle w:val="41"/>
        <w:pageBreakBefore w:val="0"/>
        <w:tabs>
          <w:tab w:val="right" w:leader="dot" w:pos="9412"/>
          <w:tab w:val="clear" w:pos="8778"/>
        </w:tabs>
        <w:kinsoku/>
        <w:wordWrap w:val="0"/>
        <w:overflowPunct/>
        <w:bidi w:val="0"/>
        <w:rPr>
          <w:rFonts w:hint="eastAsia" w:ascii="宋体" w:hAnsi="宋体" w:eastAsia="宋体" w:cs="宋体"/>
          <w:b w:val="0"/>
          <w:bCs w:val="0"/>
          <w:iCs w:val="0"/>
          <w:caps w:val="0"/>
          <w:color w:val="auto"/>
          <w:sz w:val="36"/>
          <w:szCs w:val="36"/>
          <w:highlight w:val="none"/>
        </w:rPr>
      </w:pPr>
    </w:p>
    <w:p w14:paraId="71209286">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color w:val="auto"/>
          <w:sz w:val="36"/>
          <w:szCs w:val="56"/>
          <w:highlight w:val="none"/>
        </w:rPr>
        <w:instrText xml:space="preserve">TOC \o "1-1" \h \u </w:instrText>
      </w:r>
      <w:r>
        <w:rPr>
          <w:rFonts w:hint="eastAsia" w:ascii="宋体" w:hAnsi="宋体" w:eastAsia="宋体" w:cs="宋体"/>
          <w:color w:val="auto"/>
          <w:sz w:val="36"/>
          <w:szCs w:val="56"/>
          <w:highlight w:val="none"/>
        </w:rPr>
        <w:fldChar w:fldCharType="separate"/>
      </w: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_Toc18433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lang w:val="en-US" w:eastAsia="zh-CN"/>
        </w:rPr>
        <w:t>第一章 竞争性磋商公告</w:t>
      </w:r>
      <w:r>
        <w:rPr>
          <w:sz w:val="24"/>
          <w:szCs w:val="44"/>
        </w:rPr>
        <w:tab/>
      </w:r>
      <w:r>
        <w:rPr>
          <w:sz w:val="24"/>
          <w:szCs w:val="44"/>
        </w:rPr>
        <w:fldChar w:fldCharType="begin"/>
      </w:r>
      <w:r>
        <w:rPr>
          <w:sz w:val="24"/>
          <w:szCs w:val="44"/>
        </w:rPr>
        <w:instrText xml:space="preserve"> PAGEREF _Toc18433 \h </w:instrText>
      </w:r>
      <w:r>
        <w:rPr>
          <w:sz w:val="24"/>
          <w:szCs w:val="44"/>
        </w:rPr>
        <w:fldChar w:fldCharType="separate"/>
      </w:r>
      <w:r>
        <w:rPr>
          <w:sz w:val="24"/>
          <w:szCs w:val="44"/>
        </w:rPr>
        <w:t>1</w:t>
      </w:r>
      <w:r>
        <w:rPr>
          <w:sz w:val="24"/>
          <w:szCs w:val="44"/>
        </w:rPr>
        <w:fldChar w:fldCharType="end"/>
      </w:r>
      <w:r>
        <w:rPr>
          <w:rFonts w:hint="eastAsia" w:ascii="宋体" w:hAnsi="宋体" w:eastAsia="宋体" w:cs="宋体"/>
          <w:color w:val="auto"/>
          <w:sz w:val="24"/>
          <w:szCs w:val="44"/>
          <w:highlight w:val="none"/>
        </w:rPr>
        <w:fldChar w:fldCharType="end"/>
      </w:r>
    </w:p>
    <w:p w14:paraId="3B07FDAE">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_Toc32137 </w:instrText>
      </w:r>
      <w:r>
        <w:rPr>
          <w:rFonts w:hint="eastAsia" w:ascii="宋体" w:hAnsi="宋体" w:eastAsia="宋体" w:cs="宋体"/>
          <w:sz w:val="24"/>
          <w:szCs w:val="44"/>
          <w:highlight w:val="none"/>
        </w:rPr>
        <w:fldChar w:fldCharType="separate"/>
      </w:r>
      <w:r>
        <w:rPr>
          <w:rFonts w:hint="eastAsia" w:ascii="宋体" w:hAnsi="宋体" w:eastAsia="宋体" w:cs="宋体"/>
          <w:bCs/>
          <w:kern w:val="44"/>
          <w:sz w:val="24"/>
          <w:szCs w:val="52"/>
          <w:lang w:val="en-US" w:eastAsia="zh-CN" w:bidi="ar-SA"/>
        </w:rPr>
        <w:t xml:space="preserve">第二章 </w:t>
      </w:r>
      <w:r>
        <w:rPr>
          <w:rFonts w:hint="eastAsia" w:ascii="宋体" w:hAnsi="宋体" w:eastAsia="宋体" w:cs="宋体"/>
          <w:bCs/>
          <w:kern w:val="44"/>
          <w:sz w:val="24"/>
          <w:szCs w:val="52"/>
          <w:highlight w:val="none"/>
          <w:lang w:val="en-US" w:eastAsia="zh-CN" w:bidi="ar-SA"/>
        </w:rPr>
        <w:t>供应商须知</w:t>
      </w:r>
      <w:r>
        <w:rPr>
          <w:sz w:val="24"/>
          <w:szCs w:val="44"/>
        </w:rPr>
        <w:tab/>
      </w:r>
      <w:r>
        <w:rPr>
          <w:sz w:val="24"/>
          <w:szCs w:val="44"/>
        </w:rPr>
        <w:fldChar w:fldCharType="begin"/>
      </w:r>
      <w:r>
        <w:rPr>
          <w:sz w:val="24"/>
          <w:szCs w:val="44"/>
        </w:rPr>
        <w:instrText xml:space="preserve"> PAGEREF _Toc32137 \h </w:instrText>
      </w:r>
      <w:r>
        <w:rPr>
          <w:sz w:val="24"/>
          <w:szCs w:val="44"/>
        </w:rPr>
        <w:fldChar w:fldCharType="separate"/>
      </w:r>
      <w:r>
        <w:rPr>
          <w:sz w:val="24"/>
          <w:szCs w:val="44"/>
        </w:rPr>
        <w:t>5</w:t>
      </w:r>
      <w:r>
        <w:rPr>
          <w:sz w:val="24"/>
          <w:szCs w:val="44"/>
        </w:rPr>
        <w:fldChar w:fldCharType="end"/>
      </w:r>
      <w:r>
        <w:rPr>
          <w:rFonts w:hint="eastAsia" w:ascii="宋体" w:hAnsi="宋体" w:eastAsia="宋体" w:cs="宋体"/>
          <w:color w:val="auto"/>
          <w:sz w:val="24"/>
          <w:szCs w:val="44"/>
          <w:highlight w:val="none"/>
        </w:rPr>
        <w:fldChar w:fldCharType="end"/>
      </w:r>
    </w:p>
    <w:p w14:paraId="74F51421">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_Toc23174 </w:instrText>
      </w:r>
      <w:r>
        <w:rPr>
          <w:rFonts w:hint="eastAsia" w:ascii="宋体" w:hAnsi="宋体" w:eastAsia="宋体" w:cs="宋体"/>
          <w:sz w:val="24"/>
          <w:szCs w:val="44"/>
          <w:highlight w:val="none"/>
        </w:rPr>
        <w:fldChar w:fldCharType="separate"/>
      </w:r>
      <w:r>
        <w:rPr>
          <w:rFonts w:hint="eastAsia" w:ascii="宋体" w:hAnsi="宋体" w:eastAsia="宋体" w:cs="宋体"/>
          <w:bCs/>
          <w:kern w:val="44"/>
          <w:sz w:val="24"/>
          <w:szCs w:val="52"/>
          <w:highlight w:val="none"/>
        </w:rPr>
        <w:t>第三章 评标办法（综合评分法）</w:t>
      </w:r>
      <w:r>
        <w:rPr>
          <w:sz w:val="24"/>
          <w:szCs w:val="44"/>
        </w:rPr>
        <w:tab/>
      </w:r>
      <w:r>
        <w:rPr>
          <w:sz w:val="24"/>
          <w:szCs w:val="44"/>
        </w:rPr>
        <w:fldChar w:fldCharType="begin"/>
      </w:r>
      <w:r>
        <w:rPr>
          <w:sz w:val="24"/>
          <w:szCs w:val="44"/>
        </w:rPr>
        <w:instrText xml:space="preserve"> PAGEREF _Toc23174 \h </w:instrText>
      </w:r>
      <w:r>
        <w:rPr>
          <w:sz w:val="24"/>
          <w:szCs w:val="44"/>
        </w:rPr>
        <w:fldChar w:fldCharType="separate"/>
      </w:r>
      <w:r>
        <w:rPr>
          <w:sz w:val="24"/>
          <w:szCs w:val="44"/>
        </w:rPr>
        <w:t>17</w:t>
      </w:r>
      <w:r>
        <w:rPr>
          <w:sz w:val="24"/>
          <w:szCs w:val="44"/>
        </w:rPr>
        <w:fldChar w:fldCharType="end"/>
      </w:r>
      <w:r>
        <w:rPr>
          <w:rFonts w:hint="eastAsia" w:ascii="宋体" w:hAnsi="宋体" w:eastAsia="宋体" w:cs="宋体"/>
          <w:color w:val="auto"/>
          <w:sz w:val="24"/>
          <w:szCs w:val="44"/>
          <w:highlight w:val="none"/>
        </w:rPr>
        <w:fldChar w:fldCharType="end"/>
      </w:r>
    </w:p>
    <w:p w14:paraId="2B9791B4">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_Toc6011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rPr>
        <w:t>评审办法前附表</w:t>
      </w:r>
      <w:r>
        <w:rPr>
          <w:sz w:val="24"/>
          <w:szCs w:val="44"/>
        </w:rPr>
        <w:tab/>
      </w:r>
      <w:r>
        <w:rPr>
          <w:sz w:val="24"/>
          <w:szCs w:val="44"/>
        </w:rPr>
        <w:fldChar w:fldCharType="begin"/>
      </w:r>
      <w:r>
        <w:rPr>
          <w:sz w:val="24"/>
          <w:szCs w:val="44"/>
        </w:rPr>
        <w:instrText xml:space="preserve"> PAGEREF _Toc6011 \h </w:instrText>
      </w:r>
      <w:r>
        <w:rPr>
          <w:sz w:val="24"/>
          <w:szCs w:val="44"/>
        </w:rPr>
        <w:fldChar w:fldCharType="separate"/>
      </w:r>
      <w:r>
        <w:rPr>
          <w:sz w:val="24"/>
          <w:szCs w:val="44"/>
        </w:rPr>
        <w:t>17</w:t>
      </w:r>
      <w:r>
        <w:rPr>
          <w:sz w:val="24"/>
          <w:szCs w:val="44"/>
        </w:rPr>
        <w:fldChar w:fldCharType="end"/>
      </w:r>
      <w:r>
        <w:rPr>
          <w:rFonts w:hint="eastAsia" w:ascii="宋体" w:hAnsi="宋体" w:eastAsia="宋体" w:cs="宋体"/>
          <w:color w:val="auto"/>
          <w:sz w:val="24"/>
          <w:szCs w:val="44"/>
          <w:highlight w:val="none"/>
        </w:rPr>
        <w:fldChar w:fldCharType="end"/>
      </w:r>
    </w:p>
    <w:p w14:paraId="61E2102B">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_Toc25645 </w:instrText>
      </w:r>
      <w:r>
        <w:rPr>
          <w:rFonts w:hint="eastAsia" w:ascii="宋体" w:hAnsi="宋体" w:eastAsia="宋体" w:cs="宋体"/>
          <w:sz w:val="24"/>
          <w:szCs w:val="44"/>
          <w:highlight w:val="none"/>
        </w:rPr>
        <w:fldChar w:fldCharType="separate"/>
      </w:r>
      <w:r>
        <w:rPr>
          <w:rFonts w:hint="eastAsia" w:ascii="宋体" w:hAnsi="宋体" w:eastAsia="宋体" w:cs="宋体"/>
          <w:bCs/>
          <w:kern w:val="44"/>
          <w:sz w:val="24"/>
          <w:szCs w:val="52"/>
          <w:highlight w:val="none"/>
          <w:lang w:eastAsia="zh-CN"/>
        </w:rPr>
        <w:t>第四章</w:t>
      </w:r>
      <w:r>
        <w:rPr>
          <w:rFonts w:hint="eastAsia" w:ascii="宋体" w:hAnsi="宋体" w:eastAsia="宋体" w:cs="宋体"/>
          <w:bCs/>
          <w:kern w:val="44"/>
          <w:sz w:val="24"/>
          <w:szCs w:val="52"/>
          <w:highlight w:val="none"/>
          <w:lang w:val="en-US" w:eastAsia="zh-CN"/>
        </w:rPr>
        <w:t xml:space="preserve"> </w:t>
      </w:r>
      <w:r>
        <w:rPr>
          <w:rFonts w:hint="eastAsia" w:ascii="宋体" w:hAnsi="宋体" w:eastAsia="宋体" w:cs="宋体"/>
          <w:bCs/>
          <w:kern w:val="44"/>
          <w:sz w:val="24"/>
          <w:szCs w:val="52"/>
          <w:highlight w:val="none"/>
        </w:rPr>
        <w:t>河南省政府采购合同（参考文本）</w:t>
      </w:r>
      <w:r>
        <w:rPr>
          <w:sz w:val="24"/>
          <w:szCs w:val="44"/>
        </w:rPr>
        <w:tab/>
      </w:r>
      <w:r>
        <w:rPr>
          <w:sz w:val="24"/>
          <w:szCs w:val="44"/>
        </w:rPr>
        <w:fldChar w:fldCharType="begin"/>
      </w:r>
      <w:r>
        <w:rPr>
          <w:sz w:val="24"/>
          <w:szCs w:val="44"/>
        </w:rPr>
        <w:instrText xml:space="preserve"> PAGEREF _Toc25645 \h </w:instrText>
      </w:r>
      <w:r>
        <w:rPr>
          <w:sz w:val="24"/>
          <w:szCs w:val="44"/>
        </w:rPr>
        <w:fldChar w:fldCharType="separate"/>
      </w:r>
      <w:r>
        <w:rPr>
          <w:sz w:val="24"/>
          <w:szCs w:val="44"/>
        </w:rPr>
        <w:t>25</w:t>
      </w:r>
      <w:r>
        <w:rPr>
          <w:sz w:val="24"/>
          <w:szCs w:val="44"/>
        </w:rPr>
        <w:fldChar w:fldCharType="end"/>
      </w:r>
      <w:r>
        <w:rPr>
          <w:rFonts w:hint="eastAsia" w:ascii="宋体" w:hAnsi="宋体" w:eastAsia="宋体" w:cs="宋体"/>
          <w:color w:val="auto"/>
          <w:sz w:val="24"/>
          <w:szCs w:val="44"/>
          <w:highlight w:val="none"/>
        </w:rPr>
        <w:fldChar w:fldCharType="end"/>
      </w:r>
    </w:p>
    <w:p w14:paraId="2FC5582D">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_Toc23191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rPr>
        <w:t>第五章</w:t>
      </w:r>
      <w:r>
        <w:rPr>
          <w:rFonts w:hint="eastAsia" w:ascii="宋体" w:hAnsi="宋体" w:eastAsia="宋体" w:cs="宋体"/>
          <w:sz w:val="24"/>
          <w:szCs w:val="44"/>
          <w:highlight w:val="none"/>
          <w:lang w:val="en-US" w:eastAsia="zh-CN"/>
        </w:rPr>
        <w:t xml:space="preserve"> </w:t>
      </w:r>
      <w:r>
        <w:rPr>
          <w:rFonts w:hint="eastAsia" w:ascii="宋体" w:hAnsi="宋体" w:eastAsia="宋体" w:cs="宋体"/>
          <w:sz w:val="24"/>
          <w:szCs w:val="44"/>
          <w:highlight w:val="none"/>
        </w:rPr>
        <w:t>采购需求</w:t>
      </w:r>
      <w:r>
        <w:rPr>
          <w:sz w:val="24"/>
          <w:szCs w:val="44"/>
        </w:rPr>
        <w:tab/>
      </w:r>
      <w:r>
        <w:rPr>
          <w:sz w:val="24"/>
          <w:szCs w:val="44"/>
        </w:rPr>
        <w:fldChar w:fldCharType="begin"/>
      </w:r>
      <w:r>
        <w:rPr>
          <w:sz w:val="24"/>
          <w:szCs w:val="44"/>
        </w:rPr>
        <w:instrText xml:space="preserve"> PAGEREF _Toc23191 \h </w:instrText>
      </w:r>
      <w:r>
        <w:rPr>
          <w:sz w:val="24"/>
          <w:szCs w:val="44"/>
        </w:rPr>
        <w:fldChar w:fldCharType="separate"/>
      </w:r>
      <w:r>
        <w:rPr>
          <w:sz w:val="24"/>
          <w:szCs w:val="44"/>
        </w:rPr>
        <w:t>31</w:t>
      </w:r>
      <w:r>
        <w:rPr>
          <w:sz w:val="24"/>
          <w:szCs w:val="44"/>
        </w:rPr>
        <w:fldChar w:fldCharType="end"/>
      </w:r>
      <w:r>
        <w:rPr>
          <w:rFonts w:hint="eastAsia" w:ascii="宋体" w:hAnsi="宋体" w:eastAsia="宋体" w:cs="宋体"/>
          <w:color w:val="auto"/>
          <w:sz w:val="24"/>
          <w:szCs w:val="44"/>
          <w:highlight w:val="none"/>
        </w:rPr>
        <w:fldChar w:fldCharType="end"/>
      </w:r>
    </w:p>
    <w:p w14:paraId="7051A150">
      <w:pPr>
        <w:pStyle w:val="41"/>
        <w:keepNext w:val="0"/>
        <w:keepLines w:val="0"/>
        <w:pageBreakBefore w:val="0"/>
        <w:widowControl w:val="0"/>
        <w:tabs>
          <w:tab w:val="right" w:leader="dot" w:pos="9070"/>
          <w:tab w:val="clear" w:pos="8778"/>
        </w:tabs>
        <w:kinsoku/>
        <w:wordWrap/>
        <w:overflowPunct/>
        <w:topLinePunct w:val="0"/>
        <w:autoSpaceDE/>
        <w:autoSpaceDN/>
        <w:bidi w:val="0"/>
        <w:adjustRightInd/>
        <w:snapToGrid w:val="0"/>
        <w:spacing w:line="480" w:lineRule="auto"/>
        <w:textAlignment w:val="auto"/>
        <w:rPr>
          <w:sz w:val="24"/>
          <w:szCs w:val="44"/>
        </w:rPr>
      </w:pPr>
      <w:r>
        <w:rPr>
          <w:rFonts w:hint="eastAsia" w:ascii="宋体" w:hAnsi="宋体" w:eastAsia="宋体" w:cs="宋体"/>
          <w:color w:val="auto"/>
          <w:sz w:val="24"/>
          <w:szCs w:val="44"/>
          <w:highlight w:val="none"/>
        </w:rPr>
        <w:fldChar w:fldCharType="begin"/>
      </w:r>
      <w:r>
        <w:rPr>
          <w:rFonts w:hint="eastAsia" w:ascii="宋体" w:hAnsi="宋体" w:eastAsia="宋体" w:cs="宋体"/>
          <w:sz w:val="24"/>
          <w:szCs w:val="44"/>
          <w:highlight w:val="none"/>
        </w:rPr>
        <w:instrText xml:space="preserve"> HYPERLINK \l _Toc27722 </w:instrText>
      </w:r>
      <w:r>
        <w:rPr>
          <w:rFonts w:hint="eastAsia" w:ascii="宋体" w:hAnsi="宋体" w:eastAsia="宋体" w:cs="宋体"/>
          <w:sz w:val="24"/>
          <w:szCs w:val="44"/>
          <w:highlight w:val="none"/>
        </w:rPr>
        <w:fldChar w:fldCharType="separate"/>
      </w:r>
      <w:r>
        <w:rPr>
          <w:rFonts w:hint="eastAsia"/>
          <w:sz w:val="24"/>
          <w:szCs w:val="44"/>
        </w:rPr>
        <w:t>第六章 响应文件格式</w:t>
      </w:r>
      <w:r>
        <w:rPr>
          <w:sz w:val="24"/>
          <w:szCs w:val="44"/>
        </w:rPr>
        <w:tab/>
      </w:r>
      <w:r>
        <w:rPr>
          <w:sz w:val="24"/>
          <w:szCs w:val="44"/>
        </w:rPr>
        <w:fldChar w:fldCharType="begin"/>
      </w:r>
      <w:r>
        <w:rPr>
          <w:sz w:val="24"/>
          <w:szCs w:val="44"/>
        </w:rPr>
        <w:instrText xml:space="preserve"> PAGEREF _Toc27722 \h </w:instrText>
      </w:r>
      <w:r>
        <w:rPr>
          <w:sz w:val="24"/>
          <w:szCs w:val="44"/>
        </w:rPr>
        <w:fldChar w:fldCharType="separate"/>
      </w:r>
      <w:r>
        <w:rPr>
          <w:sz w:val="24"/>
          <w:szCs w:val="44"/>
        </w:rPr>
        <w:t>32</w:t>
      </w:r>
      <w:r>
        <w:rPr>
          <w:sz w:val="24"/>
          <w:szCs w:val="44"/>
        </w:rPr>
        <w:fldChar w:fldCharType="end"/>
      </w:r>
      <w:r>
        <w:rPr>
          <w:rFonts w:hint="eastAsia" w:ascii="宋体" w:hAnsi="宋体" w:eastAsia="宋体" w:cs="宋体"/>
          <w:color w:val="auto"/>
          <w:sz w:val="24"/>
          <w:szCs w:val="44"/>
          <w:highlight w:val="none"/>
        </w:rPr>
        <w:fldChar w:fldCharType="end"/>
      </w:r>
    </w:p>
    <w:p w14:paraId="4E1D4F6B">
      <w:pPr>
        <w:pageBreakBefore w:val="0"/>
        <w:kinsoku/>
        <w:wordWrap w:val="0"/>
        <w:overflowPunct/>
        <w:autoSpaceDE w:val="0"/>
        <w:autoSpaceDN w:val="0"/>
        <w:bidi w:val="0"/>
        <w:adjustRightInd w:val="0"/>
        <w:snapToGrid w:val="0"/>
        <w:spacing w:after="120" w:afterLines="50"/>
        <w:outlineLvl w:val="0"/>
        <w:rPr>
          <w:rFonts w:hint="eastAsia" w:ascii="宋体" w:hAnsi="宋体" w:eastAsia="宋体" w:cs="宋体"/>
          <w:color w:val="auto"/>
          <w:highlight w:val="none"/>
        </w:rPr>
        <w:sectPr>
          <w:headerReference r:id="rId9" w:type="default"/>
          <w:footerReference r:id="rId10" w:type="default"/>
          <w:pgSz w:w="11906" w:h="16838"/>
          <w:pgMar w:top="1418" w:right="1418" w:bottom="1418" w:left="1418" w:header="851" w:footer="850" w:gutter="0"/>
          <w:pgNumType w:start="1"/>
          <w:cols w:space="720" w:num="1"/>
          <w:docGrid w:linePitch="312" w:charSpace="0"/>
        </w:sectPr>
      </w:pPr>
      <w:r>
        <w:rPr>
          <w:rFonts w:hint="eastAsia" w:ascii="宋体" w:hAnsi="宋体" w:eastAsia="宋体" w:cs="宋体"/>
          <w:color w:val="auto"/>
          <w:sz w:val="24"/>
          <w:szCs w:val="44"/>
          <w:highlight w:val="none"/>
        </w:rPr>
        <w:fldChar w:fldCharType="end"/>
      </w:r>
    </w:p>
    <w:p w14:paraId="70B58D88">
      <w:pPr>
        <w:keepNext w:val="0"/>
        <w:keepLines w:val="0"/>
        <w:pageBreakBefore w:val="0"/>
        <w:widowControl w:val="0"/>
        <w:kinsoku/>
        <w:wordWrap w:val="0"/>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highlight w:val="none"/>
        </w:rPr>
      </w:pPr>
      <w:bookmarkStart w:id="3" w:name="_Toc28967"/>
      <w:bookmarkStart w:id="4" w:name="OLE_LINK1"/>
      <w:r>
        <w:rPr>
          <w:rFonts w:hint="eastAsia" w:ascii="宋体" w:hAnsi="宋体" w:eastAsia="宋体" w:cs="宋体"/>
          <w:b/>
          <w:bCs/>
          <w:color w:val="auto"/>
          <w:sz w:val="30"/>
          <w:szCs w:val="30"/>
          <w:highlight w:val="none"/>
        </w:rPr>
        <w:t>特 别 提 示</w:t>
      </w:r>
    </w:p>
    <w:p w14:paraId="70907974">
      <w:pPr>
        <w:spacing w:line="360" w:lineRule="exact"/>
        <w:ind w:firstLine="440" w:firstLineChars="200"/>
        <w:rPr>
          <w:sz w:val="22"/>
        </w:rPr>
      </w:pPr>
      <w:r>
        <w:rPr>
          <w:rFonts w:hint="eastAsia"/>
          <w:sz w:val="22"/>
        </w:rPr>
        <w:t xml:space="preserve">1、供应商注册 </w:t>
      </w:r>
    </w:p>
    <w:p w14:paraId="67B35F0C">
      <w:pPr>
        <w:spacing w:line="360" w:lineRule="exact"/>
        <w:ind w:firstLine="440" w:firstLineChars="200"/>
        <w:rPr>
          <w:sz w:val="22"/>
        </w:rPr>
      </w:pPr>
      <w:r>
        <w:rPr>
          <w:rFonts w:hint="eastAsia"/>
          <w:sz w:val="22"/>
        </w:rPr>
        <w:t>供应商首先通过“《全国公共资源交易平台(河南省·固始县)（http://ggzyjy.xinyang.gov.cn/gushi/）》”网站进行注册，然后按新闻中心（通知公告） 关于电子交易平台诚信库入库登记的公告（工程建设、政府采购）及关于办理CA数字证书及电子签章的通知要求准备齐资料，最后到</w:t>
      </w:r>
      <w:r>
        <w:rPr>
          <w:rFonts w:hint="eastAsia"/>
          <w:sz w:val="22"/>
          <w:lang w:eastAsia="zh-CN"/>
        </w:rPr>
        <w:t>《</w:t>
      </w:r>
      <w:r>
        <w:rPr>
          <w:rFonts w:hint="eastAsia"/>
          <w:sz w:val="22"/>
        </w:rPr>
        <w:t>全国公共资源交易平台(河南省·固始县)</w:t>
      </w:r>
      <w:r>
        <w:rPr>
          <w:rFonts w:hint="eastAsia"/>
          <w:sz w:val="22"/>
          <w:lang w:eastAsia="zh-CN"/>
        </w:rPr>
        <w:t>》</w:t>
      </w:r>
      <w:r>
        <w:rPr>
          <w:rFonts w:hint="eastAsia"/>
          <w:sz w:val="22"/>
        </w:rPr>
        <w:t>完成注册和办理CA密钥。</w:t>
      </w:r>
    </w:p>
    <w:p w14:paraId="6C09EDDD">
      <w:pPr>
        <w:spacing w:line="360" w:lineRule="exact"/>
        <w:ind w:firstLine="440" w:firstLineChars="200"/>
        <w:rPr>
          <w:sz w:val="22"/>
        </w:rPr>
      </w:pPr>
      <w:r>
        <w:rPr>
          <w:rFonts w:hint="eastAsia"/>
          <w:sz w:val="22"/>
        </w:rPr>
        <w:t xml:space="preserve">2、响应文件制作 </w:t>
      </w:r>
    </w:p>
    <w:p w14:paraId="43BBE7A7">
      <w:pPr>
        <w:spacing w:line="360" w:lineRule="exact"/>
        <w:ind w:firstLine="440" w:firstLineChars="200"/>
        <w:rPr>
          <w:sz w:val="22"/>
        </w:rPr>
      </w:pPr>
      <w:r>
        <w:rPr>
          <w:rFonts w:hint="eastAsia"/>
          <w:sz w:val="22"/>
        </w:rPr>
        <w:t>2.1、供应商通过“《全国公共资源交易平台(河南省·固始县)（http://ggzyjy.xinyang.gov.cn/gushi/）》”网站下载中心（业务相关）：下载“固始县投标文件制作工具软件”。</w:t>
      </w:r>
    </w:p>
    <w:p w14:paraId="1D403F37">
      <w:pPr>
        <w:spacing w:line="360" w:lineRule="exact"/>
        <w:ind w:firstLine="440" w:firstLineChars="200"/>
        <w:rPr>
          <w:sz w:val="22"/>
        </w:rPr>
      </w:pPr>
      <w:r>
        <w:rPr>
          <w:rFonts w:hint="eastAsia"/>
          <w:sz w:val="22"/>
        </w:rPr>
        <w:t>2.2、供应商凭 CA 密钥登陆交易系统下载</w:t>
      </w:r>
      <w:r>
        <w:rPr>
          <w:rFonts w:hint="eastAsia"/>
          <w:sz w:val="22"/>
          <w:lang w:eastAsia="zh-CN"/>
        </w:rPr>
        <w:t>竞争性磋商</w:t>
      </w:r>
      <w:r>
        <w:rPr>
          <w:rFonts w:hint="eastAsia"/>
          <w:sz w:val="22"/>
        </w:rPr>
        <w:t>文件(.</w:t>
      </w:r>
      <w:r>
        <w:rPr>
          <w:rFonts w:hint="eastAsia"/>
          <w:sz w:val="22"/>
          <w:lang w:val="en-US" w:eastAsia="zh-CN"/>
        </w:rPr>
        <w:t>xy</w:t>
      </w:r>
      <w:r>
        <w:rPr>
          <w:rFonts w:hint="eastAsia"/>
          <w:sz w:val="22"/>
        </w:rPr>
        <w:t>zf 格式)。</w:t>
      </w:r>
    </w:p>
    <w:p w14:paraId="0CF6CC02">
      <w:pPr>
        <w:spacing w:line="360" w:lineRule="exact"/>
        <w:ind w:firstLine="440" w:firstLineChars="200"/>
        <w:rPr>
          <w:sz w:val="22"/>
        </w:rPr>
      </w:pPr>
      <w:r>
        <w:rPr>
          <w:rFonts w:hint="eastAsia"/>
          <w:sz w:val="22"/>
        </w:rPr>
        <w:t>2.3、供应商须在响应文件递交截止时间前制作并提交：</w:t>
      </w:r>
    </w:p>
    <w:p w14:paraId="6AE19A19">
      <w:pPr>
        <w:spacing w:line="360" w:lineRule="exact"/>
        <w:ind w:firstLine="440" w:firstLineChars="200"/>
        <w:rPr>
          <w:sz w:val="22"/>
        </w:rPr>
      </w:pPr>
      <w:r>
        <w:rPr>
          <w:rFonts w:hint="eastAsia"/>
          <w:sz w:val="22"/>
        </w:rPr>
        <w:t>加密的电子响应文件（*.</w:t>
      </w:r>
      <w:r>
        <w:rPr>
          <w:rFonts w:hint="eastAsia"/>
          <w:sz w:val="22"/>
          <w:lang w:val="en-US" w:eastAsia="zh-CN"/>
        </w:rPr>
        <w:t>xy</w:t>
      </w:r>
      <w:r>
        <w:rPr>
          <w:rFonts w:hint="eastAsia"/>
          <w:sz w:val="22"/>
        </w:rPr>
        <w:t>tf 格式）,应在响应文件截止时间前通过“全国公共资源交易平台(河南省·固始县)”电子交易平台内上传；</w:t>
      </w:r>
    </w:p>
    <w:p w14:paraId="13D6F0A9">
      <w:pPr>
        <w:spacing w:line="360" w:lineRule="exact"/>
        <w:ind w:firstLine="440" w:firstLineChars="200"/>
        <w:rPr>
          <w:sz w:val="22"/>
        </w:rPr>
      </w:pPr>
      <w:r>
        <w:rPr>
          <w:rFonts w:hint="eastAsia"/>
          <w:sz w:val="22"/>
        </w:rPr>
        <w:t>2.4、加密的电子响应文件为“《全国公共资源交易平台(河南省·固始县)（http://ggzyjy.xinyang.gov.cn/gushi/）》”网站提供的“投标文件制作工具”软件制作生成的加密版响应文件。未加密的电子响应文件应与加密的电子响应文件为同时生成的版本。</w:t>
      </w:r>
    </w:p>
    <w:p w14:paraId="60F8D8D7">
      <w:pPr>
        <w:spacing w:line="360" w:lineRule="exact"/>
        <w:ind w:firstLine="440" w:firstLineChars="200"/>
        <w:rPr>
          <w:sz w:val="22"/>
        </w:rPr>
      </w:pPr>
      <w:r>
        <w:rPr>
          <w:rFonts w:hint="eastAsia"/>
          <w:sz w:val="22"/>
        </w:rPr>
        <w:t>2.5、供应商在制作电子响应文件时，“投标文件制作工具”左侧栏目“投标正文”、“开标一览表”制作完成后须加盖电子签章。其他要求签字盖章的</w:t>
      </w:r>
      <w:r>
        <w:rPr>
          <w:rFonts w:hint="eastAsia"/>
          <w:sz w:val="22"/>
          <w:lang w:eastAsia="zh-CN"/>
        </w:rPr>
        <w:t>竞争性磋商</w:t>
      </w:r>
      <w:r>
        <w:rPr>
          <w:rFonts w:hint="eastAsia"/>
          <w:sz w:val="22"/>
        </w:rPr>
        <w:t>文件格式内容，供应商须将盖章签字后的扫描图片替换到相应格式中。投标函报价将作为电子开标的唱标依据。</w:t>
      </w:r>
    </w:p>
    <w:p w14:paraId="58C9A70F">
      <w:pPr>
        <w:spacing w:line="360" w:lineRule="exact"/>
        <w:ind w:firstLine="440" w:firstLineChars="200"/>
        <w:rPr>
          <w:sz w:val="22"/>
        </w:rPr>
      </w:pPr>
      <w:r>
        <w:rPr>
          <w:rFonts w:hint="eastAsia"/>
          <w:sz w:val="22"/>
        </w:rPr>
        <w:t>2.6、</w:t>
      </w:r>
      <w:r>
        <w:rPr>
          <w:rFonts w:hint="eastAsia"/>
          <w:sz w:val="22"/>
          <w:lang w:eastAsia="zh-CN"/>
        </w:rPr>
        <w:t>竞争性磋商</w:t>
      </w:r>
      <w:r>
        <w:rPr>
          <w:rFonts w:hint="eastAsia"/>
          <w:sz w:val="22"/>
        </w:rPr>
        <w:t>文件格式所要求包含的全部资料应全部制作在响应文件内，严格按照本项目</w:t>
      </w:r>
      <w:r>
        <w:rPr>
          <w:rFonts w:hint="eastAsia"/>
          <w:sz w:val="22"/>
          <w:lang w:eastAsia="zh-CN"/>
        </w:rPr>
        <w:t>竞争性磋商</w:t>
      </w:r>
      <w:r>
        <w:rPr>
          <w:rFonts w:hint="eastAsia"/>
          <w:sz w:val="22"/>
        </w:rPr>
        <w:t>文件所有格式如实填写（不涉及的内容除外），不应存在漏项或缺项，否则将存在响应文件被拒绝的风险。</w:t>
      </w:r>
    </w:p>
    <w:p w14:paraId="32F3973E">
      <w:pPr>
        <w:spacing w:line="360" w:lineRule="exact"/>
        <w:ind w:firstLine="440" w:firstLineChars="200"/>
        <w:rPr>
          <w:sz w:val="22"/>
        </w:rPr>
      </w:pPr>
      <w:r>
        <w:rPr>
          <w:rFonts w:hint="eastAsia"/>
          <w:sz w:val="22"/>
        </w:rPr>
        <w:t>2.7、响应文件以外的任何资料</w:t>
      </w:r>
      <w:r>
        <w:rPr>
          <w:rFonts w:hint="eastAsia"/>
          <w:sz w:val="22"/>
          <w:lang w:val="en-US" w:eastAsia="zh-CN"/>
        </w:rPr>
        <w:t>招标</w:t>
      </w:r>
      <w:r>
        <w:rPr>
          <w:rFonts w:hint="eastAsia"/>
          <w:sz w:val="22"/>
        </w:rPr>
        <w:t>人和代理机构将拒收。</w:t>
      </w:r>
    </w:p>
    <w:p w14:paraId="379D0F99">
      <w:pPr>
        <w:spacing w:line="360" w:lineRule="exact"/>
        <w:ind w:firstLine="440" w:firstLineChars="200"/>
        <w:rPr>
          <w:sz w:val="22"/>
        </w:rPr>
      </w:pPr>
      <w:r>
        <w:rPr>
          <w:rFonts w:hint="eastAsia"/>
          <w:sz w:val="22"/>
        </w:rPr>
        <w:t>2.8、供应商编辑电子响应文件时，根据</w:t>
      </w:r>
      <w:r>
        <w:rPr>
          <w:rFonts w:hint="eastAsia"/>
          <w:sz w:val="22"/>
          <w:lang w:eastAsia="zh-CN"/>
        </w:rPr>
        <w:t>竞争性磋商</w:t>
      </w:r>
      <w:r>
        <w:rPr>
          <w:rFonts w:hint="eastAsia"/>
          <w:sz w:val="22"/>
        </w:rPr>
        <w:t>文件要求用法人 CA 密钥和企业CA 密钥进行签章制作；最后一步生成电子响应文件（*.</w:t>
      </w:r>
      <w:r>
        <w:rPr>
          <w:rFonts w:hint="eastAsia"/>
          <w:sz w:val="22"/>
          <w:lang w:val="en-US" w:eastAsia="zh-CN"/>
        </w:rPr>
        <w:t>xy</w:t>
      </w:r>
      <w:r>
        <w:rPr>
          <w:rFonts w:hint="eastAsia"/>
          <w:sz w:val="22"/>
        </w:rPr>
        <w:t>tf 格式）时，只能用本单位的企业 CA 密钥。</w:t>
      </w:r>
    </w:p>
    <w:p w14:paraId="32C3C63C">
      <w:pPr>
        <w:spacing w:line="360" w:lineRule="exact"/>
        <w:ind w:firstLine="440" w:firstLineChars="200"/>
        <w:rPr>
          <w:sz w:val="22"/>
        </w:rPr>
      </w:pPr>
      <w:r>
        <w:rPr>
          <w:rFonts w:hint="eastAsia"/>
          <w:sz w:val="22"/>
        </w:rPr>
        <w:t xml:space="preserve">3、澄清与变更 </w:t>
      </w:r>
    </w:p>
    <w:p w14:paraId="5534BF6E">
      <w:pPr>
        <w:spacing w:line="360" w:lineRule="exact"/>
        <w:ind w:firstLine="440" w:firstLineChars="200"/>
        <w:rPr>
          <w:sz w:val="22"/>
        </w:rPr>
      </w:pPr>
      <w:r>
        <w:rPr>
          <w:rFonts w:hint="eastAsia"/>
          <w:sz w:val="22"/>
          <w:lang w:val="en-US" w:eastAsia="zh-CN"/>
        </w:rPr>
        <w:t>招标</w:t>
      </w:r>
      <w:r>
        <w:rPr>
          <w:rFonts w:hint="eastAsia"/>
          <w:sz w:val="22"/>
        </w:rPr>
        <w:t>人、代理机构对已发出的</w:t>
      </w:r>
      <w:r>
        <w:rPr>
          <w:rFonts w:hint="eastAsia"/>
          <w:sz w:val="22"/>
          <w:lang w:eastAsia="zh-CN"/>
        </w:rPr>
        <w:t>竞争性磋商</w:t>
      </w:r>
      <w:r>
        <w:rPr>
          <w:rFonts w:hint="eastAsia"/>
          <w:sz w:val="22"/>
        </w:rPr>
        <w:t>文件进行的澄清、更正或更改，澄清、更正或更改的内容将作为</w:t>
      </w:r>
      <w:r>
        <w:rPr>
          <w:rFonts w:hint="eastAsia"/>
          <w:sz w:val="22"/>
          <w:lang w:eastAsia="zh-CN"/>
        </w:rPr>
        <w:t>竞争性磋商</w:t>
      </w:r>
      <w:r>
        <w:rPr>
          <w:rFonts w:hint="eastAsia"/>
          <w:sz w:val="22"/>
        </w:rPr>
        <w:t>文件的组成部分。代理机构将通过网站“变更公告”和系统内部“答疑文件”告知供应商。各供应商须下载</w:t>
      </w:r>
      <w:r>
        <w:rPr>
          <w:rFonts w:hint="eastAsia"/>
          <w:sz w:val="22"/>
          <w:lang w:eastAsia="zh-CN"/>
        </w:rPr>
        <w:t>竞争性磋商</w:t>
      </w:r>
      <w:r>
        <w:rPr>
          <w:rFonts w:hint="eastAsia"/>
          <w:sz w:val="22"/>
        </w:rPr>
        <w:t>文件和最新的答疑文件，以此编制响应文件。</w:t>
      </w:r>
    </w:p>
    <w:p w14:paraId="67E9D859">
      <w:pPr>
        <w:spacing w:line="360" w:lineRule="exact"/>
        <w:ind w:firstLine="440" w:firstLineChars="200"/>
        <w:rPr>
          <w:sz w:val="22"/>
        </w:rPr>
      </w:pPr>
      <w:r>
        <w:rPr>
          <w:rFonts w:hint="eastAsia"/>
          <w:sz w:val="22"/>
        </w:rPr>
        <w:t>4、因</w:t>
      </w:r>
      <w:r>
        <w:rPr>
          <w:rFonts w:hint="eastAsia"/>
          <w:sz w:val="22"/>
          <w:lang w:eastAsia="zh-CN"/>
        </w:rPr>
        <w:t>《</w:t>
      </w:r>
      <w:r>
        <w:rPr>
          <w:rFonts w:hint="eastAsia"/>
          <w:sz w:val="22"/>
        </w:rPr>
        <w:t>全国公共资源交易平台(河南省·固始县)</w:t>
      </w:r>
      <w:r>
        <w:rPr>
          <w:rFonts w:hint="eastAsia"/>
          <w:sz w:val="22"/>
          <w:lang w:eastAsia="zh-CN"/>
        </w:rPr>
        <w:t>》</w:t>
      </w:r>
      <w:r>
        <w:rPr>
          <w:rFonts w:hint="eastAsia"/>
          <w:sz w:val="22"/>
        </w:rPr>
        <w:t xml:space="preserve">在开标前具有保密性，供应商在响应文件递交截止时间前须自行查看项目进展、变更通知、澄清及回复，因供应商未及时查看而造成的后果自负。  </w:t>
      </w:r>
    </w:p>
    <w:p w14:paraId="4DFA4FAC">
      <w:pPr>
        <w:spacing w:line="360" w:lineRule="exact"/>
        <w:ind w:firstLine="330" w:firstLineChars="150"/>
        <w:rPr>
          <w:rFonts w:hint="eastAsia" w:ascii="宋体" w:hAnsi="宋体"/>
          <w:b/>
          <w:sz w:val="36"/>
          <w:szCs w:val="36"/>
          <w:lang w:eastAsia="zh-CN"/>
        </w:rPr>
      </w:pPr>
      <w:r>
        <w:rPr>
          <w:rFonts w:hint="eastAsia"/>
          <w:sz w:val="22"/>
        </w:rPr>
        <w:t xml:space="preserve"> 5、各供应商在不见面开标环节须最后对开标一览表签章后再离席</w:t>
      </w:r>
      <w:r>
        <w:rPr>
          <w:rFonts w:hint="eastAsia"/>
          <w:sz w:val="22"/>
          <w:lang w:eastAsia="zh-CN"/>
        </w:rPr>
        <w:t>。</w:t>
      </w:r>
    </w:p>
    <w:p w14:paraId="348CC9FC">
      <w:pPr>
        <w:pStyle w:val="25"/>
        <w:pageBreakBefore w:val="0"/>
        <w:kinsoku/>
        <w:wordWrap w:val="0"/>
        <w:overflowPunct/>
        <w:topLinePunct w:val="0"/>
        <w:bidi w:val="0"/>
        <w:ind w:left="0" w:leftChars="0" w:firstLine="0" w:firstLineChars="0"/>
        <w:rPr>
          <w:rFonts w:hint="eastAsia" w:ascii="宋体" w:hAnsi="宋体" w:eastAsia="宋体" w:cs="宋体"/>
          <w:color w:val="auto"/>
          <w:sz w:val="24"/>
          <w:szCs w:val="24"/>
          <w:highlight w:val="none"/>
        </w:rPr>
      </w:pPr>
    </w:p>
    <w:p w14:paraId="746CE43C">
      <w:pPr>
        <w:pStyle w:val="7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highlight w:val="none"/>
          <w:lang w:val="en-US" w:eastAsia="zh-CN"/>
        </w:rPr>
        <w:sectPr>
          <w:headerReference r:id="rId11" w:type="default"/>
          <w:pgSz w:w="11906" w:h="16838"/>
          <w:pgMar w:top="1440" w:right="1080" w:bottom="1440" w:left="1080" w:header="851" w:footer="992" w:gutter="0"/>
          <w:pgNumType w:fmt="decimal"/>
          <w:cols w:space="720" w:num="1"/>
          <w:docGrid w:type="lines" w:linePitch="312" w:charSpace="0"/>
        </w:sectPr>
      </w:pPr>
    </w:p>
    <w:p w14:paraId="618A8F2B">
      <w:pPr>
        <w:pStyle w:val="4"/>
        <w:pageBreakBefore w:val="0"/>
        <w:kinsoku/>
        <w:wordWrap w:val="0"/>
        <w:overflowPunct/>
        <w:bidi w:val="0"/>
        <w:rPr>
          <w:rFonts w:hint="eastAsia" w:ascii="宋体" w:hAnsi="宋体" w:eastAsia="宋体" w:cs="宋体"/>
          <w:color w:val="auto"/>
          <w:highlight w:val="none"/>
          <w:lang w:val="en-US" w:eastAsia="zh-CN"/>
        </w:rPr>
      </w:pPr>
      <w:bookmarkStart w:id="5" w:name="_Toc18433"/>
      <w:r>
        <w:rPr>
          <w:rFonts w:hint="eastAsia" w:ascii="宋体" w:hAnsi="宋体" w:eastAsia="宋体" w:cs="宋体"/>
          <w:color w:val="auto"/>
          <w:highlight w:val="none"/>
          <w:lang w:val="en-US" w:eastAsia="zh-CN"/>
        </w:rPr>
        <w:t xml:space="preserve">第一章 </w:t>
      </w:r>
      <w:bookmarkEnd w:id="3"/>
      <w:r>
        <w:rPr>
          <w:rFonts w:hint="eastAsia" w:ascii="宋体" w:hAnsi="宋体" w:eastAsia="宋体" w:cs="宋体"/>
          <w:color w:val="auto"/>
          <w:highlight w:val="none"/>
          <w:lang w:val="en-US" w:eastAsia="zh-CN"/>
        </w:rPr>
        <w:t>竞争性磋商公告</w:t>
      </w:r>
      <w:bookmarkEnd w:id="5"/>
    </w:p>
    <w:p w14:paraId="07FD7B5B">
      <w:pPr>
        <w:bidi w:val="0"/>
        <w:rPr>
          <w:rFonts w:hint="eastAsia"/>
          <w:lang w:eastAsia="zh-CN"/>
        </w:rPr>
      </w:pPr>
      <w:bookmarkStart w:id="6" w:name="_Toc20435"/>
    </w:p>
    <w:bookmarkEnd w:id="4"/>
    <w:p w14:paraId="3C752A5F">
      <w:pPr>
        <w:keepNext w:val="0"/>
        <w:keepLines w:val="0"/>
        <w:pageBreakBefore w:val="0"/>
        <w:kinsoku/>
        <w:wordWrap/>
        <w:overflowPunct/>
        <w:topLinePunct w:val="0"/>
        <w:autoSpaceDE w:val="0"/>
        <w:autoSpaceDN w:val="0"/>
        <w:bidi w:val="0"/>
        <w:adjustRightInd w:val="0"/>
        <w:snapToGrid/>
        <w:spacing w:line="440" w:lineRule="exact"/>
        <w:ind w:left="0" w:right="0"/>
        <w:jc w:val="center"/>
        <w:textAlignment w:val="auto"/>
        <w:rPr>
          <w:rFonts w:hint="eastAsia"/>
          <w:b/>
          <w:sz w:val="30"/>
          <w:szCs w:val="30"/>
          <w:highlight w:val="none"/>
        </w:rPr>
      </w:pPr>
      <w:r>
        <w:rPr>
          <w:rFonts w:hint="eastAsia"/>
          <w:b/>
          <w:sz w:val="30"/>
          <w:szCs w:val="30"/>
          <w:highlight w:val="none"/>
          <w:lang w:eastAsia="zh-CN"/>
        </w:rPr>
        <w:t>固始县2024年中央财政油茶产业发展示范奖补项目</w:t>
      </w:r>
      <w:r>
        <w:rPr>
          <w:rFonts w:hint="eastAsia"/>
          <w:b/>
          <w:sz w:val="30"/>
          <w:szCs w:val="30"/>
          <w:highlight w:val="none"/>
        </w:rPr>
        <w:t>设计招标</w:t>
      </w:r>
    </w:p>
    <w:p w14:paraId="347F8503">
      <w:pPr>
        <w:keepNext w:val="0"/>
        <w:keepLines w:val="0"/>
        <w:pageBreakBefore w:val="0"/>
        <w:kinsoku/>
        <w:wordWrap/>
        <w:overflowPunct/>
        <w:topLinePunct w:val="0"/>
        <w:autoSpaceDE w:val="0"/>
        <w:autoSpaceDN w:val="0"/>
        <w:bidi w:val="0"/>
        <w:adjustRightInd w:val="0"/>
        <w:snapToGrid/>
        <w:spacing w:line="440" w:lineRule="exact"/>
        <w:ind w:left="0" w:right="0"/>
        <w:jc w:val="center"/>
        <w:textAlignment w:val="auto"/>
        <w:rPr>
          <w:rFonts w:hint="eastAsia"/>
          <w:sz w:val="22"/>
          <w:szCs w:val="28"/>
          <w:highlight w:val="none"/>
        </w:rPr>
      </w:pPr>
      <w:r>
        <w:rPr>
          <w:rFonts w:hint="eastAsia"/>
          <w:b/>
          <w:sz w:val="30"/>
          <w:szCs w:val="30"/>
          <w:highlight w:val="none"/>
        </w:rPr>
        <w:t>竞争性磋商公告</w:t>
      </w:r>
    </w:p>
    <w:p w14:paraId="23D243F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left="0" w:right="0"/>
        <w:textAlignment w:val="auto"/>
        <w:rPr>
          <w:rFonts w:hint="eastAsia" w:ascii="宋体" w:hAnsi="宋体" w:cs="宋体"/>
          <w:sz w:val="24"/>
          <w:szCs w:val="24"/>
          <w:highlight w:val="none"/>
        </w:rPr>
      </w:pPr>
      <w:bookmarkStart w:id="7" w:name="OLE_LINK2"/>
      <w:r>
        <w:rPr>
          <w:rFonts w:hint="eastAsia" w:ascii="宋体" w:hAnsi="宋体" w:cs="宋体"/>
          <w:sz w:val="24"/>
          <w:szCs w:val="24"/>
          <w:highlight w:val="none"/>
        </w:rPr>
        <w:t>项目概况</w:t>
      </w:r>
    </w:p>
    <w:p w14:paraId="4D45AAA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left="0" w:righ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固始县2024年中央财政油茶产业发展示范奖补项目</w:t>
      </w:r>
      <w:r>
        <w:rPr>
          <w:rFonts w:hint="eastAsia" w:ascii="宋体" w:hAnsi="宋体" w:eastAsia="宋体" w:cs="宋体"/>
          <w:sz w:val="24"/>
          <w:szCs w:val="24"/>
          <w:highlight w:val="none"/>
        </w:rPr>
        <w:t>设计招标的</w:t>
      </w:r>
      <w:r>
        <w:rPr>
          <w:rFonts w:hint="eastAsia" w:ascii="宋体" w:hAnsi="宋体" w:cs="宋体"/>
          <w:sz w:val="24"/>
          <w:szCs w:val="24"/>
          <w:highlight w:val="none"/>
        </w:rPr>
        <w:t>潜在</w:t>
      </w:r>
      <w:r>
        <w:rPr>
          <w:rFonts w:hint="eastAsia" w:ascii="宋体" w:hAnsi="宋体" w:cs="宋体"/>
          <w:sz w:val="24"/>
          <w:szCs w:val="24"/>
          <w:lang w:val="en-US" w:eastAsia="zh-CN"/>
        </w:rPr>
        <w:t>投标人</w:t>
      </w:r>
      <w:r>
        <w:rPr>
          <w:rFonts w:hint="eastAsia" w:ascii="宋体" w:hAnsi="宋体" w:cs="宋体"/>
          <w:sz w:val="24"/>
          <w:szCs w:val="24"/>
        </w:rPr>
        <w:t>应在</w:t>
      </w:r>
      <w:r>
        <w:rPr>
          <w:rFonts w:hint="eastAsia" w:ascii="宋体" w:hAnsi="宋体" w:eastAsia="宋体" w:cs="宋体"/>
          <w:sz w:val="24"/>
          <w:szCs w:val="24"/>
          <w:highlight w:val="none"/>
        </w:rPr>
        <w:t>《全国公共资源交易平台(河南省·固始县)（http://ggzyjy.xinyang.gov.cn/gushi/）》注册入库并办理CA后免费下载</w:t>
      </w:r>
      <w:r>
        <w:rPr>
          <w:rFonts w:hint="eastAsia" w:ascii="宋体" w:hAnsi="宋体" w:cs="宋体"/>
          <w:sz w:val="24"/>
          <w:szCs w:val="24"/>
          <w:highlight w:val="none"/>
        </w:rPr>
        <w:t>谈判磋商文件，并于202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rPr>
        <w:t>日08时30分（北京时间）前递交响应文件。</w:t>
      </w:r>
    </w:p>
    <w:p w14:paraId="3622C10C">
      <w:pPr>
        <w:keepNext w:val="0"/>
        <w:keepLines w:val="0"/>
        <w:pageBreakBefore w:val="0"/>
        <w:kinsoku/>
        <w:wordWrap/>
        <w:overflowPunct/>
        <w:topLinePunct w:val="0"/>
        <w:bidi w:val="0"/>
        <w:snapToGrid/>
        <w:spacing w:line="440" w:lineRule="exact"/>
        <w:ind w:left="0" w:right="0"/>
        <w:textAlignment w:val="auto"/>
        <w:rPr>
          <w:rFonts w:hint="eastAsia" w:ascii="宋体" w:hAnsi="宋体" w:cs="宋体"/>
          <w:sz w:val="24"/>
          <w:szCs w:val="24"/>
        </w:rPr>
      </w:pPr>
    </w:p>
    <w:p w14:paraId="036F796E">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宋体" w:hAnsi="宋体" w:cs="宋体"/>
          <w:b/>
          <w:bCs/>
          <w:kern w:val="0"/>
          <w:sz w:val="24"/>
          <w:szCs w:val="24"/>
          <w:highlight w:val="none"/>
        </w:rPr>
      </w:pPr>
      <w:bookmarkStart w:id="8" w:name="_Toc35393790"/>
      <w:bookmarkStart w:id="9" w:name="_Toc13255"/>
      <w:bookmarkStart w:id="10" w:name="_Toc28359002"/>
      <w:bookmarkStart w:id="11" w:name="_Toc28359079"/>
      <w:bookmarkStart w:id="12" w:name="_Toc35393621"/>
      <w:bookmarkStart w:id="13" w:name="_Hlk24379207"/>
      <w:r>
        <w:rPr>
          <w:rFonts w:hint="eastAsia" w:ascii="宋体" w:hAnsi="宋体" w:cs="宋体"/>
          <w:b/>
          <w:bCs/>
          <w:kern w:val="0"/>
          <w:sz w:val="24"/>
          <w:szCs w:val="24"/>
        </w:rPr>
        <w:t>一、项目基本</w:t>
      </w:r>
      <w:r>
        <w:rPr>
          <w:rFonts w:hint="eastAsia" w:ascii="宋体" w:hAnsi="宋体" w:cs="宋体"/>
          <w:b/>
          <w:bCs/>
          <w:kern w:val="0"/>
          <w:sz w:val="24"/>
          <w:szCs w:val="24"/>
          <w:highlight w:val="none"/>
        </w:rPr>
        <w:t>情况</w:t>
      </w:r>
      <w:bookmarkEnd w:id="8"/>
      <w:bookmarkEnd w:id="9"/>
      <w:bookmarkEnd w:id="10"/>
      <w:bookmarkEnd w:id="11"/>
      <w:bookmarkEnd w:id="12"/>
      <w:bookmarkStart w:id="1023" w:name="_GoBack"/>
      <w:bookmarkEnd w:id="1023"/>
    </w:p>
    <w:p w14:paraId="6750242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项目编号：固财磋商采购-2024-</w:t>
      </w:r>
      <w:r>
        <w:rPr>
          <w:rFonts w:hint="eastAsia" w:ascii="宋体" w:hAnsi="宋体" w:cs="宋体"/>
          <w:kern w:val="0"/>
          <w:sz w:val="24"/>
          <w:szCs w:val="24"/>
          <w:highlight w:val="none"/>
          <w:lang w:val="en-US" w:eastAsia="zh-CN"/>
        </w:rPr>
        <w:t>48</w:t>
      </w:r>
    </w:p>
    <w:p w14:paraId="345AFA4F">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项目名称：</w:t>
      </w:r>
      <w:bookmarkEnd w:id="13"/>
      <w:r>
        <w:rPr>
          <w:rFonts w:hint="eastAsia" w:ascii="宋体" w:hAnsi="宋体" w:eastAsia="宋体" w:cs="宋体"/>
          <w:spacing w:val="13"/>
          <w:w w:val="101"/>
          <w:sz w:val="24"/>
          <w:szCs w:val="24"/>
          <w:u w:val="none"/>
          <w:lang w:eastAsia="zh-CN"/>
        </w:rPr>
        <w:t>固始县</w:t>
      </w:r>
      <w:r>
        <w:rPr>
          <w:rFonts w:hint="eastAsia" w:ascii="宋体" w:hAnsi="宋体" w:eastAsia="宋体" w:cs="宋体"/>
          <w:spacing w:val="13"/>
          <w:w w:val="101"/>
          <w:sz w:val="24"/>
          <w:szCs w:val="24"/>
          <w:u w:val="none"/>
          <w:lang w:val="en-US" w:eastAsia="zh-CN"/>
        </w:rPr>
        <w:t>2024年中央财政油茶产业发展示范奖补项目设计招标</w:t>
      </w:r>
    </w:p>
    <w:p w14:paraId="4E0D2518">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3、采购方式：竞争性磋商</w:t>
      </w:r>
    </w:p>
    <w:p w14:paraId="2396269F">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cs="宋体"/>
          <w:kern w:val="0"/>
          <w:sz w:val="24"/>
          <w:szCs w:val="24"/>
        </w:rPr>
        <w:t>预算金额：</w:t>
      </w:r>
      <w:r>
        <w:rPr>
          <w:rFonts w:hint="eastAsia" w:hAnsi="宋体" w:cs="宋体"/>
          <w:kern w:val="0"/>
          <w:sz w:val="24"/>
          <w:szCs w:val="24"/>
          <w:lang w:val="en-US" w:eastAsia="zh-CN"/>
        </w:rPr>
        <w:t>1817500.00</w:t>
      </w:r>
      <w:r>
        <w:rPr>
          <w:rFonts w:hint="eastAsia" w:ascii="宋体" w:hAnsi="宋体" w:cs="宋体"/>
          <w:kern w:val="0"/>
          <w:sz w:val="24"/>
          <w:szCs w:val="24"/>
          <w:lang w:val="en-US" w:eastAsia="zh-CN"/>
        </w:rPr>
        <w:t>元</w:t>
      </w:r>
    </w:p>
    <w:p w14:paraId="4D8BA3B2">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最高限价：</w:t>
      </w:r>
      <w:r>
        <w:rPr>
          <w:rFonts w:hint="eastAsia" w:hAnsi="宋体" w:cs="宋体"/>
          <w:kern w:val="0"/>
          <w:sz w:val="24"/>
          <w:szCs w:val="24"/>
          <w:lang w:val="en-US" w:eastAsia="zh-CN"/>
        </w:rPr>
        <w:t>1817500.00</w:t>
      </w:r>
      <w:r>
        <w:rPr>
          <w:rFonts w:hint="eastAsia" w:ascii="宋体" w:hAnsi="宋体" w:cs="宋体"/>
          <w:kern w:val="0"/>
          <w:sz w:val="24"/>
          <w:szCs w:val="24"/>
          <w:lang w:val="en-US" w:eastAsia="zh-CN"/>
        </w:rPr>
        <w:t>元</w:t>
      </w:r>
    </w:p>
    <w:tbl>
      <w:tblPr>
        <w:tblStyle w:val="54"/>
        <w:tblW w:w="5481" w:type="pct"/>
        <w:tblInd w:w="-4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6"/>
        <w:gridCol w:w="2231"/>
        <w:gridCol w:w="3154"/>
        <w:gridCol w:w="1930"/>
        <w:gridCol w:w="2049"/>
      </w:tblGrid>
      <w:tr w14:paraId="7043CB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414" w:type="pct"/>
            <w:noWrap w:val="0"/>
            <w:vAlign w:val="center"/>
          </w:tcPr>
          <w:p w14:paraId="612898CA">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序号</w:t>
            </w:r>
          </w:p>
        </w:tc>
        <w:tc>
          <w:tcPr>
            <w:tcW w:w="1092" w:type="pct"/>
            <w:noWrap w:val="0"/>
            <w:vAlign w:val="center"/>
          </w:tcPr>
          <w:p w14:paraId="1BD16656">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包号</w:t>
            </w:r>
          </w:p>
        </w:tc>
        <w:tc>
          <w:tcPr>
            <w:tcW w:w="1544" w:type="pct"/>
            <w:noWrap w:val="0"/>
            <w:vAlign w:val="center"/>
          </w:tcPr>
          <w:p w14:paraId="62E8AF13">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包名称</w:t>
            </w:r>
          </w:p>
        </w:tc>
        <w:tc>
          <w:tcPr>
            <w:tcW w:w="945" w:type="pct"/>
            <w:noWrap w:val="0"/>
            <w:vAlign w:val="center"/>
          </w:tcPr>
          <w:p w14:paraId="28DC9D4C">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包预算（元）</w:t>
            </w:r>
          </w:p>
        </w:tc>
        <w:tc>
          <w:tcPr>
            <w:tcW w:w="1003" w:type="pct"/>
            <w:noWrap w:val="0"/>
            <w:vAlign w:val="center"/>
          </w:tcPr>
          <w:p w14:paraId="5EAF3965">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包最高限价（元）</w:t>
            </w:r>
          </w:p>
        </w:tc>
      </w:tr>
      <w:tr w14:paraId="4C0F6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6" w:hRule="atLeast"/>
        </w:trPr>
        <w:tc>
          <w:tcPr>
            <w:tcW w:w="414" w:type="pct"/>
            <w:noWrap w:val="0"/>
            <w:vAlign w:val="center"/>
          </w:tcPr>
          <w:p w14:paraId="6B98C618">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p>
        </w:tc>
        <w:tc>
          <w:tcPr>
            <w:tcW w:w="1092" w:type="pct"/>
            <w:noWrap w:val="0"/>
            <w:vAlign w:val="center"/>
          </w:tcPr>
          <w:p w14:paraId="5E43F800">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固财磋商采购-2024-</w:t>
            </w:r>
          </w:p>
        </w:tc>
        <w:tc>
          <w:tcPr>
            <w:tcW w:w="1544" w:type="pct"/>
            <w:noWrap w:val="0"/>
            <w:vAlign w:val="center"/>
          </w:tcPr>
          <w:p w14:paraId="47BD5395">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固始县2024年中央财政油茶产业发展示范奖补项目</w:t>
            </w:r>
            <w:r>
              <w:rPr>
                <w:rFonts w:hint="eastAsia" w:ascii="宋体" w:hAnsi="宋体" w:cs="宋体"/>
                <w:kern w:val="0"/>
                <w:sz w:val="24"/>
                <w:szCs w:val="24"/>
                <w:highlight w:val="none"/>
              </w:rPr>
              <w:t>设计招标</w:t>
            </w:r>
          </w:p>
        </w:tc>
        <w:tc>
          <w:tcPr>
            <w:tcW w:w="945" w:type="pct"/>
            <w:noWrap w:val="0"/>
            <w:vAlign w:val="center"/>
          </w:tcPr>
          <w:p w14:paraId="3724E27E">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hAnsi="宋体" w:cs="宋体"/>
                <w:kern w:val="0"/>
                <w:sz w:val="24"/>
                <w:szCs w:val="24"/>
                <w:lang w:val="en-US" w:eastAsia="zh-CN"/>
              </w:rPr>
              <w:t>1817500.00</w:t>
            </w:r>
          </w:p>
        </w:tc>
        <w:tc>
          <w:tcPr>
            <w:tcW w:w="1003" w:type="pct"/>
            <w:noWrap w:val="0"/>
            <w:vAlign w:val="center"/>
          </w:tcPr>
          <w:p w14:paraId="6AB98146">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4"/>
                <w:szCs w:val="24"/>
                <w:highlight w:val="none"/>
              </w:rPr>
            </w:pPr>
            <w:r>
              <w:rPr>
                <w:rFonts w:hint="eastAsia" w:hAnsi="宋体" w:cs="宋体"/>
                <w:kern w:val="0"/>
                <w:sz w:val="24"/>
                <w:szCs w:val="24"/>
                <w:lang w:val="en-US" w:eastAsia="zh-CN"/>
              </w:rPr>
              <w:t>1817500.00</w:t>
            </w:r>
          </w:p>
        </w:tc>
      </w:tr>
      <w:bookmarkEnd w:id="7"/>
    </w:tbl>
    <w:p w14:paraId="13DB2A69">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 xml:space="preserve">5、采购需求（包括但不限于标的的名称、数量、简要技术需求或服务要求等） </w:t>
      </w:r>
    </w:p>
    <w:p w14:paraId="10D32ED6">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rPr>
        <w:t>5.1采购</w:t>
      </w:r>
      <w:r>
        <w:rPr>
          <w:rFonts w:hint="eastAsia" w:ascii="宋体" w:hAnsi="宋体" w:cs="宋体"/>
          <w:kern w:val="0"/>
          <w:sz w:val="24"/>
          <w:szCs w:val="24"/>
          <w:lang w:val="en-US" w:eastAsia="zh-CN"/>
        </w:rPr>
        <w:t>范围</w:t>
      </w:r>
      <w:r>
        <w:rPr>
          <w:rFonts w:hint="eastAsia" w:ascii="宋体" w:hAnsi="宋体" w:cs="宋体"/>
          <w:kern w:val="0"/>
          <w:sz w:val="24"/>
          <w:szCs w:val="24"/>
        </w:rPr>
        <w:t>：</w:t>
      </w:r>
      <w:r>
        <w:rPr>
          <w:rFonts w:hint="eastAsia" w:ascii="宋体" w:hAnsi="宋体" w:cs="宋体"/>
          <w:kern w:val="0"/>
          <w:sz w:val="24"/>
          <w:szCs w:val="24"/>
          <w:lang w:eastAsia="zh-CN"/>
        </w:rPr>
        <w:t>固始县2024年中央财政油茶产业发展示范奖补项目</w:t>
      </w:r>
      <w:r>
        <w:rPr>
          <w:rFonts w:hint="eastAsia" w:ascii="宋体" w:hAnsi="宋体" w:cs="宋体"/>
          <w:kern w:val="0"/>
          <w:sz w:val="24"/>
          <w:szCs w:val="24"/>
          <w:highlight w:val="none"/>
        </w:rPr>
        <w:t>的施工图设计及后续设计服务等工作；</w:t>
      </w:r>
    </w:p>
    <w:p w14:paraId="3F7C33E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质量要求：符合国家有关法律、法规和现行规划、设计标准，深度达到相关的规范要求；</w:t>
      </w:r>
    </w:p>
    <w:p w14:paraId="3E4B0E0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 xml:space="preserve">标包划分：本项目共分一个标包。 </w:t>
      </w:r>
    </w:p>
    <w:p w14:paraId="71AAB04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6、合同履行期限：</w:t>
      </w:r>
      <w:r>
        <w:rPr>
          <w:rFonts w:hint="eastAsia" w:hAnsi="宋体" w:cs="宋体"/>
          <w:kern w:val="0"/>
          <w:sz w:val="24"/>
          <w:szCs w:val="24"/>
          <w:highlight w:val="none"/>
          <w:lang w:val="en-US" w:eastAsia="zh-CN"/>
        </w:rPr>
        <w:t>30</w:t>
      </w:r>
      <w:r>
        <w:rPr>
          <w:rFonts w:hint="eastAsia" w:ascii="宋体" w:hAnsi="宋体" w:cs="宋体"/>
          <w:kern w:val="0"/>
          <w:sz w:val="24"/>
          <w:szCs w:val="24"/>
          <w:highlight w:val="none"/>
        </w:rPr>
        <w:t xml:space="preserve">日历天 </w:t>
      </w:r>
    </w:p>
    <w:p w14:paraId="7EE6247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7、本项目是否接受联合体投标：否</w:t>
      </w:r>
    </w:p>
    <w:p w14:paraId="21E8A8E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8、是否接受进口产品：否</w:t>
      </w:r>
    </w:p>
    <w:p w14:paraId="55F91C90">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9、是否专门面向中小企业：否</w:t>
      </w:r>
    </w:p>
    <w:p w14:paraId="3AB0C582">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二、申请人资格要求： </w:t>
      </w:r>
    </w:p>
    <w:p w14:paraId="2F0CCC13">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1、满足《中华人民共和国政府采购法》第二十二条规定；</w:t>
      </w:r>
    </w:p>
    <w:p w14:paraId="0C485A6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cs="宋体"/>
          <w:sz w:val="24"/>
          <w:szCs w:val="24"/>
        </w:rPr>
      </w:pPr>
      <w:r>
        <w:rPr>
          <w:rFonts w:hint="eastAsia" w:hAnsi="宋体" w:cs="宋体"/>
          <w:sz w:val="24"/>
          <w:szCs w:val="24"/>
          <w:highlight w:val="none"/>
        </w:rPr>
        <w:t xml:space="preserve">2、落实政府采购政策满足的资格要求： </w:t>
      </w:r>
      <w:r>
        <w:rPr>
          <w:rFonts w:hint="eastAsia" w:ascii="宋体" w:hAnsi="宋体" w:cs="宋体"/>
          <w:sz w:val="24"/>
          <w:szCs w:val="24"/>
        </w:rPr>
        <w:t>本项目落实节约能源、保护环境、扶持不发达地区和少数民族地区、促进中小微企业、监狱企业及残疾人福利性单位发展等政府采购政策；</w:t>
      </w:r>
    </w:p>
    <w:p w14:paraId="3EECA75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3、本项目的特定资格要求 </w:t>
      </w:r>
    </w:p>
    <w:p w14:paraId="12E417A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3.1供应商须具有独立承担民事责任的能力，提供法人或者其他组织的营业执照等证明文件；</w:t>
      </w:r>
    </w:p>
    <w:p w14:paraId="167A122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3.2供应商须具有良好的商业信誉和健全的财务会计制度（提供2022年或2023年度经审计的财务审计报告，2024年成立的公司提供基本户的开户行开具的银行资信证明）；</w:t>
      </w:r>
    </w:p>
    <w:p w14:paraId="70C9ACC9">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3.3供应商须具有履行合同所必需的设备和专业技术能力（提供相关证明材料或承诺函）；</w:t>
      </w:r>
    </w:p>
    <w:p w14:paraId="43D6525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3.4供应商依法缴纳税收和社会保险的良好记录（提供202</w:t>
      </w: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hAnsi="宋体" w:cs="宋体"/>
          <w:sz w:val="24"/>
          <w:szCs w:val="24"/>
          <w:highlight w:val="none"/>
          <w:lang w:val="en-US" w:eastAsia="zh-CN"/>
        </w:rPr>
        <w:t>01</w:t>
      </w:r>
      <w:r>
        <w:rPr>
          <w:rFonts w:hint="eastAsia" w:ascii="宋体" w:hAnsi="宋体" w:eastAsia="宋体" w:cs="宋体"/>
          <w:sz w:val="24"/>
          <w:szCs w:val="24"/>
          <w:highlight w:val="none"/>
          <w:lang w:val="en-US" w:eastAsia="zh-CN"/>
        </w:rPr>
        <w:t>月以来任意3个月依法缴纳税收和社会保险的证明，成立不足三个月的提供自成立日以来的依法缴纳税收和社会保险的证明，依法免税和免缴纳社会保障金的须提供依法免缴纳证明）；</w:t>
      </w:r>
    </w:p>
    <w:p w14:paraId="52A2F4B1">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3.5供应商参加政府采购活动前三年内，在经营活动中没有重大违法记录（提供声明函）；</w:t>
      </w:r>
    </w:p>
    <w:p w14:paraId="0EBEF1AA">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3.6供应商须具备①</w:t>
      </w:r>
      <w:r>
        <w:rPr>
          <w:rFonts w:hint="eastAsia" w:hAnsi="宋体" w:cs="宋体"/>
          <w:sz w:val="24"/>
          <w:szCs w:val="24"/>
          <w:highlight w:val="none"/>
          <w:lang w:val="en-US" w:eastAsia="zh-CN"/>
        </w:rPr>
        <w:t>农林行业（农业综合开发生态工程）专业乙级及以上设计资质</w:t>
      </w:r>
      <w:r>
        <w:rPr>
          <w:rFonts w:hint="eastAsia" w:ascii="宋体" w:hAnsi="宋体" w:eastAsia="宋体" w:cs="宋体"/>
          <w:sz w:val="24"/>
          <w:szCs w:val="24"/>
          <w:highlight w:val="none"/>
          <w:lang w:val="en-US" w:eastAsia="zh-CN"/>
        </w:rPr>
        <w:t>，②或</w:t>
      </w:r>
      <w:r>
        <w:rPr>
          <w:rFonts w:hint="eastAsia" w:hAnsi="宋体" w:cs="宋体"/>
          <w:sz w:val="24"/>
          <w:szCs w:val="24"/>
          <w:highlight w:val="none"/>
          <w:lang w:val="en-US" w:eastAsia="zh-CN"/>
        </w:rPr>
        <w:t>具备</w:t>
      </w:r>
      <w:r>
        <w:rPr>
          <w:rFonts w:hint="eastAsia" w:ascii="宋体" w:hAnsi="宋体" w:cs="宋体"/>
          <w:sz w:val="24"/>
          <w:szCs w:val="24"/>
          <w:highlight w:val="none"/>
          <w:lang w:val="en-US" w:eastAsia="zh-CN"/>
        </w:rPr>
        <w:t>林业调查规划设计</w:t>
      </w:r>
      <w:r>
        <w:rPr>
          <w:rFonts w:hint="eastAsia" w:hAnsi="宋体" w:cs="宋体"/>
          <w:sz w:val="24"/>
          <w:szCs w:val="24"/>
          <w:highlight w:val="none"/>
          <w:lang w:val="en-US" w:eastAsia="zh-CN"/>
        </w:rPr>
        <w:t>乙级及以上设计资质，</w:t>
      </w:r>
      <w:r>
        <w:rPr>
          <w:rFonts w:hint="eastAsia" w:ascii="宋体" w:hAnsi="宋体" w:eastAsia="宋体" w:cs="宋体"/>
          <w:sz w:val="24"/>
          <w:szCs w:val="24"/>
          <w:highlight w:val="none"/>
          <w:lang w:val="en-US" w:eastAsia="zh-CN"/>
        </w:rPr>
        <w:t>③</w:t>
      </w:r>
      <w:r>
        <w:rPr>
          <w:rFonts w:hint="eastAsia" w:hAnsi="宋体" w:cs="宋体"/>
          <w:sz w:val="24"/>
          <w:szCs w:val="24"/>
          <w:highlight w:val="none"/>
          <w:lang w:val="en-US" w:eastAsia="zh-CN"/>
        </w:rPr>
        <w:t>或</w:t>
      </w:r>
      <w:r>
        <w:rPr>
          <w:rFonts w:hint="eastAsia" w:ascii="宋体" w:hAnsi="宋体" w:eastAsia="宋体" w:cs="宋体"/>
          <w:sz w:val="24"/>
          <w:szCs w:val="24"/>
          <w:highlight w:val="none"/>
          <w:lang w:val="en-US" w:eastAsia="zh-CN"/>
        </w:rPr>
        <w:t>具备工程设计综合资质甲级资质，</w:t>
      </w:r>
      <w:r>
        <w:rPr>
          <w:rFonts w:hint="eastAsia" w:ascii="宋体" w:hAnsi="宋体" w:eastAsia="宋体" w:cs="宋体"/>
          <w:b/>
          <w:bCs/>
          <w:sz w:val="24"/>
          <w:szCs w:val="24"/>
          <w:highlight w:val="none"/>
          <w:lang w:val="en-US" w:eastAsia="zh-CN"/>
        </w:rPr>
        <w:t>①②③</w:t>
      </w:r>
      <w:r>
        <w:rPr>
          <w:rFonts w:hint="eastAsia" w:hAnsi="宋体" w:cs="宋体"/>
          <w:b/>
          <w:bCs/>
          <w:sz w:val="24"/>
          <w:szCs w:val="24"/>
          <w:highlight w:val="none"/>
          <w:lang w:val="en-US" w:eastAsia="zh-CN"/>
        </w:rPr>
        <w:t>满意其中一种即可</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拟派项目负责人须具有高级及以上技术职称，并提供有效的劳动合同及2024年01月以来任意三个月社会保障金缴纳证明；</w:t>
      </w:r>
    </w:p>
    <w:p w14:paraId="667935E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r>
        <w:rPr>
          <w:rFonts w:hint="eastAsia" w:ascii="宋体" w:hAnsi="宋体" w:cs="宋体"/>
          <w:sz w:val="24"/>
          <w:szCs w:val="24"/>
          <w:highlight w:val="none"/>
        </w:rPr>
        <w:t>根据《关于在政府采购活动中查询及使用信用记录有关问题的通知》(财库[2016]125号)的规定，对列入失信被执行人、重大税收违法失信主体、政府采购严重违法失信行为记录名单的供应商，拒绝参与本项目招标活动；【查询渠道：“信用中国”网站（www.creditchina.gov.cn）、中国执行信息公开网（http://zxgk.court.gov.cn）、中国政府采购网（www.ccgp.gov.cn）】，查询主体（投标供应商），提供查询结果截图并加盖单位公章（查询日期须在公告发布之日后）</w:t>
      </w:r>
      <w:r>
        <w:rPr>
          <w:rFonts w:hint="eastAsia" w:ascii="宋体" w:hAnsi="宋体" w:cs="宋体"/>
          <w:sz w:val="24"/>
          <w:szCs w:val="24"/>
          <w:highlight w:val="none"/>
          <w:lang w:eastAsia="zh-CN"/>
        </w:rPr>
        <w:t>。</w:t>
      </w:r>
    </w:p>
    <w:p w14:paraId="070FA2A5">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hAnsi="宋体" w:cs="宋体"/>
          <w:b/>
          <w:bCs/>
          <w:sz w:val="24"/>
          <w:szCs w:val="24"/>
          <w:highlight w:val="none"/>
        </w:rPr>
      </w:pPr>
      <w:r>
        <w:rPr>
          <w:rFonts w:hint="eastAsia" w:hAnsi="宋体" w:cs="宋体"/>
          <w:b/>
          <w:bCs/>
          <w:sz w:val="24"/>
          <w:szCs w:val="24"/>
          <w:highlight w:val="none"/>
        </w:rPr>
        <w:t xml:space="preserve">三、获取采购文件 </w:t>
      </w:r>
    </w:p>
    <w:p w14:paraId="16B6AB55">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1.时间：202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 xml:space="preserve">11 </w:t>
      </w:r>
      <w:r>
        <w:rPr>
          <w:rFonts w:hint="eastAsia" w:hAnsi="宋体" w:cs="宋体"/>
          <w:sz w:val="24"/>
          <w:szCs w:val="24"/>
          <w:highlight w:val="none"/>
        </w:rPr>
        <w:t>月</w:t>
      </w:r>
      <w:r>
        <w:rPr>
          <w:rFonts w:hint="eastAsia" w:hAnsi="宋体" w:cs="宋体"/>
          <w:sz w:val="24"/>
          <w:szCs w:val="24"/>
          <w:highlight w:val="none"/>
          <w:lang w:val="en-US" w:eastAsia="zh-CN"/>
        </w:rPr>
        <w:t>6</w:t>
      </w:r>
      <w:r>
        <w:rPr>
          <w:rFonts w:hint="eastAsia" w:hAnsi="宋体" w:cs="宋体"/>
          <w:sz w:val="24"/>
          <w:szCs w:val="24"/>
          <w:highlight w:val="none"/>
        </w:rPr>
        <w:t>日至202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11</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 xml:space="preserve">日，每天上午08:00至12:00，下午12:00至17:30（北京时间，法定节假日除外。） </w:t>
      </w:r>
    </w:p>
    <w:p w14:paraId="6342614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2.地点：该项目实施网上免费获取谈判磋商文件，登陆“</w:t>
      </w:r>
      <w:r>
        <w:rPr>
          <w:rFonts w:hint="eastAsia" w:ascii="宋体" w:hAnsi="宋体" w:cs="宋体"/>
          <w:kern w:val="0"/>
          <w:sz w:val="24"/>
          <w:szCs w:val="24"/>
          <w:highlight w:val="none"/>
        </w:rPr>
        <w:t>《全国公共资源交易平台(河南省·固始县)</w:t>
      </w:r>
      <w:r>
        <w:rPr>
          <w:rFonts w:hint="eastAsia" w:hAnsi="宋体" w:cs="宋体"/>
          <w:sz w:val="24"/>
          <w:szCs w:val="24"/>
          <w:highlight w:val="none"/>
        </w:rPr>
        <w:t>（</w:t>
      </w:r>
      <w:r>
        <w:rPr>
          <w:rFonts w:hint="eastAsia" w:ascii="宋体" w:hAnsi="宋体" w:eastAsia="宋体" w:cs="宋体"/>
          <w:sz w:val="24"/>
          <w:szCs w:val="24"/>
          <w:highlight w:val="none"/>
        </w:rPr>
        <w:t>http://ggzyjy.xinyang.gov.cn/gushi/</w:t>
      </w:r>
      <w:r>
        <w:rPr>
          <w:rFonts w:hint="eastAsia" w:hAnsi="宋体" w:cs="宋体"/>
          <w:sz w:val="24"/>
          <w:szCs w:val="24"/>
          <w:highlight w:val="none"/>
        </w:rPr>
        <w:t xml:space="preserve">）”即可下载谈判磋商文件，潜在投标人首次参与投标活动的须注册入库办理 CA 并下载谈判磋商文件。 </w:t>
      </w:r>
    </w:p>
    <w:p w14:paraId="6443A36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3.方式：需凭注册且通过中心备案的相关账号，通过“</w:t>
      </w:r>
      <w:r>
        <w:rPr>
          <w:rFonts w:hint="eastAsia" w:ascii="宋体" w:hAnsi="宋体" w:cs="宋体"/>
          <w:kern w:val="0"/>
          <w:sz w:val="24"/>
          <w:szCs w:val="24"/>
          <w:highlight w:val="none"/>
        </w:rPr>
        <w:t>《全国公共资源交易平台(河南省·固始县)</w:t>
      </w:r>
      <w:r>
        <w:rPr>
          <w:rFonts w:hint="eastAsia" w:hAnsi="宋体" w:cs="宋体"/>
          <w:sz w:val="24"/>
          <w:szCs w:val="24"/>
          <w:highlight w:val="none"/>
        </w:rPr>
        <w:t>（</w:t>
      </w:r>
      <w:r>
        <w:rPr>
          <w:rFonts w:hint="eastAsia" w:ascii="宋体" w:hAnsi="宋体" w:eastAsia="宋体" w:cs="宋体"/>
          <w:sz w:val="24"/>
          <w:szCs w:val="24"/>
          <w:highlight w:val="none"/>
        </w:rPr>
        <w:t>http://ggzyjy.xinyang.gov.cn/gushi/</w:t>
      </w:r>
      <w:r>
        <w:rPr>
          <w:rFonts w:hint="eastAsia" w:hAnsi="宋体" w:cs="宋体"/>
          <w:sz w:val="24"/>
          <w:szCs w:val="24"/>
          <w:highlight w:val="none"/>
        </w:rPr>
        <w:t>）”网站“</w:t>
      </w:r>
      <w:r>
        <w:rPr>
          <w:rFonts w:hint="eastAsia" w:hAnsi="宋体" w:cs="宋体"/>
          <w:sz w:val="24"/>
          <w:szCs w:val="24"/>
          <w:highlight w:val="none"/>
          <w:lang w:val="en-US" w:eastAsia="zh-CN"/>
        </w:rPr>
        <w:t>交易主体</w:t>
      </w:r>
      <w:r>
        <w:rPr>
          <w:rFonts w:hint="eastAsia" w:hAnsi="宋体" w:cs="宋体"/>
          <w:sz w:val="24"/>
          <w:szCs w:val="24"/>
          <w:highlight w:val="none"/>
        </w:rPr>
        <w:t xml:space="preserve">登录”入口登录后进行相关操作。 </w:t>
      </w:r>
    </w:p>
    <w:p w14:paraId="6B0ABD8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 xml:space="preserve">4.售价：0元 </w:t>
      </w:r>
    </w:p>
    <w:p w14:paraId="2F6AC268">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hAnsi="宋体" w:cs="宋体"/>
          <w:b/>
          <w:bCs/>
          <w:sz w:val="24"/>
          <w:szCs w:val="24"/>
          <w:highlight w:val="none"/>
        </w:rPr>
      </w:pPr>
      <w:r>
        <w:rPr>
          <w:rFonts w:hint="eastAsia" w:hAnsi="宋体" w:cs="宋体"/>
          <w:b/>
          <w:bCs/>
          <w:sz w:val="24"/>
          <w:szCs w:val="24"/>
          <w:highlight w:val="none"/>
        </w:rPr>
        <w:t xml:space="preserve">四、响应文件提交 </w:t>
      </w:r>
    </w:p>
    <w:p w14:paraId="1D2ED333">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1.时间：202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 xml:space="preserve">11 </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 xml:space="preserve">日08时30分（北京时间） </w:t>
      </w:r>
    </w:p>
    <w:p w14:paraId="0DFE7226">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2.地点：固始县公共资源交易中心六楼不见面第</w:t>
      </w:r>
      <w:r>
        <w:rPr>
          <w:rFonts w:hint="eastAsia" w:hAnsi="宋体" w:cs="宋体"/>
          <w:sz w:val="24"/>
          <w:szCs w:val="24"/>
          <w:highlight w:val="none"/>
          <w:lang w:val="en-US" w:eastAsia="zh-CN"/>
        </w:rPr>
        <w:t xml:space="preserve"> 3 </w:t>
      </w:r>
      <w:r>
        <w:rPr>
          <w:rFonts w:hint="eastAsia" w:hAnsi="宋体" w:cs="宋体"/>
          <w:sz w:val="24"/>
          <w:szCs w:val="24"/>
          <w:highlight w:val="none"/>
        </w:rPr>
        <w:t xml:space="preserve">开标室，各供应商应在响应文件递交截止时间前上传加密的电子响应文件到系统的指定位置。上传的电子响应文件应使用 CA 数字证书认证并加密。上传时必须得到交易系统“上传成功”的确认回复后方为上传成功。请投标人在上传前务必认真检查上传响应文件是否完整、正确。 </w:t>
      </w:r>
    </w:p>
    <w:p w14:paraId="16A7EBE6">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hAnsi="宋体" w:cs="宋体"/>
          <w:b/>
          <w:bCs/>
          <w:sz w:val="24"/>
          <w:szCs w:val="24"/>
          <w:highlight w:val="none"/>
        </w:rPr>
      </w:pPr>
      <w:r>
        <w:rPr>
          <w:rFonts w:hint="eastAsia" w:hAnsi="宋体" w:cs="宋体"/>
          <w:b/>
          <w:bCs/>
          <w:sz w:val="24"/>
          <w:szCs w:val="24"/>
          <w:highlight w:val="none"/>
        </w:rPr>
        <w:t xml:space="preserve">五、响应文件开启 </w:t>
      </w:r>
    </w:p>
    <w:p w14:paraId="3E6D9186">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1.时间：202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11</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 xml:space="preserve">日08时30分（北京时间） </w:t>
      </w:r>
    </w:p>
    <w:p w14:paraId="1BB2759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highlight w:val="none"/>
        </w:rPr>
        <w:t>2.地点：固始县公共资源交易中心六楼不见面第</w:t>
      </w:r>
      <w:r>
        <w:rPr>
          <w:rFonts w:hint="eastAsia" w:hAnsi="宋体" w:cs="宋体"/>
          <w:sz w:val="24"/>
          <w:szCs w:val="24"/>
          <w:highlight w:val="none"/>
          <w:lang w:val="en-US" w:eastAsia="zh-CN"/>
        </w:rPr>
        <w:t xml:space="preserve"> 3 </w:t>
      </w:r>
      <w:r>
        <w:rPr>
          <w:rFonts w:hint="eastAsia" w:hAnsi="宋体" w:cs="宋体"/>
          <w:sz w:val="24"/>
          <w:szCs w:val="24"/>
          <w:highlight w:val="none"/>
        </w:rPr>
        <w:t>开标室，供应商应当在投标截止时间前，使用投标人 CA 数字证书登录不见面开标大厅，在线签到并准时参</w:t>
      </w:r>
      <w:r>
        <w:rPr>
          <w:rFonts w:hint="eastAsia" w:hAnsi="宋体" w:cs="宋体"/>
          <w:sz w:val="24"/>
          <w:szCs w:val="24"/>
        </w:rPr>
        <w:t xml:space="preserve">加开标活动，并在规定时间内完成投标文件解密、答疑澄清等。 </w:t>
      </w:r>
    </w:p>
    <w:p w14:paraId="30892C3B">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hAnsi="宋体" w:cs="宋体"/>
          <w:b/>
          <w:bCs/>
          <w:sz w:val="24"/>
          <w:szCs w:val="24"/>
        </w:rPr>
      </w:pPr>
      <w:r>
        <w:rPr>
          <w:rFonts w:hint="eastAsia" w:hAnsi="宋体" w:cs="宋体"/>
          <w:b/>
          <w:bCs/>
          <w:sz w:val="24"/>
          <w:szCs w:val="24"/>
        </w:rPr>
        <w:t xml:space="preserve">六、发布公告的媒介及招标公告期限 </w:t>
      </w:r>
    </w:p>
    <w:p w14:paraId="4776868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本次竞争性磋商公告在《河南省政府采购网》</w:t>
      </w:r>
      <w:r>
        <w:rPr>
          <w:rFonts w:hint="eastAsia" w:hAnsi="宋体" w:cs="宋体"/>
          <w:sz w:val="24"/>
          <w:szCs w:val="24"/>
          <w:lang w:eastAsia="zh-CN"/>
        </w:rPr>
        <w:t>、</w:t>
      </w:r>
      <w:r>
        <w:rPr>
          <w:rFonts w:hint="eastAsia" w:hAnsi="宋体" w:cs="宋体"/>
          <w:sz w:val="24"/>
          <w:szCs w:val="24"/>
        </w:rPr>
        <w:t>《中国招标投标公共服务平台》、</w:t>
      </w:r>
      <w:r>
        <w:rPr>
          <w:rFonts w:hint="eastAsia" w:ascii="宋体" w:hAnsi="宋体" w:eastAsia="宋体" w:cs="宋体"/>
          <w:sz w:val="24"/>
          <w:szCs w:val="24"/>
          <w:highlight w:val="none"/>
        </w:rPr>
        <w:t>《全国公共资源交易平台(河南省·固始县)</w:t>
      </w:r>
      <w:r>
        <w:rPr>
          <w:rFonts w:hint="eastAsia" w:hAnsi="宋体" w:cs="宋体"/>
          <w:sz w:val="24"/>
          <w:szCs w:val="24"/>
        </w:rPr>
        <w:t>》上发布，磋商公告期限为</w:t>
      </w:r>
      <w:r>
        <w:rPr>
          <w:rFonts w:hint="eastAsia" w:hAnsi="宋体" w:cs="宋体"/>
          <w:sz w:val="24"/>
          <w:szCs w:val="24"/>
          <w:lang w:eastAsia="zh-CN"/>
        </w:rPr>
        <w:t>五</w:t>
      </w:r>
      <w:r>
        <w:rPr>
          <w:rFonts w:hint="eastAsia" w:hAnsi="宋体" w:cs="宋体"/>
          <w:sz w:val="24"/>
          <w:szCs w:val="24"/>
        </w:rPr>
        <w:t xml:space="preserve">个工作日 。  </w:t>
      </w:r>
    </w:p>
    <w:p w14:paraId="7B1C6E67">
      <w:pPr>
        <w:keepNext w:val="0"/>
        <w:keepLines w:val="0"/>
        <w:pageBreakBefore w:val="0"/>
        <w:kinsoku/>
        <w:wordWrap/>
        <w:overflowPunct/>
        <w:topLinePunct w:val="0"/>
        <w:autoSpaceDE w:val="0"/>
        <w:autoSpaceDN w:val="0"/>
        <w:bidi w:val="0"/>
        <w:adjustRightInd w:val="0"/>
        <w:snapToGrid/>
        <w:spacing w:line="440" w:lineRule="exact"/>
        <w:ind w:left="0" w:right="0"/>
        <w:jc w:val="left"/>
        <w:textAlignment w:val="auto"/>
        <w:rPr>
          <w:rFonts w:hint="eastAsia" w:hAnsi="宋体" w:cs="宋体"/>
          <w:b/>
          <w:bCs/>
          <w:sz w:val="24"/>
          <w:szCs w:val="24"/>
        </w:rPr>
      </w:pPr>
      <w:r>
        <w:rPr>
          <w:rFonts w:hint="eastAsia" w:hAnsi="宋体" w:cs="宋体"/>
          <w:b/>
          <w:bCs/>
          <w:sz w:val="24"/>
          <w:szCs w:val="24"/>
        </w:rPr>
        <w:t xml:space="preserve">七、其他补充事宜 </w:t>
      </w:r>
    </w:p>
    <w:p w14:paraId="4BCC9AA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1、各投标人应在投标文件递交截止时间前上传加密的电子投标文件到系统的指定位置。上传的电子投标文件应使用投标人 CA 数字证书认证并加密。上传时必须得到交易系统“上传成功”的确认回复后方为上传成功。请投标人在上传前务必认真检查上传投标文件是否完整、正确。</w:t>
      </w:r>
    </w:p>
    <w:p w14:paraId="6EDD131F">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2、本项目采用“不见面开标”交易方式，不见面开标大厅网址为https://ggzyjy.xinyang.gov.cn/BidOpening/bidhall/xinyang/login.html 投标人无需寄送和递交非加密的电子投标文件，无需到现场参加开标会议，无需到达现场提交原件资料。</w:t>
      </w:r>
    </w:p>
    <w:p w14:paraId="2D9EA57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3、投标人应当在投标截止时间前，使用投标人 CA 数字证书登录不见面开标大厅，在线签到并准时参加开标活动，并在规定时间内完成投标文件解密、答疑澄清等。</w:t>
      </w:r>
    </w:p>
    <w:p w14:paraId="0A44ACB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4、逾期解密或者没有准时在线签到参加开标活动导致的一切后果投标人自行承担。</w:t>
      </w:r>
    </w:p>
    <w:p w14:paraId="42611647">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5、不见面开标服务的具体事宜，请查阅全国公共资源交易平台(河南省·固始县)网站首页—下载中心—固始县不见面开标大厅系统操作手册。</w:t>
      </w:r>
    </w:p>
    <w:p w14:paraId="080381AA">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rPr>
        <w:t>6.特别提示：本项目的采购方式为竞争性磋商，需要各投标人进行二次报价，第二轮报</w:t>
      </w:r>
      <w:r>
        <w:rPr>
          <w:rFonts w:hint="eastAsia" w:hAnsi="宋体" w:cs="宋体"/>
          <w:sz w:val="24"/>
          <w:szCs w:val="24"/>
          <w:highlight w:val="none"/>
        </w:rPr>
        <w:t>价在</w:t>
      </w:r>
      <w:r>
        <w:rPr>
          <w:rFonts w:hint="eastAsia" w:hAnsi="宋体" w:cs="宋体"/>
          <w:sz w:val="24"/>
          <w:szCs w:val="24"/>
          <w:highlight w:val="none"/>
          <w:lang w:val="en-US" w:eastAsia="zh-CN"/>
        </w:rPr>
        <w:t>交易中心</w:t>
      </w:r>
      <w:r>
        <w:rPr>
          <w:rFonts w:hint="eastAsia" w:hAnsi="宋体" w:cs="宋体"/>
          <w:sz w:val="24"/>
          <w:szCs w:val="24"/>
          <w:highlight w:val="none"/>
        </w:rPr>
        <w:t>系统上远</w:t>
      </w:r>
      <w:r>
        <w:rPr>
          <w:rFonts w:hint="eastAsia" w:hAnsi="宋体" w:cs="宋体"/>
          <w:sz w:val="24"/>
          <w:szCs w:val="24"/>
        </w:rPr>
        <w:t>程报价，故投标人在线签到时，应如实准确的填写授权委托人的联系电话，开标当天请务必保证电话畅通，否则引发的后果由投标人自行承担。</w:t>
      </w:r>
    </w:p>
    <w:p w14:paraId="47FFCDEE">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hAnsi="宋体" w:cs="宋体"/>
          <w:sz w:val="24"/>
          <w:szCs w:val="24"/>
          <w:lang w:val="en-US" w:eastAsia="zh-CN"/>
        </w:rPr>
      </w:pPr>
      <w:r>
        <w:rPr>
          <w:rFonts w:hint="eastAsia" w:hAnsi="宋体" w:cs="宋体"/>
          <w:sz w:val="24"/>
          <w:szCs w:val="24"/>
          <w:lang w:val="en-US" w:eastAsia="zh-CN"/>
        </w:rPr>
        <w:t>7.本项目为促进公共资源交易中的性别平等，给予女性市场主体适当扶持。（详见招标文件评标办法。）</w:t>
      </w:r>
    </w:p>
    <w:p w14:paraId="75F09F3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hAnsi="宋体" w:cs="宋体"/>
          <w:sz w:val="24"/>
          <w:szCs w:val="24"/>
        </w:rPr>
      </w:pPr>
      <w:r>
        <w:rPr>
          <w:rFonts w:hint="eastAsia" w:hAnsi="宋体" w:cs="宋体"/>
          <w:sz w:val="24"/>
          <w:szCs w:val="24"/>
          <w:lang w:val="en-US" w:eastAsia="zh-CN"/>
        </w:rPr>
        <w:t>特别提示：投标人在线签到时，应如实准确的填写授权委托人的联系电话，开标当天请务必保证电话保持畅通；</w:t>
      </w:r>
      <w:r>
        <w:rPr>
          <w:rFonts w:hint="eastAsia" w:hAnsi="宋体" w:cs="宋体"/>
          <w:sz w:val="24"/>
          <w:szCs w:val="24"/>
        </w:rPr>
        <w:t xml:space="preserve">本项目评标以电子投标文件为依据，未在投标截止时间前上传电子投标文件的投标人，视为自动放弃其投标。 </w:t>
      </w:r>
    </w:p>
    <w:p w14:paraId="318208EC">
      <w:pPr>
        <w:keepNext w:val="0"/>
        <w:keepLines w:val="0"/>
        <w:pageBreakBefore w:val="0"/>
        <w:kinsoku/>
        <w:overflowPunct/>
        <w:topLinePunct w:val="0"/>
        <w:autoSpaceDE w:val="0"/>
        <w:autoSpaceDN w:val="0"/>
        <w:bidi w:val="0"/>
        <w:adjustRightInd w:val="0"/>
        <w:spacing w:line="500" w:lineRule="exact"/>
        <w:ind w:firstLine="241" w:firstLineChars="100"/>
        <w:jc w:val="left"/>
        <w:textAlignment w:val="auto"/>
        <w:rPr>
          <w:rFonts w:hint="eastAsia" w:hAnsi="宋体" w:cs="宋体"/>
          <w:b/>
          <w:bCs/>
          <w:sz w:val="24"/>
          <w:szCs w:val="24"/>
        </w:rPr>
      </w:pPr>
      <w:r>
        <w:rPr>
          <w:rFonts w:hint="eastAsia" w:hAnsi="宋体" w:cs="宋体"/>
          <w:b/>
          <w:bCs/>
          <w:sz w:val="24"/>
          <w:szCs w:val="24"/>
        </w:rPr>
        <w:t xml:space="preserve">八、凡对本次招标提出询问，请按照以下方式联系 </w:t>
      </w:r>
    </w:p>
    <w:p w14:paraId="2E87D7F9">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sz w:val="24"/>
          <w:szCs w:val="24"/>
          <w:highlight w:val="none"/>
        </w:rPr>
      </w:pPr>
      <w:r>
        <w:rPr>
          <w:rFonts w:hint="eastAsia"/>
          <w:sz w:val="24"/>
          <w:szCs w:val="24"/>
          <w:highlight w:val="none"/>
        </w:rPr>
        <w:t>1.采购人信息</w:t>
      </w:r>
    </w:p>
    <w:p w14:paraId="4FB88C8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固始县林业局</w:t>
      </w:r>
      <w:r>
        <w:rPr>
          <w:rFonts w:hint="eastAsia" w:ascii="宋体" w:hAnsi="宋体" w:eastAsia="宋体" w:cs="宋体"/>
          <w:sz w:val="24"/>
          <w:szCs w:val="24"/>
        </w:rPr>
        <w:t>　　　　　　　　　　</w:t>
      </w:r>
    </w:p>
    <w:p w14:paraId="3570AB4E">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地    址</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河南省固始县城关镇西关大街</w:t>
      </w:r>
      <w:r>
        <w:rPr>
          <w:rFonts w:hint="eastAsia" w:ascii="宋体" w:hAnsi="宋体" w:eastAsia="宋体" w:cs="宋体"/>
          <w:sz w:val="24"/>
          <w:szCs w:val="24"/>
          <w:highlight w:val="none"/>
        </w:rPr>
        <w:t>　　　　　　　　　　　　</w:t>
      </w:r>
    </w:p>
    <w:p w14:paraId="5C524EE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王家勇</w:t>
      </w:r>
      <w:r>
        <w:rPr>
          <w:rFonts w:hint="eastAsia" w:ascii="宋体" w:hAnsi="宋体" w:cs="宋体"/>
          <w:sz w:val="24"/>
          <w:szCs w:val="24"/>
          <w:highlight w:val="none"/>
          <w:lang w:val="en-US" w:eastAsia="zh-CN"/>
        </w:rPr>
        <w:t xml:space="preserve"> </w:t>
      </w:r>
    </w:p>
    <w:p w14:paraId="0C287E54">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 xml:space="preserve">13939710136 </w:t>
      </w:r>
      <w:r>
        <w:rPr>
          <w:rFonts w:hint="eastAsia" w:ascii="宋体" w:hAnsi="宋体" w:eastAsia="宋体" w:cs="宋体"/>
          <w:sz w:val="24"/>
          <w:szCs w:val="24"/>
        </w:rPr>
        <w:t xml:space="preserve">　　　 　　　 </w:t>
      </w:r>
    </w:p>
    <w:p w14:paraId="5C6101F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398BA126">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河南中金闳藤代理有限公司</w:t>
      </w:r>
      <w:r>
        <w:rPr>
          <w:rFonts w:hint="eastAsia" w:ascii="宋体" w:hAnsi="宋体" w:eastAsia="宋体" w:cs="宋体"/>
          <w:sz w:val="24"/>
          <w:szCs w:val="24"/>
        </w:rPr>
        <w:t>　　　　　　　　　　　　</w:t>
      </w:r>
    </w:p>
    <w:p w14:paraId="1141155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cs="宋体"/>
          <w:sz w:val="24"/>
          <w:szCs w:val="24"/>
          <w:lang w:eastAsia="zh-CN"/>
        </w:rPr>
        <w:t>河南省信阳市羊山新区政和花园D区19号2单元503</w:t>
      </w:r>
      <w:r>
        <w:rPr>
          <w:rFonts w:hint="eastAsia" w:ascii="宋体" w:hAnsi="宋体" w:eastAsia="宋体" w:cs="宋体"/>
          <w:sz w:val="24"/>
          <w:szCs w:val="24"/>
        </w:rPr>
        <w:t>　　　　　　　　　　　　　</w:t>
      </w:r>
    </w:p>
    <w:p w14:paraId="2641D66A">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邓先柳</w:t>
      </w:r>
      <w:r>
        <w:rPr>
          <w:rFonts w:hint="eastAsia" w:ascii="宋体" w:hAnsi="宋体" w:eastAsia="宋体" w:cs="宋体"/>
          <w:sz w:val="24"/>
          <w:szCs w:val="24"/>
          <w:lang w:val="en-US" w:eastAsia="zh-CN"/>
        </w:rPr>
        <w:t xml:space="preserve"> </w:t>
      </w:r>
    </w:p>
    <w:p w14:paraId="2659878A">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联系方</w:t>
      </w:r>
      <w:r>
        <w:rPr>
          <w:rFonts w:hint="eastAsia" w:ascii="宋体" w:hAnsi="宋体" w:eastAsia="宋体" w:cs="宋体"/>
          <w:sz w:val="24"/>
          <w:szCs w:val="24"/>
          <w:highlight w:val="none"/>
          <w:lang w:eastAsia="zh-CN"/>
        </w:rPr>
        <w:t>式：</w:t>
      </w:r>
      <w:r>
        <w:rPr>
          <w:rFonts w:hint="eastAsia" w:ascii="宋体" w:hAnsi="宋体" w:cs="宋体"/>
          <w:sz w:val="24"/>
          <w:szCs w:val="24"/>
          <w:highlight w:val="none"/>
          <w:lang w:val="en-US" w:eastAsia="zh-CN"/>
        </w:rPr>
        <w:t xml:space="preserve">15294845205 </w:t>
      </w:r>
      <w:r>
        <w:rPr>
          <w:rFonts w:hint="eastAsia" w:ascii="宋体" w:hAnsi="宋体" w:eastAsia="宋体" w:cs="宋体"/>
          <w:sz w:val="24"/>
          <w:szCs w:val="24"/>
          <w:highlight w:val="none"/>
          <w:lang w:eastAsia="zh-CN"/>
        </w:rPr>
        <w:t>　　</w:t>
      </w:r>
      <w:r>
        <w:rPr>
          <w:rFonts w:hint="eastAsia" w:ascii="宋体" w:hAnsi="宋体" w:eastAsia="宋体" w:cs="宋体"/>
          <w:sz w:val="24"/>
          <w:szCs w:val="24"/>
          <w:highlight w:val="none"/>
        </w:rPr>
        <w:t>　　　　　　　　　　</w:t>
      </w:r>
    </w:p>
    <w:p w14:paraId="33B119AB">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5301EFC">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rPr>
        <w:t>：</w:t>
      </w:r>
      <w:r>
        <w:rPr>
          <w:rFonts w:hint="eastAsia" w:ascii="宋体" w:hAnsi="宋体" w:cs="宋体"/>
          <w:sz w:val="24"/>
          <w:szCs w:val="24"/>
          <w:lang w:val="en-US" w:eastAsia="zh-CN"/>
        </w:rPr>
        <w:t>邓先柳</w:t>
      </w:r>
    </w:p>
    <w:p w14:paraId="0FBC596D">
      <w:pPr>
        <w:keepNext w:val="0"/>
        <w:keepLines w:val="0"/>
        <w:pageBreakBefore w:val="0"/>
        <w:kinsoku/>
        <w:wordWrap/>
        <w:overflowPunct/>
        <w:topLinePunct w:val="0"/>
        <w:autoSpaceDE w:val="0"/>
        <w:autoSpaceDN w:val="0"/>
        <w:bidi w:val="0"/>
        <w:adjustRightInd w:val="0"/>
        <w:snapToGrid/>
        <w:spacing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15294845205</w:t>
      </w:r>
      <w:r>
        <w:rPr>
          <w:rFonts w:hint="eastAsia" w:ascii="宋体" w:hAnsi="宋体" w:eastAsia="宋体" w:cs="宋体"/>
          <w:sz w:val="24"/>
          <w:szCs w:val="24"/>
          <w:highlight w:val="none"/>
        </w:rPr>
        <w:t>　</w:t>
      </w:r>
    </w:p>
    <w:p w14:paraId="6363128D">
      <w:pPr>
        <w:pageBreakBefore w:val="0"/>
        <w:tabs>
          <w:tab w:val="left" w:pos="709"/>
        </w:tabs>
        <w:kinsoku/>
        <w:wordWrap w:val="0"/>
        <w:overflowPunct/>
        <w:autoSpaceDE w:val="0"/>
        <w:autoSpaceDN w:val="0"/>
        <w:bidi w:val="0"/>
        <w:adjustRightInd w:val="0"/>
        <w:snapToGrid w:val="0"/>
        <w:spacing w:line="360" w:lineRule="auto"/>
        <w:ind w:left="210" w:leftChars="100" w:firstLine="480" w:firstLineChars="200"/>
        <w:jc w:val="left"/>
        <w:rPr>
          <w:rFonts w:hint="eastAsia" w:ascii="宋体" w:hAnsi="宋体" w:eastAsia="宋体" w:cs="宋体"/>
          <w:color w:val="auto"/>
          <w:sz w:val="24"/>
          <w:szCs w:val="24"/>
          <w:highlight w:val="none"/>
          <w:lang w:eastAsia="zh-CN"/>
        </w:rPr>
      </w:pPr>
    </w:p>
    <w:p w14:paraId="2D30FF96">
      <w:pPr>
        <w:pageBreakBefore w:val="0"/>
        <w:numPr>
          <w:ilvl w:val="0"/>
          <w:numId w:val="1"/>
        </w:numPr>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0"/>
          <w:sz w:val="32"/>
          <w:szCs w:val="32"/>
          <w:highlight w:val="none"/>
        </w:rPr>
        <w:br w:type="page"/>
      </w:r>
      <w:r>
        <w:rPr>
          <w:rFonts w:hint="eastAsia" w:ascii="宋体" w:hAnsi="宋体" w:cs="宋体"/>
          <w:b/>
          <w:bCs/>
          <w:color w:val="auto"/>
          <w:kern w:val="0"/>
          <w:sz w:val="32"/>
          <w:szCs w:val="32"/>
          <w:highlight w:val="none"/>
          <w:lang w:val="en-US" w:eastAsia="zh-CN"/>
        </w:rPr>
        <w:t xml:space="preserve"> </w:t>
      </w:r>
      <w:bookmarkStart w:id="14" w:name="_Toc32137"/>
      <w:r>
        <w:rPr>
          <w:rFonts w:hint="eastAsia" w:ascii="宋体" w:hAnsi="宋体" w:eastAsia="宋体" w:cs="宋体"/>
          <w:b/>
          <w:bCs/>
          <w:color w:val="auto"/>
          <w:kern w:val="44"/>
          <w:sz w:val="44"/>
          <w:szCs w:val="44"/>
          <w:highlight w:val="none"/>
          <w:lang w:val="en-US" w:eastAsia="zh-CN" w:bidi="ar-SA"/>
        </w:rPr>
        <w:t>供应商须知</w:t>
      </w:r>
      <w:bookmarkEnd w:id="6"/>
      <w:bookmarkEnd w:id="14"/>
    </w:p>
    <w:p w14:paraId="198F8CCC">
      <w:pPr>
        <w:pageBreakBefore w:val="0"/>
        <w:kinsoku/>
        <w:wordWrap w:val="0"/>
        <w:overflowPunct/>
        <w:autoSpaceDE w:val="0"/>
        <w:autoSpaceDN w:val="0"/>
        <w:bidi w:val="0"/>
        <w:adjustRightInd w:val="0"/>
        <w:snapToGrid w:val="0"/>
        <w:spacing w:after="120" w:afterLines="50"/>
        <w:ind w:firstLine="3132" w:firstLineChars="1300"/>
        <w:jc w:val="both"/>
        <w:outlineLvl w:val="1"/>
        <w:rPr>
          <w:rFonts w:hint="eastAsia" w:ascii="宋体" w:hAnsi="宋体" w:eastAsia="宋体" w:cs="宋体"/>
          <w:b/>
          <w:color w:val="auto"/>
          <w:kern w:val="0"/>
          <w:sz w:val="24"/>
          <w:highlight w:val="none"/>
        </w:rPr>
      </w:pPr>
      <w:bookmarkStart w:id="15" w:name="_Toc2549"/>
      <w:r>
        <w:rPr>
          <w:rFonts w:hint="eastAsia" w:ascii="宋体" w:hAnsi="宋体" w:eastAsia="宋体" w:cs="宋体"/>
          <w:b/>
          <w:color w:val="auto"/>
          <w:kern w:val="0"/>
          <w:sz w:val="24"/>
          <w:highlight w:val="none"/>
        </w:rPr>
        <w:t>供应商须知前附表</w:t>
      </w:r>
      <w:bookmarkEnd w:id="15"/>
    </w:p>
    <w:tbl>
      <w:tblPr>
        <w:tblStyle w:val="5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1"/>
        <w:gridCol w:w="6274"/>
      </w:tblGrid>
      <w:tr w14:paraId="442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16" w:type="dxa"/>
            <w:noWrap w:val="0"/>
            <w:vAlign w:val="center"/>
          </w:tcPr>
          <w:p w14:paraId="6EF1765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条款号</w:t>
            </w:r>
          </w:p>
        </w:tc>
        <w:tc>
          <w:tcPr>
            <w:tcW w:w="2361" w:type="dxa"/>
            <w:noWrap w:val="0"/>
            <w:vAlign w:val="center"/>
          </w:tcPr>
          <w:p w14:paraId="570D1DA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条 款 名 称</w:t>
            </w:r>
          </w:p>
        </w:tc>
        <w:tc>
          <w:tcPr>
            <w:tcW w:w="6274" w:type="dxa"/>
            <w:noWrap w:val="0"/>
            <w:vAlign w:val="center"/>
          </w:tcPr>
          <w:p w14:paraId="2065D8B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编 列 内 容</w:t>
            </w:r>
          </w:p>
        </w:tc>
      </w:tr>
      <w:tr w14:paraId="358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16" w:type="dxa"/>
            <w:noWrap w:val="0"/>
            <w:vAlign w:val="center"/>
          </w:tcPr>
          <w:p w14:paraId="0EF45F0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w:t>
            </w:r>
          </w:p>
        </w:tc>
        <w:tc>
          <w:tcPr>
            <w:tcW w:w="2361" w:type="dxa"/>
            <w:noWrap w:val="0"/>
            <w:vAlign w:val="center"/>
          </w:tcPr>
          <w:p w14:paraId="3D0C4F9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p>
        </w:tc>
        <w:tc>
          <w:tcPr>
            <w:tcW w:w="6274" w:type="dxa"/>
            <w:noWrap w:val="0"/>
            <w:vAlign w:val="center"/>
          </w:tcPr>
          <w:p w14:paraId="3DA8393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名    称：固始县林业局　　　　　　　　　　</w:t>
            </w:r>
          </w:p>
          <w:p w14:paraId="2E2861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地    址：河南省固始县城关镇西关大街　　　　　　　　　　　　</w:t>
            </w:r>
          </w:p>
          <w:p w14:paraId="6BD698A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联 系 人：</w:t>
            </w:r>
            <w:r>
              <w:rPr>
                <w:rFonts w:hint="eastAsia" w:ascii="宋体" w:hAnsi="宋体" w:cs="宋体"/>
                <w:sz w:val="24"/>
                <w:szCs w:val="24"/>
                <w:highlight w:val="none"/>
                <w:lang w:eastAsia="zh-CN"/>
              </w:rPr>
              <w:t>王家勇</w:t>
            </w:r>
            <w:r>
              <w:rPr>
                <w:rFonts w:hint="eastAsia" w:ascii="宋体" w:hAnsi="宋体" w:cs="宋体"/>
                <w:sz w:val="24"/>
                <w:szCs w:val="24"/>
                <w:highlight w:val="none"/>
                <w:lang w:val="en-US" w:eastAsia="zh-CN"/>
              </w:rPr>
              <w:t xml:space="preserve"> </w:t>
            </w:r>
          </w:p>
          <w:p w14:paraId="64C737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13939710136</w:t>
            </w: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 xml:space="preserve">  　</w:t>
            </w:r>
          </w:p>
        </w:tc>
      </w:tr>
      <w:tr w14:paraId="4EF4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16" w:type="dxa"/>
            <w:noWrap w:val="0"/>
            <w:vAlign w:val="center"/>
          </w:tcPr>
          <w:p w14:paraId="2E83DEF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w:t>
            </w:r>
          </w:p>
        </w:tc>
        <w:tc>
          <w:tcPr>
            <w:tcW w:w="2361" w:type="dxa"/>
            <w:noWrap w:val="0"/>
            <w:vAlign w:val="center"/>
          </w:tcPr>
          <w:p w14:paraId="1CDFFD9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采购代理机构</w:t>
            </w:r>
          </w:p>
        </w:tc>
        <w:tc>
          <w:tcPr>
            <w:tcW w:w="6274" w:type="dxa"/>
            <w:noWrap w:val="0"/>
            <w:vAlign w:val="top"/>
          </w:tcPr>
          <w:p w14:paraId="1BD4E6E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名    称：河南中金闳藤代理有限公司　　　　　　　　　　　　</w:t>
            </w:r>
          </w:p>
          <w:p w14:paraId="3EB0FA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地　　址：河南省信阳市羊山新区政和花园D区19号2单元503　　　　　　　　　　　　　</w:t>
            </w:r>
          </w:p>
          <w:p w14:paraId="378E36C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 xml:space="preserve">联系人：邓先柳 </w:t>
            </w:r>
          </w:p>
          <w:p w14:paraId="53242A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 xml:space="preserve">联系方式：15294845205 </w:t>
            </w:r>
          </w:p>
        </w:tc>
      </w:tr>
      <w:tr w14:paraId="3AED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16" w:type="dxa"/>
            <w:noWrap w:val="0"/>
            <w:vAlign w:val="center"/>
          </w:tcPr>
          <w:p w14:paraId="4363320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w:t>
            </w:r>
          </w:p>
        </w:tc>
        <w:tc>
          <w:tcPr>
            <w:tcW w:w="2361" w:type="dxa"/>
            <w:noWrap w:val="0"/>
            <w:vAlign w:val="center"/>
          </w:tcPr>
          <w:p w14:paraId="47E834F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6274" w:type="dxa"/>
            <w:noWrap w:val="0"/>
            <w:vAlign w:val="center"/>
          </w:tcPr>
          <w:p w14:paraId="0F059F83">
            <w:pPr>
              <w:pStyle w:val="28"/>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固始县2024年中央财政油茶产业发展示范奖补项目设计招标</w:t>
            </w:r>
          </w:p>
        </w:tc>
      </w:tr>
      <w:tr w14:paraId="7E02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6" w:type="dxa"/>
            <w:noWrap w:val="0"/>
            <w:vAlign w:val="center"/>
          </w:tcPr>
          <w:p w14:paraId="1DE394B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w:t>
            </w:r>
          </w:p>
        </w:tc>
        <w:tc>
          <w:tcPr>
            <w:tcW w:w="2361" w:type="dxa"/>
            <w:noWrap w:val="0"/>
            <w:vAlign w:val="center"/>
          </w:tcPr>
          <w:p w14:paraId="0E4F089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采购方式</w:t>
            </w:r>
          </w:p>
        </w:tc>
        <w:tc>
          <w:tcPr>
            <w:tcW w:w="6274" w:type="dxa"/>
            <w:noWrap w:val="0"/>
            <w:vAlign w:val="center"/>
          </w:tcPr>
          <w:p w14:paraId="453153D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left"/>
              <w:rPr>
                <w:rFonts w:hint="eastAsia" w:asciiTheme="minorEastAsia" w:hAnsiTheme="minorEastAsia" w:eastAsiaTheme="minorEastAsia" w:cstheme="minorEastAsia"/>
                <w:color w:val="auto"/>
                <w:spacing w:val="1"/>
                <w:kern w:val="0"/>
                <w:sz w:val="24"/>
                <w:szCs w:val="24"/>
                <w:highlight w:val="none"/>
              </w:rPr>
            </w:pPr>
            <w:r>
              <w:rPr>
                <w:rFonts w:hint="eastAsia" w:asciiTheme="minorEastAsia" w:hAnsiTheme="minorEastAsia" w:eastAsiaTheme="minorEastAsia" w:cstheme="minorEastAsia"/>
                <w:color w:val="auto"/>
                <w:spacing w:val="1"/>
                <w:kern w:val="0"/>
                <w:sz w:val="24"/>
                <w:szCs w:val="24"/>
                <w:highlight w:val="none"/>
              </w:rPr>
              <w:t>竞争性磋商</w:t>
            </w:r>
          </w:p>
        </w:tc>
      </w:tr>
      <w:tr w14:paraId="5B8C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14:paraId="366B7ED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1.2.5</w:t>
            </w:r>
          </w:p>
        </w:tc>
        <w:tc>
          <w:tcPr>
            <w:tcW w:w="2361" w:type="dxa"/>
            <w:noWrap w:val="0"/>
            <w:vAlign w:val="center"/>
          </w:tcPr>
          <w:p w14:paraId="66DAF45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预算价（</w:t>
            </w: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kern w:val="0"/>
                <w:sz w:val="24"/>
                <w:szCs w:val="24"/>
                <w:highlight w:val="none"/>
              </w:rPr>
              <w:t>）</w:t>
            </w:r>
          </w:p>
        </w:tc>
        <w:tc>
          <w:tcPr>
            <w:tcW w:w="6274" w:type="dxa"/>
            <w:noWrap w:val="0"/>
            <w:vAlign w:val="center"/>
          </w:tcPr>
          <w:p w14:paraId="0C3A1CFF">
            <w:pPr>
              <w:keepNext w:val="0"/>
              <w:keepLines w:val="0"/>
              <w:pageBreakBefore w:val="0"/>
              <w:suppressLineNumbers w:val="0"/>
              <w:kinsoku/>
              <w:wordWrap w:val="0"/>
              <w:overflowPunct/>
              <w:bidi w:val="0"/>
              <w:spacing w:before="72" w:beforeLines="30" w:beforeAutospacing="0" w:after="0" w:afterAutospacing="0" w:line="360" w:lineRule="auto"/>
              <w:ind w:left="21" w:leftChars="10" w:right="21" w:rightChars="10"/>
              <w:rPr>
                <w:rFonts w:hint="eastAsia" w:asciiTheme="minorEastAsia" w:hAnsiTheme="minorEastAsia" w:eastAsiaTheme="minorEastAsia" w:cstheme="minorEastAsia"/>
                <w:b/>
                <w:bCs/>
                <w:color w:val="000000"/>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￥：1817500.00元</w:t>
            </w:r>
            <w:r>
              <w:rPr>
                <w:rFonts w:hint="eastAsia" w:asciiTheme="minorEastAsia" w:hAnsiTheme="minorEastAsia" w:eastAsiaTheme="minorEastAsia" w:cstheme="minorEastAsia"/>
                <w:b/>
                <w:bCs/>
                <w:color w:val="000000"/>
                <w:sz w:val="24"/>
                <w:szCs w:val="24"/>
                <w:highlight w:val="none"/>
                <w:u w:val="none"/>
                <w:lang w:val="en-US" w:eastAsia="zh-CN"/>
              </w:rPr>
              <w:t>；</w:t>
            </w:r>
          </w:p>
          <w:p w14:paraId="6A1C1B50">
            <w:pPr>
              <w:pStyle w:val="274"/>
              <w:keepNext w:val="0"/>
              <w:keepLines w:val="0"/>
              <w:pageBreakBefore w:val="0"/>
              <w:suppressLineNumbers w:val="0"/>
              <w:kinsoku/>
              <w:wordWrap w:val="0"/>
              <w:overflowPunct/>
              <w:bidi w:val="0"/>
              <w:spacing w:before="72" w:beforeLines="30" w:beforeAutospacing="0" w:after="0" w:afterAutospacing="0" w:line="360" w:lineRule="auto"/>
              <w:ind w:left="21" w:leftChars="10" w:right="21" w:rightChars="10" w:firstLine="241"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本项目投标报价采用人民币的方式进行报价，供应商报价不得超过招标控制价，否则按无效响应处理。</w:t>
            </w:r>
          </w:p>
        </w:tc>
      </w:tr>
      <w:tr w14:paraId="4FAE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vAlign w:val="center"/>
          </w:tcPr>
          <w:p w14:paraId="06845A6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w:t>
            </w:r>
          </w:p>
        </w:tc>
        <w:tc>
          <w:tcPr>
            <w:tcW w:w="2361" w:type="dxa"/>
            <w:noWrap w:val="0"/>
            <w:vAlign w:val="center"/>
          </w:tcPr>
          <w:p w14:paraId="2F50B22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资金来源</w:t>
            </w:r>
          </w:p>
        </w:tc>
        <w:tc>
          <w:tcPr>
            <w:tcW w:w="6274" w:type="dxa"/>
            <w:noWrap w:val="0"/>
            <w:vAlign w:val="center"/>
          </w:tcPr>
          <w:p w14:paraId="53BF2F94">
            <w:pPr>
              <w:pStyle w:val="2"/>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财政资金</w:t>
            </w:r>
          </w:p>
        </w:tc>
      </w:tr>
      <w:tr w14:paraId="20C8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6" w:type="dxa"/>
            <w:noWrap w:val="0"/>
            <w:vAlign w:val="center"/>
          </w:tcPr>
          <w:p w14:paraId="0EEB0FE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w:t>
            </w:r>
          </w:p>
        </w:tc>
        <w:tc>
          <w:tcPr>
            <w:tcW w:w="2361" w:type="dxa"/>
            <w:noWrap w:val="0"/>
            <w:vAlign w:val="center"/>
          </w:tcPr>
          <w:p w14:paraId="0C2E800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出资比例</w:t>
            </w:r>
          </w:p>
        </w:tc>
        <w:tc>
          <w:tcPr>
            <w:tcW w:w="6274" w:type="dxa"/>
            <w:noWrap w:val="0"/>
            <w:vAlign w:val="center"/>
          </w:tcPr>
          <w:p w14:paraId="7C5AF49E">
            <w:pPr>
              <w:pStyle w:val="2"/>
              <w:keepNext w:val="0"/>
              <w:keepLines w:val="0"/>
              <w:pageBreakBefore w:val="0"/>
              <w:suppressLineNumbers w:val="0"/>
              <w:kinsoku/>
              <w:wordWrap w:val="0"/>
              <w:overflowPunct/>
              <w:bidi w:val="0"/>
              <w:spacing w:before="72" w:beforeLines="30" w:beforeAutospacing="0" w:after="0" w:afterAutospacing="0" w:line="288" w:lineRule="auto"/>
              <w:ind w:left="21" w:leftChars="10" w:right="21" w:rightChars="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r>
      <w:tr w14:paraId="70B6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6" w:type="dxa"/>
            <w:noWrap w:val="0"/>
            <w:vAlign w:val="center"/>
          </w:tcPr>
          <w:p w14:paraId="3AE3FBA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w:t>
            </w:r>
          </w:p>
        </w:tc>
        <w:tc>
          <w:tcPr>
            <w:tcW w:w="2361" w:type="dxa"/>
            <w:noWrap w:val="0"/>
            <w:vAlign w:val="center"/>
          </w:tcPr>
          <w:p w14:paraId="45C85B8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采购内容</w:t>
            </w:r>
          </w:p>
        </w:tc>
        <w:tc>
          <w:tcPr>
            <w:tcW w:w="6274" w:type="dxa"/>
            <w:noWrap w:val="0"/>
            <w:vAlign w:val="center"/>
          </w:tcPr>
          <w:p w14:paraId="6193FC13">
            <w:pPr>
              <w:keepNext w:val="0"/>
              <w:keepLines w:val="0"/>
              <w:pageBreakBefore w:val="0"/>
              <w:suppressLineNumbers w:val="0"/>
              <w:tabs>
                <w:tab w:val="left" w:pos="709"/>
              </w:tabs>
              <w:kinsoku/>
              <w:wordWrap w:val="0"/>
              <w:overflowPunct/>
              <w:autoSpaceDE w:val="0"/>
              <w:autoSpaceDN w:val="0"/>
              <w:bidi w:val="0"/>
              <w:adjustRightInd w:val="0"/>
              <w:snapToGrid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固始县2024年中央财政油茶产业发展示范奖补项目的施工图设计及后续设计服务等工作。</w:t>
            </w:r>
          </w:p>
        </w:tc>
      </w:tr>
      <w:tr w14:paraId="6C85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6" w:type="dxa"/>
            <w:noWrap w:val="0"/>
            <w:vAlign w:val="center"/>
          </w:tcPr>
          <w:p w14:paraId="126BA92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2361" w:type="dxa"/>
            <w:noWrap w:val="0"/>
            <w:vAlign w:val="center"/>
          </w:tcPr>
          <w:p w14:paraId="3FFF54C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设计</w:t>
            </w:r>
            <w:r>
              <w:rPr>
                <w:rFonts w:hint="eastAsia" w:asciiTheme="minorEastAsia" w:hAnsiTheme="minorEastAsia" w:eastAsiaTheme="minorEastAsia" w:cstheme="minorEastAsia"/>
                <w:color w:val="auto"/>
                <w:sz w:val="24"/>
                <w:szCs w:val="24"/>
                <w:highlight w:val="none"/>
              </w:rPr>
              <w:t>期限</w:t>
            </w:r>
          </w:p>
        </w:tc>
        <w:tc>
          <w:tcPr>
            <w:tcW w:w="6274" w:type="dxa"/>
            <w:noWrap w:val="0"/>
            <w:vAlign w:val="center"/>
          </w:tcPr>
          <w:p w14:paraId="73884A30">
            <w:pPr>
              <w:keepNext w:val="0"/>
              <w:keepLines w:val="0"/>
              <w:pageBreakBefore w:val="0"/>
              <w:suppressLineNumbers w:val="0"/>
              <w:kinsoku/>
              <w:wordWrap w:val="0"/>
              <w:overflowPunct/>
              <w:bidi w:val="0"/>
              <w:adjustRightInd w:val="0"/>
              <w:snapToGrid w:val="0"/>
              <w:spacing w:before="72" w:beforeLines="30" w:beforeAutospacing="0" w:after="0" w:afterAutospacing="0" w:line="288" w:lineRule="auto"/>
              <w:ind w:left="21" w:leftChars="10" w:right="21" w:rightChars="1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30日历天。</w:t>
            </w:r>
          </w:p>
        </w:tc>
      </w:tr>
      <w:tr w14:paraId="62DF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6" w:type="dxa"/>
            <w:noWrap w:val="0"/>
            <w:vAlign w:val="center"/>
          </w:tcPr>
          <w:p w14:paraId="6ABF0859">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1.4.3</w:t>
            </w:r>
          </w:p>
        </w:tc>
        <w:tc>
          <w:tcPr>
            <w:tcW w:w="2361" w:type="dxa"/>
            <w:noWrap w:val="0"/>
            <w:vAlign w:val="center"/>
          </w:tcPr>
          <w:p w14:paraId="04B020D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质量要求</w:t>
            </w:r>
          </w:p>
        </w:tc>
        <w:tc>
          <w:tcPr>
            <w:tcW w:w="6274" w:type="dxa"/>
            <w:noWrap w:val="0"/>
            <w:vAlign w:val="center"/>
          </w:tcPr>
          <w:p w14:paraId="31EA72B6">
            <w:pPr>
              <w:keepNext w:val="0"/>
              <w:keepLines w:val="0"/>
              <w:pageBreakBefore w:val="0"/>
              <w:suppressLineNumbers w:val="0"/>
              <w:kinsoku/>
              <w:wordWrap w:val="0"/>
              <w:overflowPunct/>
              <w:bidi w:val="0"/>
              <w:adjustRightInd w:val="0"/>
              <w:snapToGrid w:val="0"/>
              <w:spacing w:before="72" w:beforeLines="30" w:beforeAutospacing="0" w:after="0" w:afterAutospacing="0" w:line="288" w:lineRule="auto"/>
              <w:ind w:left="21" w:leftChars="10" w:right="21" w:rightChars="10"/>
              <w:rPr>
                <w:rFonts w:hint="eastAsia" w:eastAsia="宋体" w:asciiTheme="minorEastAsia" w:hAnsiTheme="minorEastAsia" w:cstheme="minorEastAsia"/>
                <w:color w:val="auto"/>
                <w:sz w:val="24"/>
                <w:szCs w:val="24"/>
                <w:highlight w:val="none"/>
                <w:lang w:val="en-US" w:eastAsia="zh-CN"/>
              </w:rPr>
            </w:pPr>
            <w:r>
              <w:rPr>
                <w:rFonts w:hint="eastAsia" w:ascii="宋体" w:hAnsi="宋体" w:cs="宋体"/>
                <w:kern w:val="0"/>
                <w:sz w:val="24"/>
                <w:szCs w:val="24"/>
                <w:highlight w:val="none"/>
              </w:rPr>
              <w:t>符合国家有关法律、法规和现行规划、设计标准，深度达到相关的规范要求</w:t>
            </w:r>
            <w:r>
              <w:rPr>
                <w:rFonts w:hint="eastAsia" w:ascii="宋体" w:hAnsi="宋体" w:cs="宋体"/>
                <w:kern w:val="0"/>
                <w:sz w:val="24"/>
                <w:szCs w:val="24"/>
                <w:highlight w:val="none"/>
                <w:lang w:eastAsia="zh-CN"/>
              </w:rPr>
              <w:t>。</w:t>
            </w:r>
          </w:p>
        </w:tc>
      </w:tr>
      <w:tr w14:paraId="3DBA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6" w:type="dxa"/>
            <w:tcBorders>
              <w:top w:val="single" w:color="auto" w:sz="4" w:space="0"/>
            </w:tcBorders>
            <w:noWrap w:val="0"/>
            <w:vAlign w:val="center"/>
          </w:tcPr>
          <w:p w14:paraId="4C65FB9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w:t>
            </w:r>
          </w:p>
        </w:tc>
        <w:tc>
          <w:tcPr>
            <w:tcW w:w="2361" w:type="dxa"/>
            <w:tcBorders>
              <w:top w:val="single" w:color="auto" w:sz="4" w:space="0"/>
            </w:tcBorders>
            <w:noWrap w:val="0"/>
            <w:vAlign w:val="center"/>
          </w:tcPr>
          <w:p w14:paraId="2703759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供应商资格要求</w:t>
            </w:r>
          </w:p>
        </w:tc>
        <w:tc>
          <w:tcPr>
            <w:tcW w:w="6274" w:type="dxa"/>
            <w:tcBorders>
              <w:top w:val="single" w:color="auto" w:sz="4" w:space="0"/>
            </w:tcBorders>
            <w:noWrap w:val="0"/>
            <w:vAlign w:val="center"/>
          </w:tcPr>
          <w:p w14:paraId="15DF908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hAnsi="宋体" w:cs="宋体"/>
                <w:sz w:val="24"/>
                <w:szCs w:val="24"/>
                <w:highlight w:val="none"/>
              </w:rPr>
            </w:pPr>
            <w:r>
              <w:rPr>
                <w:rFonts w:hint="eastAsia" w:hAnsi="宋体" w:cs="宋体"/>
                <w:sz w:val="24"/>
                <w:szCs w:val="24"/>
                <w:highlight w:val="none"/>
              </w:rPr>
              <w:t>1、满足《中华人民共和国政府采购法》第二十二条规定；</w:t>
            </w:r>
          </w:p>
          <w:p w14:paraId="2541C64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cs="宋体"/>
                <w:sz w:val="24"/>
                <w:szCs w:val="24"/>
                <w:highlight w:val="none"/>
              </w:rPr>
            </w:pPr>
            <w:r>
              <w:rPr>
                <w:rFonts w:hint="eastAsia" w:hAnsi="宋体" w:cs="宋体"/>
                <w:sz w:val="24"/>
                <w:szCs w:val="24"/>
                <w:highlight w:val="none"/>
              </w:rPr>
              <w:t xml:space="preserve">2、落实政府采购政策满足的资格要求： </w:t>
            </w:r>
            <w:r>
              <w:rPr>
                <w:rFonts w:hint="eastAsia" w:ascii="宋体" w:hAnsi="宋体" w:cs="宋体"/>
                <w:sz w:val="24"/>
                <w:szCs w:val="24"/>
                <w:highlight w:val="none"/>
              </w:rPr>
              <w:t>本项目落实节约能源、保护环境、扶持不发达地区和少数民族地区、促进中小微企业、监狱企业及残疾人福利性单位发展等政府采购政策；</w:t>
            </w:r>
          </w:p>
          <w:p w14:paraId="48F2446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3、本项目的特定资格要求 </w:t>
            </w:r>
          </w:p>
          <w:p w14:paraId="29C72A5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3.1供应商须具有独立承担民事责任的能力，提供法人或者其他组织的营业执照等证明文件；</w:t>
            </w:r>
          </w:p>
          <w:p w14:paraId="377CC78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3.2供应商须具有良好的商业信誉和健全的财务会计制度（提供2022年或2023年度经审计的财务审计报告，2024年成立的公司提供基本户的开户行开具的银行资信证明）；</w:t>
            </w:r>
          </w:p>
          <w:p w14:paraId="5292935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3.3供应商须具有履行合同所必需的设备和专业技术能力（提供相关证明材料或承诺函）；</w:t>
            </w:r>
          </w:p>
          <w:p w14:paraId="352F3B9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3.4供应商依法缴纳税收和社会保险的良好记录（提供202</w:t>
            </w: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hAnsi="宋体" w:cs="宋体"/>
                <w:sz w:val="24"/>
                <w:szCs w:val="24"/>
                <w:highlight w:val="none"/>
                <w:lang w:val="en-US" w:eastAsia="zh-CN"/>
              </w:rPr>
              <w:t>01</w:t>
            </w:r>
            <w:r>
              <w:rPr>
                <w:rFonts w:hint="eastAsia" w:ascii="宋体" w:hAnsi="宋体" w:eastAsia="宋体" w:cs="宋体"/>
                <w:sz w:val="24"/>
                <w:szCs w:val="24"/>
                <w:highlight w:val="none"/>
                <w:lang w:val="en-US" w:eastAsia="zh-CN"/>
              </w:rPr>
              <w:t>月以来任意3个月依法缴纳税收和社会保险的证明，成立不足三个月的提供自成立日以来的依法缴纳税收和社会保险的证明，依法免税和免缴纳社会保障金的须提供依法免缴纳证明）；</w:t>
            </w:r>
          </w:p>
          <w:p w14:paraId="7884962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3.5供应商参加政府采购活动前三年内，在经营活动中没有重大违法记录（提供声明函）；</w:t>
            </w:r>
          </w:p>
          <w:p w14:paraId="0A6AFE0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3.6供应商须具备①</w:t>
            </w:r>
            <w:r>
              <w:rPr>
                <w:rFonts w:hint="eastAsia" w:hAnsi="宋体" w:cs="宋体"/>
                <w:sz w:val="24"/>
                <w:szCs w:val="24"/>
                <w:highlight w:val="none"/>
                <w:lang w:val="en-US" w:eastAsia="zh-CN"/>
              </w:rPr>
              <w:t>农林行业（农业综合开发生态工程）专业乙级及以上设计资质</w:t>
            </w:r>
            <w:r>
              <w:rPr>
                <w:rFonts w:hint="eastAsia" w:ascii="宋体" w:hAnsi="宋体" w:eastAsia="宋体" w:cs="宋体"/>
                <w:sz w:val="24"/>
                <w:szCs w:val="24"/>
                <w:highlight w:val="none"/>
                <w:lang w:val="en-US" w:eastAsia="zh-CN"/>
              </w:rPr>
              <w:t>，②或</w:t>
            </w:r>
            <w:r>
              <w:rPr>
                <w:rFonts w:hint="eastAsia" w:hAnsi="宋体" w:cs="宋体"/>
                <w:sz w:val="24"/>
                <w:szCs w:val="24"/>
                <w:highlight w:val="none"/>
                <w:lang w:val="en-US" w:eastAsia="zh-CN"/>
              </w:rPr>
              <w:t>具备</w:t>
            </w:r>
            <w:r>
              <w:rPr>
                <w:rFonts w:hint="eastAsia" w:ascii="宋体" w:hAnsi="宋体" w:cs="宋体"/>
                <w:sz w:val="24"/>
                <w:szCs w:val="24"/>
                <w:highlight w:val="none"/>
                <w:lang w:val="en-US" w:eastAsia="zh-CN"/>
              </w:rPr>
              <w:t>林业调查规划设计</w:t>
            </w:r>
            <w:r>
              <w:rPr>
                <w:rFonts w:hint="eastAsia" w:hAnsi="宋体" w:cs="宋体"/>
                <w:sz w:val="24"/>
                <w:szCs w:val="24"/>
                <w:highlight w:val="none"/>
                <w:lang w:val="en-US" w:eastAsia="zh-CN"/>
              </w:rPr>
              <w:t>乙级及以上设计资质，</w:t>
            </w:r>
            <w:r>
              <w:rPr>
                <w:rFonts w:hint="eastAsia" w:ascii="宋体" w:hAnsi="宋体" w:eastAsia="宋体" w:cs="宋体"/>
                <w:sz w:val="24"/>
                <w:szCs w:val="24"/>
                <w:highlight w:val="none"/>
                <w:lang w:val="en-US" w:eastAsia="zh-CN"/>
              </w:rPr>
              <w:t>③</w:t>
            </w:r>
            <w:r>
              <w:rPr>
                <w:rFonts w:hint="eastAsia" w:hAnsi="宋体" w:cs="宋体"/>
                <w:sz w:val="24"/>
                <w:szCs w:val="24"/>
                <w:highlight w:val="none"/>
                <w:lang w:val="en-US" w:eastAsia="zh-CN"/>
              </w:rPr>
              <w:t>或</w:t>
            </w:r>
            <w:r>
              <w:rPr>
                <w:rFonts w:hint="eastAsia" w:ascii="宋体" w:hAnsi="宋体" w:eastAsia="宋体" w:cs="宋体"/>
                <w:sz w:val="24"/>
                <w:szCs w:val="24"/>
                <w:highlight w:val="none"/>
                <w:lang w:val="en-US" w:eastAsia="zh-CN"/>
              </w:rPr>
              <w:t>具备工程设计综合资质甲级资质，</w:t>
            </w:r>
            <w:r>
              <w:rPr>
                <w:rFonts w:hint="eastAsia" w:ascii="宋体" w:hAnsi="宋体" w:eastAsia="宋体" w:cs="宋体"/>
                <w:b/>
                <w:bCs/>
                <w:sz w:val="24"/>
                <w:szCs w:val="24"/>
                <w:highlight w:val="none"/>
                <w:lang w:val="en-US" w:eastAsia="zh-CN"/>
              </w:rPr>
              <w:t>①②③</w:t>
            </w:r>
            <w:r>
              <w:rPr>
                <w:rFonts w:hint="eastAsia" w:hAnsi="宋体" w:cs="宋体"/>
                <w:b/>
                <w:bCs/>
                <w:sz w:val="24"/>
                <w:szCs w:val="24"/>
                <w:highlight w:val="none"/>
                <w:lang w:val="en-US" w:eastAsia="zh-CN"/>
              </w:rPr>
              <w:t>满意其中一种即可</w:t>
            </w:r>
            <w:r>
              <w:rPr>
                <w:rFonts w:hint="eastAsia" w:hAnsi="宋体" w:cs="宋体"/>
                <w:sz w:val="24"/>
                <w:szCs w:val="24"/>
                <w:highlight w:val="none"/>
                <w:lang w:val="en-US" w:eastAsia="zh-CN"/>
              </w:rPr>
              <w:t>。</w:t>
            </w:r>
            <w:r>
              <w:rPr>
                <w:rFonts w:hint="eastAsia" w:ascii="宋体" w:hAnsi="宋体" w:eastAsia="宋体" w:cs="宋体"/>
                <w:sz w:val="24"/>
                <w:szCs w:val="24"/>
                <w:highlight w:val="none"/>
                <w:lang w:val="en-US" w:eastAsia="zh-CN"/>
              </w:rPr>
              <w:t>拟派项目负责人须具有高级及以上技术职称，并提供有效的劳动合同及2024年01月以来任意三个月社会保障金缴纳证明；</w:t>
            </w:r>
          </w:p>
          <w:p w14:paraId="36A0539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cs="宋体"/>
                <w:sz w:val="24"/>
                <w:szCs w:val="24"/>
                <w:highlight w:val="none"/>
              </w:rPr>
              <w:t>根据《关于在政府采购活动中查询及使用信用记录有关问题的通知》(财库[2016]125号)的规定，对列入失信被执行人、重大税收违法失信主体、政府采购严重违法失信行为记录名单的供应商，拒绝参与本项目招标活动；【查询渠道：“信用中国”网站（www.creditchina.gov.cn）、中国执行信息公开网（http://zxgk.court.gov.cn）、中国政府采购网（www.ccgp.gov.cn）】，查询主体（投标供应商），提供查询结果截图并加盖单位公章（查询日期须在公告发布之日后）</w:t>
            </w:r>
            <w:r>
              <w:rPr>
                <w:rFonts w:hint="eastAsia" w:ascii="宋体" w:hAnsi="宋体" w:cs="宋体"/>
                <w:sz w:val="24"/>
                <w:szCs w:val="24"/>
                <w:highlight w:val="none"/>
                <w:lang w:eastAsia="zh-CN"/>
              </w:rPr>
              <w:t>。</w:t>
            </w:r>
          </w:p>
        </w:tc>
      </w:tr>
      <w:tr w14:paraId="3532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317235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w:t>
            </w:r>
          </w:p>
        </w:tc>
        <w:tc>
          <w:tcPr>
            <w:tcW w:w="2361" w:type="dxa"/>
            <w:tcBorders>
              <w:top w:val="single" w:color="auto" w:sz="4" w:space="0"/>
            </w:tcBorders>
            <w:noWrap w:val="0"/>
            <w:vAlign w:val="center"/>
          </w:tcPr>
          <w:p w14:paraId="51EFCA27">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是否接受联合体</w:t>
            </w:r>
          </w:p>
        </w:tc>
        <w:tc>
          <w:tcPr>
            <w:tcW w:w="6274" w:type="dxa"/>
            <w:tcBorders>
              <w:top w:val="single" w:color="auto" w:sz="4" w:space="0"/>
            </w:tcBorders>
            <w:noWrap w:val="0"/>
            <w:vAlign w:val="center"/>
          </w:tcPr>
          <w:p w14:paraId="59DB896C">
            <w:pPr>
              <w:pStyle w:val="23"/>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不接受</w:t>
            </w:r>
          </w:p>
        </w:tc>
      </w:tr>
      <w:tr w14:paraId="7E21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8022F5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w:t>
            </w:r>
          </w:p>
        </w:tc>
        <w:tc>
          <w:tcPr>
            <w:tcW w:w="2361" w:type="dxa"/>
            <w:tcBorders>
              <w:top w:val="single" w:color="auto" w:sz="4" w:space="0"/>
            </w:tcBorders>
            <w:noWrap w:val="0"/>
            <w:vAlign w:val="center"/>
          </w:tcPr>
          <w:p w14:paraId="23642D13">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现场踏勘</w:t>
            </w:r>
          </w:p>
        </w:tc>
        <w:tc>
          <w:tcPr>
            <w:tcW w:w="6274" w:type="dxa"/>
            <w:tcBorders>
              <w:top w:val="single" w:color="auto" w:sz="4" w:space="0"/>
            </w:tcBorders>
            <w:noWrap w:val="0"/>
            <w:vAlign w:val="center"/>
          </w:tcPr>
          <w:p w14:paraId="381C91EE">
            <w:pPr>
              <w:pStyle w:val="23"/>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自行踏勘</w:t>
            </w:r>
          </w:p>
        </w:tc>
      </w:tr>
      <w:tr w14:paraId="56CD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5162A17">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p>
        </w:tc>
        <w:tc>
          <w:tcPr>
            <w:tcW w:w="2361" w:type="dxa"/>
            <w:tcBorders>
              <w:top w:val="single" w:color="auto" w:sz="4" w:space="0"/>
            </w:tcBorders>
            <w:noWrap w:val="0"/>
            <w:vAlign w:val="center"/>
          </w:tcPr>
          <w:p w14:paraId="3D1B1A0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6274" w:type="dxa"/>
            <w:tcBorders>
              <w:top w:val="single" w:color="auto" w:sz="4" w:space="0"/>
            </w:tcBorders>
            <w:noWrap w:val="0"/>
            <w:vAlign w:val="center"/>
          </w:tcPr>
          <w:p w14:paraId="232DA53F">
            <w:pPr>
              <w:pStyle w:val="23"/>
              <w:keepNext w:val="0"/>
              <w:keepLines w:val="0"/>
              <w:pageBreakBefore w:val="0"/>
              <w:suppressLineNumbers w:val="0"/>
              <w:kinsoku/>
              <w:wordWrap w:val="0"/>
              <w:overflowPunct/>
              <w:topLinePunct/>
              <w:bidi w:val="0"/>
              <w:adjustRightInd w:val="0"/>
              <w:spacing w:before="0" w:beforeAutospacing="0" w:after="0" w:afterAutospacing="0" w:line="340" w:lineRule="exact"/>
              <w:ind w:left="0" w:right="0" w:firstLine="0" w:firstLineChars="0"/>
              <w:jc w:val="left"/>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不允许分包</w:t>
            </w:r>
          </w:p>
        </w:tc>
      </w:tr>
      <w:tr w14:paraId="2F34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1169D33E">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361" w:type="dxa"/>
            <w:tcBorders>
              <w:top w:val="single" w:color="auto" w:sz="4" w:space="0"/>
            </w:tcBorders>
            <w:noWrap w:val="0"/>
            <w:vAlign w:val="center"/>
          </w:tcPr>
          <w:p w14:paraId="7EAEEE9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构成磋商文件</w:t>
            </w:r>
          </w:p>
          <w:p w14:paraId="20288014">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的其他材料</w:t>
            </w:r>
          </w:p>
        </w:tc>
        <w:tc>
          <w:tcPr>
            <w:tcW w:w="6274" w:type="dxa"/>
            <w:tcBorders>
              <w:top w:val="single" w:color="auto" w:sz="4" w:space="0"/>
            </w:tcBorders>
            <w:noWrap w:val="0"/>
            <w:vAlign w:val="center"/>
          </w:tcPr>
          <w:p w14:paraId="2DC7E1A0">
            <w:pPr>
              <w:keepNext w:val="0"/>
              <w:keepLines w:val="0"/>
              <w:pageBreakBefore w:val="0"/>
              <w:suppressLineNumbers w:val="0"/>
              <w:kinsoku/>
              <w:wordWrap w:val="0"/>
              <w:overflowPunct/>
              <w:bidi w:val="0"/>
              <w:spacing w:before="0" w:beforeAutospacing="0" w:after="0" w:afterAutospacing="0" w:line="32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除磋商文件外，采购人在磋商期间发出的澄清、修改、补充、补遗和其它有效正式函件等内容均是磋商文件的组成部分</w:t>
            </w:r>
          </w:p>
        </w:tc>
      </w:tr>
      <w:tr w14:paraId="3CED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02AFE41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361" w:type="dxa"/>
            <w:tcBorders>
              <w:top w:val="single" w:color="auto" w:sz="4" w:space="0"/>
            </w:tcBorders>
            <w:noWrap w:val="0"/>
            <w:vAlign w:val="center"/>
          </w:tcPr>
          <w:p w14:paraId="1B70C09E">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采购人澄清磋商文件的截止时间</w:t>
            </w:r>
          </w:p>
        </w:tc>
        <w:tc>
          <w:tcPr>
            <w:tcW w:w="6274" w:type="dxa"/>
            <w:tcBorders>
              <w:top w:val="single" w:color="auto" w:sz="4" w:space="0"/>
            </w:tcBorders>
            <w:noWrap w:val="0"/>
            <w:vAlign w:val="center"/>
          </w:tcPr>
          <w:p w14:paraId="691712DD">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递交响应文件截止之日</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天前</w:t>
            </w:r>
          </w:p>
        </w:tc>
      </w:tr>
      <w:tr w14:paraId="28EC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58DFF99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2.2.3</w:t>
            </w:r>
          </w:p>
        </w:tc>
        <w:tc>
          <w:tcPr>
            <w:tcW w:w="2361" w:type="dxa"/>
            <w:tcBorders>
              <w:top w:val="single" w:color="auto" w:sz="4" w:space="0"/>
            </w:tcBorders>
            <w:noWrap w:val="0"/>
            <w:vAlign w:val="center"/>
          </w:tcPr>
          <w:p w14:paraId="7904F6B5">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供应商确认收到磋商文件澄清的时间</w:t>
            </w:r>
          </w:p>
        </w:tc>
        <w:tc>
          <w:tcPr>
            <w:tcW w:w="6274" w:type="dxa"/>
            <w:tcBorders>
              <w:top w:val="single" w:color="auto" w:sz="4" w:space="0"/>
            </w:tcBorders>
            <w:noWrap w:val="0"/>
            <w:vAlign w:val="center"/>
          </w:tcPr>
          <w:p w14:paraId="7E3DF181">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在收到相应澄清文件后</w:t>
            </w:r>
            <w:r>
              <w:rPr>
                <w:rFonts w:hint="eastAsia" w:asciiTheme="minorEastAsia" w:hAnsiTheme="minorEastAsia" w:eastAsiaTheme="minorEastAsia" w:cstheme="minorEastAsia"/>
                <w:color w:val="auto"/>
                <w:sz w:val="24"/>
                <w:szCs w:val="24"/>
                <w:highlight w:val="none"/>
                <w:u w:val="single"/>
              </w:rPr>
              <w:t xml:space="preserve"> 24 </w:t>
            </w:r>
            <w:r>
              <w:rPr>
                <w:rFonts w:hint="eastAsia" w:asciiTheme="minorEastAsia" w:hAnsiTheme="minorEastAsia" w:eastAsiaTheme="minorEastAsia" w:cstheme="minorEastAsia"/>
                <w:color w:val="auto"/>
                <w:sz w:val="24"/>
                <w:szCs w:val="24"/>
                <w:highlight w:val="none"/>
              </w:rPr>
              <w:t>小时内</w:t>
            </w:r>
          </w:p>
        </w:tc>
      </w:tr>
      <w:tr w14:paraId="2647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tcBorders>
              <w:top w:val="single" w:color="auto" w:sz="4" w:space="0"/>
            </w:tcBorders>
            <w:noWrap w:val="0"/>
            <w:vAlign w:val="center"/>
          </w:tcPr>
          <w:p w14:paraId="74EB7E44">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w:t>
            </w:r>
          </w:p>
        </w:tc>
        <w:tc>
          <w:tcPr>
            <w:tcW w:w="2361" w:type="dxa"/>
            <w:tcBorders>
              <w:top w:val="single" w:color="auto" w:sz="4" w:space="0"/>
            </w:tcBorders>
            <w:noWrap w:val="0"/>
            <w:vAlign w:val="center"/>
          </w:tcPr>
          <w:p w14:paraId="35495972">
            <w:pPr>
              <w:keepNext w:val="0"/>
              <w:keepLines w:val="0"/>
              <w:pageBreakBefore w:val="0"/>
              <w:suppressLineNumbers w:val="0"/>
              <w:kinsoku/>
              <w:wordWrap w:val="0"/>
              <w:overflowPunct/>
              <w:bidi w:val="0"/>
              <w:spacing w:before="0" w:beforeAutospacing="0" w:after="0" w:afterAutospacing="0" w:line="34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供应商确认收到磋商文件修改的时间</w:t>
            </w:r>
          </w:p>
        </w:tc>
        <w:tc>
          <w:tcPr>
            <w:tcW w:w="6274" w:type="dxa"/>
            <w:tcBorders>
              <w:top w:val="single" w:color="auto" w:sz="4" w:space="0"/>
            </w:tcBorders>
            <w:noWrap w:val="0"/>
            <w:vAlign w:val="center"/>
          </w:tcPr>
          <w:p w14:paraId="5302C7FB">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在收到相应修改文件后</w:t>
            </w:r>
            <w:r>
              <w:rPr>
                <w:rFonts w:hint="eastAsia" w:asciiTheme="minorEastAsia" w:hAnsiTheme="minorEastAsia" w:eastAsiaTheme="minorEastAsia" w:cstheme="minorEastAsia"/>
                <w:color w:val="auto"/>
                <w:sz w:val="24"/>
                <w:szCs w:val="24"/>
                <w:highlight w:val="none"/>
                <w:u w:val="single"/>
              </w:rPr>
              <w:t xml:space="preserve"> 24 </w:t>
            </w:r>
            <w:r>
              <w:rPr>
                <w:rFonts w:hint="eastAsia" w:asciiTheme="minorEastAsia" w:hAnsiTheme="minorEastAsia" w:eastAsiaTheme="minorEastAsia" w:cstheme="minorEastAsia"/>
                <w:color w:val="auto"/>
                <w:sz w:val="24"/>
                <w:szCs w:val="24"/>
                <w:highlight w:val="none"/>
              </w:rPr>
              <w:t>小时内</w:t>
            </w:r>
          </w:p>
        </w:tc>
      </w:tr>
      <w:tr w14:paraId="21E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4D1B4DE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w:t>
            </w:r>
          </w:p>
        </w:tc>
        <w:tc>
          <w:tcPr>
            <w:tcW w:w="2361" w:type="dxa"/>
            <w:tcBorders>
              <w:bottom w:val="single" w:color="auto" w:sz="4" w:space="0"/>
            </w:tcBorders>
            <w:noWrap w:val="0"/>
            <w:vAlign w:val="center"/>
          </w:tcPr>
          <w:p w14:paraId="3BE31C1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构成响应文件的其他材料</w:t>
            </w:r>
          </w:p>
        </w:tc>
        <w:tc>
          <w:tcPr>
            <w:tcW w:w="6274" w:type="dxa"/>
            <w:tcBorders>
              <w:bottom w:val="single" w:color="auto" w:sz="4" w:space="0"/>
            </w:tcBorders>
            <w:noWrap w:val="0"/>
            <w:vAlign w:val="center"/>
          </w:tcPr>
          <w:p w14:paraId="6ED85E0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供应商认为其他所需要补充的内容</w:t>
            </w:r>
          </w:p>
        </w:tc>
      </w:tr>
      <w:tr w14:paraId="22B2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651D748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3.2.1</w:t>
            </w:r>
          </w:p>
        </w:tc>
        <w:tc>
          <w:tcPr>
            <w:tcW w:w="2361" w:type="dxa"/>
            <w:noWrap w:val="0"/>
            <w:vAlign w:val="center"/>
          </w:tcPr>
          <w:p w14:paraId="0C1B4BE3">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磋商报价</w:t>
            </w:r>
          </w:p>
        </w:tc>
        <w:tc>
          <w:tcPr>
            <w:tcW w:w="6274" w:type="dxa"/>
            <w:noWrap w:val="0"/>
            <w:vAlign w:val="center"/>
          </w:tcPr>
          <w:p w14:paraId="5826BDB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自主报价</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超出最高限价的文件为无效文件</w:t>
            </w:r>
          </w:p>
        </w:tc>
      </w:tr>
      <w:tr w14:paraId="1991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043C153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3.3.1</w:t>
            </w:r>
          </w:p>
        </w:tc>
        <w:tc>
          <w:tcPr>
            <w:tcW w:w="2361" w:type="dxa"/>
            <w:noWrap w:val="0"/>
            <w:vAlign w:val="center"/>
          </w:tcPr>
          <w:p w14:paraId="57CEE93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磋商有效期</w:t>
            </w:r>
          </w:p>
        </w:tc>
        <w:tc>
          <w:tcPr>
            <w:tcW w:w="6274" w:type="dxa"/>
            <w:noWrap w:val="0"/>
            <w:vAlign w:val="center"/>
          </w:tcPr>
          <w:p w14:paraId="2B9004C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60日历天（从磋商截止之日算起）</w:t>
            </w:r>
          </w:p>
        </w:tc>
      </w:tr>
      <w:tr w14:paraId="6D13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024C278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p>
        </w:tc>
        <w:tc>
          <w:tcPr>
            <w:tcW w:w="2361" w:type="dxa"/>
            <w:noWrap w:val="0"/>
            <w:vAlign w:val="center"/>
          </w:tcPr>
          <w:p w14:paraId="1EAA379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响应文件签字和盖章</w:t>
            </w:r>
          </w:p>
          <w:p w14:paraId="480A0E4E">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要求</w:t>
            </w:r>
          </w:p>
        </w:tc>
        <w:tc>
          <w:tcPr>
            <w:tcW w:w="6274" w:type="dxa"/>
            <w:noWrap w:val="0"/>
            <w:vAlign w:val="center"/>
          </w:tcPr>
          <w:p w14:paraId="20FB29DC">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360"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1、响应文件格式中所有要求供应商加盖公章的地方都须加盖供应商的 CA 印章。</w:t>
            </w:r>
          </w:p>
          <w:p w14:paraId="28DA505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360"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2、所有要求法定代表人或其委托代理人签字的地方都须法定代表人或其委托代理人加盖CA印章或签字。</w:t>
            </w:r>
          </w:p>
        </w:tc>
      </w:tr>
      <w:tr w14:paraId="5B3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04E9EEE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w:t>
            </w:r>
          </w:p>
        </w:tc>
        <w:tc>
          <w:tcPr>
            <w:tcW w:w="2361" w:type="dxa"/>
            <w:noWrap w:val="0"/>
            <w:vAlign w:val="center"/>
          </w:tcPr>
          <w:p w14:paraId="52C4808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响应文件份数及其他</w:t>
            </w:r>
          </w:p>
          <w:p w14:paraId="0BCEF79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要求</w:t>
            </w:r>
          </w:p>
        </w:tc>
        <w:tc>
          <w:tcPr>
            <w:tcW w:w="6274" w:type="dxa"/>
            <w:noWrap w:val="0"/>
            <w:vAlign w:val="center"/>
          </w:tcPr>
          <w:p w14:paraId="2B30DBE1">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加密的电子响应文件壹份（在</w:t>
            </w:r>
            <w:r>
              <w:rPr>
                <w:rFonts w:hint="eastAsia" w:asciiTheme="minorEastAsia" w:hAnsiTheme="minorEastAsia" w:eastAsiaTheme="minorEastAsia" w:cstheme="minorEastAsia"/>
                <w:color w:val="auto"/>
                <w:kern w:val="0"/>
                <w:sz w:val="24"/>
                <w:szCs w:val="24"/>
                <w:highlight w:val="none"/>
                <w:lang w:eastAsia="zh-CN"/>
              </w:rPr>
              <w:t>固始县公共资源交易</w:t>
            </w:r>
            <w:r>
              <w:rPr>
                <w:rFonts w:hint="eastAsia" w:asciiTheme="minorEastAsia" w:hAnsiTheme="minorEastAsia" w:eastAsiaTheme="minorEastAsia" w:cstheme="minorEastAsia"/>
                <w:color w:val="auto"/>
                <w:kern w:val="0"/>
                <w:sz w:val="24"/>
                <w:szCs w:val="24"/>
                <w:highlight w:val="none"/>
              </w:rPr>
              <w:t>系统指定位置上传）</w:t>
            </w:r>
          </w:p>
        </w:tc>
      </w:tr>
      <w:tr w14:paraId="34A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37F8804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p>
        </w:tc>
        <w:tc>
          <w:tcPr>
            <w:tcW w:w="2361" w:type="dxa"/>
            <w:noWrap w:val="0"/>
            <w:vAlign w:val="center"/>
          </w:tcPr>
          <w:p w14:paraId="78E5669B">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响应文件递交</w:t>
            </w:r>
          </w:p>
        </w:tc>
        <w:tc>
          <w:tcPr>
            <w:tcW w:w="6274" w:type="dxa"/>
            <w:noWrap w:val="0"/>
            <w:vAlign w:val="center"/>
          </w:tcPr>
          <w:p w14:paraId="1990325F">
            <w:pPr>
              <w:keepNext w:val="0"/>
              <w:keepLines w:val="0"/>
              <w:pageBreakBefore w:val="0"/>
              <w:suppressLineNumbers w:val="0"/>
              <w:kinsoku/>
              <w:wordWrap w:val="0"/>
              <w:overflowPunct/>
              <w:bidi w:val="0"/>
              <w:adjustRightInd w:val="0"/>
              <w:spacing w:before="72" w:beforeLines="30" w:beforeAutospacing="0" w:after="0" w:afterAutospacing="0" w:line="360" w:lineRule="auto"/>
              <w:ind w:left="21" w:leftChars="10" w:right="21" w:rightChars="1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1、电子响应文件的递交</w:t>
            </w:r>
          </w:p>
          <w:p w14:paraId="59E2DFFE">
            <w:pPr>
              <w:keepNext w:val="0"/>
              <w:keepLines w:val="0"/>
              <w:pageBreakBefore w:val="0"/>
              <w:suppressLineNumbers w:val="0"/>
              <w:kinsoku/>
              <w:wordWrap w:val="0"/>
              <w:overflowPunct/>
              <w:bidi w:val="0"/>
              <w:adjustRightInd w:val="0"/>
              <w:spacing w:before="72" w:beforeLines="30" w:beforeAutospacing="0" w:after="0" w:afterAutospacing="0" w:line="360" w:lineRule="auto"/>
              <w:ind w:left="21" w:leftChars="10" w:right="21" w:rightChars="1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各供应商应在投标截止时间前上传加密的电子响应文件到</w:t>
            </w:r>
            <w:r>
              <w:rPr>
                <w:rFonts w:hint="eastAsia" w:asciiTheme="minorEastAsia" w:hAnsiTheme="minorEastAsia" w:eastAsiaTheme="minorEastAsia" w:cstheme="minorEastAsia"/>
                <w:color w:val="auto"/>
                <w:sz w:val="24"/>
                <w:szCs w:val="24"/>
                <w:highlight w:val="none"/>
                <w:lang w:eastAsia="zh-CN"/>
              </w:rPr>
              <w:t>固始县公共资源交易</w:t>
            </w:r>
            <w:r>
              <w:rPr>
                <w:rFonts w:hint="eastAsia" w:asciiTheme="minorEastAsia" w:hAnsiTheme="minorEastAsia" w:eastAsiaTheme="minorEastAsia" w:cstheme="minorEastAsia"/>
                <w:color w:val="auto"/>
                <w:sz w:val="24"/>
                <w:szCs w:val="24"/>
                <w:highlight w:val="none"/>
              </w:rPr>
              <w:t>系统的指定位置。上传时必须得到交易系统“上传成功”的确认回复后方为上传成功。请供应商在上传前务必认真检查上传响应文件是否完整、正确。</w:t>
            </w:r>
          </w:p>
          <w:p w14:paraId="2D5B043A">
            <w:pPr>
              <w:keepNext w:val="0"/>
              <w:keepLines w:val="0"/>
              <w:pageBreakBefore w:val="0"/>
              <w:suppressLineNumbers w:val="0"/>
              <w:kinsoku/>
              <w:wordWrap w:val="0"/>
              <w:overflowPunct/>
              <w:bidi w:val="0"/>
              <w:spacing w:before="72" w:beforeLines="30" w:beforeAutospacing="0" w:after="0" w:afterAutospacing="0" w:line="360"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2、本项目采用“不见面开标”交易方式，不见面开标大厅网址为</w:t>
            </w:r>
            <w:r>
              <w:rPr>
                <w:rFonts w:hint="eastAsia" w:asciiTheme="minorEastAsia" w:hAnsiTheme="minorEastAsia" w:eastAsiaTheme="minorEastAsia" w:cstheme="minorEastAsia"/>
                <w:color w:val="auto"/>
                <w:kern w:val="0"/>
                <w:sz w:val="24"/>
                <w:szCs w:val="24"/>
                <w:highlight w:val="none"/>
                <w:lang w:eastAsia="zh-CN"/>
              </w:rPr>
              <w:t>https://ggzyjy.xinyang.gov.cn/BidOpening/bidhall/xinyang/login.html</w:t>
            </w:r>
            <w:r>
              <w:rPr>
                <w:rFonts w:hint="eastAsia" w:asciiTheme="minorEastAsia" w:hAnsiTheme="minorEastAsia" w:eastAsiaTheme="minorEastAsia" w:cstheme="minorEastAsia"/>
                <w:color w:val="auto"/>
                <w:kern w:val="0"/>
                <w:sz w:val="24"/>
                <w:szCs w:val="24"/>
                <w:highlight w:val="none"/>
              </w:rPr>
              <w:t>，供应商无需寄送和递交非加密的电子响应文件，无需到现场参加开标会议，无需到达现场提交原件资料。</w:t>
            </w:r>
          </w:p>
        </w:tc>
      </w:tr>
      <w:tr w14:paraId="6CE8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58269964">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2361" w:type="dxa"/>
            <w:noWrap w:val="0"/>
            <w:vAlign w:val="center"/>
          </w:tcPr>
          <w:p w14:paraId="2EE2272A">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提交响应文件截止时间</w:t>
            </w:r>
          </w:p>
        </w:tc>
        <w:tc>
          <w:tcPr>
            <w:tcW w:w="6274" w:type="dxa"/>
            <w:noWrap w:val="0"/>
            <w:vAlign w:val="center"/>
          </w:tcPr>
          <w:p w14:paraId="789EF080">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 xml:space="preserve"> 11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 xml:space="preserve"> 19 </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08时30分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lang w:eastAsia="zh-CN"/>
              </w:rPr>
              <w:t>）</w:t>
            </w:r>
          </w:p>
        </w:tc>
      </w:tr>
      <w:tr w14:paraId="495E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7284F0A2">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w:t>
            </w:r>
          </w:p>
        </w:tc>
        <w:tc>
          <w:tcPr>
            <w:tcW w:w="2361" w:type="dxa"/>
            <w:noWrap w:val="0"/>
            <w:vAlign w:val="center"/>
          </w:tcPr>
          <w:p w14:paraId="6013FBD6">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磋商时间和地点</w:t>
            </w:r>
          </w:p>
        </w:tc>
        <w:tc>
          <w:tcPr>
            <w:tcW w:w="6274" w:type="dxa"/>
            <w:noWrap w:val="0"/>
            <w:vAlign w:val="center"/>
          </w:tcPr>
          <w:p w14:paraId="5FD0D6FB">
            <w:pPr>
              <w:keepNext w:val="0"/>
              <w:keepLines w:val="0"/>
              <w:pageBreakBefore w:val="0"/>
              <w:suppressLineNumbers w:val="0"/>
              <w:kinsoku/>
              <w:wordWrap w:val="0"/>
              <w:overflowPunct/>
              <w:autoSpaceDE w:val="0"/>
              <w:autoSpaceDN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磋商</w:t>
            </w:r>
            <w:r>
              <w:rPr>
                <w:rFonts w:hint="eastAsia" w:asciiTheme="minorEastAsia" w:hAnsiTheme="minorEastAsia" w:eastAsiaTheme="minorEastAsia" w:cstheme="minorEastAsia"/>
                <w:color w:val="auto"/>
                <w:kern w:val="0"/>
                <w:sz w:val="24"/>
                <w:szCs w:val="24"/>
                <w:highlight w:val="none"/>
              </w:rPr>
              <w:t>时间：同</w:t>
            </w:r>
            <w:r>
              <w:rPr>
                <w:rFonts w:hint="eastAsia" w:asciiTheme="minorEastAsia" w:hAnsiTheme="minorEastAsia" w:eastAsiaTheme="minorEastAsia" w:cstheme="minorEastAsia"/>
                <w:color w:val="auto"/>
                <w:sz w:val="24"/>
                <w:szCs w:val="24"/>
                <w:highlight w:val="none"/>
              </w:rPr>
              <w:t>响应文件提交</w:t>
            </w:r>
            <w:r>
              <w:rPr>
                <w:rFonts w:hint="eastAsia" w:asciiTheme="minorEastAsia" w:hAnsiTheme="minorEastAsia" w:eastAsiaTheme="minorEastAsia" w:cstheme="minorEastAsia"/>
                <w:color w:val="auto"/>
                <w:kern w:val="0"/>
                <w:sz w:val="24"/>
                <w:szCs w:val="24"/>
                <w:highlight w:val="none"/>
              </w:rPr>
              <w:t>截止时间</w:t>
            </w:r>
          </w:p>
          <w:p w14:paraId="675FA48C">
            <w:pPr>
              <w:keepNext w:val="0"/>
              <w:keepLines w:val="0"/>
              <w:pageBreakBefore w:val="0"/>
              <w:suppressLineNumbers w:val="0"/>
              <w:kinsoku/>
              <w:wordWrap w:val="0"/>
              <w:overflowPunct/>
              <w:bidi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磋商</w:t>
            </w:r>
            <w:r>
              <w:rPr>
                <w:rFonts w:hint="eastAsia" w:asciiTheme="minorEastAsia" w:hAnsiTheme="minorEastAsia" w:eastAsiaTheme="minorEastAsia" w:cstheme="minorEastAsia"/>
                <w:color w:val="auto"/>
                <w:kern w:val="0"/>
                <w:sz w:val="24"/>
                <w:szCs w:val="24"/>
                <w:highlight w:val="none"/>
              </w:rPr>
              <w:t>地点：</w:t>
            </w:r>
            <w:r>
              <w:rPr>
                <w:rFonts w:hint="eastAsia" w:asciiTheme="minorEastAsia" w:hAnsiTheme="minorEastAsia" w:eastAsiaTheme="minorEastAsia" w:cstheme="minorEastAsia"/>
                <w:color w:val="auto"/>
                <w:kern w:val="0"/>
                <w:sz w:val="24"/>
                <w:szCs w:val="24"/>
                <w:highlight w:val="none"/>
                <w:lang w:eastAsia="zh-CN"/>
              </w:rPr>
              <w:t>固始县公共资源交易中心六楼不见面第</w:t>
            </w:r>
            <w:r>
              <w:rPr>
                <w:rFonts w:hint="eastAsia" w:asciiTheme="minorEastAsia" w:hAnsiTheme="minorEastAsia" w:eastAsiaTheme="minorEastAsia" w:cstheme="minorEastAsia"/>
                <w:color w:val="auto"/>
                <w:kern w:val="0"/>
                <w:sz w:val="24"/>
                <w:szCs w:val="24"/>
                <w:highlight w:val="none"/>
                <w:lang w:val="en-US" w:eastAsia="zh-CN"/>
              </w:rPr>
              <w:t xml:space="preserve"> 3 </w:t>
            </w:r>
            <w:r>
              <w:rPr>
                <w:rFonts w:hint="eastAsia" w:asciiTheme="minorEastAsia" w:hAnsiTheme="minorEastAsia" w:eastAsiaTheme="minorEastAsia" w:cstheme="minorEastAsia"/>
                <w:color w:val="auto"/>
                <w:kern w:val="0"/>
                <w:sz w:val="24"/>
                <w:szCs w:val="24"/>
                <w:highlight w:val="none"/>
                <w:lang w:eastAsia="zh-CN"/>
              </w:rPr>
              <w:t>开标室</w:t>
            </w:r>
          </w:p>
        </w:tc>
      </w:tr>
      <w:tr w14:paraId="652A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14:paraId="223E641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w:t>
            </w:r>
          </w:p>
        </w:tc>
        <w:tc>
          <w:tcPr>
            <w:tcW w:w="2361" w:type="dxa"/>
            <w:noWrap w:val="0"/>
            <w:vAlign w:val="center"/>
          </w:tcPr>
          <w:p w14:paraId="13F4D07A">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评标委员会的组建</w:t>
            </w:r>
          </w:p>
        </w:tc>
        <w:tc>
          <w:tcPr>
            <w:tcW w:w="6274" w:type="dxa"/>
            <w:noWrap w:val="0"/>
            <w:vAlign w:val="center"/>
          </w:tcPr>
          <w:p w14:paraId="41CECAC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磋商小组构成：</w:t>
            </w:r>
            <w:r>
              <w:rPr>
                <w:rFonts w:hint="eastAsia" w:asciiTheme="minorEastAsia" w:hAnsiTheme="minorEastAsia" w:eastAsiaTheme="minorEastAsia" w:cstheme="minorEastAsia"/>
                <w:color w:val="auto"/>
                <w:kern w:val="0"/>
                <w:sz w:val="24"/>
                <w:szCs w:val="24"/>
                <w:highlight w:val="none"/>
                <w:u w:val="single"/>
              </w:rPr>
              <w:t xml:space="preserve"> 3 </w:t>
            </w:r>
            <w:r>
              <w:rPr>
                <w:rFonts w:hint="eastAsia" w:asciiTheme="minorEastAsia" w:hAnsiTheme="minorEastAsia" w:eastAsiaTheme="minorEastAsia" w:cstheme="minorEastAsia"/>
                <w:color w:val="auto"/>
                <w:kern w:val="0"/>
                <w:sz w:val="24"/>
                <w:szCs w:val="24"/>
                <w:highlight w:val="none"/>
              </w:rPr>
              <w:t>人，其中业主评委</w:t>
            </w:r>
            <w:r>
              <w:rPr>
                <w:rFonts w:hint="eastAsia" w:asciiTheme="minorEastAsia" w:hAnsiTheme="minorEastAsia" w:eastAsiaTheme="minorEastAsia" w:cstheme="minorEastAsia"/>
                <w:color w:val="auto"/>
                <w:kern w:val="0"/>
                <w:sz w:val="24"/>
                <w:szCs w:val="24"/>
                <w:highlight w:val="none"/>
                <w:u w:val="single"/>
              </w:rPr>
              <w:t xml:space="preserve"> 1 </w:t>
            </w:r>
            <w:r>
              <w:rPr>
                <w:rFonts w:hint="eastAsia" w:asciiTheme="minorEastAsia" w:hAnsiTheme="minorEastAsia" w:eastAsiaTheme="minorEastAsia" w:cstheme="minorEastAsia"/>
                <w:color w:val="auto"/>
                <w:kern w:val="0"/>
                <w:sz w:val="24"/>
                <w:szCs w:val="24"/>
                <w:highlight w:val="none"/>
              </w:rPr>
              <w:t>人，技术、经济类专家</w:t>
            </w:r>
            <w:r>
              <w:rPr>
                <w:rFonts w:hint="eastAsia" w:asciiTheme="minorEastAsia" w:hAnsiTheme="minorEastAsia" w:eastAsiaTheme="minorEastAsia" w:cstheme="minorEastAsia"/>
                <w:color w:val="auto"/>
                <w:kern w:val="0"/>
                <w:sz w:val="24"/>
                <w:szCs w:val="24"/>
                <w:highlight w:val="none"/>
                <w:u w:val="single"/>
              </w:rPr>
              <w:t xml:space="preserve"> 2 </w:t>
            </w:r>
            <w:r>
              <w:rPr>
                <w:rFonts w:hint="eastAsia" w:asciiTheme="minorEastAsia" w:hAnsiTheme="minorEastAsia" w:eastAsiaTheme="minorEastAsia" w:cstheme="minorEastAsia"/>
                <w:color w:val="auto"/>
                <w:kern w:val="0"/>
                <w:sz w:val="24"/>
                <w:szCs w:val="24"/>
                <w:highlight w:val="none"/>
              </w:rPr>
              <w:t>人；</w:t>
            </w:r>
          </w:p>
          <w:p w14:paraId="013C1BF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专家确定方式：从政府采购评审专家库信阳区分库中随机抽取。</w:t>
            </w:r>
          </w:p>
        </w:tc>
      </w:tr>
      <w:tr w14:paraId="4C3A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31A99B1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7.1</w:t>
            </w:r>
          </w:p>
        </w:tc>
        <w:tc>
          <w:tcPr>
            <w:tcW w:w="2361" w:type="dxa"/>
            <w:noWrap w:val="0"/>
            <w:vAlign w:val="center"/>
          </w:tcPr>
          <w:p w14:paraId="4896998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是否授权评标委员会确定中标人</w:t>
            </w:r>
          </w:p>
        </w:tc>
        <w:tc>
          <w:tcPr>
            <w:tcW w:w="6274" w:type="dxa"/>
            <w:noWrap w:val="0"/>
            <w:vAlign w:val="center"/>
          </w:tcPr>
          <w:p w14:paraId="6D5B8260">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否，推荐3名中标候选人。</w:t>
            </w:r>
          </w:p>
        </w:tc>
      </w:tr>
      <w:tr w14:paraId="3972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6" w:type="dxa"/>
            <w:noWrap w:val="0"/>
            <w:vAlign w:val="center"/>
          </w:tcPr>
          <w:p w14:paraId="1B7725B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w:t>
            </w:r>
          </w:p>
        </w:tc>
        <w:tc>
          <w:tcPr>
            <w:tcW w:w="2361" w:type="dxa"/>
            <w:noWrap w:val="0"/>
            <w:vAlign w:val="center"/>
          </w:tcPr>
          <w:p w14:paraId="37AFDB9F">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履约保证金</w:t>
            </w:r>
          </w:p>
        </w:tc>
        <w:tc>
          <w:tcPr>
            <w:tcW w:w="6274" w:type="dxa"/>
            <w:noWrap w:val="0"/>
            <w:vAlign w:val="center"/>
          </w:tcPr>
          <w:p w14:paraId="5EE15DBD">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43CD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51" w:type="dxa"/>
            <w:gridSpan w:val="3"/>
            <w:noWrap w:val="0"/>
            <w:vAlign w:val="center"/>
          </w:tcPr>
          <w:p w14:paraId="40E6FBA5">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需要补充的其他内容</w:t>
            </w:r>
          </w:p>
        </w:tc>
      </w:tr>
      <w:tr w14:paraId="3BB6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77" w:type="dxa"/>
            <w:gridSpan w:val="2"/>
            <w:noWrap w:val="0"/>
            <w:vAlign w:val="center"/>
          </w:tcPr>
          <w:p w14:paraId="503BD355">
            <w:pPr>
              <w:keepNext w:val="0"/>
              <w:keepLines w:val="0"/>
              <w:pageBreakBefore w:val="0"/>
              <w:suppressLineNumbers w:val="0"/>
              <w:kinsoku/>
              <w:wordWrap w:val="0"/>
              <w:overflowPunct/>
              <w:bidi w:val="0"/>
              <w:adjustRightInd w:val="0"/>
              <w:spacing w:before="0" w:beforeAutospacing="0" w:after="0" w:afterAutospacing="0" w:line="340" w:lineRule="exact"/>
              <w:ind w:left="0"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解释权</w:t>
            </w:r>
          </w:p>
        </w:tc>
        <w:tc>
          <w:tcPr>
            <w:tcW w:w="6274" w:type="dxa"/>
            <w:noWrap w:val="0"/>
            <w:vAlign w:val="center"/>
          </w:tcPr>
          <w:p w14:paraId="2E2D7703">
            <w:pPr>
              <w:keepNext w:val="0"/>
              <w:keepLines w:val="0"/>
              <w:pageBreakBefore w:val="0"/>
              <w:suppressLineNumbers w:val="0"/>
              <w:kinsoku/>
              <w:wordWrap w:val="0"/>
              <w:overflowPunct/>
              <w:bidi w:val="0"/>
              <w:adjustRightInd w:val="0"/>
              <w:spacing w:before="0" w:beforeAutospacing="0" w:after="0" w:afterAutospacing="0" w:line="340" w:lineRule="exact"/>
              <w:ind w:left="0" w:right="0" w:firstLine="42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0E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77" w:type="dxa"/>
            <w:gridSpan w:val="2"/>
            <w:noWrap w:val="0"/>
            <w:vAlign w:val="center"/>
          </w:tcPr>
          <w:p w14:paraId="31D0BF92">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标书雷同性分析</w:t>
            </w:r>
          </w:p>
        </w:tc>
        <w:tc>
          <w:tcPr>
            <w:tcW w:w="6274" w:type="dxa"/>
            <w:noWrap w:val="0"/>
            <w:vAlign w:val="center"/>
          </w:tcPr>
          <w:p w14:paraId="0AE853D7">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文件制作机器码、文件创建标识码有相同的按废标处理。</w:t>
            </w:r>
          </w:p>
        </w:tc>
      </w:tr>
      <w:tr w14:paraId="621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77" w:type="dxa"/>
            <w:gridSpan w:val="2"/>
            <w:noWrap w:val="0"/>
            <w:vAlign w:val="center"/>
          </w:tcPr>
          <w:p w14:paraId="7778C698">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代理服务费</w:t>
            </w:r>
          </w:p>
        </w:tc>
        <w:tc>
          <w:tcPr>
            <w:tcW w:w="6274" w:type="dxa"/>
            <w:noWrap w:val="0"/>
            <w:vAlign w:val="center"/>
          </w:tcPr>
          <w:p w14:paraId="5CBFEDE4">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288" w:lineRule="auto"/>
              <w:ind w:left="21" w:leftChars="10" w:right="21" w:rightChars="1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招标代理服务费按照 《河南省招标代理服务收费指导意见》豫招协【2023】002号文件规定由中标人支付。在领取中标通知书前向招标代理机构支付。</w:t>
            </w:r>
          </w:p>
        </w:tc>
      </w:tr>
      <w:tr w14:paraId="315A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77" w:type="dxa"/>
            <w:gridSpan w:val="2"/>
            <w:noWrap w:val="0"/>
            <w:vAlign w:val="center"/>
          </w:tcPr>
          <w:p w14:paraId="693B12A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highlight w:val="none"/>
              </w:rPr>
            </w:pPr>
            <w:bookmarkStart w:id="16" w:name="_Toc27364"/>
            <w:bookmarkStart w:id="17" w:name="_Toc16296"/>
            <w:bookmarkStart w:id="18" w:name="_Toc3568"/>
            <w:bookmarkStart w:id="19" w:name="_Toc195921851"/>
            <w:r>
              <w:rPr>
                <w:rFonts w:hint="eastAsia" w:asciiTheme="minorEastAsia" w:hAnsiTheme="minorEastAsia" w:eastAsiaTheme="minorEastAsia" w:cstheme="minorEastAsia"/>
                <w:b/>
                <w:bCs/>
                <w:sz w:val="24"/>
                <w:szCs w:val="24"/>
                <w:highlight w:val="none"/>
                <w:lang w:val="en-US" w:eastAsia="zh-CN"/>
              </w:rPr>
              <w:t>本次采购标的对应的中小企业划分标准所属行业</w:t>
            </w:r>
          </w:p>
        </w:tc>
        <w:tc>
          <w:tcPr>
            <w:tcW w:w="6274" w:type="dxa"/>
            <w:noWrap w:val="0"/>
            <w:vAlign w:val="center"/>
          </w:tcPr>
          <w:p w14:paraId="0846A450">
            <w:pPr>
              <w:keepNext w:val="0"/>
              <w:keepLines w:val="0"/>
              <w:widowControl w:val="0"/>
              <w:suppressLineNumbers w:val="0"/>
              <w:autoSpaceDE w:val="0"/>
              <w:autoSpaceDN w:val="0"/>
              <w:adjustRightInd w:val="0"/>
              <w:spacing w:before="0" w:beforeAutospacing="0" w:after="0" w:afterAutospacing="0"/>
              <w:ind w:left="0" w:right="0"/>
              <w:jc w:val="both"/>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b/>
                <w:bCs/>
                <w:sz w:val="24"/>
                <w:szCs w:val="24"/>
                <w:highlight w:val="none"/>
                <w:lang w:val="en-US" w:eastAsia="zh-CN"/>
              </w:rPr>
              <w:t>其他未列明行业（科学研究和技术服务业）</w:t>
            </w:r>
          </w:p>
        </w:tc>
      </w:tr>
    </w:tbl>
    <w:p w14:paraId="033BF209">
      <w:pPr>
        <w:pageBreakBefore w:val="0"/>
        <w:kinsoku/>
        <w:wordWrap w:val="0"/>
        <w:overflowPunct/>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1.总则</w:t>
      </w:r>
      <w:bookmarkEnd w:id="16"/>
      <w:bookmarkEnd w:id="17"/>
      <w:bookmarkStart w:id="20" w:name="_Toc20827"/>
      <w:bookmarkStart w:id="21" w:name="_Toc490667828"/>
      <w:bookmarkStart w:id="22" w:name="_Toc281380952"/>
      <w:bookmarkStart w:id="23" w:name="_Toc1172"/>
      <w:bookmarkStart w:id="24" w:name="_Toc318450675"/>
      <w:bookmarkStart w:id="25" w:name="_Toc21458"/>
      <w:bookmarkStart w:id="26" w:name="_Toc29023"/>
      <w:bookmarkStart w:id="27" w:name="_Toc10273"/>
      <w:bookmarkStart w:id="28" w:name="_Toc15709"/>
      <w:bookmarkStart w:id="29" w:name="_Toc274409866"/>
      <w:bookmarkStart w:id="30" w:name="_Toc466298092"/>
      <w:bookmarkStart w:id="31" w:name="_Toc658"/>
      <w:bookmarkStart w:id="32" w:name="_Toc455080109"/>
      <w:bookmarkStart w:id="33" w:name="_Toc455867769"/>
      <w:bookmarkStart w:id="34" w:name="_Toc21266"/>
      <w:bookmarkStart w:id="35" w:name="_Toc31404"/>
      <w:bookmarkStart w:id="36" w:name="_Toc6747"/>
      <w:bookmarkStart w:id="37" w:name="_Toc9136"/>
      <w:bookmarkStart w:id="38" w:name="_Toc144974499"/>
      <w:bookmarkStart w:id="39" w:name="_Toc152045531"/>
      <w:bookmarkStart w:id="40" w:name="_Toc152042307"/>
    </w:p>
    <w:p w14:paraId="0EB3F86F">
      <w:pPr>
        <w:pageBreakBefore w:val="0"/>
        <w:kinsoku/>
        <w:wordWrap w:val="0"/>
        <w:overflowPunct/>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适用范围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56B7DF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根据《中华人民共和国政府采购法》等有关法律、法规和规章的规定，编制本项目磋商文件。</w:t>
      </w:r>
      <w:bookmarkStart w:id="41" w:name="_Toc455080110"/>
      <w:bookmarkStart w:id="42" w:name="_Toc3336"/>
      <w:bookmarkStart w:id="43" w:name="_Toc710"/>
      <w:bookmarkStart w:id="44" w:name="_Toc318450676"/>
      <w:bookmarkStart w:id="45" w:name="_Toc32619"/>
      <w:bookmarkStart w:id="46" w:name="_Toc31929"/>
      <w:bookmarkStart w:id="47" w:name="_Toc455867770"/>
      <w:bookmarkStart w:id="48" w:name="_Toc2929"/>
      <w:bookmarkStart w:id="49" w:name="_Toc490667829"/>
      <w:bookmarkStart w:id="50" w:name="_Toc10556"/>
      <w:bookmarkStart w:id="51" w:name="_Toc25773"/>
      <w:bookmarkStart w:id="52" w:name="_Toc10269"/>
      <w:bookmarkStart w:id="53" w:name="_Toc24852"/>
      <w:bookmarkStart w:id="54" w:name="_Toc281405468"/>
      <w:bookmarkStart w:id="55" w:name="_Toc30891"/>
      <w:bookmarkStart w:id="56" w:name="_Toc274409867"/>
      <w:bookmarkStart w:id="57" w:name="_Toc7237"/>
      <w:bookmarkStart w:id="58" w:name="_Toc466298093"/>
    </w:p>
    <w:p w14:paraId="484726E0">
      <w:pPr>
        <w:pageBreakBefore w:val="0"/>
        <w:kinsoku/>
        <w:wordWrap w:val="0"/>
        <w:overflowPunct/>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招标项目说明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E68043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本项目采购人：见供应商须知前附表。</w:t>
      </w:r>
    </w:p>
    <w:p w14:paraId="454D48D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本项目采购代理机构：见供应商须知前附表。</w:t>
      </w:r>
    </w:p>
    <w:p w14:paraId="7B3C877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本项目名称：见供应商须知前附表。</w:t>
      </w:r>
    </w:p>
    <w:p w14:paraId="673BFB1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本项目采购方式：见供应商须知前附表。</w:t>
      </w:r>
    </w:p>
    <w:p w14:paraId="1FC1E99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本项目预算价（最高限价）：见供应商须知前附表。</w:t>
      </w:r>
      <w:bookmarkStart w:id="59" w:name="_Toc17146"/>
      <w:bookmarkStart w:id="60" w:name="_Toc455080111"/>
      <w:bookmarkStart w:id="61" w:name="_Toc4563"/>
      <w:bookmarkStart w:id="62" w:name="_Toc3477"/>
      <w:bookmarkStart w:id="63" w:name="_Toc2415"/>
      <w:bookmarkStart w:id="64" w:name="_Toc4952"/>
      <w:bookmarkStart w:id="65" w:name="_Toc274409868"/>
      <w:bookmarkStart w:id="66" w:name="_Toc16931"/>
      <w:bookmarkStart w:id="67" w:name="_Toc318450677"/>
      <w:bookmarkStart w:id="68" w:name="_Toc466298094"/>
      <w:bookmarkStart w:id="69" w:name="_Toc17016"/>
      <w:bookmarkStart w:id="70" w:name="_Toc455867771"/>
      <w:bookmarkStart w:id="71" w:name="_Toc4122"/>
      <w:bookmarkStart w:id="72" w:name="_Toc22979"/>
      <w:bookmarkStart w:id="73" w:name="_Toc281405469"/>
      <w:bookmarkStart w:id="74" w:name="_Toc1373"/>
      <w:bookmarkStart w:id="75" w:name="_Toc490667830"/>
      <w:bookmarkStart w:id="76" w:name="_Toc18960"/>
    </w:p>
    <w:p w14:paraId="7D46E6D2">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定义及解释</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7850D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采购人：依法进行政府采购的国家机关、事业单位、团体组织。</w:t>
      </w:r>
    </w:p>
    <w:p w14:paraId="6B4D3BB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采购代理机构：取得政府采购招标代理资质，受采购人委托组织招标活动的社会中介组织。</w:t>
      </w:r>
    </w:p>
    <w:p w14:paraId="33E1B46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服务：系指根据本磋商文件规定供应商须承担的服务以及其他类似的义务等。</w:t>
      </w:r>
    </w:p>
    <w:p w14:paraId="7D83C17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供应商：供应商是响应磋商文件、参加磋商竞争的中华人民共和国境内的法人、其它组织。</w:t>
      </w:r>
    </w:p>
    <w:p w14:paraId="12DFED1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响应文件：指供应商根据竞争性磋商文件提交的所有文件。</w:t>
      </w:r>
    </w:p>
    <w:p w14:paraId="7A2C3C4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磋商小组：依据《中华人民共和国政府采购法》及有关法律、法规的规定依法组建的专门负责本次评标工作的临时机构。</w:t>
      </w:r>
    </w:p>
    <w:p w14:paraId="533B703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 偏离：响应文件的响应相对于竞争性磋商文件要求的偏差，该偏差优于竞争性磋商文件要求的为正偏离；劣于的，为负偏离。</w:t>
      </w:r>
    </w:p>
    <w:p w14:paraId="169930B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 “日期”或“天”：指日历天。</w:t>
      </w:r>
    </w:p>
    <w:p w14:paraId="3BC6E4F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 合同：指依据本次服务采购招标结果签订的协议或合约文件。</w:t>
      </w:r>
    </w:p>
    <w:p w14:paraId="4B0C223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1.3.10 竞争性磋商文件中的标题或题名仅起引导作用，而不应视为对竞争性磋商文件内容的理解和解释。</w:t>
      </w:r>
      <w:bookmarkEnd w:id="38"/>
      <w:bookmarkEnd w:id="39"/>
      <w:bookmarkEnd w:id="40"/>
      <w:bookmarkStart w:id="77" w:name="_Toc455867772"/>
      <w:bookmarkStart w:id="78" w:name="_Toc466298095"/>
      <w:bookmarkStart w:id="79" w:name="_Toc21766"/>
      <w:bookmarkStart w:id="80" w:name="_Toc26189"/>
      <w:bookmarkStart w:id="81" w:name="_Toc14043"/>
      <w:bookmarkStart w:id="82" w:name="_Toc27407"/>
      <w:bookmarkStart w:id="83" w:name="_Toc16470"/>
      <w:bookmarkStart w:id="84" w:name="_Toc318450678"/>
      <w:bookmarkStart w:id="85" w:name="_Toc144974500"/>
      <w:bookmarkStart w:id="86" w:name="_Toc490667831"/>
      <w:bookmarkStart w:id="87" w:name="_Toc12752"/>
      <w:bookmarkStart w:id="88" w:name="_Toc32236"/>
      <w:bookmarkStart w:id="89" w:name="_Toc455080112"/>
      <w:bookmarkStart w:id="90" w:name="_Toc19363"/>
      <w:bookmarkStart w:id="91" w:name="_Toc17808"/>
      <w:bookmarkStart w:id="92" w:name="_Toc17908"/>
      <w:bookmarkStart w:id="93" w:name="_Toc152042308"/>
      <w:bookmarkStart w:id="94" w:name="_Toc152045532"/>
      <w:bookmarkStart w:id="95" w:name="_Toc10894"/>
    </w:p>
    <w:p w14:paraId="7418BFEC">
      <w:pPr>
        <w:pageBreakBefore w:val="0"/>
        <w:kinsoku/>
        <w:wordWrap w:val="0"/>
        <w:overflowPunct/>
        <w:bidi w:val="0"/>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1.4 采购内容、</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宋体" w:hAnsi="宋体" w:cs="宋体"/>
          <w:b/>
          <w:color w:val="auto"/>
          <w:sz w:val="24"/>
          <w:szCs w:val="24"/>
          <w:highlight w:val="none"/>
          <w:lang w:val="en-US" w:eastAsia="zh-CN"/>
        </w:rPr>
        <w:t>设计</w:t>
      </w:r>
      <w:r>
        <w:rPr>
          <w:rFonts w:hint="eastAsia" w:ascii="宋体" w:hAnsi="宋体" w:eastAsia="宋体" w:cs="宋体"/>
          <w:b/>
          <w:color w:val="auto"/>
          <w:sz w:val="24"/>
          <w:szCs w:val="24"/>
          <w:highlight w:val="none"/>
        </w:rPr>
        <w:t>期限</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质量要求</w:t>
      </w:r>
    </w:p>
    <w:p w14:paraId="29E791E5">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本次采购内容：见供应商须知前附表。</w:t>
      </w:r>
    </w:p>
    <w:p w14:paraId="3CEE944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本项目的合同履行期限：见供应商须知前附表。</w:t>
      </w:r>
    </w:p>
    <w:p w14:paraId="26D1118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本项目的</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rPr>
        <w:t>：见供应商须知前附表。</w:t>
      </w:r>
    </w:p>
    <w:p w14:paraId="23AB6C4A">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96" w:name="_Toc152045534"/>
      <w:bookmarkStart w:id="97" w:name="_Toc318450679"/>
      <w:bookmarkStart w:id="98" w:name="_Toc152042310"/>
      <w:bookmarkStart w:id="99" w:name="_Toc144974502"/>
      <w:bookmarkStart w:id="100" w:name="_Toc18004"/>
      <w:bookmarkStart w:id="101" w:name="_Toc1602"/>
      <w:bookmarkStart w:id="102" w:name="_Toc22643"/>
      <w:bookmarkStart w:id="103" w:name="_Toc7209"/>
      <w:bookmarkStart w:id="104" w:name="_Toc10081"/>
      <w:bookmarkStart w:id="105" w:name="_Toc11063"/>
      <w:bookmarkStart w:id="106" w:name="_Toc32156"/>
      <w:bookmarkStart w:id="107" w:name="_Toc4301"/>
      <w:bookmarkStart w:id="108" w:name="_Toc466298096"/>
      <w:bookmarkStart w:id="109" w:name="_Toc455080113"/>
      <w:bookmarkStart w:id="110" w:name="_Toc4711"/>
      <w:bookmarkStart w:id="111" w:name="_Toc490667832"/>
      <w:bookmarkStart w:id="112" w:name="_Toc18689"/>
      <w:bookmarkStart w:id="113" w:name="_Toc455867773"/>
      <w:bookmarkStart w:id="114" w:name="_Toc5019"/>
      <w:r>
        <w:rPr>
          <w:rFonts w:hint="eastAsia" w:ascii="宋体" w:hAnsi="宋体" w:eastAsia="宋体" w:cs="宋体"/>
          <w:b/>
          <w:color w:val="auto"/>
          <w:sz w:val="24"/>
          <w:szCs w:val="24"/>
          <w:highlight w:val="none"/>
        </w:rPr>
        <w:t xml:space="preserve">1.5 </w:t>
      </w:r>
      <w:bookmarkEnd w:id="96"/>
      <w:bookmarkEnd w:id="97"/>
      <w:bookmarkEnd w:id="98"/>
      <w:bookmarkEnd w:id="99"/>
      <w:r>
        <w:rPr>
          <w:rFonts w:hint="eastAsia" w:ascii="宋体" w:hAnsi="宋体" w:eastAsia="宋体" w:cs="宋体"/>
          <w:b/>
          <w:color w:val="auto"/>
          <w:sz w:val="24"/>
          <w:szCs w:val="24"/>
          <w:highlight w:val="none"/>
        </w:rPr>
        <w:t>供应商资质条件和能力</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15FA3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供应商资质及能力要求：见供应商须知前附表。</w:t>
      </w:r>
    </w:p>
    <w:p w14:paraId="21F339D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是否接受联合体：见供应商须知前附表。</w:t>
      </w:r>
      <w:bookmarkStart w:id="115" w:name="_Toc455867774"/>
      <w:bookmarkStart w:id="116" w:name="_Toc28135"/>
      <w:bookmarkStart w:id="117" w:name="_Toc152042311"/>
      <w:bookmarkStart w:id="118" w:name="_Toc490667833"/>
      <w:bookmarkStart w:id="119" w:name="_Toc31854"/>
      <w:bookmarkStart w:id="120" w:name="_Toc16889"/>
      <w:bookmarkStart w:id="121" w:name="_Toc144974503"/>
      <w:bookmarkStart w:id="122" w:name="_Toc12403"/>
      <w:bookmarkStart w:id="123" w:name="_Toc31497"/>
      <w:bookmarkStart w:id="124" w:name="_Toc152045535"/>
      <w:bookmarkStart w:id="125" w:name="_Toc651"/>
      <w:bookmarkStart w:id="126" w:name="_Toc981"/>
      <w:bookmarkStart w:id="127" w:name="_Toc9505"/>
      <w:bookmarkStart w:id="128" w:name="_Toc32446"/>
      <w:bookmarkStart w:id="129" w:name="_Toc11905"/>
      <w:bookmarkStart w:id="130" w:name="_Toc455080114"/>
      <w:bookmarkStart w:id="131" w:name="_Toc318450680"/>
      <w:bookmarkStart w:id="132" w:name="_Toc466298097"/>
      <w:bookmarkStart w:id="133" w:name="_Toc5162"/>
    </w:p>
    <w:p w14:paraId="610737F1">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费用承担</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8FAA24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供应商准备和参加磋商活动发生的费用自理，不论磋商的结果如何，采购人和采购代理机构在任何情况下均无义务和责任承担这些费用。</w:t>
      </w:r>
      <w:bookmarkStart w:id="134" w:name="_Toc490667834"/>
      <w:bookmarkStart w:id="135" w:name="_Toc455080115"/>
      <w:bookmarkStart w:id="136" w:name="_Toc152045536"/>
      <w:bookmarkStart w:id="137" w:name="_Toc8055"/>
      <w:bookmarkStart w:id="138" w:name="_Toc2622"/>
      <w:bookmarkStart w:id="139" w:name="_Toc5402"/>
      <w:bookmarkStart w:id="140" w:name="_Toc22800"/>
      <w:bookmarkStart w:id="141" w:name="_Toc22136"/>
      <w:bookmarkStart w:id="142" w:name="_Toc1879"/>
      <w:bookmarkStart w:id="143" w:name="_Toc8598"/>
      <w:bookmarkStart w:id="144" w:name="_Toc455867775"/>
      <w:bookmarkStart w:id="145" w:name="_Toc32053"/>
      <w:bookmarkStart w:id="146" w:name="_Toc24601"/>
      <w:bookmarkStart w:id="147" w:name="_Toc152042312"/>
      <w:bookmarkStart w:id="148" w:name="_Toc6014"/>
      <w:bookmarkStart w:id="149" w:name="_Toc466298098"/>
      <w:bookmarkStart w:id="150" w:name="_Toc144974504"/>
      <w:bookmarkStart w:id="151" w:name="_Toc318450681"/>
      <w:bookmarkStart w:id="152" w:name="_Toc20145"/>
    </w:p>
    <w:p w14:paraId="57C2B49C">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16211A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参与磋商活动的各方应对竞争性磋商文件和响应文件中的商业和技术等秘密保密，违者应对由此造成的后果承担法律责任。</w:t>
      </w:r>
      <w:bookmarkStart w:id="153" w:name="_Toc144974505"/>
      <w:bookmarkStart w:id="154" w:name="_Toc152042313"/>
      <w:bookmarkStart w:id="155" w:name="_Toc13976"/>
      <w:bookmarkStart w:id="156" w:name="_Toc455867776"/>
      <w:bookmarkStart w:id="157" w:name="_Toc22226"/>
      <w:bookmarkStart w:id="158" w:name="_Toc7031"/>
      <w:bookmarkStart w:id="159" w:name="_Toc490667835"/>
      <w:bookmarkStart w:id="160" w:name="_Toc3628"/>
      <w:bookmarkStart w:id="161" w:name="_Toc25517"/>
      <w:bookmarkStart w:id="162" w:name="_Toc14775"/>
      <w:bookmarkStart w:id="163" w:name="_Toc6615"/>
      <w:bookmarkStart w:id="164" w:name="_Toc21089"/>
      <w:bookmarkStart w:id="165" w:name="_Toc30583"/>
      <w:bookmarkStart w:id="166" w:name="_Toc466298099"/>
      <w:bookmarkStart w:id="167" w:name="_Toc30747"/>
      <w:bookmarkStart w:id="168" w:name="_Toc152045537"/>
      <w:bookmarkStart w:id="169" w:name="_Toc318450682"/>
      <w:bookmarkStart w:id="170" w:name="_Toc15673"/>
      <w:bookmarkStart w:id="171" w:name="_Toc455080116"/>
    </w:p>
    <w:p w14:paraId="1E53ABAA">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 语言</w:t>
      </w:r>
      <w:bookmarkEnd w:id="153"/>
      <w:r>
        <w:rPr>
          <w:rFonts w:hint="eastAsia" w:ascii="宋体" w:hAnsi="宋体" w:eastAsia="宋体" w:cs="宋体"/>
          <w:b/>
          <w:color w:val="auto"/>
          <w:sz w:val="24"/>
          <w:szCs w:val="24"/>
          <w:highlight w:val="none"/>
        </w:rPr>
        <w:t>文字</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2B0F01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除专用术语外，与磋商有关的语言均使用中文。必要时专用术语应附有中文注释，对不同文字文本响应文件的解释发生异议的，以中文文本为准。</w:t>
      </w:r>
      <w:bookmarkStart w:id="172" w:name="_Toc21543"/>
      <w:bookmarkStart w:id="173" w:name="_Toc4237"/>
      <w:bookmarkStart w:id="174" w:name="_Toc152042314"/>
      <w:bookmarkStart w:id="175" w:name="_Toc318450683"/>
      <w:bookmarkStart w:id="176" w:name="_Toc2702"/>
      <w:bookmarkStart w:id="177" w:name="_Toc455080117"/>
      <w:bookmarkStart w:id="178" w:name="_Toc24337"/>
      <w:bookmarkStart w:id="179" w:name="_Toc490667836"/>
      <w:bookmarkStart w:id="180" w:name="_Toc466298100"/>
      <w:bookmarkStart w:id="181" w:name="_Toc14934"/>
      <w:bookmarkStart w:id="182" w:name="_Toc455867777"/>
      <w:bookmarkStart w:id="183" w:name="_Toc22378"/>
      <w:bookmarkStart w:id="184" w:name="_Toc22415"/>
      <w:bookmarkStart w:id="185" w:name="_Toc4501"/>
      <w:bookmarkStart w:id="186" w:name="_Toc32507"/>
      <w:bookmarkStart w:id="187" w:name="_Toc144974506"/>
      <w:bookmarkStart w:id="188" w:name="_Toc9446"/>
      <w:bookmarkStart w:id="189" w:name="_Toc18357"/>
      <w:bookmarkStart w:id="190" w:name="_Toc152045538"/>
    </w:p>
    <w:p w14:paraId="32891568">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计量单位</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EBC6D0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bookmarkStart w:id="191" w:name="_Toc284"/>
      <w:bookmarkStart w:id="192" w:name="_Toc144974508"/>
      <w:bookmarkStart w:id="193" w:name="_Toc12027"/>
      <w:bookmarkStart w:id="194" w:name="_Toc152042316"/>
      <w:bookmarkStart w:id="195" w:name="_Toc455867778"/>
      <w:bookmarkStart w:id="196" w:name="_Toc29845"/>
      <w:bookmarkStart w:id="197" w:name="_Toc13675"/>
      <w:bookmarkStart w:id="198" w:name="_Toc2508"/>
      <w:bookmarkStart w:id="199" w:name="_Toc31195"/>
      <w:bookmarkStart w:id="200" w:name="_Toc152045540"/>
      <w:bookmarkStart w:id="201" w:name="_Toc455080118"/>
      <w:bookmarkStart w:id="202" w:name="_Toc338"/>
      <w:bookmarkStart w:id="203" w:name="_Toc27570"/>
      <w:bookmarkStart w:id="204" w:name="_Toc19685"/>
      <w:bookmarkStart w:id="205" w:name="_Toc490667837"/>
      <w:bookmarkStart w:id="206" w:name="_Toc18589"/>
      <w:bookmarkStart w:id="207" w:name="_Toc318450684"/>
      <w:bookmarkStart w:id="208" w:name="_Toc466298101"/>
      <w:bookmarkStart w:id="209" w:name="_Toc32253"/>
    </w:p>
    <w:p w14:paraId="6AE99094">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1.10 </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宋体" w:hAnsi="宋体" w:eastAsia="宋体" w:cs="宋体"/>
          <w:b/>
          <w:color w:val="auto"/>
          <w:sz w:val="24"/>
          <w:szCs w:val="24"/>
          <w:highlight w:val="none"/>
        </w:rPr>
        <w:t>现场踏勘</w:t>
      </w:r>
      <w:bookmarkEnd w:id="209"/>
      <w:bookmarkStart w:id="210" w:name="_Toc25208"/>
      <w:bookmarkStart w:id="211" w:name="_Toc31725"/>
      <w:bookmarkStart w:id="212" w:name="_Toc152042317"/>
      <w:bookmarkStart w:id="213" w:name="_Toc318450685"/>
      <w:bookmarkStart w:id="214" w:name="_Toc455080119"/>
      <w:bookmarkStart w:id="215" w:name="_Toc23678"/>
      <w:bookmarkStart w:id="216" w:name="_Toc455867779"/>
      <w:bookmarkStart w:id="217" w:name="_Toc152045541"/>
      <w:bookmarkStart w:id="218" w:name="_Toc490667838"/>
      <w:bookmarkStart w:id="219" w:name="_Toc23635"/>
      <w:bookmarkStart w:id="220" w:name="_Toc3853"/>
      <w:bookmarkStart w:id="221" w:name="_Toc28719"/>
      <w:bookmarkStart w:id="222" w:name="_Toc32757"/>
      <w:bookmarkStart w:id="223" w:name="_Toc144974509"/>
      <w:bookmarkStart w:id="224" w:name="_Toc11744"/>
      <w:bookmarkStart w:id="225" w:name="_Toc24262"/>
      <w:bookmarkStart w:id="226" w:name="_Toc466298102"/>
      <w:bookmarkStart w:id="227" w:name="_Toc9182"/>
    </w:p>
    <w:p w14:paraId="7A2F6CF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6AFC1C86">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 分包</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31365B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是否允许分包：见供应商须知前附表。</w:t>
      </w:r>
      <w:bookmarkStart w:id="228" w:name="_Toc152045542"/>
      <w:bookmarkStart w:id="229" w:name="_Toc144974510"/>
      <w:bookmarkStart w:id="230" w:name="_Toc455080120"/>
      <w:bookmarkStart w:id="231" w:name="_Toc152042318"/>
    </w:p>
    <w:bookmarkEnd w:id="228"/>
    <w:bookmarkEnd w:id="229"/>
    <w:bookmarkEnd w:id="230"/>
    <w:bookmarkEnd w:id="231"/>
    <w:p w14:paraId="436EBC88">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232" w:name="_Toc2792"/>
      <w:bookmarkStart w:id="233" w:name="_Toc24635"/>
      <w:r>
        <w:rPr>
          <w:rFonts w:hint="eastAsia" w:ascii="宋体" w:hAnsi="宋体" w:eastAsia="宋体" w:cs="宋体"/>
          <w:b/>
          <w:color w:val="auto"/>
          <w:sz w:val="24"/>
          <w:szCs w:val="24"/>
          <w:highlight w:val="none"/>
        </w:rPr>
        <w:t>2.竞争性磋商文件</w:t>
      </w:r>
      <w:bookmarkEnd w:id="232"/>
      <w:bookmarkEnd w:id="233"/>
      <w:bookmarkStart w:id="234" w:name="_Toc455867781"/>
      <w:bookmarkStart w:id="235" w:name="_Toc152045543"/>
      <w:bookmarkStart w:id="236" w:name="_Toc152042319"/>
      <w:bookmarkStart w:id="237" w:name="_Toc23649"/>
      <w:bookmarkStart w:id="238" w:name="_Toc11599"/>
      <w:bookmarkStart w:id="239" w:name="_Toc144974511"/>
      <w:bookmarkStart w:id="240" w:name="_Toc3982"/>
      <w:bookmarkStart w:id="241" w:name="_Toc466298104"/>
      <w:bookmarkStart w:id="242" w:name="_Toc12640"/>
      <w:bookmarkStart w:id="243" w:name="_Toc12004"/>
      <w:bookmarkStart w:id="244" w:name="_Toc11567"/>
      <w:bookmarkStart w:id="245" w:name="_Toc9780"/>
      <w:bookmarkStart w:id="246" w:name="_Toc318450687"/>
      <w:bookmarkStart w:id="247" w:name="_Toc1008"/>
      <w:bookmarkStart w:id="248" w:name="_Toc455080121"/>
      <w:bookmarkStart w:id="249" w:name="_Toc25982"/>
      <w:bookmarkStart w:id="250" w:name="_Toc490667840"/>
      <w:bookmarkStart w:id="251" w:name="_Toc7999"/>
      <w:bookmarkStart w:id="252" w:name="_Toc32711"/>
    </w:p>
    <w:p w14:paraId="1FA4F94B">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竞争性磋商文件的组成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14A195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57DD677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1F974F0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4BBEBB3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（3）评审办法（综合评分法）；</w:t>
      </w:r>
    </w:p>
    <w:p w14:paraId="607603C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（4）河南省政府采购合同（参考文本）；</w:t>
      </w:r>
    </w:p>
    <w:p w14:paraId="4C96281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（5）采购要求；</w:t>
      </w:r>
    </w:p>
    <w:p w14:paraId="2EEBCDA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（6）竞争性磋商响应文件格式。</w:t>
      </w:r>
    </w:p>
    <w:p w14:paraId="13B383C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根据本章第2.2款和第2.3款对竞争性磋商文件所作的澄清、修改，构成竞争性磋商文件的组成部分。</w:t>
      </w:r>
      <w:bookmarkStart w:id="253" w:name="_Toc15658"/>
      <w:bookmarkStart w:id="254" w:name="_Toc6508"/>
      <w:bookmarkStart w:id="255" w:name="_Toc152045546"/>
      <w:bookmarkStart w:id="256" w:name="_Toc152042322"/>
      <w:bookmarkStart w:id="257" w:name="_Toc144974514"/>
      <w:bookmarkStart w:id="258" w:name="_Toc455080124"/>
    </w:p>
    <w:p w14:paraId="40A2B565">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竞争性磋商文件的澄清</w:t>
      </w:r>
      <w:bookmarkEnd w:id="253"/>
      <w:bookmarkEnd w:id="254"/>
    </w:p>
    <w:p w14:paraId="6343C8E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表现所载内容的形式，下同），要求采购人对竞争性磋商文件予以澄清。</w:t>
      </w:r>
    </w:p>
    <w:p w14:paraId="4905619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竞争性磋商文件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14:paraId="68C6373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供应商应在响应文件递交截止时间前及时查看澄清内容，因供应商未及时查看而造成的后果自负。</w:t>
      </w:r>
      <w:bookmarkStart w:id="259" w:name="_Toc9923"/>
      <w:bookmarkStart w:id="260" w:name="_Toc8263"/>
    </w:p>
    <w:p w14:paraId="7EE7074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竞争性磋商文件的修改</w:t>
      </w:r>
      <w:bookmarkEnd w:id="259"/>
      <w:bookmarkEnd w:id="260"/>
    </w:p>
    <w:p w14:paraId="2987F23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响应文件递交截止时间5天前，采购人可以修改竞争性磋商文件。如有修改，应在信阳市公共资源交易系统“变更公告”或“答疑文件”将修改内容予以发布。如果修改的内容可能影响响应文件编制且发出的时间距响应文件递交截止时间不足5天，相应延长响应文件递交截止时间。</w:t>
      </w:r>
    </w:p>
    <w:p w14:paraId="08535A0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当竞争性磋商文件的澄清、修改、补充等在同一内容的表述上不一致时，以最后在信阳市公共资源交易系统发出的文件为准。</w:t>
      </w:r>
    </w:p>
    <w:p w14:paraId="1782B9B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供应商应在响应文件递交截止时间前及时查看修改内容，因供应商未及时查看而造成的后果自负。</w:t>
      </w:r>
    </w:p>
    <w:p w14:paraId="07252ABA">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261" w:name="_Toc4666"/>
      <w:bookmarkStart w:id="262" w:name="_Toc20484"/>
      <w:bookmarkStart w:id="263" w:name="_Toc26311"/>
      <w:r>
        <w:rPr>
          <w:rFonts w:hint="eastAsia" w:ascii="宋体" w:hAnsi="宋体" w:eastAsia="宋体" w:cs="宋体"/>
          <w:b/>
          <w:color w:val="auto"/>
          <w:sz w:val="24"/>
          <w:szCs w:val="24"/>
          <w:highlight w:val="none"/>
        </w:rPr>
        <w:t xml:space="preserve">3. </w:t>
      </w:r>
      <w:bookmarkEnd w:id="255"/>
      <w:bookmarkEnd w:id="256"/>
      <w:bookmarkEnd w:id="257"/>
      <w:r>
        <w:rPr>
          <w:rFonts w:hint="eastAsia" w:ascii="宋体" w:hAnsi="宋体" w:eastAsia="宋体" w:cs="宋体"/>
          <w:b/>
          <w:color w:val="auto"/>
          <w:sz w:val="24"/>
          <w:szCs w:val="24"/>
          <w:highlight w:val="none"/>
        </w:rPr>
        <w:t>响应文件</w:t>
      </w:r>
      <w:bookmarkEnd w:id="258"/>
      <w:bookmarkEnd w:id="261"/>
      <w:bookmarkEnd w:id="262"/>
      <w:bookmarkEnd w:id="263"/>
      <w:bookmarkStart w:id="264" w:name="_Toc9273"/>
      <w:bookmarkStart w:id="265" w:name="_Toc24440"/>
      <w:bookmarkStart w:id="266" w:name="_Toc152045547"/>
      <w:bookmarkStart w:id="267" w:name="_Toc27373"/>
      <w:bookmarkStart w:id="268" w:name="_Toc318450691"/>
      <w:bookmarkStart w:id="269" w:name="_Toc490667844"/>
      <w:bookmarkStart w:id="270" w:name="_Toc10096"/>
      <w:bookmarkStart w:id="271" w:name="_Toc152042323"/>
      <w:bookmarkStart w:id="272" w:name="_Toc16198"/>
      <w:bookmarkStart w:id="273" w:name="_Toc144974515"/>
      <w:bookmarkStart w:id="274" w:name="_Toc15810"/>
      <w:bookmarkStart w:id="275" w:name="_Toc1102"/>
    </w:p>
    <w:p w14:paraId="762F085E">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响应文件的组成</w:t>
      </w:r>
      <w:bookmarkEnd w:id="264"/>
      <w:bookmarkEnd w:id="265"/>
      <w:bookmarkEnd w:id="266"/>
      <w:bookmarkEnd w:id="267"/>
      <w:bookmarkEnd w:id="268"/>
      <w:bookmarkEnd w:id="269"/>
      <w:bookmarkEnd w:id="270"/>
      <w:bookmarkEnd w:id="271"/>
      <w:bookmarkEnd w:id="272"/>
      <w:bookmarkEnd w:id="273"/>
      <w:bookmarkEnd w:id="274"/>
      <w:bookmarkEnd w:id="275"/>
    </w:p>
    <w:p w14:paraId="57D336A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276" w:name="_Toc318450692"/>
      <w:bookmarkStart w:id="277" w:name="_Toc144974516"/>
      <w:bookmarkStart w:id="278" w:name="_Toc152042324"/>
      <w:bookmarkStart w:id="279" w:name="_Toc899"/>
      <w:bookmarkStart w:id="280" w:name="_Toc26291"/>
      <w:bookmarkStart w:id="281" w:name="_Toc152045548"/>
      <w:bookmarkStart w:id="282" w:name="_Toc279156232"/>
      <w:r>
        <w:rPr>
          <w:rFonts w:hint="eastAsia" w:ascii="宋体" w:hAnsi="宋体" w:eastAsia="宋体" w:cs="宋体"/>
          <w:color w:val="auto"/>
          <w:sz w:val="24"/>
          <w:szCs w:val="24"/>
          <w:highlight w:val="none"/>
        </w:rPr>
        <w:t>响应文件应包括下列内容：</w:t>
      </w:r>
    </w:p>
    <w:p w14:paraId="501F5DB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283" w:name="_Toc4592"/>
      <w:r>
        <w:rPr>
          <w:rFonts w:hint="eastAsia" w:ascii="宋体" w:hAnsi="宋体" w:eastAsia="宋体" w:cs="宋体"/>
          <w:color w:val="auto"/>
          <w:sz w:val="24"/>
          <w:szCs w:val="24"/>
          <w:highlight w:val="none"/>
        </w:rPr>
        <w:t>一、响应函及响应函附录</w:t>
      </w:r>
    </w:p>
    <w:p w14:paraId="7C948A7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28CF269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三、授权委托书</w:t>
      </w:r>
    </w:p>
    <w:p w14:paraId="40DC81E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四、商务条款偏离表</w:t>
      </w:r>
    </w:p>
    <w:p w14:paraId="121E959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五、项目管理机构</w:t>
      </w:r>
    </w:p>
    <w:p w14:paraId="0E7E674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六、资格审查表</w:t>
      </w:r>
    </w:p>
    <w:p w14:paraId="074FE70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七、项目技术方案</w:t>
      </w:r>
    </w:p>
    <w:p w14:paraId="69FC73E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八、服务承诺</w:t>
      </w:r>
    </w:p>
    <w:p w14:paraId="5099D4B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九、综合材料</w:t>
      </w:r>
    </w:p>
    <w:p w14:paraId="4D88EE2F">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磋商报价</w:t>
      </w:r>
      <w:bookmarkEnd w:id="276"/>
      <w:bookmarkEnd w:id="277"/>
      <w:bookmarkEnd w:id="278"/>
      <w:bookmarkEnd w:id="279"/>
      <w:bookmarkEnd w:id="280"/>
      <w:bookmarkEnd w:id="281"/>
      <w:bookmarkEnd w:id="282"/>
      <w:bookmarkEnd w:id="283"/>
    </w:p>
    <w:p w14:paraId="56CAA86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284" w:name="_Toc12402"/>
      <w:bookmarkStart w:id="285" w:name="_Toc152045549"/>
      <w:bookmarkStart w:id="286" w:name="_Toc152042325"/>
      <w:bookmarkStart w:id="287" w:name="_Toc11968"/>
      <w:bookmarkStart w:id="288" w:name="_Toc7105"/>
      <w:bookmarkStart w:id="289" w:name="_Toc25387"/>
      <w:bookmarkStart w:id="290" w:name="_Toc2425"/>
      <w:bookmarkStart w:id="291" w:name="_Toc21680"/>
      <w:bookmarkStart w:id="292" w:name="_Toc7910"/>
      <w:bookmarkStart w:id="293" w:name="_Toc490667846"/>
      <w:bookmarkStart w:id="294" w:name="_Toc29133"/>
      <w:bookmarkStart w:id="295" w:name="_Toc455867786"/>
      <w:bookmarkStart w:id="296" w:name="_Toc21600"/>
      <w:bookmarkStart w:id="297" w:name="_Toc3624"/>
      <w:bookmarkStart w:id="298" w:name="_Toc455080126"/>
      <w:bookmarkStart w:id="299" w:name="_Toc466298109"/>
      <w:bookmarkStart w:id="300" w:name="_Toc6105"/>
      <w:bookmarkStart w:id="301" w:name="_Toc144974517"/>
      <w:bookmarkStart w:id="302" w:name="_Toc318450693"/>
      <w:r>
        <w:rPr>
          <w:rFonts w:hint="eastAsia" w:ascii="宋体" w:hAnsi="宋体" w:eastAsia="宋体" w:cs="宋体"/>
          <w:color w:val="auto"/>
          <w:sz w:val="24"/>
          <w:szCs w:val="24"/>
          <w:highlight w:val="none"/>
        </w:rPr>
        <w:t xml:space="preserve">3.2.1 </w:t>
      </w:r>
      <w:bookmarkEnd w:id="284"/>
      <w:r>
        <w:rPr>
          <w:rFonts w:hint="eastAsia" w:ascii="宋体" w:hAnsi="宋体" w:eastAsia="宋体" w:cs="宋体"/>
          <w:color w:val="auto"/>
          <w:sz w:val="24"/>
          <w:szCs w:val="24"/>
          <w:highlight w:val="none"/>
        </w:rPr>
        <w:t>本项目的磋商报价应按照磋商文件、补充通知、答疑纪要、现场情况、承包范围，并充分考虑服务期间各类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p>
    <w:p w14:paraId="0687D41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供应商应充分了解该项目的总体情况以及影响磋商报价的其它要素，考虑服务期间的价格风险因素，成交价在合同实施期内不得调整，同时也不因市场价格变动而调整。</w:t>
      </w:r>
    </w:p>
    <w:p w14:paraId="5E843455">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响应报价表中的大写金额和小写金额不一致的，以大写金额为准。</w:t>
      </w:r>
    </w:p>
    <w:p w14:paraId="36386DE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供应商的报价明显低于其他通过符合性审查供应商的报价，有可能影响服务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61680EA0">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注：磋商价格为含税价，供应商应充分了解该项目的总体情况以及影响磋商报价的其它要素，考虑服务期间的价格风险因素，成交价在合同实施期内不得调整，同时也不因市场价格变动而调整。</w:t>
      </w:r>
    </w:p>
    <w:p w14:paraId="18F6DCBE">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303" w:name="_Toc31126"/>
      <w:r>
        <w:rPr>
          <w:rFonts w:hint="eastAsia" w:ascii="宋体" w:hAnsi="宋体" w:eastAsia="宋体" w:cs="宋体"/>
          <w:b/>
          <w:color w:val="auto"/>
          <w:sz w:val="24"/>
          <w:szCs w:val="24"/>
          <w:highlight w:val="none"/>
        </w:rPr>
        <w:t>3.3 磋商有效期</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399B3F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在供应商须知前附表规定的磋商有效期内，供应商不得要求撤销或修改其响应文件。</w:t>
      </w:r>
    </w:p>
    <w:p w14:paraId="6141661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出现特殊情况需要延长磋商有效期的，采购人以书面形式通知所有供应商延长磋商有效期。供应商同意延长的，但不得要求或被允许修改或撤销其响应文件；供应商拒绝延长的，其响应文件失效。</w:t>
      </w:r>
    </w:p>
    <w:p w14:paraId="3EC68F06">
      <w:pPr>
        <w:pageBreakBefore w:val="0"/>
        <w:kinsoku/>
        <w:wordWrap w:val="0"/>
        <w:overflowPunct/>
        <w:bidi w:val="0"/>
        <w:spacing w:line="360" w:lineRule="auto"/>
        <w:ind w:firstLine="482" w:firstLineChars="200"/>
        <w:rPr>
          <w:rFonts w:hint="eastAsia" w:ascii="宋体" w:hAnsi="宋体" w:eastAsia="宋体" w:cs="宋体"/>
          <w:color w:val="auto"/>
          <w:sz w:val="24"/>
          <w:szCs w:val="24"/>
          <w:highlight w:val="none"/>
        </w:rPr>
      </w:pPr>
      <w:bookmarkStart w:id="304" w:name="_Toc318450694"/>
      <w:bookmarkStart w:id="305" w:name="_Toc144974518"/>
      <w:bookmarkStart w:id="306" w:name="_Toc7057"/>
      <w:bookmarkStart w:id="307" w:name="_Toc152045550"/>
      <w:bookmarkStart w:id="308" w:name="_Toc466298110"/>
      <w:bookmarkStart w:id="309" w:name="_Toc490667847"/>
      <w:bookmarkStart w:id="310" w:name="_Toc455080127"/>
      <w:bookmarkStart w:id="311" w:name="_Toc8406"/>
      <w:bookmarkStart w:id="312" w:name="_Toc7973"/>
      <w:bookmarkStart w:id="313" w:name="_Toc455867787"/>
      <w:bookmarkStart w:id="314" w:name="_Toc22634"/>
      <w:bookmarkStart w:id="315" w:name="_Toc4165"/>
      <w:bookmarkStart w:id="316" w:name="_Toc152042326"/>
      <w:bookmarkStart w:id="317" w:name="_Toc10370"/>
      <w:bookmarkStart w:id="318" w:name="_Toc2505"/>
      <w:bookmarkStart w:id="319" w:name="_Toc7618"/>
      <w:bookmarkStart w:id="320" w:name="_Toc30697"/>
      <w:bookmarkStart w:id="321" w:name="_Toc13921"/>
      <w:bookmarkStart w:id="322" w:name="_Toc1907"/>
      <w:r>
        <w:rPr>
          <w:rFonts w:hint="eastAsia" w:ascii="宋体" w:hAnsi="宋体" w:eastAsia="宋体" w:cs="宋体"/>
          <w:b/>
          <w:color w:val="auto"/>
          <w:sz w:val="24"/>
          <w:szCs w:val="24"/>
          <w:highlight w:val="none"/>
        </w:rPr>
        <w:t>3.4 磋商保证金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Start w:id="323" w:name="_Toc152045552"/>
      <w:bookmarkStart w:id="324" w:name="_Toc152042328"/>
      <w:bookmarkStart w:id="325" w:name="_Toc318450695"/>
      <w:bookmarkStart w:id="326" w:name="_Toc144974520"/>
    </w:p>
    <w:p w14:paraId="028D8FE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bookmarkEnd w:id="321"/>
      <w:bookmarkEnd w:id="322"/>
    </w:p>
    <w:p w14:paraId="186B13B7">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327" w:name="_Toc15547"/>
      <w:bookmarkStart w:id="328" w:name="_Toc22384"/>
      <w:bookmarkStart w:id="329" w:name="_Toc490667848"/>
      <w:bookmarkStart w:id="330" w:name="_Toc455867788"/>
      <w:bookmarkStart w:id="331" w:name="_Toc13680"/>
      <w:bookmarkStart w:id="332" w:name="_Toc27579"/>
      <w:bookmarkStart w:id="333" w:name="_Toc22527"/>
      <w:bookmarkStart w:id="334" w:name="_Toc11077"/>
      <w:bookmarkStart w:id="335" w:name="_Toc455080128"/>
      <w:bookmarkStart w:id="336" w:name="_Toc27678"/>
      <w:bookmarkStart w:id="337" w:name="_Toc17153"/>
      <w:bookmarkStart w:id="338" w:name="_Toc16747"/>
      <w:bookmarkStart w:id="339" w:name="_Toc466298111"/>
      <w:bookmarkStart w:id="340" w:name="_Toc20328"/>
      <w:r>
        <w:rPr>
          <w:rFonts w:hint="eastAsia" w:ascii="宋体" w:hAnsi="宋体" w:eastAsia="宋体" w:cs="宋体"/>
          <w:b/>
          <w:color w:val="auto"/>
          <w:sz w:val="24"/>
          <w:szCs w:val="24"/>
          <w:highlight w:val="none"/>
        </w:rPr>
        <w:t>3.5 资格审查资料</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F0D5A3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341" w:name="_Toc4586"/>
      <w:bookmarkStart w:id="342" w:name="_Toc15687"/>
      <w:bookmarkStart w:id="343" w:name="_Toc152042329"/>
      <w:bookmarkStart w:id="344" w:name="_Toc455867789"/>
      <w:bookmarkStart w:id="345" w:name="_Toc19724"/>
      <w:bookmarkStart w:id="346" w:name="_Toc1228"/>
      <w:bookmarkStart w:id="347" w:name="_Toc144974521"/>
      <w:bookmarkStart w:id="348" w:name="_Toc3286"/>
      <w:bookmarkStart w:id="349" w:name="_Toc455080129"/>
      <w:bookmarkStart w:id="350" w:name="_Toc26258"/>
      <w:bookmarkStart w:id="351" w:name="_Toc30442"/>
      <w:bookmarkStart w:id="352" w:name="_Toc9015"/>
      <w:bookmarkStart w:id="353" w:name="_Toc18915"/>
      <w:bookmarkStart w:id="354" w:name="_Toc490667849"/>
      <w:bookmarkStart w:id="355" w:name="_Toc318450696"/>
      <w:bookmarkStart w:id="356" w:name="_Toc466298112"/>
      <w:bookmarkStart w:id="357" w:name="_Toc152045553"/>
      <w:bookmarkStart w:id="358" w:name="_Toc11694"/>
      <w:bookmarkStart w:id="359" w:name="_Toc5132"/>
      <w:r>
        <w:rPr>
          <w:rFonts w:hint="eastAsia" w:ascii="宋体" w:hAnsi="宋体" w:eastAsia="宋体" w:cs="宋体"/>
          <w:color w:val="auto"/>
          <w:sz w:val="24"/>
          <w:szCs w:val="24"/>
          <w:highlight w:val="none"/>
        </w:rPr>
        <w:t>按照第二章供应商须知表“供应商须知前附表”1.5.1要求，提供其他相关材料。</w:t>
      </w:r>
      <w:bookmarkEnd w:id="341"/>
      <w:bookmarkEnd w:id="342"/>
    </w:p>
    <w:p w14:paraId="411B8225">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360" w:name="_Toc24859"/>
      <w:bookmarkStart w:id="361" w:name="_Toc3708"/>
      <w:r>
        <w:rPr>
          <w:rFonts w:hint="eastAsia" w:ascii="宋体" w:hAnsi="宋体" w:eastAsia="宋体" w:cs="宋体"/>
          <w:b/>
          <w:color w:val="auto"/>
          <w:sz w:val="24"/>
          <w:szCs w:val="24"/>
          <w:highlight w:val="none"/>
        </w:rPr>
        <w:t>3.6 备选方案</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967429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除供应商须知前附表另有规定外，供应商不得递交备选磋商方案。</w:t>
      </w:r>
    </w:p>
    <w:p w14:paraId="23744991">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362" w:name="_Toc466298113"/>
      <w:bookmarkStart w:id="363" w:name="_Toc455867790"/>
      <w:bookmarkStart w:id="364" w:name="_Toc152045554"/>
      <w:bookmarkStart w:id="365" w:name="_Toc28656"/>
      <w:bookmarkStart w:id="366" w:name="_Toc490667850"/>
      <w:bookmarkStart w:id="367" w:name="_Toc5516"/>
      <w:bookmarkStart w:id="368" w:name="_Toc7626"/>
      <w:bookmarkStart w:id="369" w:name="_Toc18912"/>
      <w:bookmarkStart w:id="370" w:name="_Toc6323"/>
      <w:bookmarkStart w:id="371" w:name="_Toc318450697"/>
      <w:bookmarkStart w:id="372" w:name="_Toc144974522"/>
      <w:bookmarkStart w:id="373" w:name="_Toc7966"/>
      <w:bookmarkStart w:id="374" w:name="_Toc455080130"/>
      <w:bookmarkStart w:id="375" w:name="_Toc25620"/>
      <w:bookmarkStart w:id="376" w:name="_Toc17982"/>
      <w:bookmarkStart w:id="377" w:name="_Toc17697"/>
      <w:bookmarkStart w:id="378" w:name="_Toc12275"/>
      <w:bookmarkStart w:id="379" w:name="_Toc12541"/>
      <w:bookmarkStart w:id="380" w:name="_Toc152042330"/>
      <w:r>
        <w:rPr>
          <w:rFonts w:hint="eastAsia" w:ascii="宋体" w:hAnsi="宋体" w:eastAsia="宋体" w:cs="宋体"/>
          <w:b/>
          <w:color w:val="auto"/>
          <w:sz w:val="24"/>
          <w:szCs w:val="24"/>
          <w:highlight w:val="none"/>
        </w:rPr>
        <w:t>3.7 响应文件的编制</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1" w:name="_Toc144974523"/>
      <w:bookmarkStart w:id="382" w:name="_Toc455080131"/>
      <w:bookmarkStart w:id="383" w:name="_Toc152042331"/>
      <w:bookmarkStart w:id="384" w:name="_Toc152045555"/>
    </w:p>
    <w:p w14:paraId="41DDDE1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1EA0D8B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响应文件应当对竞争性磋商文件有关采购内容、合同履行期限、质量要求作出响应。</w:t>
      </w:r>
    </w:p>
    <w:p w14:paraId="57DA23A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响应文件应使用信阳市公共资源交易系统响应文件制作专用工具软件编制，竞争性磋商响应文件格式为“*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xy</w:t>
      </w:r>
      <w:r>
        <w:rPr>
          <w:rFonts w:hint="eastAsia" w:ascii="宋体" w:hAnsi="宋体" w:eastAsia="宋体" w:cs="宋体"/>
          <w:color w:val="auto"/>
          <w:sz w:val="24"/>
          <w:szCs w:val="24"/>
          <w:highlight w:val="none"/>
          <w:lang w:eastAsia="zh-CN"/>
        </w:rPr>
        <w:t>tf</w:t>
      </w:r>
      <w:r>
        <w:rPr>
          <w:rFonts w:hint="eastAsia" w:ascii="宋体" w:hAnsi="宋体" w:eastAsia="宋体" w:cs="宋体"/>
          <w:color w:val="auto"/>
          <w:sz w:val="24"/>
          <w:szCs w:val="24"/>
          <w:highlight w:val="none"/>
        </w:rPr>
        <w:t>”。电子响应文件签字或盖章的具体要求见供应商须知前附表。供应商须在响应文件递交截止时间前制作并提交。</w:t>
      </w:r>
    </w:p>
    <w:p w14:paraId="52EF8D0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 响应文件份数见供应商须知前附表。</w:t>
      </w:r>
    </w:p>
    <w:p w14:paraId="6FC3D370">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385" w:name="_Toc10732"/>
      <w:bookmarkStart w:id="386" w:name="_Toc19433"/>
      <w:bookmarkStart w:id="387" w:name="_Toc28805"/>
      <w:r>
        <w:rPr>
          <w:rFonts w:hint="eastAsia" w:ascii="宋体" w:hAnsi="宋体" w:eastAsia="宋体" w:cs="宋体"/>
          <w:b/>
          <w:color w:val="auto"/>
          <w:sz w:val="24"/>
          <w:szCs w:val="24"/>
          <w:highlight w:val="none"/>
        </w:rPr>
        <w:t xml:space="preserve">4. </w:t>
      </w:r>
      <w:bookmarkEnd w:id="381"/>
      <w:bookmarkEnd w:id="382"/>
      <w:bookmarkEnd w:id="383"/>
      <w:bookmarkEnd w:id="384"/>
      <w:r>
        <w:rPr>
          <w:rFonts w:hint="eastAsia" w:ascii="宋体" w:hAnsi="宋体" w:eastAsia="宋体" w:cs="宋体"/>
          <w:b/>
          <w:color w:val="auto"/>
          <w:sz w:val="24"/>
          <w:szCs w:val="24"/>
          <w:highlight w:val="none"/>
        </w:rPr>
        <w:t>磋商</w:t>
      </w:r>
      <w:bookmarkEnd w:id="385"/>
      <w:bookmarkEnd w:id="386"/>
      <w:bookmarkEnd w:id="387"/>
      <w:bookmarkStart w:id="388" w:name="_Toc152045556"/>
      <w:bookmarkStart w:id="389" w:name="_Toc490667852"/>
      <w:bookmarkStart w:id="390" w:name="_Toc18820"/>
      <w:bookmarkStart w:id="391" w:name="_Toc26583"/>
      <w:bookmarkStart w:id="392" w:name="_Toc11243"/>
      <w:bookmarkStart w:id="393" w:name="_Toc144974524"/>
      <w:bookmarkStart w:id="394" w:name="_Toc22961"/>
      <w:bookmarkStart w:id="395" w:name="_Toc16783"/>
      <w:bookmarkStart w:id="396" w:name="_Toc455867792"/>
      <w:bookmarkStart w:id="397" w:name="_Toc31492"/>
      <w:bookmarkStart w:id="398" w:name="_Toc455080132"/>
      <w:bookmarkStart w:id="399" w:name="_Toc466298115"/>
      <w:bookmarkStart w:id="400" w:name="_Toc16962"/>
      <w:bookmarkStart w:id="401" w:name="_Toc318450699"/>
      <w:bookmarkStart w:id="402" w:name="_Toc152042332"/>
      <w:bookmarkStart w:id="403" w:name="_Toc16344"/>
      <w:bookmarkStart w:id="404" w:name="_Toc26550"/>
      <w:bookmarkStart w:id="405" w:name="_Toc19950"/>
      <w:bookmarkStart w:id="406" w:name="_Toc21145"/>
    </w:p>
    <w:p w14:paraId="6CCF44A9">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 响应文件的</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eastAsia="宋体" w:cs="宋体"/>
          <w:b/>
          <w:color w:val="auto"/>
          <w:sz w:val="24"/>
          <w:szCs w:val="24"/>
          <w:highlight w:val="none"/>
        </w:rPr>
        <w:t>上传</w:t>
      </w:r>
      <w:bookmarkEnd w:id="405"/>
      <w:bookmarkEnd w:id="406"/>
    </w:p>
    <w:p w14:paraId="42E1978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网上上传的电子响应文件应使用供应商数字证书认证并加密。</w:t>
      </w:r>
    </w:p>
    <w:p w14:paraId="6ACDC5F0">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07" w:name="_Toc318450700"/>
      <w:bookmarkStart w:id="408" w:name="_Toc8754"/>
      <w:bookmarkStart w:id="409" w:name="_Toc455080133"/>
      <w:bookmarkStart w:id="410" w:name="_Toc27132"/>
      <w:bookmarkStart w:id="411" w:name="_Toc20259"/>
      <w:bookmarkStart w:id="412" w:name="_Toc144974525"/>
      <w:bookmarkStart w:id="413" w:name="_Toc16832"/>
      <w:bookmarkStart w:id="414" w:name="_Toc455867793"/>
      <w:bookmarkStart w:id="415" w:name="_Toc466298116"/>
      <w:bookmarkStart w:id="416" w:name="_Toc152042333"/>
      <w:bookmarkStart w:id="417" w:name="_Toc7663"/>
      <w:bookmarkStart w:id="418" w:name="_Toc21072"/>
      <w:bookmarkStart w:id="419" w:name="_Toc4767"/>
      <w:bookmarkStart w:id="420" w:name="_Toc5518"/>
      <w:bookmarkStart w:id="421" w:name="_Toc152045557"/>
      <w:bookmarkStart w:id="422" w:name="_Toc462"/>
      <w:bookmarkStart w:id="423" w:name="_Toc21897"/>
      <w:bookmarkStart w:id="424" w:name="_Toc490667853"/>
      <w:bookmarkStart w:id="425" w:name="_Toc28272"/>
      <w:r>
        <w:rPr>
          <w:rFonts w:hint="eastAsia" w:ascii="宋体" w:hAnsi="宋体" w:eastAsia="宋体" w:cs="宋体"/>
          <w:b/>
          <w:color w:val="auto"/>
          <w:sz w:val="24"/>
          <w:szCs w:val="24"/>
          <w:highlight w:val="none"/>
        </w:rPr>
        <w:t>4.2 响应文件的递交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314199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426" w:name="_Toc20281"/>
      <w:bookmarkStart w:id="427" w:name="_Toc2952"/>
      <w:bookmarkStart w:id="428" w:name="_Toc30860"/>
      <w:bookmarkStart w:id="429" w:name="_Toc5102"/>
      <w:bookmarkStart w:id="430" w:name="_Toc19951"/>
      <w:bookmarkStart w:id="431" w:name="_Toc11817"/>
      <w:bookmarkStart w:id="432" w:name="_Toc21890"/>
      <w:bookmarkStart w:id="433" w:name="_Toc26684"/>
      <w:bookmarkStart w:id="434" w:name="_Toc490667854"/>
      <w:bookmarkStart w:id="435" w:name="_Toc152045558"/>
      <w:bookmarkStart w:id="436" w:name="_Toc455867794"/>
      <w:bookmarkStart w:id="437" w:name="_Toc318450701"/>
      <w:bookmarkStart w:id="438" w:name="_Toc144974526"/>
      <w:bookmarkStart w:id="439" w:name="_Toc152042334"/>
      <w:bookmarkStart w:id="440" w:name="_Toc17161"/>
      <w:bookmarkStart w:id="441" w:name="_Toc455080134"/>
      <w:bookmarkStart w:id="442" w:name="_Toc466298117"/>
      <w:r>
        <w:rPr>
          <w:rFonts w:hint="eastAsia" w:ascii="宋体" w:hAnsi="宋体" w:eastAsia="宋体" w:cs="宋体"/>
          <w:color w:val="auto"/>
          <w:sz w:val="24"/>
          <w:szCs w:val="24"/>
          <w:highlight w:val="none"/>
        </w:rPr>
        <w:t>4.2.1 电子响应文件的递交</w:t>
      </w:r>
    </w:p>
    <w:p w14:paraId="321BCCB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各供应商应在响应文件提交截止时间前上传加密的电子响应文件（*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xy</w:t>
      </w:r>
      <w:r>
        <w:rPr>
          <w:rFonts w:hint="eastAsia" w:ascii="宋体" w:hAnsi="宋体" w:eastAsia="宋体" w:cs="宋体"/>
          <w:color w:val="auto"/>
          <w:sz w:val="24"/>
          <w:szCs w:val="24"/>
          <w:highlight w:val="none"/>
          <w:lang w:eastAsia="zh-CN"/>
        </w:rPr>
        <w:t>tf</w:t>
      </w:r>
      <w:r>
        <w:rPr>
          <w:rFonts w:hint="eastAsia" w:ascii="宋体" w:hAnsi="宋体" w:eastAsia="宋体" w:cs="宋体"/>
          <w:color w:val="auto"/>
          <w:sz w:val="24"/>
          <w:szCs w:val="24"/>
          <w:highlight w:val="none"/>
        </w:rPr>
        <w:t>）到</w:t>
      </w:r>
      <w:r>
        <w:rPr>
          <w:rFonts w:hint="eastAsia" w:ascii="宋体" w:hAnsi="宋体" w:cs="宋体"/>
          <w:color w:val="auto"/>
          <w:sz w:val="24"/>
          <w:szCs w:val="24"/>
          <w:highlight w:val="none"/>
          <w:lang w:eastAsia="zh-CN"/>
        </w:rPr>
        <w:t>固始县公共资源交易</w:t>
      </w:r>
      <w:r>
        <w:rPr>
          <w:rFonts w:hint="eastAsia" w:ascii="宋体" w:hAnsi="宋体" w:eastAsia="宋体" w:cs="宋体"/>
          <w:color w:val="auto"/>
          <w:sz w:val="24"/>
          <w:szCs w:val="24"/>
          <w:highlight w:val="none"/>
        </w:rPr>
        <w:t>系统的指定位置。上传的电子响应文件应使用供应商CA数字证书认证并加密。上传时必须得到交易系统“上传成功”的确认回复后方为上传成功。请供应商在上传前务必认真检查上传响应文件是否完整、正确。</w:t>
      </w:r>
      <w:bookmarkStart w:id="443" w:name="_Toc1790"/>
      <w:bookmarkStart w:id="444" w:name="_Toc30434"/>
    </w:p>
    <w:p w14:paraId="7D9CBD9F">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 响应文件的修改与撤回</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9E3F81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445" w:name="_Toc152045559"/>
      <w:bookmarkStart w:id="446" w:name="_Toc144974527"/>
      <w:bookmarkStart w:id="447" w:name="_Toc152042335"/>
      <w:bookmarkStart w:id="448" w:name="_Toc455080135"/>
      <w:r>
        <w:rPr>
          <w:rFonts w:hint="eastAsia" w:ascii="宋体" w:hAnsi="宋体" w:eastAsia="宋体" w:cs="宋体"/>
          <w:color w:val="auto"/>
          <w:sz w:val="24"/>
          <w:szCs w:val="24"/>
          <w:highlight w:val="none"/>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0E6E1FC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修改的响应文件应按照本章第3.7条、第4.2条规定进行编制和递交。</w:t>
      </w:r>
    </w:p>
    <w:bookmarkEnd w:id="445"/>
    <w:bookmarkEnd w:id="446"/>
    <w:bookmarkEnd w:id="447"/>
    <w:p w14:paraId="197D0D6C">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49" w:name="_Toc5719"/>
      <w:bookmarkStart w:id="450" w:name="_Toc31291"/>
      <w:bookmarkStart w:id="451" w:name="_Toc14969"/>
      <w:r>
        <w:rPr>
          <w:rFonts w:hint="eastAsia" w:ascii="宋体" w:hAnsi="宋体" w:eastAsia="宋体" w:cs="宋体"/>
          <w:b/>
          <w:color w:val="auto"/>
          <w:sz w:val="24"/>
          <w:szCs w:val="24"/>
          <w:highlight w:val="none"/>
        </w:rPr>
        <w:t>5. 磋商开始</w:t>
      </w:r>
      <w:bookmarkEnd w:id="448"/>
      <w:bookmarkEnd w:id="449"/>
      <w:bookmarkEnd w:id="450"/>
      <w:bookmarkEnd w:id="451"/>
      <w:bookmarkStart w:id="452" w:name="_Toc152045560"/>
      <w:bookmarkStart w:id="453" w:name="_Toc152042336"/>
      <w:bookmarkStart w:id="454" w:name="_Toc466298119"/>
      <w:bookmarkStart w:id="455" w:name="_Toc25533"/>
      <w:bookmarkStart w:id="456" w:name="_Toc490667856"/>
      <w:bookmarkStart w:id="457" w:name="_Toc16040"/>
      <w:bookmarkStart w:id="458" w:name="_Toc455867796"/>
      <w:bookmarkStart w:id="459" w:name="_Toc20660"/>
      <w:bookmarkStart w:id="460" w:name="_Toc6763"/>
      <w:bookmarkStart w:id="461" w:name="_Toc14"/>
      <w:bookmarkStart w:id="462" w:name="_Toc25809"/>
      <w:bookmarkStart w:id="463" w:name="_Toc144974528"/>
      <w:bookmarkStart w:id="464" w:name="_Toc455080136"/>
      <w:bookmarkStart w:id="465" w:name="_Toc318450703"/>
      <w:bookmarkStart w:id="466" w:name="_Toc9969"/>
      <w:bookmarkStart w:id="467" w:name="_Toc20333"/>
      <w:bookmarkStart w:id="468" w:name="_Toc26426"/>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48B93CF9">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69" w:name="_Toc19037"/>
      <w:bookmarkStart w:id="470" w:name="_Toc152042337"/>
      <w:bookmarkStart w:id="471" w:name="_Toc17491"/>
      <w:bookmarkStart w:id="472" w:name="_Toc747"/>
      <w:bookmarkStart w:id="473" w:name="_Toc30965"/>
      <w:bookmarkStart w:id="474" w:name="_Toc11148"/>
      <w:bookmarkStart w:id="475" w:name="_Toc3865"/>
      <w:bookmarkStart w:id="476" w:name="_Toc318450704"/>
      <w:bookmarkStart w:id="477" w:name="_Toc25911"/>
      <w:bookmarkStart w:id="478" w:name="_Toc466298120"/>
      <w:bookmarkStart w:id="479" w:name="_Toc30792"/>
      <w:bookmarkStart w:id="480" w:name="_Toc455080137"/>
      <w:bookmarkStart w:id="481" w:name="_Toc144974529"/>
      <w:bookmarkStart w:id="482" w:name="_Toc490667857"/>
      <w:bookmarkStart w:id="483" w:name="_Toc18582"/>
      <w:bookmarkStart w:id="484" w:name="_Toc9328"/>
      <w:bookmarkStart w:id="485" w:name="_Toc30074"/>
      <w:bookmarkStart w:id="486" w:name="_Toc152045561"/>
      <w:bookmarkStart w:id="487" w:name="_Toc455867797"/>
      <w:r>
        <w:rPr>
          <w:rFonts w:hint="eastAsia" w:ascii="宋体" w:hAnsi="宋体" w:eastAsia="宋体" w:cs="宋体"/>
          <w:b/>
          <w:color w:val="auto"/>
          <w:sz w:val="24"/>
          <w:szCs w:val="24"/>
          <w:highlight w:val="none"/>
        </w:rPr>
        <w:t>5.1 磋商时间和地点</w:t>
      </w:r>
      <w:bookmarkEnd w:id="469"/>
    </w:p>
    <w:p w14:paraId="4A7F8B3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采购人在本章规定的投标截止时间（开标时间）和供应商须知前附表规定的地点开标。</w:t>
      </w:r>
    </w:p>
    <w:p w14:paraId="5B65431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本项目采用“不见面开标”交易方式，不见面开标大厅网址为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https://ggzyjy.xinyang.gov.cn/BidOpening/bidhall/xinyang/login.html</w:t>
      </w:r>
      <w:r>
        <w:rPr>
          <w:rFonts w:hint="eastAsia" w:ascii="宋体" w:hAnsi="宋体" w:eastAsia="宋体" w:cs="宋体"/>
          <w:color w:val="auto"/>
          <w:sz w:val="24"/>
          <w:szCs w:val="24"/>
          <w:highlight w:val="none"/>
        </w:rPr>
        <w:t>，供应商无需寄送和递交非加密的电子响应文件，无需到现场参加开标会议，无需到达现场提交原件资料。</w:t>
      </w:r>
      <w:r>
        <w:rPr>
          <w:rFonts w:hint="eastAsia" w:ascii="宋体" w:hAnsi="宋体" w:eastAsia="宋体" w:cs="宋体"/>
          <w:color w:val="auto"/>
          <w:sz w:val="24"/>
          <w:szCs w:val="24"/>
          <w:highlight w:val="none"/>
        </w:rPr>
        <w:fldChar w:fldCharType="end"/>
      </w:r>
    </w:p>
    <w:p w14:paraId="5703367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供应商应当在响应文件提交截止时间前，使用供应商CA数字证书登录不见面开标大厅，在线签到并准时参加开标活动，并在规定时间内完成响应文件解密、答疑澄清等。</w:t>
      </w:r>
    </w:p>
    <w:p w14:paraId="693310F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7D3FF10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不见面开标服务的具体事宜，请查阅信阳市公共资源交易中心网站首页—下载中心—信阳市不见面开标大厅系统操作手册。</w:t>
      </w:r>
    </w:p>
    <w:p w14:paraId="61038E0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开标过程中，供应商如有异议，须在开标结束前通过系统提出，否则视同认可开标记录。开标结束后，对开标记录的任何异议不再接受。</w:t>
      </w:r>
    </w:p>
    <w:p w14:paraId="06F32987">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88" w:name="_Toc6880"/>
      <w:r>
        <w:rPr>
          <w:rFonts w:hint="eastAsia" w:ascii="宋体" w:hAnsi="宋体" w:eastAsia="宋体" w:cs="宋体"/>
          <w:b/>
          <w:color w:val="auto"/>
          <w:sz w:val="24"/>
          <w:szCs w:val="24"/>
          <w:highlight w:val="none"/>
        </w:rPr>
        <w:t>5.2 磋商程序</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Start w:id="489" w:name="_Toc30403"/>
      <w:bookmarkStart w:id="490" w:name="_Toc14413"/>
    </w:p>
    <w:p w14:paraId="1F16737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磋商小组对竞争性磋商文件进行熟悉确认。</w:t>
      </w:r>
      <w:bookmarkEnd w:id="489"/>
      <w:bookmarkEnd w:id="490"/>
    </w:p>
    <w:p w14:paraId="4CAC7AB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491" w:name="_Toc152042338"/>
      <w:bookmarkStart w:id="492" w:name="_Toc152045562"/>
      <w:bookmarkStart w:id="493" w:name="_Toc144974530"/>
      <w:r>
        <w:rPr>
          <w:rFonts w:hint="eastAsia" w:ascii="宋体" w:hAnsi="宋体" w:eastAsia="宋体" w:cs="宋体"/>
          <w:color w:val="auto"/>
          <w:sz w:val="24"/>
          <w:szCs w:val="24"/>
          <w:highlight w:val="none"/>
        </w:rPr>
        <w:t>5.2.2 磋商小组推选组长，讨论、通过磋商工作流程和磋商要点。</w:t>
      </w:r>
    </w:p>
    <w:p w14:paraId="7C04435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资格评审审查：采购人依据竞争性磋商文件规定，对供应商进行审查，以确定磋商供应商是否具备参与磋商的资格。</w:t>
      </w:r>
    </w:p>
    <w:p w14:paraId="21E6F57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 符合性评审审查：磋商开始后，磋商小组依据竞争性磋商文件规定，对通过资格评审的供应商进行审查，以确定磋商供应商是否具备参与磋商的资格。</w:t>
      </w:r>
    </w:p>
    <w:p w14:paraId="37527E2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 磋商小组对通过资格性和符合性审查的响应文件进行评估，确定与各竞标人磋商的具体内容。</w:t>
      </w:r>
    </w:p>
    <w:p w14:paraId="45B1064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 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4CC0959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5.2.7 磋商小组对符合招标需求的供应商进行两轮报价；供应商只有通过资格评审及符合性评审后方可进入下一轮报价，在规定的时间内同时提交报价，最终报价不得超过响应文件中报价。</w:t>
      </w:r>
    </w:p>
    <w:p w14:paraId="4317889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5.2.8 经磋商确定最终招标需求，由磋商小组采用综合评分法对通过初步评审的供应商的响应文件进行综合评分。</w:t>
      </w:r>
    </w:p>
    <w:p w14:paraId="7B41E34A">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94" w:name="_Toc455080138"/>
      <w:bookmarkStart w:id="495" w:name="_Toc14039"/>
      <w:bookmarkStart w:id="496" w:name="_Toc32276"/>
      <w:bookmarkStart w:id="497" w:name="_Toc16609"/>
      <w:r>
        <w:rPr>
          <w:rFonts w:hint="eastAsia" w:ascii="宋体" w:hAnsi="宋体" w:eastAsia="宋体" w:cs="宋体"/>
          <w:b/>
          <w:color w:val="auto"/>
          <w:sz w:val="24"/>
          <w:szCs w:val="24"/>
          <w:highlight w:val="none"/>
        </w:rPr>
        <w:t xml:space="preserve">6. </w:t>
      </w:r>
      <w:bookmarkEnd w:id="491"/>
      <w:bookmarkEnd w:id="492"/>
      <w:bookmarkEnd w:id="493"/>
      <w:r>
        <w:rPr>
          <w:rFonts w:hint="eastAsia" w:ascii="宋体" w:hAnsi="宋体" w:eastAsia="宋体" w:cs="宋体"/>
          <w:b/>
          <w:color w:val="auto"/>
          <w:sz w:val="24"/>
          <w:szCs w:val="24"/>
          <w:highlight w:val="none"/>
        </w:rPr>
        <w:t>磋商</w:t>
      </w:r>
      <w:bookmarkEnd w:id="494"/>
      <w:r>
        <w:rPr>
          <w:rFonts w:hint="eastAsia" w:ascii="宋体" w:hAnsi="宋体" w:eastAsia="宋体" w:cs="宋体"/>
          <w:b/>
          <w:color w:val="auto"/>
          <w:sz w:val="24"/>
          <w:szCs w:val="24"/>
          <w:highlight w:val="none"/>
        </w:rPr>
        <w:t>小组</w:t>
      </w:r>
      <w:bookmarkEnd w:id="495"/>
      <w:bookmarkEnd w:id="496"/>
      <w:bookmarkEnd w:id="497"/>
    </w:p>
    <w:p w14:paraId="32D8AE8E">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498" w:name="_Toc318450706"/>
      <w:bookmarkStart w:id="499" w:name="_Toc144974531"/>
      <w:bookmarkStart w:id="500" w:name="_Toc26098"/>
      <w:bookmarkStart w:id="501" w:name="_Toc152042339"/>
      <w:bookmarkStart w:id="502" w:name="_Toc152045563"/>
      <w:bookmarkStart w:id="503" w:name="_Toc22250"/>
      <w:bookmarkStart w:id="504" w:name="_Toc9808"/>
      <w:bookmarkStart w:id="505" w:name="_Toc8725"/>
      <w:bookmarkStart w:id="506" w:name="_Toc13978"/>
      <w:bookmarkStart w:id="507" w:name="_Toc490667859"/>
      <w:bookmarkStart w:id="508" w:name="_Toc455080139"/>
      <w:bookmarkStart w:id="509" w:name="_Toc1546"/>
      <w:bookmarkStart w:id="510" w:name="_Toc1574"/>
      <w:bookmarkStart w:id="511" w:name="_Toc18985"/>
      <w:bookmarkStart w:id="512" w:name="_Toc12742"/>
      <w:bookmarkStart w:id="513" w:name="_Toc466298122"/>
      <w:bookmarkStart w:id="514" w:name="_Toc455867799"/>
      <w:bookmarkStart w:id="515" w:name="_Toc8157"/>
      <w:bookmarkStart w:id="516" w:name="_Toc23138"/>
      <w:r>
        <w:rPr>
          <w:rFonts w:hint="eastAsia" w:ascii="宋体" w:hAnsi="宋体" w:eastAsia="宋体" w:cs="宋体"/>
          <w:b/>
          <w:color w:val="auto"/>
          <w:sz w:val="24"/>
          <w:szCs w:val="24"/>
          <w:highlight w:val="none"/>
        </w:rPr>
        <w:t>6.1</w:t>
      </w:r>
      <w:bookmarkEnd w:id="498"/>
      <w:bookmarkEnd w:id="499"/>
      <w:bookmarkEnd w:id="500"/>
      <w:bookmarkEnd w:id="501"/>
      <w:bookmarkEnd w:id="502"/>
      <w:bookmarkEnd w:id="503"/>
      <w:bookmarkEnd w:id="504"/>
      <w:r>
        <w:rPr>
          <w:rFonts w:hint="eastAsia" w:ascii="宋体" w:hAnsi="宋体" w:eastAsia="宋体" w:cs="宋体"/>
          <w:b/>
          <w:color w:val="auto"/>
          <w:sz w:val="24"/>
          <w:szCs w:val="24"/>
          <w:highlight w:val="none"/>
        </w:rPr>
        <w:t xml:space="preserve"> 磋商小组</w:t>
      </w:r>
      <w:bookmarkEnd w:id="505"/>
      <w:bookmarkEnd w:id="506"/>
      <w:bookmarkEnd w:id="507"/>
      <w:bookmarkEnd w:id="508"/>
      <w:bookmarkEnd w:id="509"/>
      <w:bookmarkEnd w:id="510"/>
      <w:bookmarkEnd w:id="511"/>
      <w:bookmarkEnd w:id="512"/>
      <w:bookmarkEnd w:id="513"/>
      <w:bookmarkEnd w:id="514"/>
      <w:bookmarkEnd w:id="515"/>
      <w:bookmarkEnd w:id="516"/>
    </w:p>
    <w:p w14:paraId="5E1DFB5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磋商由采购人依法组建的磋商小组负责。磋商小组由采购人代表以及有关技术、经济等方面的专家组成。磋商小组成员人数以及技术、经济等方面专家的确定方式见供应商须知前附表。</w:t>
      </w:r>
      <w:bookmarkStart w:id="517" w:name="_Toc25721"/>
      <w:bookmarkStart w:id="518" w:name="_Toc13368"/>
      <w:bookmarkStart w:id="519" w:name="_Toc455867800"/>
      <w:bookmarkStart w:id="520" w:name="_Toc490667860"/>
      <w:bookmarkStart w:id="521" w:name="_Toc27035"/>
      <w:bookmarkStart w:id="522" w:name="_Toc4435"/>
      <w:bookmarkStart w:id="523" w:name="_Toc10765"/>
      <w:bookmarkStart w:id="524" w:name="_Toc8240"/>
      <w:bookmarkStart w:id="525" w:name="_Toc7286"/>
      <w:bookmarkStart w:id="526" w:name="_Toc8248"/>
      <w:bookmarkStart w:id="527" w:name="_Toc9532"/>
      <w:bookmarkStart w:id="528" w:name="_Toc152045564"/>
      <w:bookmarkStart w:id="529" w:name="_Toc455080140"/>
      <w:bookmarkStart w:id="530" w:name="_Toc144974532"/>
      <w:bookmarkStart w:id="531" w:name="_Toc466298123"/>
      <w:bookmarkStart w:id="532" w:name="_Toc22143"/>
      <w:bookmarkStart w:id="533" w:name="_Toc318450707"/>
      <w:bookmarkStart w:id="534" w:name="_Toc21102"/>
      <w:bookmarkStart w:id="535" w:name="_Toc152042340"/>
    </w:p>
    <w:p w14:paraId="1B6D7519">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 磋商原则</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41A005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磋商活动遵循公平、公正、科学和择优的原则。</w:t>
      </w:r>
      <w:bookmarkStart w:id="536" w:name="_Toc16725"/>
      <w:bookmarkStart w:id="537" w:name="_Toc152042341"/>
      <w:bookmarkStart w:id="538" w:name="_Toc15595"/>
      <w:bookmarkStart w:id="539" w:name="_Toc152045565"/>
      <w:bookmarkStart w:id="540" w:name="_Toc8705"/>
      <w:bookmarkStart w:id="541" w:name="_Toc144974533"/>
      <w:bookmarkStart w:id="542" w:name="_Toc318450708"/>
      <w:bookmarkStart w:id="543" w:name="_Toc490667861"/>
      <w:bookmarkStart w:id="544" w:name="_Toc455080141"/>
      <w:bookmarkStart w:id="545" w:name="_Toc466298124"/>
      <w:bookmarkStart w:id="546" w:name="_Toc455867801"/>
      <w:bookmarkStart w:id="547" w:name="_Toc3606"/>
      <w:bookmarkStart w:id="548" w:name="_Toc7890"/>
      <w:bookmarkStart w:id="549" w:name="_Toc18756"/>
      <w:bookmarkStart w:id="550" w:name="_Toc20062"/>
      <w:bookmarkStart w:id="551" w:name="_Toc24526"/>
      <w:bookmarkStart w:id="552" w:name="_Toc28734"/>
      <w:bookmarkStart w:id="553" w:name="_Toc27036"/>
      <w:bookmarkStart w:id="554" w:name="_Toc24358"/>
    </w:p>
    <w:p w14:paraId="2FB3FBC8">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6.3 </w:t>
      </w:r>
      <w:bookmarkEnd w:id="536"/>
      <w:bookmarkEnd w:id="537"/>
      <w:bookmarkEnd w:id="538"/>
      <w:bookmarkEnd w:id="539"/>
      <w:bookmarkEnd w:id="540"/>
      <w:bookmarkEnd w:id="541"/>
      <w:bookmarkEnd w:id="542"/>
      <w:r>
        <w:rPr>
          <w:rFonts w:hint="eastAsia" w:ascii="宋体" w:hAnsi="宋体" w:eastAsia="宋体" w:cs="宋体"/>
          <w:b/>
          <w:color w:val="auto"/>
          <w:sz w:val="24"/>
          <w:szCs w:val="24"/>
          <w:highlight w:val="none"/>
        </w:rPr>
        <w:t>磋商</w:t>
      </w:r>
      <w:bookmarkEnd w:id="543"/>
      <w:bookmarkEnd w:id="544"/>
      <w:bookmarkEnd w:id="545"/>
      <w:bookmarkEnd w:id="546"/>
      <w:bookmarkEnd w:id="547"/>
      <w:bookmarkEnd w:id="548"/>
      <w:bookmarkEnd w:id="549"/>
      <w:bookmarkEnd w:id="550"/>
      <w:bookmarkEnd w:id="551"/>
      <w:bookmarkEnd w:id="552"/>
      <w:bookmarkEnd w:id="553"/>
      <w:bookmarkEnd w:id="554"/>
    </w:p>
    <w:p w14:paraId="02E08DC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磋商小组按照第三章“评审办法”规定的方法、评审因素、标准和程序对响应文件进行评审。第三章“评审办法”没有规定的方法、评审因素和标准，不作为评标依据。</w:t>
      </w:r>
      <w:bookmarkStart w:id="555" w:name="_Toc5971"/>
      <w:bookmarkStart w:id="556" w:name="_Toc152045566"/>
      <w:bookmarkStart w:id="557" w:name="_Toc152042342"/>
      <w:bookmarkStart w:id="558" w:name="_Toc9522"/>
      <w:bookmarkStart w:id="559" w:name="_Toc144974534"/>
      <w:bookmarkStart w:id="560" w:name="_Toc6334"/>
      <w:bookmarkStart w:id="561" w:name="_Toc455080142"/>
    </w:p>
    <w:p w14:paraId="5D0810A4">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合同授予</w:t>
      </w:r>
      <w:bookmarkEnd w:id="555"/>
      <w:bookmarkEnd w:id="556"/>
      <w:bookmarkEnd w:id="557"/>
      <w:bookmarkEnd w:id="558"/>
      <w:bookmarkEnd w:id="559"/>
      <w:bookmarkEnd w:id="560"/>
      <w:bookmarkEnd w:id="561"/>
    </w:p>
    <w:p w14:paraId="60285DD5">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562" w:name="_Toc455867803"/>
      <w:bookmarkStart w:id="563" w:name="_Toc28919"/>
      <w:bookmarkStart w:id="564" w:name="_Toc29686"/>
      <w:bookmarkStart w:id="565" w:name="_Toc152045567"/>
      <w:bookmarkStart w:id="566" w:name="_Toc20777"/>
      <w:bookmarkStart w:id="567" w:name="_Toc455080143"/>
      <w:bookmarkStart w:id="568" w:name="_Toc14528"/>
      <w:bookmarkStart w:id="569" w:name="_Toc22461"/>
      <w:bookmarkStart w:id="570" w:name="_Toc318450710"/>
      <w:bookmarkStart w:id="571" w:name="_Toc29664"/>
      <w:bookmarkStart w:id="572" w:name="_Toc144974535"/>
      <w:bookmarkStart w:id="573" w:name="_Toc466298126"/>
      <w:bookmarkStart w:id="574" w:name="_Toc7358"/>
      <w:bookmarkStart w:id="575" w:name="_Toc25316"/>
      <w:bookmarkStart w:id="576" w:name="_Toc17660"/>
      <w:bookmarkStart w:id="577" w:name="_Toc11409"/>
      <w:bookmarkStart w:id="578" w:name="_Toc32135"/>
      <w:bookmarkStart w:id="579" w:name="_Toc152042343"/>
      <w:bookmarkStart w:id="580" w:name="_Toc490667863"/>
      <w:r>
        <w:rPr>
          <w:rFonts w:hint="eastAsia" w:ascii="宋体" w:hAnsi="宋体" w:eastAsia="宋体" w:cs="宋体"/>
          <w:b/>
          <w:color w:val="auto"/>
          <w:sz w:val="24"/>
          <w:szCs w:val="24"/>
          <w:highlight w:val="none"/>
        </w:rPr>
        <w:t>7.1 定标方式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2949305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581" w:name="_Toc152045568"/>
      <w:bookmarkStart w:id="582" w:name="_Toc144974536"/>
      <w:bookmarkStart w:id="583" w:name="_Toc10868"/>
      <w:bookmarkStart w:id="584" w:name="_Toc152042344"/>
      <w:bookmarkStart w:id="585" w:name="_Toc7066"/>
      <w:bookmarkStart w:id="586" w:name="_Toc28254"/>
      <w:bookmarkStart w:id="587" w:name="_Toc318450711"/>
      <w:r>
        <w:rPr>
          <w:rFonts w:hint="eastAsia" w:ascii="宋体" w:hAnsi="宋体" w:eastAsia="宋体" w:cs="宋体"/>
          <w:color w:val="auto"/>
          <w:sz w:val="24"/>
          <w:szCs w:val="24"/>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7220147B">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588" w:name="_Toc9775"/>
      <w:bookmarkStart w:id="589" w:name="_Toc490667864"/>
      <w:bookmarkStart w:id="590" w:name="_Toc5428"/>
      <w:bookmarkStart w:id="591" w:name="_Toc16163"/>
      <w:bookmarkStart w:id="592" w:name="_Toc15825"/>
      <w:bookmarkStart w:id="593" w:name="_Toc5668"/>
      <w:bookmarkStart w:id="594" w:name="_Toc28177"/>
      <w:bookmarkStart w:id="595" w:name="_Toc1484"/>
      <w:bookmarkStart w:id="596" w:name="_Toc9897"/>
      <w:bookmarkStart w:id="597" w:name="_Toc466298127"/>
      <w:bookmarkStart w:id="598" w:name="_Toc455867804"/>
      <w:bookmarkStart w:id="599" w:name="_Toc455080144"/>
      <w:r>
        <w:rPr>
          <w:rFonts w:hint="eastAsia" w:ascii="宋体" w:hAnsi="宋体" w:eastAsia="宋体" w:cs="宋体"/>
          <w:b/>
          <w:color w:val="auto"/>
          <w:sz w:val="24"/>
          <w:szCs w:val="24"/>
          <w:highlight w:val="none"/>
        </w:rPr>
        <w:t>7.2 成交通知</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312AE3F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在本章第3.3.1款规定的磋商有效期内，采购人以书面形式向成交人发出成交通知书，同时将成交结果通知未成交的供应商。</w:t>
      </w:r>
    </w:p>
    <w:p w14:paraId="402836CF">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00" w:name="_Toc22732"/>
      <w:r>
        <w:rPr>
          <w:rFonts w:hint="eastAsia" w:ascii="宋体" w:hAnsi="宋体" w:eastAsia="宋体" w:cs="宋体"/>
          <w:b/>
          <w:color w:val="auto"/>
          <w:sz w:val="24"/>
          <w:szCs w:val="24"/>
          <w:highlight w:val="none"/>
        </w:rPr>
        <w:t>7.3 履约保证金</w:t>
      </w:r>
      <w:bookmarkEnd w:id="600"/>
    </w:p>
    <w:p w14:paraId="6AEBB8C2">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601" w:name="_Toc21617"/>
      <w:bookmarkStart w:id="602" w:name="_Toc152045570"/>
      <w:bookmarkStart w:id="603" w:name="_Toc15458"/>
      <w:bookmarkStart w:id="604" w:name="_Toc318450712"/>
      <w:bookmarkStart w:id="605" w:name="_Toc26915"/>
      <w:bookmarkStart w:id="606" w:name="_Toc152042346"/>
      <w:bookmarkStart w:id="607" w:name="_Toc490667865"/>
      <w:bookmarkStart w:id="608" w:name="_Toc26760"/>
      <w:bookmarkStart w:id="609" w:name="_Toc21271"/>
      <w:bookmarkStart w:id="610" w:name="_Toc455080145"/>
      <w:bookmarkStart w:id="611" w:name="_Toc10082"/>
      <w:bookmarkStart w:id="612" w:name="_Toc466298128"/>
      <w:bookmarkStart w:id="613" w:name="_Toc26655"/>
      <w:bookmarkStart w:id="614" w:name="_Toc13147"/>
      <w:bookmarkStart w:id="615" w:name="_Toc24026"/>
      <w:bookmarkStart w:id="616" w:name="_Toc8886"/>
      <w:bookmarkStart w:id="617" w:name="_Toc144974538"/>
      <w:bookmarkStart w:id="618" w:name="_Toc12663"/>
      <w:bookmarkStart w:id="619" w:name="_Toc455867805"/>
      <w:r>
        <w:rPr>
          <w:rFonts w:hint="eastAsia" w:ascii="宋体" w:hAnsi="宋体" w:eastAsia="宋体" w:cs="宋体"/>
          <w:color w:val="auto"/>
          <w:sz w:val="24"/>
          <w:szCs w:val="24"/>
          <w:highlight w:val="none"/>
        </w:rPr>
        <w:t>免收履约保证金</w:t>
      </w:r>
      <w:bookmarkEnd w:id="601"/>
    </w:p>
    <w:p w14:paraId="59EE5FAE">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20" w:name="_Toc25032"/>
      <w:r>
        <w:rPr>
          <w:rFonts w:hint="eastAsia" w:ascii="宋体" w:hAnsi="宋体" w:eastAsia="宋体" w:cs="宋体"/>
          <w:b/>
          <w:color w:val="auto"/>
          <w:sz w:val="24"/>
          <w:szCs w:val="24"/>
          <w:highlight w:val="none"/>
        </w:rPr>
        <w:t>7.4 签订合同</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E899F4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56B2845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发出成交通知书后，采购人无正当理由拒签合同的，采购人向成交人退还磋商保证金；给成交人造成损失的，还应当赔偿损失。</w:t>
      </w:r>
      <w:bookmarkStart w:id="621" w:name="_Toc152045574"/>
      <w:bookmarkStart w:id="622" w:name="_Toc152042350"/>
      <w:bookmarkStart w:id="623" w:name="_Toc144974542"/>
    </w:p>
    <w:p w14:paraId="6162D1EF">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24" w:name="_Toc455080146"/>
      <w:bookmarkStart w:id="625" w:name="_Toc24956"/>
      <w:bookmarkStart w:id="626" w:name="_Toc16866"/>
      <w:bookmarkStart w:id="627" w:name="_Toc20121"/>
      <w:r>
        <w:rPr>
          <w:rFonts w:hint="eastAsia" w:ascii="宋体" w:hAnsi="宋体" w:eastAsia="宋体" w:cs="宋体"/>
          <w:b/>
          <w:color w:val="auto"/>
          <w:sz w:val="24"/>
          <w:szCs w:val="24"/>
          <w:highlight w:val="none"/>
        </w:rPr>
        <w:t>8. 重新招标</w:t>
      </w:r>
      <w:bookmarkEnd w:id="624"/>
      <w:bookmarkEnd w:id="625"/>
      <w:bookmarkEnd w:id="626"/>
      <w:bookmarkEnd w:id="627"/>
    </w:p>
    <w:p w14:paraId="41737A7B">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28" w:name="_Toc21278"/>
      <w:bookmarkStart w:id="629" w:name="_Toc16556"/>
      <w:r>
        <w:rPr>
          <w:rFonts w:hint="eastAsia" w:ascii="宋体" w:hAnsi="宋体" w:eastAsia="宋体" w:cs="宋体"/>
          <w:b/>
          <w:color w:val="auto"/>
          <w:sz w:val="24"/>
          <w:szCs w:val="24"/>
          <w:highlight w:val="none"/>
        </w:rPr>
        <w:t>8.1 重新招标</w:t>
      </w:r>
      <w:bookmarkEnd w:id="628"/>
      <w:bookmarkEnd w:id="629"/>
    </w:p>
    <w:p w14:paraId="5857BEC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630" w:name="_Toc9985"/>
      <w:r>
        <w:rPr>
          <w:rFonts w:hint="eastAsia" w:ascii="宋体" w:hAnsi="宋体" w:eastAsia="宋体" w:cs="宋体"/>
          <w:color w:val="auto"/>
          <w:sz w:val="24"/>
          <w:szCs w:val="24"/>
          <w:highlight w:val="none"/>
        </w:rPr>
        <w:t>有下列情形之一的，采购人将重新招标：</w:t>
      </w:r>
      <w:bookmarkEnd w:id="630"/>
    </w:p>
    <w:p w14:paraId="48B78A8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631" w:name="_Toc25063"/>
      <w:r>
        <w:rPr>
          <w:rFonts w:hint="eastAsia" w:ascii="宋体" w:hAnsi="宋体" w:eastAsia="宋体" w:cs="宋体"/>
          <w:color w:val="auto"/>
          <w:sz w:val="24"/>
          <w:szCs w:val="24"/>
          <w:highlight w:val="none"/>
        </w:rPr>
        <w:t>（1）提交响应文件截止时间止，供应商少于3个的；</w:t>
      </w:r>
      <w:bookmarkEnd w:id="631"/>
    </w:p>
    <w:p w14:paraId="479C1B4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632" w:name="_Toc17911"/>
      <w:r>
        <w:rPr>
          <w:rFonts w:hint="eastAsia" w:ascii="宋体" w:hAnsi="宋体" w:eastAsia="宋体" w:cs="宋体"/>
          <w:color w:val="auto"/>
          <w:sz w:val="24"/>
          <w:szCs w:val="24"/>
          <w:highlight w:val="none"/>
        </w:rPr>
        <w:t>（2）经磋商小组评审后否决所有响应文件的。</w:t>
      </w:r>
      <w:bookmarkEnd w:id="632"/>
    </w:p>
    <w:p w14:paraId="259A4D2B">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33" w:name="_Toc27506"/>
      <w:bookmarkStart w:id="634" w:name="_Toc455080147"/>
      <w:bookmarkStart w:id="635" w:name="_Toc9996"/>
      <w:bookmarkStart w:id="636" w:name="_Toc8213"/>
      <w:r>
        <w:rPr>
          <w:rFonts w:hint="eastAsia" w:ascii="宋体" w:hAnsi="宋体" w:eastAsia="宋体" w:cs="宋体"/>
          <w:b/>
          <w:color w:val="auto"/>
          <w:sz w:val="24"/>
          <w:szCs w:val="24"/>
          <w:highlight w:val="none"/>
        </w:rPr>
        <w:t>9. 纪律和监督</w:t>
      </w:r>
      <w:bookmarkEnd w:id="621"/>
      <w:bookmarkEnd w:id="622"/>
      <w:bookmarkEnd w:id="623"/>
      <w:bookmarkEnd w:id="633"/>
      <w:bookmarkEnd w:id="634"/>
      <w:bookmarkEnd w:id="635"/>
      <w:bookmarkEnd w:id="636"/>
    </w:p>
    <w:p w14:paraId="593C9024">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37" w:name="_Toc1282"/>
      <w:bookmarkStart w:id="638" w:name="_Toc144974543"/>
      <w:bookmarkStart w:id="639" w:name="_Toc15769"/>
      <w:bookmarkStart w:id="640" w:name="_Toc697"/>
      <w:bookmarkStart w:id="641" w:name="_Toc20009"/>
      <w:bookmarkStart w:id="642" w:name="_Toc318450714"/>
      <w:bookmarkStart w:id="643" w:name="_Toc15592"/>
      <w:bookmarkStart w:id="644" w:name="_Toc152045575"/>
      <w:bookmarkStart w:id="645" w:name="_Toc14155"/>
      <w:bookmarkStart w:id="646" w:name="_Toc269"/>
      <w:bookmarkStart w:id="647" w:name="_Toc152042351"/>
      <w:bookmarkStart w:id="648" w:name="_Toc12992"/>
      <w:bookmarkStart w:id="649" w:name="_Toc27836"/>
      <w:bookmarkStart w:id="650" w:name="_Toc466298131"/>
      <w:bookmarkStart w:id="651" w:name="_Toc455080148"/>
      <w:bookmarkStart w:id="652" w:name="_Toc490667868"/>
      <w:bookmarkStart w:id="653" w:name="_Toc19159"/>
      <w:bookmarkStart w:id="654" w:name="_Toc455867808"/>
      <w:bookmarkStart w:id="655" w:name="_Toc13970"/>
      <w:r>
        <w:rPr>
          <w:rFonts w:hint="eastAsia" w:ascii="宋体" w:hAnsi="宋体" w:eastAsia="宋体" w:cs="宋体"/>
          <w:b/>
          <w:color w:val="auto"/>
          <w:sz w:val="24"/>
          <w:szCs w:val="24"/>
          <w:highlight w:val="none"/>
        </w:rPr>
        <w:t>9.1 对采购人的纪律要求</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E2D47E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采购人不得泄漏磋商活动中应当保密的情况和资料，不得与供应商串通损害国家利益、社会公共利益或者他人合法权益。</w:t>
      </w:r>
    </w:p>
    <w:p w14:paraId="01115F2A">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56" w:name="_Toc152042352"/>
      <w:bookmarkStart w:id="657" w:name="_Toc18204"/>
      <w:bookmarkStart w:id="658" w:name="_Toc455867809"/>
      <w:bookmarkStart w:id="659" w:name="_Toc19167"/>
      <w:bookmarkStart w:id="660" w:name="_Toc20261"/>
      <w:bookmarkStart w:id="661" w:name="_Toc17040"/>
      <w:bookmarkStart w:id="662" w:name="_Toc7572"/>
      <w:bookmarkStart w:id="663" w:name="_Toc152045576"/>
      <w:bookmarkStart w:id="664" w:name="_Toc3089"/>
      <w:bookmarkStart w:id="665" w:name="_Toc455080149"/>
      <w:bookmarkStart w:id="666" w:name="_Toc3662"/>
      <w:bookmarkStart w:id="667" w:name="_Toc18604"/>
      <w:bookmarkStart w:id="668" w:name="_Toc490667869"/>
      <w:bookmarkStart w:id="669" w:name="_Toc21646"/>
      <w:bookmarkStart w:id="670" w:name="_Toc144974544"/>
      <w:bookmarkStart w:id="671" w:name="_Toc318450715"/>
      <w:bookmarkStart w:id="672" w:name="_Toc27698"/>
      <w:bookmarkStart w:id="673" w:name="_Toc466298132"/>
      <w:bookmarkStart w:id="674" w:name="_Toc1743"/>
      <w:r>
        <w:rPr>
          <w:rFonts w:hint="eastAsia" w:ascii="宋体" w:hAnsi="宋体" w:eastAsia="宋体" w:cs="宋体"/>
          <w:b/>
          <w:color w:val="auto"/>
          <w:sz w:val="24"/>
          <w:szCs w:val="24"/>
          <w:highlight w:val="none"/>
        </w:rPr>
        <w:t>9.2 对供应商的纪律要求</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C9467E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供应商不得相互串通或者与采购人串通，不得向采购人或者谈判小组行贿谋取成交，不得以他人名义或者以其他方式弄虚作假骗取成交；供应商不得以任何方式干扰、影响评审工作。</w:t>
      </w:r>
    </w:p>
    <w:p w14:paraId="58D0D9AB">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75" w:name="_Toc12177"/>
      <w:bookmarkStart w:id="676" w:name="_Toc25241"/>
      <w:bookmarkStart w:id="677" w:name="_Toc25211"/>
      <w:bookmarkStart w:id="678" w:name="_Toc455867810"/>
      <w:bookmarkStart w:id="679" w:name="_Toc28813"/>
      <w:bookmarkStart w:id="680" w:name="_Toc144974545"/>
      <w:bookmarkStart w:id="681" w:name="_Toc466298133"/>
      <w:bookmarkStart w:id="682" w:name="_Toc7439"/>
      <w:bookmarkStart w:id="683" w:name="_Toc32320"/>
      <w:bookmarkStart w:id="684" w:name="_Toc31001"/>
      <w:bookmarkStart w:id="685" w:name="_Toc30153"/>
      <w:bookmarkStart w:id="686" w:name="_Toc7107"/>
      <w:bookmarkStart w:id="687" w:name="_Toc455080150"/>
      <w:bookmarkStart w:id="688" w:name="_Toc152045577"/>
      <w:bookmarkStart w:id="689" w:name="_Toc11909"/>
      <w:bookmarkStart w:id="690" w:name="_Toc490667870"/>
      <w:bookmarkStart w:id="691" w:name="_Toc152042353"/>
      <w:bookmarkStart w:id="692" w:name="_Toc19965"/>
      <w:bookmarkStart w:id="693" w:name="_Toc318450716"/>
      <w:r>
        <w:rPr>
          <w:rFonts w:hint="eastAsia" w:ascii="宋体" w:hAnsi="宋体" w:eastAsia="宋体" w:cs="宋体"/>
          <w:b/>
          <w:color w:val="auto"/>
          <w:sz w:val="24"/>
          <w:szCs w:val="24"/>
          <w:highlight w:val="none"/>
        </w:rPr>
        <w:t>9.3 对磋商小组成员的纪律要求</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459A95F">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86CD1B3">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694" w:name="_Toc490667871"/>
      <w:bookmarkStart w:id="695" w:name="_Toc11405"/>
      <w:bookmarkStart w:id="696" w:name="_Toc466298134"/>
      <w:bookmarkStart w:id="697" w:name="_Toc152042354"/>
      <w:bookmarkStart w:id="698" w:name="_Toc455867811"/>
      <w:bookmarkStart w:id="699" w:name="_Toc23717"/>
      <w:bookmarkStart w:id="700" w:name="_Toc27559"/>
      <w:bookmarkStart w:id="701" w:name="_Toc152045578"/>
      <w:bookmarkStart w:id="702" w:name="_Toc9063"/>
      <w:bookmarkStart w:id="703" w:name="_Toc20546"/>
      <w:bookmarkStart w:id="704" w:name="_Toc455080151"/>
      <w:bookmarkStart w:id="705" w:name="_Toc318450717"/>
      <w:bookmarkStart w:id="706" w:name="_Toc26462"/>
      <w:bookmarkStart w:id="707" w:name="_Toc24"/>
      <w:bookmarkStart w:id="708" w:name="_Toc7368"/>
      <w:bookmarkStart w:id="709" w:name="_Toc1295"/>
      <w:bookmarkStart w:id="710" w:name="_Toc235"/>
      <w:bookmarkStart w:id="711" w:name="_Toc19485"/>
      <w:bookmarkStart w:id="712" w:name="_Toc144974546"/>
      <w:r>
        <w:rPr>
          <w:rFonts w:hint="eastAsia" w:ascii="宋体" w:hAnsi="宋体" w:eastAsia="宋体" w:cs="宋体"/>
          <w:b/>
          <w:color w:val="auto"/>
          <w:sz w:val="24"/>
          <w:szCs w:val="24"/>
          <w:highlight w:val="none"/>
        </w:rPr>
        <w:t>9.4 对与评标活动有关的工作人员的纪律要求</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75A453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713" w:name="_Toc152042355"/>
      <w:r>
        <w:rPr>
          <w:rFonts w:hint="eastAsia" w:ascii="宋体" w:hAnsi="宋体" w:eastAsia="宋体" w:cs="宋体"/>
          <w:color w:val="auto"/>
          <w:sz w:val="24"/>
          <w:szCs w:val="24"/>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13"/>
    </w:p>
    <w:p w14:paraId="4B73338D">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bookmarkStart w:id="714" w:name="_Toc466298135"/>
      <w:bookmarkStart w:id="715" w:name="_Toc25751"/>
      <w:bookmarkStart w:id="716" w:name="_Toc6199"/>
      <w:bookmarkStart w:id="717" w:name="_Toc318450718"/>
      <w:bookmarkStart w:id="718" w:name="_Toc32675"/>
      <w:bookmarkStart w:id="719" w:name="_Toc5504"/>
      <w:bookmarkStart w:id="720" w:name="_Toc152042356"/>
      <w:bookmarkStart w:id="721" w:name="_Toc3617"/>
      <w:bookmarkStart w:id="722" w:name="_Toc27420"/>
      <w:bookmarkStart w:id="723" w:name="_Toc3303"/>
      <w:bookmarkStart w:id="724" w:name="_Toc8074"/>
      <w:bookmarkStart w:id="725" w:name="_Toc31010"/>
      <w:bookmarkStart w:id="726" w:name="_Toc152045579"/>
      <w:bookmarkStart w:id="727" w:name="_Toc455080152"/>
      <w:bookmarkStart w:id="728" w:name="_Toc17735"/>
      <w:bookmarkStart w:id="729" w:name="_Toc1820"/>
      <w:bookmarkStart w:id="730" w:name="_Toc455867812"/>
      <w:bookmarkStart w:id="731" w:name="_Toc490667872"/>
      <w:r>
        <w:rPr>
          <w:rFonts w:hint="eastAsia" w:ascii="宋体" w:hAnsi="宋体" w:eastAsia="宋体" w:cs="宋体"/>
          <w:b/>
          <w:color w:val="auto"/>
          <w:sz w:val="24"/>
          <w:szCs w:val="24"/>
          <w:highlight w:val="none"/>
        </w:rPr>
        <w:t>9.5 投诉</w:t>
      </w:r>
      <w:bookmarkEnd w:id="712"/>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16639D2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供应商和其他利害关系人认为本次磋商活动违反法律、法规和规章规定的，有权向有关行政监督部门投诉。</w:t>
      </w:r>
    </w:p>
    <w:p w14:paraId="6A7A4E3D">
      <w:pPr>
        <w:pageBreakBefore w:val="0"/>
        <w:kinsoku/>
        <w:wordWrap w:val="0"/>
        <w:overflowPunct/>
        <w:bidi w:val="0"/>
        <w:spacing w:line="360" w:lineRule="auto"/>
        <w:ind w:firstLine="482" w:firstLineChars="200"/>
        <w:rPr>
          <w:rFonts w:hint="eastAsia"/>
        </w:rPr>
      </w:pPr>
      <w:r>
        <w:rPr>
          <w:rFonts w:hint="eastAsia" w:ascii="宋体" w:hAnsi="宋体" w:eastAsia="宋体" w:cs="宋体"/>
          <w:b/>
          <w:bCs/>
          <w:color w:val="auto"/>
          <w:sz w:val="24"/>
          <w:szCs w:val="24"/>
          <w:highlight w:val="none"/>
        </w:rPr>
        <w:t>10. 需要补充的其他内容</w:t>
      </w:r>
      <w:r>
        <w:rPr>
          <w:rFonts w:hint="eastAsia" w:ascii="宋体" w:hAnsi="宋体" w:cs="宋体"/>
          <w:b/>
          <w:bCs/>
          <w:color w:val="auto"/>
          <w:sz w:val="24"/>
          <w:szCs w:val="24"/>
          <w:highlight w:val="none"/>
          <w:lang w:eastAsia="zh-CN"/>
        </w:rPr>
        <w:t>。</w:t>
      </w:r>
      <w:r>
        <w:rPr>
          <w:rFonts w:hint="eastAsia"/>
        </w:rPr>
        <w:br w:type="page"/>
      </w:r>
      <w:bookmarkStart w:id="732" w:name="_Toc23174"/>
    </w:p>
    <w:p w14:paraId="48067813">
      <w:pPr>
        <w:bidi w:val="0"/>
        <w:rPr>
          <w:rFonts w:hint="eastAsia"/>
        </w:rPr>
      </w:pPr>
    </w:p>
    <w:p w14:paraId="1E3D02E6">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t>第三章 评标办法</w:t>
      </w:r>
      <w:bookmarkEnd w:id="18"/>
      <w:bookmarkEnd w:id="19"/>
      <w:r>
        <w:rPr>
          <w:rFonts w:hint="eastAsia" w:ascii="宋体" w:hAnsi="宋体" w:eastAsia="宋体" w:cs="宋体"/>
          <w:b/>
          <w:bCs/>
          <w:color w:val="auto"/>
          <w:kern w:val="44"/>
          <w:sz w:val="44"/>
          <w:szCs w:val="44"/>
          <w:highlight w:val="none"/>
        </w:rPr>
        <w:t>（综合评分法）</w:t>
      </w:r>
      <w:bookmarkEnd w:id="732"/>
      <w:bookmarkStart w:id="733" w:name="_Toc152042376"/>
      <w:bookmarkStart w:id="734" w:name="_Toc28069"/>
      <w:bookmarkStart w:id="735" w:name="_Toc482"/>
      <w:bookmarkStart w:id="736" w:name="_Toc318450721"/>
      <w:bookmarkStart w:id="737" w:name="_Toc281405527"/>
      <w:bookmarkStart w:id="738" w:name="_Toc455867816"/>
      <w:bookmarkStart w:id="739" w:name="_Toc152045599"/>
      <w:bookmarkStart w:id="740" w:name="_Toc144974566"/>
      <w:bookmarkStart w:id="741" w:name="_Toc27806"/>
      <w:bookmarkStart w:id="742" w:name="_Toc466298139"/>
      <w:bookmarkStart w:id="743" w:name="_Toc455080156"/>
      <w:bookmarkStart w:id="744" w:name="_Toc922"/>
    </w:p>
    <w:p w14:paraId="7F4CBB7A">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color w:val="auto"/>
          <w:kern w:val="0"/>
          <w:sz w:val="32"/>
          <w:szCs w:val="32"/>
          <w:highlight w:val="none"/>
        </w:rPr>
      </w:pPr>
      <w:bookmarkStart w:id="745" w:name="_Toc2901"/>
      <w:bookmarkStart w:id="746" w:name="_Toc6011"/>
      <w:r>
        <w:rPr>
          <w:rFonts w:hint="eastAsia" w:ascii="宋体" w:hAnsi="宋体" w:eastAsia="宋体" w:cs="宋体"/>
          <w:color w:val="auto"/>
          <w:sz w:val="24"/>
          <w:highlight w:val="none"/>
        </w:rPr>
        <w:t>评审办法前附表</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tbl>
      <w:tblPr>
        <w:tblStyle w:val="5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650"/>
        <w:gridCol w:w="2474"/>
        <w:gridCol w:w="5352"/>
      </w:tblGrid>
      <w:tr w14:paraId="6298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blHeader/>
          <w:jc w:val="center"/>
        </w:trPr>
        <w:tc>
          <w:tcPr>
            <w:tcW w:w="1653" w:type="dxa"/>
            <w:gridSpan w:val="2"/>
            <w:noWrap w:val="0"/>
            <w:vAlign w:val="center"/>
          </w:tcPr>
          <w:p w14:paraId="5D19B0E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条款号</w:t>
            </w:r>
          </w:p>
        </w:tc>
        <w:tc>
          <w:tcPr>
            <w:tcW w:w="2474" w:type="dxa"/>
            <w:noWrap w:val="0"/>
            <w:vAlign w:val="center"/>
          </w:tcPr>
          <w:p w14:paraId="5D10B23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352" w:type="dxa"/>
            <w:noWrap w:val="0"/>
            <w:vAlign w:val="center"/>
          </w:tcPr>
          <w:p w14:paraId="0143445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1259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1003" w:type="dxa"/>
            <w:vMerge w:val="restart"/>
            <w:noWrap w:val="0"/>
            <w:vAlign w:val="center"/>
          </w:tcPr>
          <w:p w14:paraId="5591CC30">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w:t>
            </w:r>
          </w:p>
        </w:tc>
        <w:tc>
          <w:tcPr>
            <w:tcW w:w="650" w:type="dxa"/>
            <w:vMerge w:val="restart"/>
            <w:noWrap w:val="0"/>
            <w:vAlign w:val="center"/>
          </w:tcPr>
          <w:p w14:paraId="70E6DDF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资格评审标准</w:t>
            </w:r>
          </w:p>
        </w:tc>
        <w:tc>
          <w:tcPr>
            <w:tcW w:w="2474" w:type="dxa"/>
            <w:noWrap w:val="0"/>
            <w:vAlign w:val="center"/>
          </w:tcPr>
          <w:p w14:paraId="7F67E1B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符合《中华人民共和国政府采购法》第22条规定</w:t>
            </w:r>
          </w:p>
        </w:tc>
        <w:tc>
          <w:tcPr>
            <w:tcW w:w="5352" w:type="dxa"/>
            <w:noWrap w:val="0"/>
            <w:vAlign w:val="center"/>
          </w:tcPr>
          <w:p w14:paraId="387851C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.1项规定</w:t>
            </w:r>
          </w:p>
        </w:tc>
      </w:tr>
      <w:tr w14:paraId="58E2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1003" w:type="dxa"/>
            <w:vMerge w:val="continue"/>
            <w:noWrap w:val="0"/>
            <w:vAlign w:val="center"/>
          </w:tcPr>
          <w:p w14:paraId="4886FA4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58BA968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2474" w:type="dxa"/>
            <w:noWrap w:val="0"/>
            <w:vAlign w:val="center"/>
          </w:tcPr>
          <w:p w14:paraId="6431D3B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落实政府采购政策需满足的资格要求</w:t>
            </w:r>
          </w:p>
        </w:tc>
        <w:tc>
          <w:tcPr>
            <w:tcW w:w="5352" w:type="dxa"/>
            <w:noWrap w:val="0"/>
            <w:vAlign w:val="center"/>
          </w:tcPr>
          <w:p w14:paraId="7344CC7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.1项规定</w:t>
            </w:r>
          </w:p>
        </w:tc>
      </w:tr>
      <w:tr w14:paraId="0D3E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4C417C8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3900B94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2474" w:type="dxa"/>
            <w:noWrap w:val="0"/>
            <w:vAlign w:val="center"/>
          </w:tcPr>
          <w:p w14:paraId="1E6EEE65">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特定要求</w:t>
            </w:r>
          </w:p>
        </w:tc>
        <w:tc>
          <w:tcPr>
            <w:tcW w:w="5352" w:type="dxa"/>
            <w:noWrap w:val="0"/>
            <w:vAlign w:val="center"/>
          </w:tcPr>
          <w:p w14:paraId="79F2FED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.1项规定</w:t>
            </w:r>
          </w:p>
        </w:tc>
      </w:tr>
      <w:tr w14:paraId="6B5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27BDFD4B">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37B8A703">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p>
        </w:tc>
        <w:tc>
          <w:tcPr>
            <w:tcW w:w="7826" w:type="dxa"/>
            <w:gridSpan w:val="2"/>
            <w:noWrap w:val="0"/>
            <w:vAlign w:val="center"/>
          </w:tcPr>
          <w:p w14:paraId="6ED3633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注：响应文件中附相关证件</w:t>
            </w:r>
            <w:r>
              <w:rPr>
                <w:rFonts w:hint="eastAsia" w:ascii="宋体" w:hAnsi="宋体" w:cs="宋体"/>
                <w:color w:val="auto"/>
                <w:kern w:val="0"/>
                <w:sz w:val="24"/>
                <w:szCs w:val="24"/>
                <w:highlight w:val="none"/>
                <w:lang w:val="en-US" w:eastAsia="zh-CN"/>
              </w:rPr>
              <w:t>扫描件或复印件</w:t>
            </w:r>
            <w:r>
              <w:rPr>
                <w:rFonts w:hint="eastAsia" w:ascii="宋体" w:hAnsi="宋体" w:eastAsia="宋体" w:cs="宋体"/>
                <w:color w:val="auto"/>
                <w:kern w:val="0"/>
                <w:sz w:val="24"/>
                <w:szCs w:val="24"/>
                <w:highlight w:val="none"/>
              </w:rPr>
              <w:t>，资料不全或不合格者视为未通过资格审查</w:t>
            </w:r>
          </w:p>
        </w:tc>
      </w:tr>
      <w:tr w14:paraId="6DFD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restart"/>
            <w:noWrap w:val="0"/>
            <w:vAlign w:val="center"/>
          </w:tcPr>
          <w:p w14:paraId="4B487A7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w:t>
            </w:r>
          </w:p>
        </w:tc>
        <w:tc>
          <w:tcPr>
            <w:tcW w:w="650" w:type="dxa"/>
            <w:vMerge w:val="restart"/>
            <w:noWrap w:val="0"/>
            <w:vAlign w:val="center"/>
          </w:tcPr>
          <w:p w14:paraId="69309F0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符合性评审标准</w:t>
            </w:r>
          </w:p>
        </w:tc>
        <w:tc>
          <w:tcPr>
            <w:tcW w:w="2474" w:type="dxa"/>
            <w:noWrap w:val="0"/>
            <w:vAlign w:val="center"/>
          </w:tcPr>
          <w:p w14:paraId="06E9346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352" w:type="dxa"/>
            <w:noWrap w:val="0"/>
            <w:vAlign w:val="center"/>
          </w:tcPr>
          <w:p w14:paraId="56C0C162">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4EBE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3D8303B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3691068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6EA97802">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响应文件签字盖章</w:t>
            </w:r>
          </w:p>
        </w:tc>
        <w:tc>
          <w:tcPr>
            <w:tcW w:w="5352" w:type="dxa"/>
            <w:noWrap w:val="0"/>
            <w:vAlign w:val="center"/>
          </w:tcPr>
          <w:p w14:paraId="260CD92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项规定</w:t>
            </w:r>
          </w:p>
        </w:tc>
      </w:tr>
      <w:tr w14:paraId="4BD3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31EDFBA7">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568B14E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326F8E1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响应文件格式</w:t>
            </w:r>
          </w:p>
        </w:tc>
        <w:tc>
          <w:tcPr>
            <w:tcW w:w="5352" w:type="dxa"/>
            <w:noWrap w:val="0"/>
            <w:vAlign w:val="center"/>
          </w:tcPr>
          <w:p w14:paraId="5E1D726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符合第六章“响应文件格式”的要求</w:t>
            </w:r>
          </w:p>
        </w:tc>
      </w:tr>
      <w:tr w14:paraId="493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46A4115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095D5C02">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06B5F06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5352" w:type="dxa"/>
            <w:noWrap w:val="0"/>
            <w:vAlign w:val="center"/>
          </w:tcPr>
          <w:p w14:paraId="373864B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报价不超过预算价（最高限价）</w:t>
            </w:r>
          </w:p>
        </w:tc>
      </w:tr>
      <w:tr w14:paraId="7BFC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4E22F836">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16F6FF2D">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2F983F7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设计周期</w:t>
            </w:r>
          </w:p>
        </w:tc>
        <w:tc>
          <w:tcPr>
            <w:tcW w:w="5352" w:type="dxa"/>
            <w:noWrap w:val="0"/>
            <w:vAlign w:val="center"/>
          </w:tcPr>
          <w:p w14:paraId="170F0C0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项规定</w:t>
            </w:r>
          </w:p>
        </w:tc>
      </w:tr>
      <w:tr w14:paraId="2B9E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1003" w:type="dxa"/>
            <w:vMerge w:val="continue"/>
            <w:noWrap w:val="0"/>
            <w:vAlign w:val="center"/>
          </w:tcPr>
          <w:p w14:paraId="73C97824">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5373210C">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6E0B795F">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质量要求</w:t>
            </w:r>
          </w:p>
        </w:tc>
        <w:tc>
          <w:tcPr>
            <w:tcW w:w="5352" w:type="dxa"/>
            <w:noWrap w:val="0"/>
            <w:vAlign w:val="center"/>
          </w:tcPr>
          <w:p w14:paraId="21E69EB1">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项规定</w:t>
            </w:r>
          </w:p>
        </w:tc>
      </w:tr>
      <w:tr w14:paraId="6611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1003" w:type="dxa"/>
            <w:vMerge w:val="continue"/>
            <w:noWrap w:val="0"/>
            <w:vAlign w:val="center"/>
          </w:tcPr>
          <w:p w14:paraId="57995D39">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650" w:type="dxa"/>
            <w:vMerge w:val="continue"/>
            <w:noWrap w:val="0"/>
            <w:vAlign w:val="center"/>
          </w:tcPr>
          <w:p w14:paraId="7FCA292A">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p>
        </w:tc>
        <w:tc>
          <w:tcPr>
            <w:tcW w:w="2474" w:type="dxa"/>
            <w:noWrap w:val="0"/>
            <w:vAlign w:val="center"/>
          </w:tcPr>
          <w:p w14:paraId="7A32734E">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jc w:val="center"/>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w:t>
            </w:r>
          </w:p>
        </w:tc>
        <w:tc>
          <w:tcPr>
            <w:tcW w:w="5352" w:type="dxa"/>
            <w:noWrap w:val="0"/>
            <w:vAlign w:val="center"/>
          </w:tcPr>
          <w:p w14:paraId="3B37E5F2">
            <w:pPr>
              <w:keepNext w:val="0"/>
              <w:keepLines w:val="0"/>
              <w:pageBreakBefore w:val="0"/>
              <w:suppressLineNumbers w:val="0"/>
              <w:kinsoku/>
              <w:wordWrap w:val="0"/>
              <w:overflowPunct/>
              <w:bidi w:val="0"/>
              <w:spacing w:before="72" w:beforeLines="30" w:beforeAutospacing="0" w:after="0" w:afterAutospacing="0" w:line="288" w:lineRule="auto"/>
              <w:ind w:left="42" w:leftChars="20" w:right="42" w:rightChars="20"/>
              <w:textAlignment w:val="top"/>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符合第二章“供应商须知”第3.</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.1项规定</w:t>
            </w:r>
          </w:p>
        </w:tc>
      </w:tr>
    </w:tbl>
    <w:p w14:paraId="0E7E070D">
      <w:pPr>
        <w:pStyle w:val="2"/>
        <w:pageBreakBefore w:val="0"/>
        <w:kinsoku/>
        <w:wordWrap w:val="0"/>
        <w:overflowPunct/>
        <w:bidi w:val="0"/>
        <w:rPr>
          <w:rFonts w:hint="eastAsia" w:ascii="宋体" w:hAnsi="宋体" w:eastAsia="宋体" w:cs="宋体"/>
          <w:color w:val="auto"/>
          <w:highlight w:val="none"/>
        </w:rPr>
        <w:sectPr>
          <w:footerReference r:id="rId12" w:type="default"/>
          <w:pgSz w:w="11906" w:h="16838"/>
          <w:pgMar w:top="1418" w:right="1304" w:bottom="1418" w:left="1304" w:header="851" w:footer="850" w:gutter="0"/>
          <w:pgNumType w:fmt="decimal" w:start="1"/>
          <w:cols w:space="720" w:num="1"/>
          <w:docGrid w:linePitch="312" w:charSpace="0"/>
        </w:sectPr>
      </w:pPr>
    </w:p>
    <w:tbl>
      <w:tblPr>
        <w:tblStyle w:val="5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209"/>
        <w:gridCol w:w="1307"/>
        <w:gridCol w:w="6043"/>
      </w:tblGrid>
      <w:tr w14:paraId="552A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127" w:type="dxa"/>
            <w:gridSpan w:val="2"/>
            <w:noWrap w:val="0"/>
            <w:vAlign w:val="center"/>
          </w:tcPr>
          <w:p w14:paraId="0E0B709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2.2</w:t>
            </w:r>
          </w:p>
        </w:tc>
        <w:tc>
          <w:tcPr>
            <w:tcW w:w="1307" w:type="dxa"/>
            <w:noWrap w:val="0"/>
            <w:vAlign w:val="center"/>
          </w:tcPr>
          <w:p w14:paraId="41ABC71F">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分值构成（100</w:t>
            </w:r>
            <w:r>
              <w:rPr>
                <w:rFonts w:hint="eastAsia" w:ascii="宋体" w:hAnsi="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分）</w:t>
            </w:r>
          </w:p>
        </w:tc>
        <w:tc>
          <w:tcPr>
            <w:tcW w:w="6043" w:type="dxa"/>
            <w:noWrap w:val="0"/>
            <w:vAlign w:val="center"/>
          </w:tcPr>
          <w:p w14:paraId="2B8DB8F0">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商务部分：</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p>
          <w:p w14:paraId="475874A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技术部分：</w:t>
            </w:r>
            <w:r>
              <w:rPr>
                <w:rFonts w:hint="eastAsia" w:ascii="宋体" w:hAnsi="宋体" w:cs="宋体"/>
                <w:b/>
                <w:bCs/>
                <w:color w:val="auto"/>
                <w:sz w:val="24"/>
                <w:szCs w:val="24"/>
                <w:highlight w:val="none"/>
                <w:lang w:val="en-US" w:eastAsia="zh-CN"/>
              </w:rPr>
              <w:t>48</w:t>
            </w:r>
            <w:r>
              <w:rPr>
                <w:rFonts w:hint="eastAsia" w:ascii="宋体" w:hAnsi="宋体" w:eastAsia="宋体" w:cs="宋体"/>
                <w:b/>
                <w:bCs/>
                <w:color w:val="auto"/>
                <w:sz w:val="24"/>
                <w:szCs w:val="24"/>
                <w:highlight w:val="none"/>
              </w:rPr>
              <w:t>分</w:t>
            </w:r>
          </w:p>
          <w:p w14:paraId="05C7CBAC">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综合部分：3</w:t>
            </w:r>
            <w:r>
              <w:rPr>
                <w:rFonts w:hint="eastAsia" w:ascii="宋体" w:hAnsi="宋体" w:cs="宋体"/>
                <w:b/>
                <w:bCs/>
                <w:color w:val="auto"/>
                <w:sz w:val="24"/>
                <w:szCs w:val="24"/>
                <w:highlight w:val="none"/>
                <w:lang w:val="en-US" w:eastAsia="zh-CN"/>
              </w:rPr>
              <w:t>7+2</w:t>
            </w:r>
            <w:r>
              <w:rPr>
                <w:rFonts w:hint="eastAsia" w:ascii="宋体" w:hAnsi="宋体" w:eastAsia="宋体" w:cs="宋体"/>
                <w:b/>
                <w:bCs/>
                <w:color w:val="auto"/>
                <w:sz w:val="24"/>
                <w:szCs w:val="24"/>
                <w:highlight w:val="none"/>
              </w:rPr>
              <w:t>分</w:t>
            </w:r>
          </w:p>
        </w:tc>
      </w:tr>
      <w:tr w14:paraId="34C4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27" w:type="dxa"/>
            <w:gridSpan w:val="2"/>
            <w:noWrap w:val="0"/>
            <w:vAlign w:val="center"/>
          </w:tcPr>
          <w:p w14:paraId="6042099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1307" w:type="dxa"/>
            <w:noWrap w:val="0"/>
            <w:vAlign w:val="center"/>
          </w:tcPr>
          <w:p w14:paraId="4E145719">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w:t>
            </w:r>
          </w:p>
        </w:tc>
        <w:tc>
          <w:tcPr>
            <w:tcW w:w="6043" w:type="dxa"/>
            <w:noWrap w:val="0"/>
            <w:vAlign w:val="center"/>
          </w:tcPr>
          <w:p w14:paraId="3CBA1CD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主要评审内容</w:t>
            </w:r>
          </w:p>
        </w:tc>
      </w:tr>
      <w:tr w14:paraId="16D1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14:paraId="732699E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1209" w:type="dxa"/>
            <w:noWrap w:val="0"/>
            <w:vAlign w:val="center"/>
          </w:tcPr>
          <w:p w14:paraId="1FE7DD6F">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商务部分（</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rPr>
              <w:t>分）</w:t>
            </w:r>
          </w:p>
        </w:tc>
        <w:tc>
          <w:tcPr>
            <w:tcW w:w="1307" w:type="dxa"/>
            <w:noWrap w:val="0"/>
            <w:vAlign w:val="center"/>
          </w:tcPr>
          <w:p w14:paraId="2FF81F2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价格分</w:t>
            </w:r>
            <w:r>
              <w:rPr>
                <w:rFonts w:hint="eastAsia" w:ascii="宋体" w:hAnsi="宋体" w:eastAsia="宋体" w:cs="宋体"/>
                <w:b w:val="0"/>
                <w:bCs w:val="0"/>
                <w:color w:val="auto"/>
                <w:kern w:val="0"/>
                <w:sz w:val="24"/>
                <w:szCs w:val="24"/>
                <w:highlight w:val="none"/>
                <w:lang w:val="en-US" w:eastAsia="zh-CN"/>
              </w:rPr>
              <w:t xml:space="preserve"> </w:t>
            </w:r>
          </w:p>
          <w:p w14:paraId="6D2197C0">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15</w:t>
            </w:r>
            <w:r>
              <w:rPr>
                <w:rFonts w:hint="eastAsia" w:ascii="宋体" w:hAnsi="宋体" w:eastAsia="宋体" w:cs="宋体"/>
                <w:b w:val="0"/>
                <w:bCs w:val="0"/>
                <w:color w:val="auto"/>
                <w:kern w:val="0"/>
                <w:sz w:val="24"/>
                <w:szCs w:val="24"/>
                <w:highlight w:val="none"/>
              </w:rPr>
              <w:t>分）</w:t>
            </w:r>
          </w:p>
        </w:tc>
        <w:tc>
          <w:tcPr>
            <w:tcW w:w="6043" w:type="dxa"/>
            <w:noWrap w:val="0"/>
            <w:vAlign w:val="top"/>
          </w:tcPr>
          <w:p w14:paraId="08DA0273">
            <w:pPr>
              <w:keepNext w:val="0"/>
              <w:keepLines w:val="0"/>
              <w:widowControl/>
              <w:suppressLineNumbers w:val="0"/>
              <w:spacing w:before="0" w:beforeAutospacing="0" w:after="0" w:afterAutospacing="0" w:line="288" w:lineRule="auto"/>
              <w:ind w:left="0" w:right="126" w:rightChars="60" w:firstLine="480" w:firstLineChars="200"/>
              <w:textAlignment w:val="center"/>
              <w:rPr>
                <w:rFonts w:hint="eastAsia" w:hAnsi="宋体" w:cs="宋体"/>
                <w:sz w:val="24"/>
                <w:szCs w:val="24"/>
                <w:highlight w:val="none"/>
              </w:rPr>
            </w:pPr>
            <w:r>
              <w:rPr>
                <w:rFonts w:hint="eastAsia" w:hAnsi="宋体" w:cs="宋体"/>
                <w:sz w:val="24"/>
                <w:szCs w:val="24"/>
                <w:highlight w:val="none"/>
              </w:rPr>
              <w:t>价格扣除：投标人的</w:t>
            </w:r>
            <w:r>
              <w:rPr>
                <w:rFonts w:hint="eastAsia" w:hAnsi="宋体" w:cs="宋体"/>
                <w:sz w:val="24"/>
                <w:szCs w:val="24"/>
                <w:highlight w:val="none"/>
                <w:lang w:val="en-US" w:eastAsia="zh-CN"/>
              </w:rPr>
              <w:t>工程服务</w:t>
            </w:r>
            <w:r>
              <w:rPr>
                <w:rFonts w:hint="eastAsia" w:hAnsi="宋体" w:cs="宋体"/>
                <w:sz w:val="24"/>
                <w:szCs w:val="24"/>
                <w:highlight w:val="none"/>
              </w:rPr>
              <w:t>全部由符合政策要求的中小企业承接，则给予该投标人的</w:t>
            </w:r>
            <w:r>
              <w:rPr>
                <w:rFonts w:hint="eastAsia" w:hAnsi="宋体" w:cs="宋体"/>
                <w:sz w:val="24"/>
                <w:szCs w:val="24"/>
                <w:highlight w:val="none"/>
                <w:lang w:val="en-US" w:eastAsia="zh-CN"/>
              </w:rPr>
              <w:t>工程服务</w:t>
            </w:r>
            <w:r>
              <w:rPr>
                <w:rFonts w:hint="eastAsia" w:hAnsi="宋体" w:cs="宋体"/>
                <w:sz w:val="24"/>
                <w:szCs w:val="24"/>
                <w:highlight w:val="none"/>
              </w:rPr>
              <w:t>报价20%的扣除，用扣除后的价格参与评审。参加投标的小微企业，应当按照《政府采购促进中小企业发展管理办法》（财库 ﹝2020 ﹞46 号）的规定提供《中小微企业声明函》（中小企业划型标准符合国家最新信管规定）。 投标人所提供的</w:t>
            </w:r>
            <w:r>
              <w:rPr>
                <w:rFonts w:hint="eastAsia" w:hAnsi="宋体" w:cs="宋体"/>
                <w:sz w:val="24"/>
                <w:szCs w:val="24"/>
                <w:highlight w:val="none"/>
                <w:lang w:val="en-US" w:eastAsia="zh-CN"/>
              </w:rPr>
              <w:t>工程服务</w:t>
            </w:r>
            <w:r>
              <w:rPr>
                <w:rFonts w:hint="eastAsia" w:hAnsi="宋体" w:cs="宋体"/>
                <w:sz w:val="24"/>
                <w:szCs w:val="24"/>
                <w:highlight w:val="none"/>
              </w:rPr>
              <w:t>为大型和中型企业的不适用本款规定。</w:t>
            </w:r>
          </w:p>
          <w:p w14:paraId="0939DF77">
            <w:pPr>
              <w:keepNext w:val="0"/>
              <w:keepLines w:val="0"/>
              <w:widowControl/>
              <w:suppressLineNumbers w:val="0"/>
              <w:spacing w:before="0" w:beforeAutospacing="0" w:after="0" w:afterAutospacing="0" w:line="288" w:lineRule="auto"/>
              <w:ind w:left="0" w:right="126" w:rightChars="60" w:firstLine="480" w:firstLineChars="200"/>
              <w:textAlignment w:val="center"/>
              <w:rPr>
                <w:rFonts w:hint="eastAsia" w:hAnsi="宋体" w:cs="宋体"/>
                <w:sz w:val="24"/>
                <w:szCs w:val="24"/>
                <w:highlight w:val="none"/>
              </w:rPr>
            </w:pPr>
            <w:r>
              <w:rPr>
                <w:rFonts w:hint="eastAsia" w:hAnsi="宋体" w:cs="宋体"/>
                <w:sz w:val="24"/>
                <w:szCs w:val="24"/>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服务的价格给予20%的扣除。</w:t>
            </w:r>
          </w:p>
          <w:p w14:paraId="48234A31">
            <w:pPr>
              <w:keepNext w:val="0"/>
              <w:keepLines w:val="0"/>
              <w:widowControl/>
              <w:suppressLineNumbers w:val="0"/>
              <w:spacing w:before="0" w:beforeAutospacing="0" w:after="0" w:afterAutospacing="0" w:line="288" w:lineRule="auto"/>
              <w:ind w:left="0" w:right="126" w:rightChars="60" w:firstLine="480" w:firstLineChars="200"/>
              <w:textAlignment w:val="center"/>
              <w:rPr>
                <w:rFonts w:hint="eastAsia" w:hAnsi="宋体" w:cs="宋体"/>
                <w:sz w:val="24"/>
                <w:szCs w:val="24"/>
                <w:highlight w:val="none"/>
              </w:rPr>
            </w:pPr>
            <w:r>
              <w:rPr>
                <w:rFonts w:hint="eastAsia" w:hAnsi="宋体" w:cs="宋体"/>
                <w:sz w:val="24"/>
                <w:szCs w:val="24"/>
                <w:highlight w:val="none"/>
              </w:rPr>
              <w:t xml:space="preserve">评标报价=投标总报价-所投小微（监狱、残疾人福利性）企业服务报价合计×20% </w:t>
            </w:r>
          </w:p>
          <w:p w14:paraId="48746F84">
            <w:pPr>
              <w:keepNext w:val="0"/>
              <w:keepLines w:val="0"/>
              <w:widowControl/>
              <w:suppressLineNumbers w:val="0"/>
              <w:spacing w:before="0" w:beforeAutospacing="0" w:after="0" w:afterAutospacing="0" w:line="288" w:lineRule="auto"/>
              <w:ind w:left="0" w:right="126" w:rightChars="60" w:firstLine="482" w:firstLineChars="200"/>
              <w:textAlignment w:val="center"/>
              <w:rPr>
                <w:rFonts w:hint="eastAsia" w:hAnsi="宋体" w:cs="宋体"/>
                <w:sz w:val="24"/>
                <w:szCs w:val="24"/>
                <w:highlight w:val="none"/>
              </w:rPr>
            </w:pPr>
            <w:r>
              <w:rPr>
                <w:rFonts w:hint="eastAsia" w:hAnsi="宋体" w:cs="宋体"/>
                <w:b/>
                <w:bCs/>
                <w:sz w:val="24"/>
                <w:szCs w:val="24"/>
                <w:highlight w:val="none"/>
              </w:rPr>
              <w:t>价格分统一采用低价优先法计算，即满足招标文件要求且投标价格最低的投标报价为评标基准价，其价格分为满分</w:t>
            </w:r>
            <w:r>
              <w:rPr>
                <w:rFonts w:hint="eastAsia" w:hAnsi="宋体" w:cs="宋体"/>
                <w:b/>
                <w:bCs/>
                <w:sz w:val="24"/>
                <w:szCs w:val="24"/>
                <w:highlight w:val="none"/>
                <w:lang w:val="en-US" w:eastAsia="zh-CN"/>
              </w:rPr>
              <w:t>15</w:t>
            </w:r>
            <w:r>
              <w:rPr>
                <w:rFonts w:hint="eastAsia" w:hAnsi="宋体" w:cs="宋体"/>
                <w:b/>
                <w:bCs/>
                <w:sz w:val="24"/>
                <w:szCs w:val="24"/>
                <w:highlight w:val="none"/>
              </w:rPr>
              <w:t>分。其他供应商的价格分统一按照下列公式计算：投标报价得分=(评标基准价/投标报价)×</w:t>
            </w:r>
            <w:r>
              <w:rPr>
                <w:rFonts w:hint="eastAsia" w:hAnsi="宋体" w:cs="宋体"/>
                <w:b/>
                <w:bCs/>
                <w:sz w:val="24"/>
                <w:szCs w:val="24"/>
                <w:highlight w:val="none"/>
                <w:lang w:val="en-US" w:eastAsia="zh-CN"/>
              </w:rPr>
              <w:t>15</w:t>
            </w:r>
            <w:r>
              <w:rPr>
                <w:rFonts w:hint="eastAsia" w:hAnsi="宋体" w:cs="宋体"/>
                <w:b/>
                <w:bCs/>
                <w:sz w:val="24"/>
                <w:szCs w:val="24"/>
                <w:highlight w:val="none"/>
              </w:rPr>
              <w:t>。</w:t>
            </w:r>
          </w:p>
          <w:p w14:paraId="2CB60B34">
            <w:pPr>
              <w:keepNext w:val="0"/>
              <w:keepLines w:val="0"/>
              <w:widowControl/>
              <w:suppressLineNumbers w:val="0"/>
              <w:spacing w:before="0" w:beforeAutospacing="0" w:after="0" w:afterAutospacing="0" w:line="288" w:lineRule="auto"/>
              <w:ind w:left="0" w:right="126" w:rightChars="60" w:firstLine="480" w:firstLineChars="200"/>
              <w:textAlignment w:val="center"/>
              <w:rPr>
                <w:rFonts w:hint="eastAsia" w:hAnsi="宋体" w:cs="宋体"/>
                <w:sz w:val="24"/>
                <w:szCs w:val="24"/>
                <w:highlight w:val="none"/>
              </w:rPr>
            </w:pPr>
            <w:r>
              <w:rPr>
                <w:rFonts w:hint="eastAsia" w:hAnsi="宋体" w:cs="宋体"/>
                <w:sz w:val="24"/>
                <w:szCs w:val="24"/>
                <w:highlight w:val="none"/>
              </w:rPr>
              <w:t>最终得分计算保留小数点两位。</w:t>
            </w:r>
          </w:p>
          <w:p w14:paraId="5F062F5E">
            <w:pPr>
              <w:keepNext w:val="0"/>
              <w:keepLines w:val="0"/>
              <w:widowControl/>
              <w:suppressLineNumbers w:val="0"/>
              <w:spacing w:before="0" w:beforeAutospacing="0" w:after="0" w:afterAutospacing="0" w:line="288" w:lineRule="auto"/>
              <w:ind w:left="0" w:right="126" w:rightChars="60" w:firstLine="480" w:firstLineChars="200"/>
              <w:textAlignment w:val="center"/>
              <w:rPr>
                <w:rFonts w:hint="eastAsia" w:ascii="宋体" w:hAnsi="宋体" w:eastAsia="宋体" w:cs="宋体"/>
                <w:sz w:val="24"/>
                <w:szCs w:val="24"/>
                <w:highlight w:val="none"/>
                <w:lang w:bidi="ar-SA"/>
              </w:rPr>
            </w:pPr>
            <w:r>
              <w:rPr>
                <w:rFonts w:hint="eastAsia" w:hAnsi="宋体" w:cs="宋体"/>
                <w:sz w:val="24"/>
                <w:szCs w:val="24"/>
                <w:highlight w:val="none"/>
                <w:lang w:val="en-US" w:eastAsia="zh-CN" w:bidi="ar-SA"/>
              </w:rPr>
              <w:t>评标</w:t>
            </w:r>
            <w:r>
              <w:rPr>
                <w:rFonts w:hint="eastAsia" w:ascii="宋体" w:hAnsi="宋体" w:eastAsia="宋体" w:cs="宋体"/>
                <w:sz w:val="24"/>
                <w:szCs w:val="24"/>
                <w:highlight w:val="none"/>
                <w:lang w:val="en-US" w:eastAsia="zh-CN" w:bidi="ar-SA"/>
              </w:rPr>
              <w:t>委员会认为供应商的报价明显低于其他通过符合性审查供应商的报价，有可能影响</w:t>
            </w:r>
            <w:r>
              <w:rPr>
                <w:rFonts w:hint="eastAsia" w:hAnsi="宋体" w:cs="宋体"/>
                <w:sz w:val="24"/>
                <w:szCs w:val="24"/>
                <w:highlight w:val="none"/>
                <w:lang w:val="en-US" w:eastAsia="zh-CN" w:bidi="ar-SA"/>
              </w:rPr>
              <w:t>服务</w:t>
            </w:r>
            <w:r>
              <w:rPr>
                <w:rFonts w:hint="eastAsia" w:ascii="宋体" w:hAnsi="宋体" w:eastAsia="宋体" w:cs="宋体"/>
                <w:sz w:val="24"/>
                <w:szCs w:val="24"/>
                <w:highlight w:val="none"/>
                <w:lang w:val="en-US" w:eastAsia="zh-CN" w:bidi="ar-SA"/>
              </w:rPr>
              <w:t>质量或者不能诚信履约的，应当要求其在评标现场合理的时间内提供书面说明，必要时提交相关证明材料；供应商不能证明其报价合理性的，</w:t>
            </w:r>
            <w:r>
              <w:rPr>
                <w:rFonts w:hint="eastAsia" w:hAnsi="宋体" w:cs="宋体"/>
                <w:sz w:val="24"/>
                <w:szCs w:val="24"/>
                <w:highlight w:val="none"/>
                <w:lang w:val="en-US" w:eastAsia="zh-CN" w:bidi="ar-SA"/>
              </w:rPr>
              <w:t>磋商</w:t>
            </w:r>
            <w:r>
              <w:rPr>
                <w:rFonts w:hint="eastAsia" w:ascii="宋体" w:hAnsi="宋体" w:eastAsia="宋体" w:cs="宋体"/>
                <w:sz w:val="24"/>
                <w:szCs w:val="24"/>
                <w:highlight w:val="none"/>
                <w:lang w:val="en-US" w:eastAsia="zh-CN" w:bidi="ar-SA"/>
              </w:rPr>
              <w:t>委员会应当将其作为无效投标处理</w:t>
            </w:r>
            <w:r>
              <w:rPr>
                <w:rFonts w:hint="eastAsia" w:ascii="宋体" w:hAnsi="宋体" w:eastAsia="宋体" w:cs="宋体"/>
                <w:sz w:val="24"/>
                <w:szCs w:val="24"/>
                <w:highlight w:val="none"/>
                <w:lang w:bidi="ar-SA"/>
              </w:rPr>
              <w:t>。</w:t>
            </w:r>
          </w:p>
          <w:p w14:paraId="7915714A">
            <w:pPr>
              <w:keepNext w:val="0"/>
              <w:keepLines w:val="0"/>
              <w:pageBreakBefore w:val="0"/>
              <w:suppressLineNumbers w:val="0"/>
              <w:kinsoku/>
              <w:wordWrap w:val="0"/>
              <w:overflowPunct/>
              <w:bidi w:val="0"/>
              <w:spacing w:before="72" w:beforeLines="30" w:beforeAutospacing="0" w:after="0" w:afterAutospacing="0" w:line="360" w:lineRule="auto"/>
              <w:ind w:left="21" w:leftChars="10" w:right="21" w:rightChars="10"/>
              <w:textAlignment w:val="top"/>
              <w:rPr>
                <w:rFonts w:hint="eastAsia" w:ascii="宋体" w:hAnsi="宋体" w:eastAsia="宋体" w:cs="宋体"/>
                <w:b w:val="0"/>
                <w:bCs w:val="0"/>
                <w:color w:val="auto"/>
                <w:kern w:val="0"/>
                <w:sz w:val="24"/>
                <w:szCs w:val="24"/>
                <w:highlight w:val="none"/>
              </w:rPr>
            </w:pPr>
            <w:r>
              <w:rPr>
                <w:rFonts w:hint="eastAsia" w:hAnsi="宋体" w:cs="宋体"/>
                <w:b/>
                <w:bCs/>
                <w:sz w:val="24"/>
                <w:szCs w:val="24"/>
                <w:highlight w:val="none"/>
              </w:rPr>
              <w:t>本项目采购标的对应的中小企业划分标准所属行业：其他未列明行业（科学研究和技术服务业）</w:t>
            </w:r>
          </w:p>
        </w:tc>
      </w:tr>
      <w:tr w14:paraId="073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Merge w:val="restart"/>
            <w:noWrap w:val="0"/>
            <w:vAlign w:val="center"/>
          </w:tcPr>
          <w:p w14:paraId="392FC65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p>
        </w:tc>
        <w:tc>
          <w:tcPr>
            <w:tcW w:w="1209" w:type="dxa"/>
            <w:vMerge w:val="restart"/>
            <w:noWrap w:val="0"/>
            <w:vAlign w:val="center"/>
          </w:tcPr>
          <w:p w14:paraId="22CDCA7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技术部分（</w:t>
            </w:r>
            <w:r>
              <w:rPr>
                <w:rFonts w:hint="eastAsia" w:ascii="宋体" w:hAnsi="宋体" w:cs="宋体"/>
                <w:b/>
                <w:bCs/>
                <w:color w:val="auto"/>
                <w:kern w:val="0"/>
                <w:sz w:val="24"/>
                <w:szCs w:val="24"/>
                <w:highlight w:val="none"/>
                <w:lang w:val="en-US" w:eastAsia="zh-CN"/>
              </w:rPr>
              <w:t>48</w:t>
            </w:r>
            <w:r>
              <w:rPr>
                <w:rFonts w:hint="eastAsia" w:ascii="宋体" w:hAnsi="宋体" w:eastAsia="宋体" w:cs="宋体"/>
                <w:b/>
                <w:bCs/>
                <w:color w:val="auto"/>
                <w:kern w:val="0"/>
                <w:sz w:val="24"/>
                <w:szCs w:val="24"/>
                <w:highlight w:val="none"/>
              </w:rPr>
              <w:t>分）</w:t>
            </w:r>
          </w:p>
        </w:tc>
        <w:tc>
          <w:tcPr>
            <w:tcW w:w="1307" w:type="dxa"/>
            <w:noWrap w:val="0"/>
            <w:vAlign w:val="center"/>
          </w:tcPr>
          <w:p w14:paraId="0A33DF13">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总体设计</w:t>
            </w:r>
          </w:p>
          <w:p w14:paraId="4F1C3180">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方案（8分）</w:t>
            </w:r>
          </w:p>
        </w:tc>
        <w:tc>
          <w:tcPr>
            <w:tcW w:w="6043" w:type="dxa"/>
            <w:noWrap w:val="0"/>
            <w:vAlign w:val="center"/>
          </w:tcPr>
          <w:p w14:paraId="23DC19BD">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项目设计思路、设计内容、设计依据、总体说明等内容，总体设计思路清晰，贯彻落实采购人要求到位，引用规范合法、有效，并包含必要的说明文字，</w:t>
            </w:r>
          </w:p>
          <w:p w14:paraId="08123738">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①总体设计思路清晰，完全满足采购需求，得8分；</w:t>
            </w:r>
          </w:p>
          <w:p w14:paraId="606F9FB9">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②总体设计思路一般，基本可行，基本满足采购需求，得4分；</w:t>
            </w:r>
          </w:p>
          <w:p w14:paraId="3D4F7B7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③总体设计思路不清晰、无法满足采购需求，得2分；</w:t>
            </w:r>
          </w:p>
          <w:p w14:paraId="09E6984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缺项不得分。</w:t>
            </w:r>
          </w:p>
        </w:tc>
      </w:tr>
      <w:tr w14:paraId="5708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18" w:type="dxa"/>
            <w:vMerge w:val="continue"/>
            <w:noWrap w:val="0"/>
            <w:vAlign w:val="center"/>
          </w:tcPr>
          <w:p w14:paraId="302B558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39CDA35F">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p>
        </w:tc>
        <w:tc>
          <w:tcPr>
            <w:tcW w:w="1307" w:type="dxa"/>
            <w:noWrap w:val="0"/>
            <w:vAlign w:val="center"/>
          </w:tcPr>
          <w:p w14:paraId="217DED49">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项目实施重难点、关键过程分析及对策（8分）</w:t>
            </w:r>
          </w:p>
        </w:tc>
        <w:tc>
          <w:tcPr>
            <w:tcW w:w="6043" w:type="dxa"/>
            <w:noWrap w:val="0"/>
            <w:vAlign w:val="center"/>
          </w:tcPr>
          <w:p w14:paraId="6224CE6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项目实施的重点难点分析、关键过程分析及应对解决方案等内容，</w:t>
            </w:r>
          </w:p>
          <w:p w14:paraId="5A48114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t>合理、到位、切实可行，得8分；</w:t>
            </w:r>
          </w:p>
          <w:p w14:paraId="697FFEF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t>基本合理、到位、可行，得4分；</w:t>
            </w:r>
          </w:p>
          <w:p w14:paraId="20EC5A29">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t>一般合理、到位，得2分；</w:t>
            </w:r>
          </w:p>
          <w:p w14:paraId="3341D0F8">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缺项不得分。</w:t>
            </w:r>
          </w:p>
        </w:tc>
      </w:tr>
      <w:tr w14:paraId="0161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918" w:type="dxa"/>
            <w:vMerge w:val="continue"/>
            <w:noWrap w:val="0"/>
            <w:vAlign w:val="center"/>
          </w:tcPr>
          <w:p w14:paraId="79CF52E4">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5D0980F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p>
        </w:tc>
        <w:tc>
          <w:tcPr>
            <w:tcW w:w="1307" w:type="dxa"/>
            <w:noWrap w:val="0"/>
            <w:vAlign w:val="center"/>
          </w:tcPr>
          <w:p w14:paraId="79740260">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质量保证措施（8分）</w:t>
            </w:r>
          </w:p>
        </w:tc>
        <w:tc>
          <w:tcPr>
            <w:tcW w:w="6043" w:type="dxa"/>
            <w:noWrap w:val="0"/>
            <w:vAlign w:val="center"/>
          </w:tcPr>
          <w:p w14:paraId="59827F7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项目设计质量保证措施，质量标准符合采购文件要求，质量目标明确，对可能出现的质量偏差有应对措施等，</w:t>
            </w:r>
          </w:p>
          <w:p w14:paraId="5DC3513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t>内容完整、严谨、合理，得 8分；</w:t>
            </w:r>
          </w:p>
          <w:p w14:paraId="625A3579">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t>内容基本完整、合理，基本满足项目要求，得4分；</w:t>
            </w:r>
          </w:p>
          <w:p w14:paraId="14AFA35B">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t>内容一般，个别内容不完整，表述不得当，得2分；</w:t>
            </w:r>
          </w:p>
          <w:p w14:paraId="442CA89C">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缺项不得分。</w:t>
            </w:r>
          </w:p>
        </w:tc>
      </w:tr>
      <w:tr w14:paraId="60F7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18" w:type="dxa"/>
            <w:vMerge w:val="continue"/>
            <w:noWrap w:val="0"/>
            <w:vAlign w:val="center"/>
          </w:tcPr>
          <w:p w14:paraId="7612A61F">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1F17EDF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p>
        </w:tc>
        <w:tc>
          <w:tcPr>
            <w:tcW w:w="1307" w:type="dxa"/>
            <w:noWrap w:val="0"/>
            <w:vAlign w:val="center"/>
          </w:tcPr>
          <w:p w14:paraId="4F96B78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进度保证措施（8分）</w:t>
            </w:r>
          </w:p>
        </w:tc>
        <w:tc>
          <w:tcPr>
            <w:tcW w:w="6043" w:type="dxa"/>
            <w:noWrap w:val="0"/>
            <w:vAlign w:val="center"/>
          </w:tcPr>
          <w:p w14:paraId="752F40B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项目设计计划安排明确、工期保证措施合理且有针对性，有具体的违约责任承诺； </w:t>
            </w:r>
          </w:p>
          <w:p w14:paraId="3FA4F90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t xml:space="preserve">内容详实、措施到位、针对性强，得8分； </w:t>
            </w:r>
          </w:p>
          <w:p w14:paraId="300D0ECC">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t>内容基本完整、措施有待优化、针对性一般，得4分；</w:t>
            </w:r>
          </w:p>
          <w:p w14:paraId="155A734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t xml:space="preserve">内容不完整、措施不到位、针对性差，得2分； </w:t>
            </w:r>
          </w:p>
          <w:p w14:paraId="62CE5BB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缺项不得分。</w:t>
            </w:r>
          </w:p>
        </w:tc>
      </w:tr>
      <w:tr w14:paraId="65C4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18" w:type="dxa"/>
            <w:vMerge w:val="continue"/>
            <w:noWrap w:val="0"/>
            <w:vAlign w:val="center"/>
          </w:tcPr>
          <w:p w14:paraId="72DAD85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5C20BA8F">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p>
        </w:tc>
        <w:tc>
          <w:tcPr>
            <w:tcW w:w="1307" w:type="dxa"/>
            <w:noWrap w:val="0"/>
            <w:vAlign w:val="center"/>
          </w:tcPr>
          <w:p w14:paraId="17D676FE">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组织机构（8分）</w:t>
            </w:r>
          </w:p>
        </w:tc>
        <w:tc>
          <w:tcPr>
            <w:tcW w:w="6043" w:type="dxa"/>
            <w:noWrap w:val="0"/>
            <w:vAlign w:val="center"/>
          </w:tcPr>
          <w:p w14:paraId="552FDDDA">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项目组织机构设置、岗位职责、专业人员配置等内容， </w:t>
            </w:r>
          </w:p>
          <w:p w14:paraId="01574F03">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t>合理，明确，配置齐全，很好满足项目需求，得8分；</w:t>
            </w:r>
          </w:p>
          <w:p w14:paraId="0D134F0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t xml:space="preserve">基本合理，明确，基本满足项目需求，得 4分； </w:t>
            </w:r>
          </w:p>
          <w:p w14:paraId="568C3F5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t xml:space="preserve">不合理、不明确、无法满足采购需求，得 2分； </w:t>
            </w:r>
          </w:p>
          <w:p w14:paraId="600F044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缺项不得分。 </w:t>
            </w:r>
          </w:p>
        </w:tc>
      </w:tr>
      <w:tr w14:paraId="05AD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18" w:type="dxa"/>
            <w:vMerge w:val="continue"/>
            <w:noWrap w:val="0"/>
            <w:vAlign w:val="center"/>
          </w:tcPr>
          <w:p w14:paraId="17D38CAC">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79DCFCA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b/>
                <w:bCs/>
                <w:color w:val="auto"/>
                <w:kern w:val="0"/>
                <w:sz w:val="24"/>
                <w:szCs w:val="24"/>
                <w:highlight w:val="none"/>
              </w:rPr>
            </w:pPr>
          </w:p>
        </w:tc>
        <w:tc>
          <w:tcPr>
            <w:tcW w:w="1307" w:type="dxa"/>
            <w:noWrap w:val="0"/>
            <w:vAlign w:val="center"/>
          </w:tcPr>
          <w:p w14:paraId="084AF8F3">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后续服务工作安排（8分）</w:t>
            </w:r>
          </w:p>
        </w:tc>
        <w:tc>
          <w:tcPr>
            <w:tcW w:w="6043" w:type="dxa"/>
            <w:noWrap w:val="0"/>
            <w:vAlign w:val="center"/>
          </w:tcPr>
          <w:p w14:paraId="08654137">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提供及时、具体、专业化的后续服务计划、妥善处理本项目后期可能出现的问题及其他优惠条件等， </w:t>
            </w:r>
          </w:p>
          <w:p w14:paraId="0BD2053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t xml:space="preserve">及时专业、切实可行、措施完善，得 8分； </w:t>
            </w:r>
          </w:p>
          <w:p w14:paraId="4B19924B">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t xml:space="preserve">基本及时专业、基本切实可行、措施基本完善，得4分； </w:t>
            </w:r>
          </w:p>
          <w:p w14:paraId="2DBAEB94">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t xml:space="preserve">不及时、措施不到位，得 2 分； </w:t>
            </w:r>
          </w:p>
          <w:p w14:paraId="21254F6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缺项不得分。</w:t>
            </w:r>
          </w:p>
        </w:tc>
      </w:tr>
      <w:tr w14:paraId="705D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noWrap w:val="0"/>
            <w:vAlign w:val="center"/>
          </w:tcPr>
          <w:p w14:paraId="7212740D">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restart"/>
            <w:noWrap w:val="0"/>
            <w:vAlign w:val="center"/>
          </w:tcPr>
          <w:p w14:paraId="127337F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both"/>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综合部分</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lang w:val="en-US" w:eastAsia="zh-CN"/>
              </w:rPr>
              <w:t>7+2</w:t>
            </w:r>
            <w:r>
              <w:rPr>
                <w:rFonts w:hint="eastAsia" w:ascii="宋体" w:hAnsi="宋体" w:eastAsia="宋体" w:cs="宋体"/>
                <w:b/>
                <w:bCs/>
                <w:color w:val="auto"/>
                <w:kern w:val="0"/>
                <w:sz w:val="24"/>
                <w:szCs w:val="24"/>
                <w:highlight w:val="none"/>
                <w:lang w:val="en-US" w:eastAsia="zh-CN"/>
              </w:rPr>
              <w:t>分</w:t>
            </w:r>
            <w:r>
              <w:rPr>
                <w:rFonts w:hint="eastAsia" w:ascii="宋体" w:hAnsi="宋体" w:eastAsia="宋体" w:cs="宋体"/>
                <w:b/>
                <w:bCs/>
                <w:color w:val="auto"/>
                <w:kern w:val="0"/>
                <w:sz w:val="24"/>
                <w:szCs w:val="24"/>
                <w:highlight w:val="none"/>
                <w:lang w:eastAsia="zh-CN"/>
              </w:rPr>
              <w:t>）</w:t>
            </w:r>
          </w:p>
        </w:tc>
        <w:tc>
          <w:tcPr>
            <w:tcW w:w="1307" w:type="dxa"/>
            <w:noWrap w:val="0"/>
            <w:vAlign w:val="center"/>
          </w:tcPr>
          <w:p w14:paraId="5741449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2"/>
                <w:sz w:val="24"/>
                <w:szCs w:val="24"/>
                <w:highlight w:val="none"/>
                <w:lang w:val="en-US" w:eastAsia="zh-CN" w:bidi="ar-SA"/>
              </w:rPr>
              <w:t>企业业绩（15+1分）</w:t>
            </w:r>
          </w:p>
        </w:tc>
        <w:tc>
          <w:tcPr>
            <w:tcW w:w="6043" w:type="dxa"/>
            <w:noWrap w:val="0"/>
            <w:vAlign w:val="center"/>
          </w:tcPr>
          <w:p w14:paraId="7B0591C8">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21" w:rightChars="10" w:firstLine="480" w:firstLineChars="200"/>
              <w:textAlignment w:val="center"/>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供应商自202</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年1</w:t>
            </w: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月1日以来具有</w:t>
            </w:r>
            <w:r>
              <w:rPr>
                <w:rFonts w:hint="eastAsia" w:ascii="宋体" w:hAnsi="宋体" w:cs="宋体"/>
                <w:b w:val="0"/>
                <w:bCs w:val="0"/>
                <w:color w:val="auto"/>
                <w:kern w:val="2"/>
                <w:sz w:val="24"/>
                <w:szCs w:val="24"/>
                <w:highlight w:val="none"/>
                <w:lang w:val="en-US" w:eastAsia="zh-CN" w:bidi="ar-SA"/>
              </w:rPr>
              <w:t>市政工程类设计或水利工程类设计或农林行业（农业综合开发生态工程）类设计</w:t>
            </w:r>
            <w:r>
              <w:rPr>
                <w:rFonts w:hint="eastAsia" w:ascii="宋体" w:hAnsi="宋体" w:eastAsia="宋体" w:cs="宋体"/>
                <w:b w:val="0"/>
                <w:bCs w:val="0"/>
                <w:color w:val="auto"/>
                <w:kern w:val="2"/>
                <w:sz w:val="24"/>
                <w:szCs w:val="24"/>
                <w:highlight w:val="none"/>
                <w:lang w:val="en-US" w:eastAsia="zh-CN" w:bidi="ar-SA"/>
              </w:rPr>
              <w:t>业绩</w:t>
            </w:r>
            <w:r>
              <w:rPr>
                <w:rFonts w:hint="eastAsia" w:ascii="宋体" w:hAnsi="宋体" w:cs="宋体"/>
                <w:b w:val="0"/>
                <w:bCs w:val="0"/>
                <w:color w:val="auto"/>
                <w:kern w:val="2"/>
                <w:sz w:val="24"/>
                <w:szCs w:val="24"/>
                <w:highlight w:val="none"/>
                <w:lang w:val="en-US" w:eastAsia="zh-CN" w:bidi="ar-SA"/>
              </w:rPr>
              <w:t>的</w:t>
            </w:r>
            <w:r>
              <w:rPr>
                <w:rFonts w:hint="eastAsia" w:ascii="宋体" w:hAnsi="宋体" w:eastAsia="宋体" w:cs="宋体"/>
                <w:b w:val="0"/>
                <w:bCs w:val="0"/>
                <w:color w:val="auto"/>
                <w:kern w:val="2"/>
                <w:sz w:val="24"/>
                <w:szCs w:val="24"/>
                <w:highlight w:val="none"/>
                <w:lang w:val="en-US" w:eastAsia="zh-CN" w:bidi="ar-SA"/>
              </w:rPr>
              <w:t>，每提供一个得</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分，本项最高得15分；</w:t>
            </w:r>
            <w:r>
              <w:rPr>
                <w:rFonts w:hint="eastAsia" w:ascii="宋体" w:hAnsi="宋体" w:eastAsia="宋体" w:cs="宋体"/>
                <w:b w:val="0"/>
                <w:bCs w:val="0"/>
                <w:color w:val="auto"/>
                <w:kern w:val="2"/>
                <w:sz w:val="24"/>
                <w:szCs w:val="24"/>
                <w:highlight w:val="none"/>
                <w:shd w:val="clear" w:color="auto" w:fill="auto"/>
                <w:lang w:val="en-US" w:eastAsia="zh-CN" w:bidi="ar-SA"/>
              </w:rPr>
              <w:t>提供</w:t>
            </w:r>
            <w:r>
              <w:rPr>
                <w:rFonts w:hint="eastAsia" w:ascii="宋体" w:hAnsi="宋体" w:cs="宋体"/>
                <w:b w:val="0"/>
                <w:bCs w:val="0"/>
                <w:color w:val="auto"/>
                <w:kern w:val="2"/>
                <w:sz w:val="24"/>
                <w:szCs w:val="24"/>
                <w:highlight w:val="none"/>
                <w:shd w:val="clear" w:color="auto" w:fill="auto"/>
                <w:lang w:val="en-US" w:eastAsia="zh-CN" w:bidi="ar-SA"/>
              </w:rPr>
              <w:t>中标通知书或</w:t>
            </w:r>
            <w:r>
              <w:rPr>
                <w:rFonts w:hint="eastAsia" w:ascii="宋体" w:hAnsi="宋体" w:eastAsia="宋体" w:cs="宋体"/>
                <w:b w:val="0"/>
                <w:bCs w:val="0"/>
                <w:color w:val="auto"/>
                <w:kern w:val="2"/>
                <w:sz w:val="24"/>
                <w:szCs w:val="24"/>
                <w:highlight w:val="none"/>
                <w:shd w:val="clear" w:color="auto" w:fill="auto"/>
                <w:lang w:val="en-US" w:eastAsia="zh-CN" w:bidi="ar-SA"/>
              </w:rPr>
              <w:t>合同</w:t>
            </w:r>
            <w:r>
              <w:rPr>
                <w:rFonts w:hint="eastAsia" w:ascii="宋体" w:hAnsi="宋体" w:cs="宋体"/>
                <w:b w:val="0"/>
                <w:bCs w:val="0"/>
                <w:color w:val="auto"/>
                <w:kern w:val="2"/>
                <w:sz w:val="24"/>
                <w:szCs w:val="24"/>
                <w:highlight w:val="none"/>
                <w:shd w:val="clear" w:color="auto" w:fill="auto"/>
                <w:lang w:val="en-US" w:eastAsia="zh-CN" w:bidi="ar-SA"/>
              </w:rPr>
              <w:t>的复印件或</w:t>
            </w:r>
            <w:r>
              <w:rPr>
                <w:rFonts w:hint="eastAsia" w:ascii="宋体" w:hAnsi="宋体" w:eastAsia="宋体" w:cs="宋体"/>
                <w:b w:val="0"/>
                <w:bCs w:val="0"/>
                <w:color w:val="auto"/>
                <w:kern w:val="2"/>
                <w:sz w:val="24"/>
                <w:szCs w:val="24"/>
                <w:highlight w:val="none"/>
                <w:shd w:val="clear" w:color="auto" w:fill="auto"/>
                <w:lang w:val="en-US" w:eastAsia="zh-CN" w:bidi="ar-SA"/>
              </w:rPr>
              <w:t>扫描件，时间以合同签订时间为准</w:t>
            </w:r>
            <w:r>
              <w:rPr>
                <w:rFonts w:hint="eastAsia" w:ascii="宋体" w:hAnsi="宋体" w:cs="宋体"/>
                <w:b w:val="0"/>
                <w:bCs w:val="0"/>
                <w:color w:val="auto"/>
                <w:kern w:val="2"/>
                <w:sz w:val="24"/>
                <w:szCs w:val="24"/>
                <w:highlight w:val="none"/>
                <w:shd w:val="clear" w:color="auto" w:fill="auto"/>
                <w:lang w:val="en-US" w:eastAsia="zh-CN" w:bidi="ar-SA"/>
              </w:rPr>
              <w:t>，不提供不得分</w:t>
            </w:r>
            <w:r>
              <w:rPr>
                <w:rFonts w:hint="eastAsia" w:ascii="宋体" w:hAnsi="宋体" w:eastAsia="宋体" w:cs="宋体"/>
                <w:b w:val="0"/>
                <w:bCs w:val="0"/>
                <w:color w:val="auto"/>
                <w:sz w:val="24"/>
                <w:szCs w:val="24"/>
                <w:highlight w:val="none"/>
                <w:shd w:val="clear" w:color="auto" w:fill="auto"/>
                <w:lang w:val="en-US" w:eastAsia="zh-CN"/>
              </w:rPr>
              <w:t>。</w:t>
            </w:r>
          </w:p>
          <w:p w14:paraId="72597D67">
            <w:pPr>
              <w:pStyle w:val="2"/>
              <w:keepNext w:val="0"/>
              <w:keepLines w:val="0"/>
              <w:suppressLineNumbers w:val="0"/>
              <w:spacing w:before="0" w:beforeAutospacing="0" w:after="0" w:afterAutospacing="0"/>
              <w:ind w:left="0" w:right="0" w:firstLine="482" w:firstLineChars="200"/>
              <w:rPr>
                <w:rFonts w:hint="default"/>
                <w:lang w:val="en-US" w:eastAsia="zh-CN"/>
              </w:rPr>
            </w:pPr>
            <w:r>
              <w:rPr>
                <w:rFonts w:hint="eastAsia" w:ascii="Times New Roman" w:hAnsi="Times New Roman"/>
                <w:b/>
                <w:bCs/>
                <w:highlight w:val="none"/>
                <w:lang w:val="en-US" w:eastAsia="zh-CN"/>
              </w:rPr>
              <w:t>2</w:t>
            </w:r>
            <w:r>
              <w:rPr>
                <w:rFonts w:hint="eastAsia" w:ascii="Times New Roman" w:hAnsi="Times New Roman"/>
                <w:b/>
                <w:bCs/>
                <w:highlight w:val="none"/>
              </w:rPr>
              <w:t>、设计业绩项目负责人为女性的，另加1分。</w:t>
            </w:r>
          </w:p>
        </w:tc>
      </w:tr>
      <w:tr w14:paraId="2BAE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18" w:type="dxa"/>
            <w:vMerge w:val="continue"/>
            <w:noWrap w:val="0"/>
            <w:vAlign w:val="center"/>
          </w:tcPr>
          <w:p w14:paraId="0F1BD18B">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413AA1C1">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307" w:type="dxa"/>
            <w:noWrap w:val="0"/>
            <w:vAlign w:val="center"/>
          </w:tcPr>
          <w:p w14:paraId="2B4375A2">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textAlignment w:val="center"/>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项目组人员（10+1分）</w:t>
            </w:r>
          </w:p>
        </w:tc>
        <w:tc>
          <w:tcPr>
            <w:tcW w:w="6043" w:type="dxa"/>
            <w:noWrap w:val="0"/>
            <w:vAlign w:val="center"/>
          </w:tcPr>
          <w:p w14:paraId="12968FD7">
            <w:pPr>
              <w:keepNext w:val="0"/>
              <w:keepLines w:val="0"/>
              <w:pageBreakBefore w:val="0"/>
              <w:widowControl w:val="0"/>
              <w:numPr>
                <w:ilvl w:val="0"/>
                <w:numId w:val="2"/>
              </w:numPr>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21" w:rightChars="10" w:firstLine="480" w:firstLineChars="200"/>
              <w:textAlignment w:val="center"/>
              <w:rPr>
                <w:rFonts w:hint="default"/>
                <w:lang w:val="en-US" w:eastAsia="zh-CN"/>
              </w:rPr>
            </w:pPr>
            <w:r>
              <w:rPr>
                <w:rFonts w:hint="eastAsia" w:ascii="宋体" w:hAnsi="宋体" w:eastAsia="宋体" w:cs="宋体"/>
                <w:b w:val="0"/>
                <w:bCs w:val="0"/>
                <w:color w:val="auto"/>
                <w:kern w:val="2"/>
                <w:sz w:val="24"/>
                <w:szCs w:val="24"/>
                <w:highlight w:val="none"/>
                <w:lang w:val="en-US" w:eastAsia="zh-CN" w:bidi="ar-SA"/>
              </w:rPr>
              <w:t>拟派项目组人员中，中级职称的每人得1分，高级及以上职称的每人得2分，本项最高得10分，提供人员职称证</w:t>
            </w:r>
            <w:r>
              <w:rPr>
                <w:rFonts w:hint="eastAsia" w:ascii="宋体" w:hAnsi="宋体" w:cs="宋体"/>
                <w:b w:val="0"/>
                <w:bCs w:val="0"/>
                <w:color w:val="auto"/>
                <w:kern w:val="2"/>
                <w:sz w:val="24"/>
                <w:szCs w:val="24"/>
                <w:highlight w:val="none"/>
                <w:lang w:val="en-US" w:eastAsia="zh-CN" w:bidi="ar-SA"/>
              </w:rPr>
              <w:t>和2024年01月以来任意3个月社保缴纳证明</w:t>
            </w:r>
            <w:r>
              <w:rPr>
                <w:rFonts w:hint="eastAsia" w:ascii="宋体" w:hAnsi="宋体" w:eastAsia="宋体" w:cs="宋体"/>
                <w:b w:val="0"/>
                <w:bCs w:val="0"/>
                <w:color w:val="auto"/>
                <w:kern w:val="2"/>
                <w:sz w:val="24"/>
                <w:szCs w:val="24"/>
                <w:highlight w:val="none"/>
                <w:lang w:val="en-US" w:eastAsia="zh-CN" w:bidi="ar-SA"/>
              </w:rPr>
              <w:t>的复印件或扫描件，不提供不得分。</w:t>
            </w:r>
          </w:p>
          <w:p w14:paraId="2C03EAEB">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21" w:rightChars="10" w:firstLine="420" w:firstLineChars="200"/>
              <w:textAlignment w:val="center"/>
              <w:rPr>
                <w:rFonts w:hint="default"/>
                <w:lang w:val="en-US" w:eastAsia="zh-CN"/>
              </w:rPr>
            </w:pPr>
            <w:r>
              <w:rPr>
                <w:rFonts w:hint="eastAsia"/>
                <w:lang w:val="en-US" w:eastAsia="zh-CN"/>
              </w:rPr>
              <w:t>2、</w:t>
            </w:r>
            <w:r>
              <w:rPr>
                <w:rFonts w:hint="eastAsia" w:ascii="Times New Roman" w:hAnsi="Times New Roman"/>
                <w:b/>
                <w:bCs/>
              </w:rPr>
              <w:t>项目组成员女性占比50%以上的（含50%），另加1分。</w:t>
            </w:r>
          </w:p>
        </w:tc>
      </w:tr>
      <w:tr w14:paraId="24C0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18" w:type="dxa"/>
            <w:vMerge w:val="continue"/>
            <w:noWrap w:val="0"/>
            <w:vAlign w:val="center"/>
          </w:tcPr>
          <w:p w14:paraId="6E52165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120AA594">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307" w:type="dxa"/>
            <w:noWrap w:val="0"/>
            <w:vAlign w:val="center"/>
          </w:tcPr>
          <w:p w14:paraId="39399C46">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服务承诺（8分）</w:t>
            </w:r>
          </w:p>
        </w:tc>
        <w:tc>
          <w:tcPr>
            <w:tcW w:w="6043" w:type="dxa"/>
            <w:noWrap w:val="0"/>
            <w:vAlign w:val="center"/>
          </w:tcPr>
          <w:p w14:paraId="3ACD1698">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21" w:rightChars="10" w:firstLine="480" w:firstLineChars="200"/>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1、承诺服从招标人的工作计划安排，并积极配合工作，为采购人排忧解难；承诺措施详细合理得 4 分，措施基本可行得2分，措施合理性差的得1分，不提供不得分； </w:t>
            </w:r>
          </w:p>
          <w:p w14:paraId="3885EFB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21" w:rightChars="10" w:firstLine="480" w:firstLineChars="200"/>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2、配合招标人完成相关规划设计文件的报审、报批等服务， 内容详细合理得4分，内容基本可行得 2 分，内容合理性差的得1分，不提供不得分； </w:t>
            </w:r>
          </w:p>
        </w:tc>
      </w:tr>
      <w:tr w14:paraId="1B23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18" w:type="dxa"/>
            <w:vMerge w:val="continue"/>
            <w:noWrap w:val="0"/>
            <w:vAlign w:val="center"/>
          </w:tcPr>
          <w:p w14:paraId="66635C3D">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209" w:type="dxa"/>
            <w:vMerge w:val="continue"/>
            <w:noWrap w:val="0"/>
            <w:vAlign w:val="center"/>
          </w:tcPr>
          <w:p w14:paraId="4E1A5D8B">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jc w:val="center"/>
              <w:textAlignment w:val="center"/>
              <w:rPr>
                <w:rFonts w:hint="eastAsia" w:ascii="宋体" w:hAnsi="宋体" w:eastAsia="宋体" w:cs="宋体"/>
                <w:color w:val="auto"/>
                <w:kern w:val="0"/>
                <w:sz w:val="24"/>
                <w:szCs w:val="24"/>
                <w:highlight w:val="none"/>
              </w:rPr>
            </w:pPr>
          </w:p>
        </w:tc>
        <w:tc>
          <w:tcPr>
            <w:tcW w:w="1307" w:type="dxa"/>
            <w:noWrap w:val="0"/>
            <w:vAlign w:val="center"/>
          </w:tcPr>
          <w:p w14:paraId="2FB51CE5">
            <w:pPr>
              <w:keepNext w:val="0"/>
              <w:keepLines w:val="0"/>
              <w:pageBreakBefore w:val="0"/>
              <w:suppressLineNumbers w:val="0"/>
              <w:kinsoku/>
              <w:wordWrap w:val="0"/>
              <w:overflowPunct/>
              <w:bidi w:val="0"/>
              <w:spacing w:before="72" w:beforeLines="30" w:beforeAutospacing="0" w:after="0" w:afterAutospacing="0" w:line="240" w:lineRule="auto"/>
              <w:ind w:left="21" w:leftChars="10" w:right="21" w:rightChars="10"/>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综合评价（</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c>
          <w:tcPr>
            <w:tcW w:w="6043" w:type="dxa"/>
            <w:noWrap w:val="0"/>
            <w:vAlign w:val="center"/>
          </w:tcPr>
          <w:p w14:paraId="6EADB722">
            <w:pPr>
              <w:keepNext w:val="0"/>
              <w:keepLines w:val="0"/>
              <w:pageBreakBefore w:val="0"/>
              <w:suppressLineNumbers w:val="0"/>
              <w:kinsoku/>
              <w:wordWrap w:val="0"/>
              <w:overflowPunct/>
              <w:bidi w:val="0"/>
              <w:spacing w:before="72" w:beforeLines="30" w:beforeAutospacing="0" w:after="0" w:afterAutospacing="0" w:line="240" w:lineRule="auto"/>
              <w:ind w:left="0" w:right="21" w:rightChars="10" w:firstLine="480" w:firstLineChars="200"/>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对供应商提供的方案、标书的规范情况进行比较，优 4分；良 2 分；差 0.5 分。</w:t>
            </w:r>
          </w:p>
        </w:tc>
      </w:tr>
    </w:tbl>
    <w:p w14:paraId="05AF55AA">
      <w:pPr>
        <w:pageBreakBefore w:val="0"/>
        <w:kinsoku/>
        <w:wordWrap w:val="0"/>
        <w:overflowPunct/>
        <w:bidi w:val="0"/>
        <w:spacing w:line="360" w:lineRule="auto"/>
        <w:ind w:firstLine="482" w:firstLineChars="200"/>
        <w:rPr>
          <w:rFonts w:hint="eastAsia" w:ascii="宋体" w:hAnsi="宋体" w:eastAsia="宋体" w:cs="宋体"/>
          <w:b/>
          <w:bCs/>
          <w:color w:val="auto"/>
          <w:sz w:val="24"/>
          <w:szCs w:val="24"/>
          <w:highlight w:val="none"/>
        </w:rPr>
      </w:pPr>
      <w:bookmarkStart w:id="747" w:name="_Toc18239"/>
      <w:bookmarkStart w:id="748" w:name="_Toc19375"/>
      <w:bookmarkStart w:id="749" w:name="_Toc12267"/>
      <w:r>
        <w:rPr>
          <w:rFonts w:hint="eastAsia" w:ascii="宋体" w:hAnsi="宋体" w:eastAsia="宋体" w:cs="宋体"/>
          <w:b/>
          <w:bCs/>
          <w:color w:val="auto"/>
          <w:sz w:val="24"/>
          <w:szCs w:val="24"/>
          <w:highlight w:val="none"/>
        </w:rPr>
        <w:t>评审方法</w:t>
      </w:r>
      <w:bookmarkEnd w:id="747"/>
      <w:bookmarkEnd w:id="748"/>
    </w:p>
    <w:p w14:paraId="429F7404">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评审采用综合评分法。磋商小组对满足竞争性磋商文件实质性要求的响应文件，按照本章规定的评分标准进行打分，并按得分由高到低顺序推荐成交候选人，综合评分相等时，以报价得分高的优先；报价得分相等的，由采购人自行确定。</w:t>
      </w:r>
      <w:bookmarkStart w:id="750" w:name="_Toc490667876"/>
      <w:bookmarkStart w:id="751" w:name="_Toc281405529"/>
      <w:bookmarkStart w:id="752" w:name="_Toc144974568"/>
      <w:bookmarkStart w:id="753" w:name="_Toc20837"/>
      <w:bookmarkStart w:id="754" w:name="_Toc152042378"/>
      <w:bookmarkStart w:id="755" w:name="_Toc26131"/>
      <w:bookmarkStart w:id="756" w:name="_Toc318450723"/>
      <w:bookmarkStart w:id="757" w:name="_Toc455867817"/>
      <w:bookmarkStart w:id="758" w:name="_Toc24936"/>
      <w:bookmarkStart w:id="759" w:name="_Toc6612"/>
      <w:bookmarkStart w:id="760" w:name="_Toc455080157"/>
      <w:bookmarkStart w:id="761" w:name="_Toc152045601"/>
      <w:bookmarkStart w:id="762" w:name="_Toc29362"/>
      <w:bookmarkStart w:id="763" w:name="_Toc466298140"/>
    </w:p>
    <w:p w14:paraId="6AB80EA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磋商小组初步评审后有效投标不足3个的，磋商小组应予废标。</w:t>
      </w:r>
    </w:p>
    <w:p w14:paraId="2C0824D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764" w:name="_Toc14678"/>
      <w:bookmarkStart w:id="765" w:name="_Toc15287"/>
      <w:r>
        <w:rPr>
          <w:rFonts w:hint="eastAsia" w:ascii="宋体" w:hAnsi="宋体" w:eastAsia="宋体" w:cs="宋体"/>
          <w:color w:val="auto"/>
          <w:sz w:val="24"/>
          <w:szCs w:val="24"/>
          <w:highlight w:val="none"/>
        </w:rPr>
        <w:t>2. 评审标准</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6" w:name="_Toc6711"/>
      <w:bookmarkStart w:id="767" w:name="_Toc455867818"/>
      <w:bookmarkStart w:id="768" w:name="_Toc455080158"/>
      <w:bookmarkStart w:id="769" w:name="_Toc490667877"/>
      <w:bookmarkStart w:id="770" w:name="_Toc466298141"/>
      <w:bookmarkStart w:id="771" w:name="_Toc21120"/>
      <w:bookmarkStart w:id="772" w:name="_Toc152042379"/>
      <w:bookmarkStart w:id="773" w:name="_Toc31037"/>
      <w:bookmarkStart w:id="774" w:name="_Toc15813"/>
      <w:bookmarkStart w:id="775" w:name="_Toc24558"/>
      <w:bookmarkStart w:id="776" w:name="_Toc19934"/>
      <w:bookmarkStart w:id="777" w:name="_Toc318450724"/>
      <w:bookmarkStart w:id="778" w:name="_Toc152045602"/>
      <w:bookmarkStart w:id="779" w:name="_Toc25637"/>
      <w:bookmarkStart w:id="780" w:name="_Toc2867"/>
      <w:bookmarkStart w:id="781" w:name="_Toc144974569"/>
      <w:bookmarkStart w:id="782" w:name="_Toc281405530"/>
      <w:bookmarkStart w:id="783" w:name="_Toc11223"/>
    </w:p>
    <w:p w14:paraId="36FED0D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784" w:name="_Toc26567"/>
      <w:r>
        <w:rPr>
          <w:rFonts w:hint="eastAsia" w:ascii="宋体" w:hAnsi="宋体" w:eastAsia="宋体" w:cs="宋体"/>
          <w:color w:val="auto"/>
          <w:sz w:val="24"/>
          <w:szCs w:val="24"/>
          <w:highlight w:val="none"/>
        </w:rPr>
        <w:t>2.1 初步评审标准</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18E6F61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资格检查评审标准：见评审办法前附表。</w:t>
      </w:r>
    </w:p>
    <w:p w14:paraId="71F736E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符合性检查评审标准：见评审办法前附表。</w:t>
      </w:r>
    </w:p>
    <w:p w14:paraId="4FE6608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785" w:name="_Toc28765"/>
      <w:bookmarkStart w:id="786" w:name="_Toc318450725"/>
      <w:bookmarkStart w:id="787" w:name="_Toc144974570"/>
      <w:bookmarkStart w:id="788" w:name="_Toc7284"/>
      <w:bookmarkStart w:id="789" w:name="_Toc26179"/>
      <w:bookmarkStart w:id="790" w:name="_Toc455867819"/>
      <w:bookmarkStart w:id="791" w:name="_Toc12013"/>
      <w:bookmarkStart w:id="792" w:name="_Toc455080159"/>
      <w:bookmarkStart w:id="793" w:name="_Toc490667878"/>
      <w:bookmarkStart w:id="794" w:name="_Toc30189"/>
      <w:bookmarkStart w:id="795" w:name="_Toc152045603"/>
      <w:bookmarkStart w:id="796" w:name="_Toc11061"/>
      <w:bookmarkStart w:id="797" w:name="_Toc281405531"/>
      <w:bookmarkStart w:id="798" w:name="_Toc21970"/>
      <w:bookmarkStart w:id="799" w:name="_Toc22439"/>
      <w:bookmarkStart w:id="800" w:name="_Toc24825"/>
      <w:bookmarkStart w:id="801" w:name="_Toc152042380"/>
      <w:bookmarkStart w:id="802" w:name="_Toc25492"/>
      <w:bookmarkStart w:id="803" w:name="_Toc466298142"/>
      <w:r>
        <w:rPr>
          <w:rFonts w:hint="eastAsia" w:ascii="宋体" w:hAnsi="宋体" w:eastAsia="宋体" w:cs="宋体"/>
          <w:color w:val="auto"/>
          <w:sz w:val="24"/>
          <w:szCs w:val="24"/>
          <w:highlight w:val="none"/>
        </w:rPr>
        <w:t>2.2 分值构成与评分标准</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5576571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（1）商务标：见评审办法前附表；</w:t>
      </w:r>
    </w:p>
    <w:p w14:paraId="43D1732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（2）技术标：见评审办法前附表；</w:t>
      </w:r>
    </w:p>
    <w:p w14:paraId="590D8030">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（3）综合标：见评审办法前附表。</w:t>
      </w:r>
    </w:p>
    <w:p w14:paraId="412E304E">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04" w:name="_Toc29297"/>
      <w:bookmarkStart w:id="805" w:name="_Toc490667879"/>
      <w:bookmarkStart w:id="806" w:name="_Toc17308"/>
      <w:bookmarkStart w:id="807" w:name="_Toc16479"/>
      <w:bookmarkStart w:id="808" w:name="_Toc455080160"/>
      <w:bookmarkStart w:id="809" w:name="_Toc18127"/>
      <w:bookmarkStart w:id="810" w:name="_Toc455867820"/>
      <w:bookmarkStart w:id="811" w:name="_Toc466298143"/>
      <w:bookmarkStart w:id="812" w:name="_Toc318450726"/>
      <w:bookmarkStart w:id="813" w:name="_Toc281405532"/>
      <w:bookmarkStart w:id="814" w:name="_Toc29882"/>
      <w:bookmarkStart w:id="815" w:name="_Toc27018"/>
      <w:bookmarkStart w:id="816" w:name="_Toc32314"/>
      <w:r>
        <w:rPr>
          <w:rFonts w:hint="eastAsia" w:ascii="宋体" w:hAnsi="宋体" w:eastAsia="宋体" w:cs="宋体"/>
          <w:color w:val="auto"/>
          <w:sz w:val="24"/>
          <w:szCs w:val="24"/>
          <w:highlight w:val="none"/>
        </w:rPr>
        <w:t>3. 评审程序</w:t>
      </w:r>
      <w:bookmarkEnd w:id="804"/>
      <w:bookmarkEnd w:id="805"/>
      <w:bookmarkEnd w:id="806"/>
      <w:bookmarkEnd w:id="807"/>
      <w:bookmarkEnd w:id="808"/>
      <w:bookmarkEnd w:id="809"/>
      <w:bookmarkEnd w:id="810"/>
      <w:bookmarkEnd w:id="811"/>
      <w:bookmarkEnd w:id="812"/>
      <w:bookmarkEnd w:id="813"/>
      <w:bookmarkEnd w:id="814"/>
      <w:bookmarkEnd w:id="815"/>
      <w:bookmarkEnd w:id="816"/>
    </w:p>
    <w:p w14:paraId="194EF9F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17" w:name="_Toc18886"/>
      <w:bookmarkStart w:id="818" w:name="_Toc466298144"/>
      <w:bookmarkStart w:id="819" w:name="_Toc32763"/>
      <w:bookmarkStart w:id="820" w:name="_Toc318450727"/>
      <w:bookmarkStart w:id="821" w:name="_Toc2410"/>
      <w:bookmarkStart w:id="822" w:name="_Toc14633"/>
      <w:bookmarkStart w:id="823" w:name="_Toc9433"/>
      <w:bookmarkStart w:id="824" w:name="_Toc281405533"/>
      <w:bookmarkStart w:id="825" w:name="_Toc16892"/>
      <w:bookmarkStart w:id="826" w:name="_Toc455867821"/>
      <w:bookmarkStart w:id="827" w:name="_Toc490667880"/>
      <w:bookmarkStart w:id="828" w:name="_Toc455080161"/>
      <w:bookmarkStart w:id="829" w:name="_Toc7272"/>
      <w:bookmarkStart w:id="830" w:name="_Toc30986"/>
      <w:bookmarkStart w:id="831" w:name="_Toc5427"/>
      <w:bookmarkStart w:id="832" w:name="_Toc29614"/>
      <w:bookmarkStart w:id="833" w:name="_Toc29092"/>
      <w:r>
        <w:rPr>
          <w:rFonts w:hint="eastAsia" w:ascii="宋体" w:hAnsi="宋体" w:eastAsia="宋体" w:cs="宋体"/>
          <w:color w:val="auto"/>
          <w:sz w:val="24"/>
          <w:szCs w:val="24"/>
          <w:highlight w:val="none"/>
        </w:rPr>
        <w:t>3.1 初步评审</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2070D2F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34" w:name="_Toc21032"/>
      <w:bookmarkStart w:id="835" w:name="_Toc22101"/>
      <w:bookmarkStart w:id="836" w:name="_Toc455080162"/>
      <w:bookmarkStart w:id="837" w:name="_Toc26049"/>
      <w:bookmarkStart w:id="838" w:name="_Toc318450728"/>
      <w:bookmarkStart w:id="839" w:name="_Toc281405534"/>
      <w:bookmarkStart w:id="840" w:name="_Toc466298145"/>
      <w:bookmarkStart w:id="841" w:name="_Toc21570"/>
      <w:bookmarkStart w:id="842" w:name="_Toc16964"/>
      <w:bookmarkStart w:id="843" w:name="_Toc26280"/>
      <w:bookmarkStart w:id="844" w:name="_Toc10692"/>
      <w:bookmarkStart w:id="845" w:name="_Toc7121"/>
      <w:bookmarkStart w:id="846" w:name="_Toc490667881"/>
      <w:bookmarkStart w:id="847" w:name="_Toc12406"/>
      <w:bookmarkStart w:id="848" w:name="_Toc13386"/>
      <w:bookmarkStart w:id="849" w:name="_Toc455867822"/>
      <w:r>
        <w:rPr>
          <w:rFonts w:hint="eastAsia" w:ascii="宋体" w:hAnsi="宋体" w:eastAsia="宋体" w:cs="宋体"/>
          <w:color w:val="auto"/>
          <w:sz w:val="24"/>
          <w:szCs w:val="24"/>
          <w:highlight w:val="none"/>
        </w:rPr>
        <w:t>3.1.1 只有通过资格审查的供应商才能进入符合性评审。磋商小组依据2.1.2规定的内容和标准对响应文件进行符合性审查。有一项不符合评审标准的，其相应文件做无效处理，不得进入详细评审。</w:t>
      </w:r>
    </w:p>
    <w:p w14:paraId="0977C81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供应商有以下情形之一的，其响应文件作无效处理：</w:t>
      </w:r>
    </w:p>
    <w:p w14:paraId="0B02517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（1）串通或弄虚作假或有其他违法行为的；</w:t>
      </w:r>
    </w:p>
    <w:p w14:paraId="5B1B3695">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（2）不按磋商小组要求澄清、说明或补正的；</w:t>
      </w:r>
    </w:p>
    <w:p w14:paraId="1FB7AC2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（3）未按规定格式填写、内容不全或关键字迹模糊、无法辨认的；</w:t>
      </w:r>
    </w:p>
    <w:p w14:paraId="695F5B7D">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（4）响应文件附有采购人不能接受的条件；</w:t>
      </w:r>
    </w:p>
    <w:p w14:paraId="533F106E">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（5）不符合竞争性磋商文件规定的其他实质性要求。</w:t>
      </w:r>
    </w:p>
    <w:p w14:paraId="236EB62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50" w:name="_Toc32028"/>
      <w:r>
        <w:rPr>
          <w:rFonts w:hint="eastAsia" w:ascii="宋体" w:hAnsi="宋体" w:eastAsia="宋体" w:cs="宋体"/>
          <w:color w:val="auto"/>
          <w:sz w:val="24"/>
          <w:szCs w:val="24"/>
          <w:highlight w:val="none"/>
        </w:rPr>
        <w:t>3.2 详细评审</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499927AC">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磋商小组按本章第2.2款规定的量化因素和分值进行打分，并计算出综合评分得分。</w:t>
      </w:r>
    </w:p>
    <w:p w14:paraId="726ED335">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17F0190A">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供应商的最终得分以全部小组成员打分的算术平均值为准，作为该供应商的最终得分。</w:t>
      </w:r>
    </w:p>
    <w:p w14:paraId="16BCA53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在磋商过程中，凡遇到竞争性磋商文件中无界定或界定不清、前后不一致使磋商小组意见有分歧且又难以协商一致的问题，均由磋商小组予以表决，获半数以上同意的即为通过，未获半数同意的即为否决。</w:t>
      </w:r>
    </w:p>
    <w:p w14:paraId="6C3A5905">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3.2.5</w:t>
      </w:r>
      <w:r>
        <w:rPr>
          <w:rFonts w:hint="default" w:ascii="宋体" w:hAnsi="宋体" w:eastAsia="宋体" w:cs="宋体"/>
          <w:color w:val="auto"/>
          <w:sz w:val="24"/>
          <w:szCs w:val="24"/>
          <w:highlight w:val="none"/>
          <w:lang w:val="en-US" w:eastAsia="zh-CN"/>
        </w:rPr>
        <w:t>关于落实中小微企业扶持、促进残疾人就业等相关政府采购政策。</w:t>
      </w:r>
    </w:p>
    <w:p w14:paraId="6BF00DC1">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（1）根据财政部、工信部关于印发《政府采购促进中小企业发展管理办法》的通知（财库〔2020〕46号 ）文件规定：</w:t>
      </w:r>
    </w:p>
    <w:p w14:paraId="79DDAC7A">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在政府采购活动中，供应商提供的货物、工程或者服务符合下列情形的，享受本办法规定的中小企业扶持政策：</w:t>
      </w:r>
    </w:p>
    <w:p w14:paraId="098789F3">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（一）在货物采购项目中，货物由中小企业制造，即货物由中小企业生产且使用该中小企业商号或者注册商标；</w:t>
      </w:r>
    </w:p>
    <w:p w14:paraId="08BBD0A7">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（二）在工程采购项目中，工程由中小企业承建，即工程施工单位为中小企业；</w:t>
      </w:r>
    </w:p>
    <w:p w14:paraId="7942E166">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（三）在服务采购项目中，服务由中小企业承接，即提供服务的人员为中小企业依照《中华人民共和国劳动合同法》订立劳动合同的从业人员。</w:t>
      </w:r>
    </w:p>
    <w:p w14:paraId="39ACC92C">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50162DB1">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5B0BB280">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对符合规定的小微企业报价产品的价格给予10%-20%的扣除，用扣除后的价格参与评审，本项目的扣除比例为20%；适用招标投标法的政府采购工程建设项目，采用综合评估法但未采用低价优先法计算价格分的，评标时应当在采用原报价进行评分的基础上增加其价格得分的 3%—5%作为其价格分，本项目的比例为5%；</w:t>
      </w:r>
    </w:p>
    <w:p w14:paraId="119CDF8F">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（3）接受大中型企业与小微企业组成联合体的或者允许大中型企业向一家或者多家小微企业分包的采购项目，对于联合协议或者分包意向协议约定小微企业的合同份额占到合同 总金额 30%以上的，采购人、采购代理机构应当对联合体或者大中型企业的报价给予 4%-6%的扣除，本项目扣除比例为5%，用扣除后的价格参加评审。适用招标投标法的政府采购工程建设项目，采用综合评估法但未采用低价优先法计算价格分的，评标时应当在采用原报价进行评分的基础上增加其价格得分的 1%—2%作为其价格分。本项目比例为1%。</w:t>
      </w:r>
    </w:p>
    <w:p w14:paraId="40B5E7ED">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（4）组成联合体或者接受分包的小微企业与联合体内其他企业、分包企业之间存在直接控股、管理关系的，不享受价格扣除优惠政策。</w:t>
      </w:r>
    </w:p>
    <w:p w14:paraId="2F4E22BA">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（5）本办法所称中小企业划分标准，是指国务院有关部门根据企业从业人员、营业收入、资产总额等指标制定的中小企业划型标准。</w:t>
      </w:r>
    </w:p>
    <w:p w14:paraId="73F55BC3">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（6）依据本办法规定享受扶持政策获得政府采购合同的，小微企业不得将合同分包给大中型企业，中型企业不得将合同分包给大型企业。</w:t>
      </w:r>
    </w:p>
    <w:p w14:paraId="4B69D3DF">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（7）投标人应在分项报价表中写明符合上述条件的属于中小企业产品的单价、合价和小计，并如实填写“中小企业声明函”，否则在价格评审时不予考虑价格扣除；</w:t>
      </w:r>
    </w:p>
    <w:p w14:paraId="4D3800E9">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（8）关于监狱企业：视同小微企业。须提供由省级以上监狱管理局、戒毒管理局（含新疆生产建设兵团）出具的属于监狱企业的证明文件，否则不考虑价格扣除。</w:t>
      </w:r>
    </w:p>
    <w:p w14:paraId="02D32421">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（9）关于残疾人福利性单位：视同小微企业。须提供完整的“残疾人福利性单位声明函”，否则在价格评审时不予考虑价格扣除。残疾人福利性单位属于小型、微型企业的，不重复享受政策。 </w:t>
      </w:r>
    </w:p>
    <w:p w14:paraId="16833C87">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注:①根据《政府采购促进中小企业发展管理办法》(财库[2020]46号)的规定，参加政府采购活动的中小企业应当提供《中小企业声明函》。(格式见第六章)</w:t>
      </w:r>
    </w:p>
    <w:p w14:paraId="4D0FA2A7">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19222E3C">
      <w:pPr>
        <w:pageBreakBefore w:val="0"/>
        <w:kinsoku/>
        <w:wordWrap w:val="0"/>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③根据《财政部民政部中国残疾人联合会关于促进残疾人就业政府采购政策的通知》（财库[2017]141号）的规定，享受政府采购支持政策的残疾人福利性单位应当提供《残疾人福利性单位声明函》。(格式见第六章)</w:t>
      </w:r>
    </w:p>
    <w:p w14:paraId="644B3B78">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51" w:name="_Toc11958"/>
      <w:bookmarkStart w:id="852" w:name="_Toc331"/>
      <w:bookmarkStart w:id="853" w:name="_Toc318450729"/>
      <w:bookmarkStart w:id="854" w:name="_Toc24862"/>
      <w:bookmarkStart w:id="855" w:name="_Toc28633"/>
      <w:bookmarkStart w:id="856" w:name="_Toc22084"/>
      <w:bookmarkStart w:id="857" w:name="_Toc8813"/>
      <w:bookmarkStart w:id="858" w:name="_Toc455867823"/>
      <w:bookmarkStart w:id="859" w:name="_Toc8342"/>
      <w:bookmarkStart w:id="860" w:name="_Toc12603"/>
      <w:bookmarkStart w:id="861" w:name="_Toc10153"/>
      <w:bookmarkStart w:id="862" w:name="_Toc281405535"/>
      <w:bookmarkStart w:id="863" w:name="_Toc490667882"/>
      <w:bookmarkStart w:id="864" w:name="_Toc466298146"/>
      <w:bookmarkStart w:id="865" w:name="_Toc12374"/>
      <w:bookmarkStart w:id="866" w:name="_Toc2657"/>
      <w:bookmarkStart w:id="867" w:name="_Toc455080163"/>
      <w:r>
        <w:rPr>
          <w:rFonts w:hint="eastAsia" w:ascii="宋体" w:hAnsi="宋体" w:eastAsia="宋体" w:cs="宋体"/>
          <w:color w:val="auto"/>
          <w:sz w:val="24"/>
          <w:szCs w:val="24"/>
          <w:highlight w:val="none"/>
        </w:rPr>
        <w:t>3.3 响应文件的澄清和补正</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6045EE9B">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在磋商过程中，磋商小组可以书面形式要求供应商对所提交的响应文件中不明确的内容进行书面澄清或说明，或者对细微偏离进行补正。磋商小组不接受供应商主动提出的澄清、说明或补正。</w:t>
      </w:r>
    </w:p>
    <w:p w14:paraId="717F54F7">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澄清、说明和补正不得超出响应文件的范围或者改变响应文件的实质性内容（算术性错误修正的除外）。供应商的书面澄清、说明和补正属于响应文件的组成部分。</w:t>
      </w:r>
    </w:p>
    <w:p w14:paraId="30347565">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磋商小组对供应商提交的澄清、说明或补正有疑问的，可以要求供应商进一步澄清、说明或补正，直至满足磋商小组的要求。</w:t>
      </w:r>
    </w:p>
    <w:p w14:paraId="27DA4FA6">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bookmarkStart w:id="868" w:name="_Toc32183"/>
      <w:bookmarkStart w:id="869" w:name="_Toc14789"/>
      <w:bookmarkStart w:id="870" w:name="_Toc490667883"/>
      <w:bookmarkStart w:id="871" w:name="_Toc19938"/>
      <w:bookmarkStart w:id="872" w:name="_Toc22986"/>
      <w:bookmarkStart w:id="873" w:name="_Toc455080164"/>
      <w:bookmarkStart w:id="874" w:name="_Toc318450730"/>
      <w:bookmarkStart w:id="875" w:name="_Toc1857"/>
      <w:bookmarkStart w:id="876" w:name="_Toc22049"/>
      <w:bookmarkStart w:id="877" w:name="_Toc19453"/>
      <w:bookmarkStart w:id="878" w:name="_Toc22682"/>
      <w:bookmarkStart w:id="879" w:name="_Toc455867824"/>
      <w:bookmarkStart w:id="880" w:name="_Toc30053"/>
      <w:bookmarkStart w:id="881" w:name="_Toc5903"/>
      <w:bookmarkStart w:id="882" w:name="_Toc466298147"/>
      <w:bookmarkStart w:id="883" w:name="_Toc26894"/>
      <w:bookmarkStart w:id="884" w:name="_Toc281405536"/>
      <w:r>
        <w:rPr>
          <w:rFonts w:hint="eastAsia" w:ascii="宋体" w:hAnsi="宋体" w:eastAsia="宋体" w:cs="宋体"/>
          <w:color w:val="auto"/>
          <w:sz w:val="24"/>
          <w:szCs w:val="24"/>
          <w:highlight w:val="none"/>
        </w:rPr>
        <w:t>3.4 评审结果</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4D14E8F1">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除第二章“供应商须知”前附表授权直接确定成交人外，磋商小组按照得分由高到低的顺序推荐成交候选人。</w:t>
      </w:r>
    </w:p>
    <w:p w14:paraId="4ABE4A89">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磋商小组完成评审后，应当向采购人提交书面评审报告。</w:t>
      </w:r>
    </w:p>
    <w:p w14:paraId="5347FD33">
      <w:pPr>
        <w:pageBreakBefore w:val="0"/>
        <w:kinsoku/>
        <w:wordWrap w:val="0"/>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3.4.3评标结果在发布招标公告的同一媒介上公示。</w:t>
      </w:r>
      <w:bookmarkStart w:id="885" w:name="_Toc30580"/>
    </w:p>
    <w:p w14:paraId="4C166762">
      <w:pPr>
        <w:pStyle w:val="5"/>
        <w:pageBreakBefore w:val="0"/>
        <w:kinsoku/>
        <w:wordWrap w:val="0"/>
        <w:overflowPunct/>
        <w:bidi w:val="0"/>
        <w:rPr>
          <w:rFonts w:hint="eastAsia" w:ascii="宋体" w:hAnsi="宋体" w:eastAsia="宋体" w:cs="宋体"/>
          <w:color w:val="auto"/>
          <w:highlight w:val="none"/>
        </w:rPr>
      </w:pPr>
      <w:bookmarkStart w:id="886" w:name="_Toc25046"/>
      <w:bookmarkStart w:id="887" w:name="_Toc18565"/>
      <w:bookmarkStart w:id="888" w:name="_Toc11613"/>
      <w:bookmarkStart w:id="889" w:name="_Toc16109"/>
      <w:bookmarkStart w:id="890" w:name="_Toc14521"/>
      <w:r>
        <w:rPr>
          <w:rFonts w:hint="eastAsia" w:ascii="宋体" w:hAnsi="宋体" w:eastAsia="宋体" w:cs="宋体"/>
          <w:color w:val="auto"/>
          <w:highlight w:val="none"/>
        </w:rPr>
        <w:br w:type="page"/>
      </w:r>
      <w:r>
        <w:rPr>
          <w:rFonts w:hint="eastAsia" w:ascii="宋体" w:hAnsi="宋体" w:eastAsia="宋体" w:cs="宋体"/>
          <w:color w:val="auto"/>
          <w:highlight w:val="none"/>
        </w:rPr>
        <w:t>附件：废标条件</w:t>
      </w:r>
      <w:bookmarkEnd w:id="885"/>
      <w:bookmarkEnd w:id="886"/>
      <w:bookmarkEnd w:id="887"/>
      <w:bookmarkEnd w:id="888"/>
      <w:bookmarkEnd w:id="889"/>
      <w:bookmarkEnd w:id="890"/>
    </w:p>
    <w:p w14:paraId="319B8231">
      <w:pPr>
        <w:pageBreakBefore w:val="0"/>
        <w:kinsoku/>
        <w:wordWrap w:val="0"/>
        <w:overflowPunct/>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4A5E97EE">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1.未通过第三章评标办法资格评审、符合性评审的；</w:t>
      </w:r>
    </w:p>
    <w:p w14:paraId="722B1E73">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2.不按磋商小组要求澄清、说明或补正的；</w:t>
      </w:r>
    </w:p>
    <w:p w14:paraId="51C41144">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3.磋商报价有算术性错误，供应商不接受修正价格的；</w:t>
      </w:r>
    </w:p>
    <w:p w14:paraId="186A7DFE">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4.以他人的名义投标、以行贿手段谋取中标或者以其他弄虚作假方式投标的；</w:t>
      </w:r>
    </w:p>
    <w:p w14:paraId="126B7378">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5.属于串（围）标行为的；</w:t>
      </w:r>
    </w:p>
    <w:p w14:paraId="71265689">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6.评标委员会认定供应商以低于成本报价竞标的；</w:t>
      </w:r>
    </w:p>
    <w:p w14:paraId="2DEBD65A">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7.明显不符合技术规格、技术标准的要求；</w:t>
      </w:r>
    </w:p>
    <w:p w14:paraId="18D7CCAC">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8.文件制作机器码、文件创建标识码有相同的；</w:t>
      </w:r>
    </w:p>
    <w:p w14:paraId="0B923904">
      <w:pPr>
        <w:pageBreakBefore w:val="0"/>
        <w:tabs>
          <w:tab w:val="left" w:pos="709"/>
        </w:tabs>
        <w:kinsoku/>
        <w:wordWrap w:val="0"/>
        <w:overflowPunct/>
        <w:autoSpaceDE w:val="0"/>
        <w:autoSpaceDN w:val="0"/>
        <w:bidi w:val="0"/>
        <w:adjustRightInd w:val="0"/>
        <w:snapToGrid w:val="0"/>
        <w:spacing w:line="360" w:lineRule="auto"/>
        <w:ind w:firstLine="959" w:firstLineChars="3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9.不符合竞争性磋商文件规定的其他实质性要求及相关法律、法规或规章规定可以废标的其他情形；</w:t>
      </w:r>
    </w:p>
    <w:p w14:paraId="4E4E6B60">
      <w:pPr>
        <w:pageBreakBefore w:val="0"/>
        <w:tabs>
          <w:tab w:val="left" w:pos="709"/>
        </w:tabs>
        <w:kinsoku/>
        <w:wordWrap w:val="0"/>
        <w:overflowPunct/>
        <w:autoSpaceDE w:val="0"/>
        <w:autoSpaceDN w:val="0"/>
        <w:bidi w:val="0"/>
        <w:adjustRightInd w:val="0"/>
        <w:snapToGrid w:val="0"/>
        <w:spacing w:after="120" w:afterLine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End w:id="749"/>
      <w:bookmarkStart w:id="891" w:name="_Toc26853"/>
      <w:bookmarkStart w:id="892" w:name="_Toc2311"/>
    </w:p>
    <w:p w14:paraId="0DF1C816">
      <w:pPr>
        <w:pageBreakBefore w:val="0"/>
        <w:kinsoku/>
        <w:wordWrap w:val="0"/>
        <w:overflowPunct/>
        <w:autoSpaceDE w:val="0"/>
        <w:autoSpaceDN w:val="0"/>
        <w:bidi w:val="0"/>
        <w:adjustRightInd w:val="0"/>
        <w:snapToGrid w:val="0"/>
        <w:spacing w:after="120" w:afterLines="50"/>
        <w:jc w:val="center"/>
        <w:outlineLvl w:val="0"/>
        <w:rPr>
          <w:rFonts w:hint="eastAsia" w:ascii="宋体" w:hAnsi="宋体" w:eastAsia="宋体" w:cs="宋体"/>
          <w:b/>
          <w:bCs/>
          <w:color w:val="auto"/>
          <w:kern w:val="44"/>
          <w:sz w:val="44"/>
          <w:szCs w:val="44"/>
          <w:highlight w:val="none"/>
        </w:rPr>
      </w:pPr>
      <w:bookmarkStart w:id="893" w:name="_Toc25645"/>
      <w:r>
        <w:rPr>
          <w:rFonts w:hint="eastAsia" w:ascii="宋体" w:hAnsi="宋体" w:eastAsia="宋体" w:cs="宋体"/>
          <w:b/>
          <w:bCs/>
          <w:color w:val="auto"/>
          <w:kern w:val="44"/>
          <w:sz w:val="44"/>
          <w:szCs w:val="44"/>
          <w:highlight w:val="none"/>
          <w:lang w:eastAsia="zh-CN"/>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河南省政府采购合同（参考文本）</w:t>
      </w:r>
      <w:bookmarkEnd w:id="891"/>
      <w:bookmarkEnd w:id="892"/>
      <w:bookmarkEnd w:id="893"/>
      <w:bookmarkStart w:id="894" w:name="_Toc486587369"/>
    </w:p>
    <w:p w14:paraId="755393FC">
      <w:pPr>
        <w:bidi w:val="0"/>
        <w:rPr>
          <w:rFonts w:hint="eastAsia"/>
        </w:rPr>
      </w:pPr>
    </w:p>
    <w:p w14:paraId="778B75CC">
      <w:pPr>
        <w:bidi w:val="0"/>
        <w:rPr>
          <w:rFonts w:hint="eastAsia"/>
        </w:rPr>
      </w:pPr>
    </w:p>
    <w:p w14:paraId="79DE70DA">
      <w:pPr>
        <w:bidi w:val="0"/>
        <w:rPr>
          <w:rFonts w:hint="eastAsia"/>
        </w:rPr>
      </w:pPr>
    </w:p>
    <w:p w14:paraId="6D8F4C4D">
      <w:pPr>
        <w:bidi w:val="0"/>
        <w:rPr>
          <w:rFonts w:hint="eastAsia"/>
        </w:rPr>
      </w:pPr>
    </w:p>
    <w:p w14:paraId="2D1CE410">
      <w:pPr>
        <w:bidi w:val="0"/>
        <w:rPr>
          <w:rFonts w:hint="eastAsia"/>
        </w:rPr>
      </w:pPr>
    </w:p>
    <w:p w14:paraId="29DED7C2">
      <w:pPr>
        <w:bidi w:val="0"/>
        <w:rPr>
          <w:rFonts w:hint="eastAsia"/>
        </w:rPr>
      </w:pPr>
    </w:p>
    <w:p w14:paraId="038874C4">
      <w:pPr>
        <w:bidi w:val="0"/>
        <w:rPr>
          <w:rFonts w:hint="eastAsia"/>
        </w:rPr>
      </w:pPr>
    </w:p>
    <w:p w14:paraId="466F8A93">
      <w:pPr>
        <w:pageBreakBefore w:val="0"/>
        <w:kinsoku/>
        <w:wordWrap w:val="0"/>
        <w:overflowPunct/>
        <w:bidi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政府采购合同</w:t>
      </w:r>
    </w:p>
    <w:p w14:paraId="3D6C242E">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39309499">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33DAAC9C">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39EAF1DA">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10266E9B">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0584BEFB">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7F1D98CA">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4C84E17C">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3D5C4589">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26A9A2BD">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p>
    <w:p w14:paraId="0EA237CA">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u w:val="single"/>
        </w:rPr>
        <w:t xml:space="preserve">                   </w:t>
      </w:r>
    </w:p>
    <w:p w14:paraId="1FC1C801">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招标采购文件编号：</w:t>
      </w:r>
      <w:r>
        <w:rPr>
          <w:rFonts w:hint="eastAsia" w:ascii="宋体" w:hAnsi="宋体" w:eastAsia="宋体" w:cs="宋体"/>
          <w:b/>
          <w:bCs/>
          <w:color w:val="auto"/>
          <w:kern w:val="0"/>
          <w:sz w:val="30"/>
          <w:szCs w:val="30"/>
          <w:highlight w:val="none"/>
          <w:u w:val="single"/>
        </w:rPr>
        <w:t xml:space="preserve">                </w:t>
      </w:r>
    </w:p>
    <w:p w14:paraId="0A82409D">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甲方合同编号：</w:t>
      </w:r>
      <w:r>
        <w:rPr>
          <w:rFonts w:hint="eastAsia" w:ascii="宋体" w:hAnsi="宋体" w:eastAsia="宋体" w:cs="宋体"/>
          <w:b/>
          <w:bCs/>
          <w:color w:val="auto"/>
          <w:kern w:val="0"/>
          <w:sz w:val="30"/>
          <w:szCs w:val="30"/>
          <w:highlight w:val="none"/>
          <w:u w:val="single"/>
        </w:rPr>
        <w:t xml:space="preserve">                </w:t>
      </w:r>
    </w:p>
    <w:p w14:paraId="66293396">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甲方：</w:t>
      </w:r>
      <w:r>
        <w:rPr>
          <w:rFonts w:hint="eastAsia" w:ascii="宋体" w:hAnsi="宋体" w:eastAsia="宋体" w:cs="宋体"/>
          <w:b/>
          <w:bCs/>
          <w:color w:val="auto"/>
          <w:kern w:val="0"/>
          <w:sz w:val="30"/>
          <w:szCs w:val="30"/>
          <w:highlight w:val="none"/>
          <w:u w:val="single"/>
        </w:rPr>
        <w:t xml:space="preserve">                </w:t>
      </w:r>
    </w:p>
    <w:p w14:paraId="76FB0EC4">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乙方：</w:t>
      </w:r>
      <w:r>
        <w:rPr>
          <w:rFonts w:hint="eastAsia" w:ascii="宋体" w:hAnsi="宋体" w:eastAsia="宋体" w:cs="宋体"/>
          <w:b/>
          <w:bCs/>
          <w:color w:val="auto"/>
          <w:kern w:val="0"/>
          <w:sz w:val="30"/>
          <w:szCs w:val="30"/>
          <w:highlight w:val="none"/>
          <w:u w:val="single"/>
        </w:rPr>
        <w:t xml:space="preserve">                </w:t>
      </w:r>
    </w:p>
    <w:p w14:paraId="59C7B49F">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甲方合同法律审核部门：</w:t>
      </w:r>
      <w:r>
        <w:rPr>
          <w:rFonts w:hint="eastAsia" w:ascii="宋体" w:hAnsi="宋体" w:eastAsia="宋体" w:cs="宋体"/>
          <w:b/>
          <w:bCs/>
          <w:color w:val="auto"/>
          <w:kern w:val="0"/>
          <w:sz w:val="30"/>
          <w:szCs w:val="30"/>
          <w:highlight w:val="none"/>
          <w:u w:val="single"/>
        </w:rPr>
        <w:t xml:space="preserve">                </w:t>
      </w:r>
    </w:p>
    <w:p w14:paraId="1A767648">
      <w:pPr>
        <w:pageBreakBefore w:val="0"/>
        <w:widowControl/>
        <w:kinsoku/>
        <w:wordWrap w:val="0"/>
        <w:overflowPunct/>
        <w:bidi w:val="0"/>
        <w:spacing w:line="360" w:lineRule="auto"/>
        <w:ind w:firstLine="1205" w:firstLineChars="400"/>
        <w:jc w:val="left"/>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签订时间：    年   月    日</w:t>
      </w:r>
    </w:p>
    <w:p w14:paraId="701B5B43">
      <w:pPr>
        <w:pStyle w:val="52"/>
        <w:pageBreakBefore w:val="0"/>
        <w:kinsoku/>
        <w:wordWrap w:val="0"/>
        <w:overflowPunct/>
        <w:bidi w:val="0"/>
        <w:spacing w:after="0" w:line="360" w:lineRule="auto"/>
        <w:ind w:left="0" w:leftChars="0" w:firstLine="48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1"/>
          <w:szCs w:val="21"/>
          <w:highlight w:val="none"/>
        </w:rPr>
        <w:t>（甲方）（××项目）委托（代理机构名称）进行了政府采购。按照评委会评审推荐、甲方确定乙方为中标单位。现甲乙双方协商同意签订本合同。</w:t>
      </w:r>
    </w:p>
    <w:p w14:paraId="4661A331">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合同文件</w:t>
      </w:r>
    </w:p>
    <w:p w14:paraId="46210971">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下列与本次采购活动有关的文件及附件是本合同不可分割的组成部分，与本合同具有同等法律效力，这些文件包括但不限于：</w:t>
      </w:r>
    </w:p>
    <w:p w14:paraId="21F008C0">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1.（××号）招标采购文件</w:t>
      </w:r>
    </w:p>
    <w:p w14:paraId="3425E5A8">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w:t>
      </w:r>
    </w:p>
    <w:p w14:paraId="5686A399">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3.乙方在投标时的书面承诺</w:t>
      </w:r>
    </w:p>
    <w:p w14:paraId="40F35B4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4.（××号）中标通知书</w:t>
      </w:r>
    </w:p>
    <w:p w14:paraId="522CE8B8">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5.合同补充条款或说明</w:t>
      </w:r>
    </w:p>
    <w:p w14:paraId="4DC963FD">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6.保密协议或条款</w:t>
      </w:r>
    </w:p>
    <w:p w14:paraId="611D845F">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7.相关附件、图纸及电子版资料</w:t>
      </w:r>
    </w:p>
    <w:p w14:paraId="16C0B6FD">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合同内容</w:t>
      </w:r>
    </w:p>
    <w:p w14:paraId="33E8C82D">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服务名称：详见合同附件中《服务一览表》</w:t>
      </w:r>
    </w:p>
    <w:p w14:paraId="3785AE3D">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合同总金额</w:t>
      </w:r>
    </w:p>
    <w:p w14:paraId="4B8874BD">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本合同服务总金额：￥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173EF8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4BE8E4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分项价款在《服务一览表》中有明确规定。</w:t>
      </w:r>
    </w:p>
    <w:p w14:paraId="6614DDE8">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本合同总价款包括服务期间必须的日常物料、易耗品、工具、调试费、培训费等相关费用。</w:t>
      </w:r>
    </w:p>
    <w:p w14:paraId="2E02200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本合同执行期内因工作量变化而引起的服务费用的变动，在双方事先协商一致的前提下签订补充合同，但因此而增加的服务费用不得超过原中标金额的10%。</w:t>
      </w:r>
    </w:p>
    <w:p w14:paraId="7FF21BFA">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权利义务和质量保证</w:t>
      </w:r>
    </w:p>
    <w:p w14:paraId="64A817CF">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1.甲方保证服务期间，对乙方工作给予支持，提供水、电、场地</w:t>
      </w:r>
      <w:r>
        <w:rPr>
          <w:rFonts w:hint="eastAsia" w:ascii="宋体" w:hAnsi="宋体" w:cs="宋体"/>
          <w:color w:val="auto"/>
          <w:sz w:val="21"/>
          <w:szCs w:val="21"/>
          <w:highlight w:val="none"/>
          <w:lang w:eastAsia="zh-CN"/>
        </w:rPr>
        <w:t>等必需的</w:t>
      </w:r>
      <w:r>
        <w:rPr>
          <w:rFonts w:hint="eastAsia" w:ascii="宋体" w:hAnsi="宋体" w:eastAsia="宋体" w:cs="宋体"/>
          <w:color w:val="auto"/>
          <w:sz w:val="21"/>
          <w:szCs w:val="21"/>
          <w:highlight w:val="none"/>
        </w:rPr>
        <w:t>基础工作条件。如乙方有需要，还应提供履行合同所必需的有关图纸、数据、资料等。没有甲方事先同意，乙方不得将甲方资料提供</w:t>
      </w:r>
      <w:r>
        <w:rPr>
          <w:rFonts w:hint="eastAsia" w:ascii="宋体" w:hAnsi="宋体" w:cs="宋体"/>
          <w:color w:val="auto"/>
          <w:sz w:val="21"/>
          <w:szCs w:val="21"/>
          <w:highlight w:val="none"/>
          <w:lang w:eastAsia="zh-CN"/>
        </w:rPr>
        <w:t>给予</w:t>
      </w:r>
      <w:r>
        <w:rPr>
          <w:rFonts w:hint="eastAsia" w:ascii="宋体" w:hAnsi="宋体" w:eastAsia="宋体" w:cs="宋体"/>
          <w:color w:val="auto"/>
          <w:sz w:val="21"/>
          <w:szCs w:val="21"/>
          <w:highlight w:val="none"/>
        </w:rPr>
        <w:t>履行本合同无关的任何其他人。即使向履行本合同有关的人员提供，也应注意保密并限于履行合同的必需范围内。</w:t>
      </w:r>
    </w:p>
    <w:p w14:paraId="73764CA1">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2.乙方保证所提供的服务或其任何一部分均不会侵犯任何第三方的专利权、商标权或著作权。</w:t>
      </w:r>
      <w:bookmarkStart w:id="895" w:name="page37"/>
      <w:bookmarkEnd w:id="895"/>
      <w:r>
        <w:rPr>
          <w:rFonts w:hint="eastAsia" w:ascii="宋体" w:hAnsi="宋体" w:eastAsia="宋体" w:cs="宋体"/>
          <w:color w:val="auto"/>
          <w:sz w:val="21"/>
          <w:szCs w:val="21"/>
          <w:highlight w:val="none"/>
        </w:rPr>
        <w:t>一旦出现侵权，索赔或诉讼，乙方应承担全部责任。乙方保证服务不存在危及人身及财产安全的隐患，不存在违反国家法规、法令、法律以及行业规范所要求的有关安全条款，否则应承担全部法律责任。</w:t>
      </w:r>
    </w:p>
    <w:p w14:paraId="10E464B6">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付款方式</w:t>
      </w:r>
    </w:p>
    <w:p w14:paraId="6CEED801">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1.本合同项下所有款项均以人民币支付。</w:t>
      </w:r>
    </w:p>
    <w:p w14:paraId="1D27DA2F">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2.乙方向甲方提交下列文件材料，经甲方审核无误后支付采购资金：</w:t>
      </w:r>
    </w:p>
    <w:p w14:paraId="665D42C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（1）经甲方确认的发票；</w:t>
      </w:r>
    </w:p>
    <w:p w14:paraId="1259567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（2）经甲乙双方确认签署的《验收报告》（或按项目进度阶段性《验收报告》）；</w:t>
      </w:r>
    </w:p>
    <w:p w14:paraId="2618EB03">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（3）其他材料。</w:t>
      </w:r>
    </w:p>
    <w:p w14:paraId="6BE3628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3.款项的支付进度以招标采购文件的有关规定为准。如招标采购文件未作特别规定，则付款进度应符合如下约定：</w:t>
      </w:r>
    </w:p>
    <w:p w14:paraId="61B1FE8E">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（1）服务完成提出验收申请支付至合同总价的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CDC844">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（2）组织验收并验收合格支付至合同总价的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39F2B3E">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%作为质量保证金，质保到期后一次性返还。</w:t>
      </w:r>
    </w:p>
    <w:p w14:paraId="454938CB">
      <w:pPr>
        <w:pageBreakBefore w:val="0"/>
        <w:widowControl/>
        <w:kinsoku/>
        <w:wordWrap w:val="0"/>
        <w:overflowPunct/>
        <w:bidi w:val="0"/>
        <w:spacing w:line="360" w:lineRule="auto"/>
        <w:ind w:firstLine="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    不得收取履约保证金</w:t>
      </w:r>
    </w:p>
    <w:p w14:paraId="5AE8A68C">
      <w:pPr>
        <w:pageBreakBefore w:val="0"/>
        <w:widowControl/>
        <w:kinsoku/>
        <w:wordWrap w:val="0"/>
        <w:overflowPunct/>
        <w:bidi w:val="0"/>
        <w:spacing w:line="360" w:lineRule="auto"/>
        <w:ind w:firstLine="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验收</w:t>
      </w:r>
    </w:p>
    <w:p w14:paraId="6386E44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9665FF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56E1F8">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03EB36">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02AD8B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2.乙方应对提供的服务成果作出全面自查和整理，并列出清单，作为甲方验收和使用的服务条件依据，清单应随提供的服务成果交给甲方。</w:t>
      </w:r>
    </w:p>
    <w:p w14:paraId="5B5D1EC5">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w:t>
      </w:r>
      <w:bookmarkStart w:id="896" w:name="page38"/>
      <w:bookmarkEnd w:id="896"/>
      <w:r>
        <w:rPr>
          <w:rFonts w:hint="eastAsia" w:ascii="宋体" w:hAnsi="宋体" w:eastAsia="宋体" w:cs="宋体"/>
          <w:color w:val="auto"/>
          <w:sz w:val="21"/>
          <w:szCs w:val="21"/>
          <w:highlight w:val="none"/>
        </w:rPr>
        <w:t>告》。在经过两次限期整改后，服务仍达不到合同文件规定内容的，甲方有权拒收，并可以解除合同；由此引起甲方损失及赔偿责任由乙方承担。</w:t>
      </w:r>
    </w:p>
    <w:p w14:paraId="43FB5607">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4.甲方可以视项目规模或复杂情况聘请专业人员参与验收，大型或复杂项目，以及涉及专业服务内容的应当邀请国家认可的第三方质量检测机构参与验收。</w:t>
      </w:r>
    </w:p>
    <w:p w14:paraId="6C423C62">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5.如根据项目实施情况需要分阶段验收，则双方分阶段签署《验收报告》。</w:t>
      </w:r>
    </w:p>
    <w:p w14:paraId="4982657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6.如果合同双方对《验收报告》有分歧，双方须于出现分歧后    天内给对方书面声明，以陈述己方的理由及要求，并附有关证据。分歧应通过协商解决。</w:t>
      </w:r>
    </w:p>
    <w:p w14:paraId="40615E1C">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第八条    项目管理服务</w:t>
      </w:r>
    </w:p>
    <w:p w14:paraId="3A28A012">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乙方要指定不少于一人全权全程负责本项目服务的落实，包括服务的咨询、执行和后续工作。</w:t>
      </w:r>
    </w:p>
    <w:p w14:paraId="1A48527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B8EA80">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第九条    售后服务</w:t>
      </w:r>
    </w:p>
    <w:p w14:paraId="47D41BFF">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1.乙方提供服务的质量保证期为自服务通过最终验收之日起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个月。若国家有明确规定的质量保证期高于此质量保证期的，执行国家规定。</w:t>
      </w:r>
    </w:p>
    <w:p w14:paraId="28503B94">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2.服务期内，乙方应提供相关服务支持。对甲方所反映的任何服务问题在××日（小时）之内做出及时响应，在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日（小时）之内赶到现场实地解决问题。若问题在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工作日（小时）后仍无法解决，乙方应在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日（小时）内免费提供服务的补偿、替换方案，直至服务恢复正常。</w:t>
      </w:r>
    </w:p>
    <w:p w14:paraId="3BA8FD86">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3.乙方必须遵守甲方的有关管理制度、操作规程。对于乙方违规操作造成甲方损失的，由乙方按照本合同第十二条的约定承担赔偿责任。</w:t>
      </w:r>
    </w:p>
    <w:p w14:paraId="1A528AD3">
      <w:pPr>
        <w:pageBreakBefore w:val="0"/>
        <w:widowControl/>
        <w:tabs>
          <w:tab w:val="left" w:pos="1760"/>
        </w:tabs>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第十条    分包</w:t>
      </w:r>
    </w:p>
    <w:p w14:paraId="507CB027">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除招标采购文件事先说明、且经甲方事先书面同意外，乙方不得分包、转包其应履行的合同义务。</w:t>
      </w:r>
    </w:p>
    <w:p w14:paraId="227BC45B">
      <w:pPr>
        <w:pageBreakBefore w:val="0"/>
        <w:widowControl/>
        <w:tabs>
          <w:tab w:val="left" w:pos="1760"/>
        </w:tabs>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第十一条    合同的生效</w:t>
      </w:r>
    </w:p>
    <w:p w14:paraId="3BD89AA5">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1.本合同经甲乙双方授权代表签字并加盖公章或合同专用章后生效。</w:t>
      </w:r>
    </w:p>
    <w:p w14:paraId="37E6DC3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2.生效后，除《政府采购法》第 49 条、第 50 条第二款规定的情形外，甲乙双方不得擅自变更、中止或终止合同。</w:t>
      </w:r>
    </w:p>
    <w:p w14:paraId="7E5C6749">
      <w:pPr>
        <w:pageBreakBefore w:val="0"/>
        <w:widowControl/>
        <w:kinsoku/>
        <w:wordWrap w:val="0"/>
        <w:overflowPunct/>
        <w:bidi w:val="0"/>
        <w:spacing w:line="360" w:lineRule="auto"/>
        <w:ind w:firstLine="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第十二条    违约责任</w:t>
      </w:r>
      <w:bookmarkStart w:id="897" w:name="page39"/>
      <w:bookmarkEnd w:id="897"/>
    </w:p>
    <w:p w14:paraId="399370B3">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1.乙方所交付服务成果不符合本合同规定的，甲方有权拒收，乙方在得到甲方通知之日起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14:paraId="69E270E6">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2.甲方无正当理由拒收服务，甲方应向乙方偿付拒付服务费用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w:t>
      </w:r>
    </w:p>
    <w:p w14:paraId="1AB01851">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3.乙方无正当理由逾期交付服务的，每逾期 1 天，乙方向甲方偿付合同总额的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‰的违约金。如乙方逾期达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天，甲方有权解除合同，甲方解除合同的通知自到达乙方时生效。在此情况下，乙方给甲方造成的实际损失高于违约金的，对高出违约金的部分乙方应予以赔偿。</w:t>
      </w:r>
    </w:p>
    <w:p w14:paraId="4178C1B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4.甲方未按合同规定的期限向乙方支付合同款的，每逾期 1 天甲方向乙方偿付欠款总额的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‰违约金，但累计违约金总额不超过欠款总额的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B4EF19">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5.其它未尽事宜，以《合同法》和《政府采购法》等有关法律法规规定为准，无相关规定的，双方协商解决。</w:t>
      </w:r>
    </w:p>
    <w:p w14:paraId="64EDA2BB">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第十三条    不可抗力</w:t>
      </w:r>
    </w:p>
    <w:p w14:paraId="6673D7BC">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甲、乙方中任何一方，因不可抗力不能按时或完全履行合同的，应及时通知对方，并在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个工作日内提供相应证明，结算服务费用。未履行的部分是否继续履行、如何履行等问题，可由双方初步协商，并向主管部门和政府采购管理部门报告。确定为不可抗力原因造成的损失，免予承担责任。</w:t>
      </w:r>
    </w:p>
    <w:p w14:paraId="24DE3E99">
      <w:pPr>
        <w:pageBreakBefore w:val="0"/>
        <w:widowControl/>
        <w:kinsoku/>
        <w:wordWrap w:val="0"/>
        <w:overflowPunct/>
        <w:bidi w:val="0"/>
        <w:spacing w:line="360" w:lineRule="auto"/>
        <w:ind w:firstLine="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第十四条    争议的解决方式</w:t>
      </w:r>
    </w:p>
    <w:p w14:paraId="45B8B5D7">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1.因服务质量问题发生争议的，应当邀请国家认可的质量检测机构对服务进行鉴定。服务符合标准的，鉴定费由甲方承担；不符合质量标准的，鉴定费由乙方承担。</w:t>
      </w:r>
    </w:p>
    <w:p w14:paraId="246CCEF2">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2.在解释或者执行本合同的过程中发生争议时，双方应通过协商方式解决。</w:t>
      </w:r>
    </w:p>
    <w:p w14:paraId="180869D0">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3.经协商不能解决的争议，双方可选择以下第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0900F6C5">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①向信阳市有管辖权的法院提起诉讼；</w:t>
      </w:r>
    </w:p>
    <w:p w14:paraId="267A7D4E">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②向信阳仲裁委员会提出仲裁。</w:t>
      </w:r>
    </w:p>
    <w:p w14:paraId="5CD263E0">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4.在法院审理和仲裁期间，除有争议部分外，本合同其他部分可以履行的仍应按合同条款继续履行。</w:t>
      </w:r>
    </w:p>
    <w:p w14:paraId="6E5F6168">
      <w:pPr>
        <w:pageBreakBefore w:val="0"/>
        <w:widowControl/>
        <w:tabs>
          <w:tab w:val="left" w:pos="1760"/>
        </w:tabs>
        <w:kinsoku/>
        <w:wordWrap w:val="0"/>
        <w:overflowPunct/>
        <w:bidi w:val="0"/>
        <w:spacing w:line="360" w:lineRule="auto"/>
        <w:ind w:firstLine="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第十五条    其他</w:t>
      </w:r>
    </w:p>
    <w:p w14:paraId="3EE79898">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bookmarkStart w:id="898" w:name="page40"/>
      <w:bookmarkEnd w:id="898"/>
      <w:r>
        <w:rPr>
          <w:rFonts w:hint="eastAsia" w:ascii="宋体" w:hAnsi="宋体" w:eastAsia="宋体" w:cs="宋体"/>
          <w:color w:val="auto"/>
          <w:sz w:val="21"/>
          <w:szCs w:val="21"/>
          <w:highlight w:val="none"/>
        </w:rPr>
        <w:t>符合《政府采购法》第 49 条规定的，经双方协商，办理政府采购手续后，可签订补充合同，所签订的补充合同与本合同具有同等法律效力。</w:t>
      </w:r>
    </w:p>
    <w:p w14:paraId="798363A3">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27B8B9E">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bookmarkStart w:id="899" w:name="page41"/>
      <w:bookmarkEnd w:id="899"/>
      <w:r>
        <w:rPr>
          <w:rFonts w:hint="eastAsia" w:ascii="宋体" w:hAnsi="宋体" w:eastAsia="宋体" w:cs="宋体"/>
          <w:color w:val="auto"/>
          <w:sz w:val="21"/>
          <w:szCs w:val="21"/>
          <w:highlight w:val="none"/>
        </w:rPr>
        <w:t>甲     方：                       乙     方：</w:t>
      </w:r>
    </w:p>
    <w:p w14:paraId="7CB54E9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名称：（盖章）                    名称：（盖章）</w:t>
      </w:r>
    </w:p>
    <w:p w14:paraId="51E73AA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687EDF59">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              法定代表人（签字）：</w:t>
      </w:r>
    </w:p>
    <w:p w14:paraId="08C163C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                授权代表（签字）：</w:t>
      </w:r>
    </w:p>
    <w:p w14:paraId="4B591CC0">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12334112">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w:t>
      </w:r>
      <w:r>
        <w:rPr>
          <w:rFonts w:hint="eastAsia" w:ascii="宋体" w:hAnsi="宋体" w:cs="宋体"/>
          <w:color w:val="auto"/>
          <w:sz w:val="21"/>
          <w:szCs w:val="21"/>
          <w:highlight w:val="none"/>
          <w:lang w:eastAsia="zh-CN"/>
        </w:rPr>
        <w:t>账号</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银行账号</w:t>
      </w:r>
      <w:r>
        <w:rPr>
          <w:rFonts w:hint="eastAsia" w:ascii="宋体" w:hAnsi="宋体" w:eastAsia="宋体" w:cs="宋体"/>
          <w:color w:val="auto"/>
          <w:sz w:val="21"/>
          <w:szCs w:val="21"/>
          <w:highlight w:val="none"/>
        </w:rPr>
        <w:t>：</w:t>
      </w:r>
    </w:p>
    <w:p w14:paraId="6E02EB5A">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合同法律审核（盖章）：</w:t>
      </w:r>
    </w:p>
    <w:p w14:paraId="7C855E7B">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     年     月     日</w:t>
      </w:r>
    </w:p>
    <w:p w14:paraId="01C6D3B2">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p>
    <w:p w14:paraId="334E0238">
      <w:pPr>
        <w:pStyle w:val="52"/>
        <w:pageBreakBefore w:val="0"/>
        <w:kinsoku/>
        <w:wordWrap w:val="0"/>
        <w:overflowPunct/>
        <w:bidi w:val="0"/>
        <w:spacing w:after="0"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14:paraId="4E2B9653">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1.本范本根据《政府采购法》、《合同法》等法律法规制定。具体项目的采购合同条款，在本范本框架内由甲乙双方协商一致签订。空格处</w:t>
      </w:r>
      <w:r>
        <w:rPr>
          <w:rFonts w:hint="eastAsia" w:ascii="宋体" w:hAnsi="宋体" w:cs="宋体"/>
          <w:color w:val="auto"/>
          <w:sz w:val="21"/>
          <w:szCs w:val="21"/>
          <w:highlight w:val="none"/>
          <w:lang w:eastAsia="zh-CN"/>
        </w:rPr>
        <w:t>画横线</w:t>
      </w:r>
      <w:r>
        <w:rPr>
          <w:rFonts w:hint="eastAsia" w:ascii="宋体" w:hAnsi="宋体" w:eastAsia="宋体" w:cs="宋体"/>
          <w:color w:val="auto"/>
          <w:sz w:val="21"/>
          <w:szCs w:val="21"/>
          <w:highlight w:val="none"/>
        </w:rPr>
        <w:t>。</w:t>
      </w:r>
    </w:p>
    <w:p w14:paraId="6FB77CF4">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2.收款单位名称应与本合同乙方单位名称、项目中标单位名称、开具发票单位名称相一致。</w:t>
      </w:r>
    </w:p>
    <w:p w14:paraId="698AAF47">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3.甲方（采购单位）应盖本单位公章（不允许盖内设科室章），乙方应盖单位公章或合同专用章，合同双方应盖骑缝章。</w:t>
      </w:r>
    </w:p>
    <w:p w14:paraId="7B85A679">
      <w:pPr>
        <w:pStyle w:val="52"/>
        <w:pageBreakBefore w:val="0"/>
        <w:kinsoku/>
        <w:wordWrap w:val="0"/>
        <w:overflowPunct/>
        <w:bidi w:val="0"/>
        <w:spacing w:after="0"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4.除涉密项目外，根据《政府采购法实施条例》第 50 条规定：采购人应当自政府采购合同签订之日起 2 个工作日内，将政府采购合同在省级以上人民政府财政部门指定的媒体上公告。</w:t>
      </w:r>
    </w:p>
    <w:p w14:paraId="60B5AB6F">
      <w:pPr>
        <w:pageBreakBefore w:val="0"/>
        <w:widowControl/>
        <w:kinsoku/>
        <w:wordWrap w:val="0"/>
        <w:overflowPunct/>
        <w:bidi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iCs/>
          <w:caps/>
          <w:color w:val="auto"/>
          <w:kern w:val="0"/>
          <w:sz w:val="24"/>
          <w:szCs w:val="36"/>
          <w:highlight w:val="none"/>
        </w:rPr>
        <w:br w:type="page"/>
      </w:r>
      <w:r>
        <w:rPr>
          <w:rFonts w:hint="eastAsia" w:ascii="宋体" w:hAnsi="宋体" w:eastAsia="宋体" w:cs="宋体"/>
          <w:color w:val="auto"/>
          <w:kern w:val="0"/>
          <w:sz w:val="24"/>
          <w:highlight w:val="none"/>
        </w:rPr>
        <w:t>附件</w:t>
      </w:r>
    </w:p>
    <w:p w14:paraId="5B7283AD">
      <w:pPr>
        <w:pageBreakBefore w:val="0"/>
        <w:widowControl/>
        <w:kinsoku/>
        <w:wordWrap w:val="0"/>
        <w:overflowPunct/>
        <w:bidi w:val="0"/>
        <w:spacing w:line="42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服务明细项目一览表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75"/>
        <w:gridCol w:w="1243"/>
        <w:gridCol w:w="1363"/>
        <w:gridCol w:w="947"/>
        <w:gridCol w:w="1155"/>
        <w:gridCol w:w="1156"/>
        <w:gridCol w:w="1156"/>
      </w:tblGrid>
      <w:tr w14:paraId="3DF6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310B93BB">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275" w:type="dxa"/>
            <w:noWrap w:val="0"/>
            <w:vAlign w:val="center"/>
          </w:tcPr>
          <w:p w14:paraId="1A9E879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服务名称</w:t>
            </w:r>
          </w:p>
        </w:tc>
        <w:tc>
          <w:tcPr>
            <w:tcW w:w="1243" w:type="dxa"/>
            <w:noWrap w:val="0"/>
            <w:vAlign w:val="center"/>
          </w:tcPr>
          <w:p w14:paraId="4CB3A2A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服务内容</w:t>
            </w:r>
          </w:p>
        </w:tc>
        <w:tc>
          <w:tcPr>
            <w:tcW w:w="1363" w:type="dxa"/>
            <w:noWrap w:val="0"/>
            <w:vAlign w:val="center"/>
          </w:tcPr>
          <w:p w14:paraId="03020BD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计量单位</w:t>
            </w:r>
          </w:p>
        </w:tc>
        <w:tc>
          <w:tcPr>
            <w:tcW w:w="947" w:type="dxa"/>
            <w:noWrap w:val="0"/>
            <w:vAlign w:val="center"/>
          </w:tcPr>
          <w:p w14:paraId="64E826C1">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工作量</w:t>
            </w:r>
          </w:p>
        </w:tc>
        <w:tc>
          <w:tcPr>
            <w:tcW w:w="1155" w:type="dxa"/>
            <w:noWrap w:val="0"/>
            <w:vAlign w:val="center"/>
          </w:tcPr>
          <w:p w14:paraId="181D548D">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单价（元）</w:t>
            </w:r>
          </w:p>
        </w:tc>
        <w:tc>
          <w:tcPr>
            <w:tcW w:w="1156" w:type="dxa"/>
            <w:noWrap w:val="0"/>
            <w:vAlign w:val="center"/>
          </w:tcPr>
          <w:p w14:paraId="13035045">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总价（元）</w:t>
            </w:r>
          </w:p>
        </w:tc>
        <w:tc>
          <w:tcPr>
            <w:tcW w:w="1156" w:type="dxa"/>
            <w:noWrap w:val="0"/>
            <w:vAlign w:val="center"/>
          </w:tcPr>
          <w:p w14:paraId="2301C0FF">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51CD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59B0BBF">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1275" w:type="dxa"/>
            <w:noWrap w:val="0"/>
            <w:vAlign w:val="center"/>
          </w:tcPr>
          <w:p w14:paraId="20E0FFEC">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1243" w:type="dxa"/>
            <w:noWrap w:val="0"/>
            <w:vAlign w:val="center"/>
          </w:tcPr>
          <w:p w14:paraId="7462A89A">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1"/>
                <w:highlight w:val="none"/>
              </w:rPr>
              <w:t>（视明细项目加行）</w:t>
            </w:r>
          </w:p>
        </w:tc>
        <w:tc>
          <w:tcPr>
            <w:tcW w:w="1363" w:type="dxa"/>
            <w:noWrap w:val="0"/>
            <w:vAlign w:val="center"/>
          </w:tcPr>
          <w:p w14:paraId="617A2560">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947" w:type="dxa"/>
            <w:noWrap w:val="0"/>
            <w:vAlign w:val="center"/>
          </w:tcPr>
          <w:p w14:paraId="2FE04411">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1155" w:type="dxa"/>
            <w:noWrap w:val="0"/>
            <w:vAlign w:val="center"/>
          </w:tcPr>
          <w:p w14:paraId="487E4196">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1156" w:type="dxa"/>
            <w:noWrap w:val="0"/>
            <w:vAlign w:val="center"/>
          </w:tcPr>
          <w:p w14:paraId="5AEB7CA7">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c>
          <w:tcPr>
            <w:tcW w:w="1156" w:type="dxa"/>
            <w:noWrap w:val="0"/>
            <w:vAlign w:val="center"/>
          </w:tcPr>
          <w:p w14:paraId="271363DB">
            <w:pPr>
              <w:keepNext w:val="0"/>
              <w:keepLines w:val="0"/>
              <w:pageBreakBefore w:val="0"/>
              <w:widowControl/>
              <w:suppressLineNumbers w:val="0"/>
              <w:kinsoku/>
              <w:wordWrap w:val="0"/>
              <w:overflowPunct/>
              <w:bidi w:val="0"/>
              <w:spacing w:before="0" w:beforeAutospacing="0" w:after="0" w:afterAutospacing="0" w:line="420" w:lineRule="exact"/>
              <w:ind w:left="0" w:right="0"/>
              <w:jc w:val="center"/>
              <w:rPr>
                <w:rFonts w:hint="eastAsia" w:ascii="宋体" w:hAnsi="宋体" w:eastAsia="宋体" w:cs="宋体"/>
                <w:color w:val="auto"/>
                <w:kern w:val="0"/>
                <w:sz w:val="24"/>
                <w:highlight w:val="none"/>
              </w:rPr>
            </w:pPr>
          </w:p>
        </w:tc>
      </w:tr>
      <w:tr w14:paraId="0A5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1EEB52C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3DF432A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49CD14D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495A1AB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78EE3C1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7396FF6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3AFC4B4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4CA2F40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3C1D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2882806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209DA18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413875F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4A3C4D0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1145BA8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51053BD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8046C8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371C764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7FD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839C25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6BAB7AF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1807130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30B0A82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09270F4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11B1E51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D356D3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32D38C2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3DFE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3E8A2E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608BC70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5B28448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503C7CF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639CE41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1AEBE59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4B1BBB2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82699D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5915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3607AE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621957E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3C3369B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2DE3D1D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33857BC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3A835D3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654DBB7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77A2AFF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0AC9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488C25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431B61F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1E1ACD5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63A742C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002A4AD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3830198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CBF44D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49223AA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1FEA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7184B62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278EEE4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7DF3245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6917DF6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26CF3091">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22912C0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1731ED3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539F24D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2CF4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52A2B9E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64E2D53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5C01065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67F6320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4304B2B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0937BEB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184BF63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537837C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15BA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ACABA47">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0E3FE96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43" w:type="dxa"/>
            <w:noWrap w:val="0"/>
            <w:vAlign w:val="center"/>
          </w:tcPr>
          <w:p w14:paraId="628F7BC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363" w:type="dxa"/>
            <w:noWrap w:val="0"/>
            <w:vAlign w:val="center"/>
          </w:tcPr>
          <w:p w14:paraId="48A7555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947" w:type="dxa"/>
            <w:noWrap w:val="0"/>
            <w:vAlign w:val="center"/>
          </w:tcPr>
          <w:p w14:paraId="0D372F8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5" w:type="dxa"/>
            <w:noWrap w:val="0"/>
            <w:vAlign w:val="center"/>
          </w:tcPr>
          <w:p w14:paraId="3E11DDA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6C8E7D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1DE8976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3FD3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177B5EB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7C20899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25D2FEFE">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物料</w:t>
            </w:r>
          </w:p>
        </w:tc>
        <w:tc>
          <w:tcPr>
            <w:tcW w:w="1156" w:type="dxa"/>
            <w:noWrap w:val="0"/>
            <w:vAlign w:val="center"/>
          </w:tcPr>
          <w:p w14:paraId="277423A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02F4F843">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3D2A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1610DDF4">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2E7ED4A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1F314B53">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易耗品</w:t>
            </w:r>
          </w:p>
        </w:tc>
        <w:tc>
          <w:tcPr>
            <w:tcW w:w="1156" w:type="dxa"/>
            <w:noWrap w:val="0"/>
            <w:vAlign w:val="center"/>
          </w:tcPr>
          <w:p w14:paraId="2C415F0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66BD32D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1C90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67EC642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256C7A8B">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5A012B73">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专用工具</w:t>
            </w:r>
          </w:p>
        </w:tc>
        <w:tc>
          <w:tcPr>
            <w:tcW w:w="1156" w:type="dxa"/>
            <w:noWrap w:val="0"/>
            <w:vAlign w:val="center"/>
          </w:tcPr>
          <w:p w14:paraId="4412F8D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3B402036">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6A4D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13A6EAF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7B7F2419">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6F8C7988">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调试费</w:t>
            </w:r>
          </w:p>
        </w:tc>
        <w:tc>
          <w:tcPr>
            <w:tcW w:w="1156" w:type="dxa"/>
            <w:noWrap w:val="0"/>
            <w:vAlign w:val="center"/>
          </w:tcPr>
          <w:p w14:paraId="50A11172">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7DF1DA4A">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7416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441588CE">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130761DC">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28FE1F58">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培训费</w:t>
            </w:r>
          </w:p>
        </w:tc>
        <w:tc>
          <w:tcPr>
            <w:tcW w:w="1156" w:type="dxa"/>
            <w:noWrap w:val="0"/>
            <w:vAlign w:val="center"/>
          </w:tcPr>
          <w:p w14:paraId="1146809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3CF12D8F">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765A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06BEF145">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275" w:type="dxa"/>
            <w:noWrap w:val="0"/>
            <w:vAlign w:val="center"/>
          </w:tcPr>
          <w:p w14:paraId="479C55A8">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4708" w:type="dxa"/>
            <w:gridSpan w:val="4"/>
            <w:noWrap w:val="0"/>
            <w:vAlign w:val="center"/>
          </w:tcPr>
          <w:p w14:paraId="7A39233F">
            <w:pPr>
              <w:keepNext w:val="0"/>
              <w:keepLines w:val="0"/>
              <w:pageBreakBefore w:val="0"/>
              <w:widowControl/>
              <w:suppressLineNumbers w:val="0"/>
              <w:kinsoku/>
              <w:wordWrap w:val="0"/>
              <w:overflowPunct/>
              <w:bidi w:val="0"/>
              <w:spacing w:before="0" w:beforeAutospacing="0" w:after="0" w:afterAutospacing="0" w:line="420" w:lineRule="exac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1156" w:type="dxa"/>
            <w:noWrap w:val="0"/>
            <w:vAlign w:val="center"/>
          </w:tcPr>
          <w:p w14:paraId="02CFBA0D">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c>
          <w:tcPr>
            <w:tcW w:w="1156" w:type="dxa"/>
            <w:noWrap w:val="0"/>
            <w:vAlign w:val="center"/>
          </w:tcPr>
          <w:p w14:paraId="6F3BF470">
            <w:pPr>
              <w:keepNext w:val="0"/>
              <w:keepLines w:val="0"/>
              <w:pageBreakBefore w:val="0"/>
              <w:widowControl/>
              <w:suppressLineNumbers w:val="0"/>
              <w:kinsoku/>
              <w:wordWrap w:val="0"/>
              <w:overflowPunct/>
              <w:bidi w:val="0"/>
              <w:spacing w:before="0" w:beforeAutospacing="0" w:after="0" w:afterAutospacing="0" w:line="420" w:lineRule="exact"/>
              <w:ind w:left="0" w:right="0" w:firstLine="480"/>
              <w:jc w:val="center"/>
              <w:rPr>
                <w:rFonts w:hint="eastAsia" w:ascii="宋体" w:hAnsi="宋体" w:eastAsia="宋体" w:cs="宋体"/>
                <w:color w:val="auto"/>
                <w:kern w:val="0"/>
                <w:sz w:val="24"/>
                <w:highlight w:val="none"/>
              </w:rPr>
            </w:pPr>
          </w:p>
        </w:tc>
      </w:tr>
      <w:tr w14:paraId="1C9A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8"/>
            <w:noWrap w:val="0"/>
            <w:vAlign w:val="top"/>
          </w:tcPr>
          <w:p w14:paraId="470C52B3">
            <w:pPr>
              <w:keepNext w:val="0"/>
              <w:keepLines w:val="0"/>
              <w:pageBreakBefore w:val="0"/>
              <w:widowControl/>
              <w:suppressLineNumbers w:val="0"/>
              <w:kinsoku/>
              <w:wordWrap w:val="0"/>
              <w:overflowPunct/>
              <w:bidi w:val="0"/>
              <w:spacing w:before="0" w:beforeAutospacing="0" w:after="0" w:afterAutospacing="0" w:line="420" w:lineRule="exac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大写：                                     合同价：    元</w:t>
            </w:r>
          </w:p>
        </w:tc>
      </w:tr>
    </w:tbl>
    <w:p w14:paraId="08F136C2">
      <w:pPr>
        <w:pageBreakBefore w:val="0"/>
        <w:kinsoku/>
        <w:wordWrap w:val="0"/>
        <w:overflowPunct/>
        <w:bidi w:val="0"/>
        <w:spacing w:line="360" w:lineRule="auto"/>
        <w:ind w:firstLine="480"/>
        <w:rPr>
          <w:rFonts w:hint="eastAsia" w:ascii="宋体" w:hAnsi="宋体" w:eastAsia="宋体" w:cs="宋体"/>
          <w:color w:val="auto"/>
          <w:sz w:val="24"/>
          <w:highlight w:val="none"/>
        </w:rPr>
      </w:pPr>
    </w:p>
    <w:p w14:paraId="07928D5B">
      <w:pPr>
        <w:pageBreakBefore w:val="0"/>
        <w:kinsoku/>
        <w:wordWrap w:val="0"/>
        <w:overflowPunct/>
        <w:autoSpaceDE w:val="0"/>
        <w:autoSpaceDN w:val="0"/>
        <w:bidi w:val="0"/>
        <w:adjustRightInd w:val="0"/>
        <w:spacing w:line="360" w:lineRule="auto"/>
        <w:rPr>
          <w:rFonts w:hint="eastAsia" w:ascii="宋体" w:hAnsi="宋体" w:eastAsia="宋体" w:cs="宋体"/>
          <w:color w:val="auto"/>
          <w:kern w:val="0"/>
          <w:sz w:val="24"/>
          <w:highlight w:val="none"/>
        </w:rPr>
      </w:pPr>
    </w:p>
    <w:p w14:paraId="659C9A8A">
      <w:pPr>
        <w:pStyle w:val="4"/>
        <w:pageBreakBefore w:val="0"/>
        <w:kinsoku/>
        <w:wordWrap w:val="0"/>
        <w:overflowPunct/>
        <w:bidi w:val="0"/>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bookmarkEnd w:id="894"/>
      <w:bookmarkStart w:id="900" w:name="_Toc23191"/>
      <w:bookmarkStart w:id="901" w:name="_Toc26470"/>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采购需求</w:t>
      </w:r>
      <w:bookmarkEnd w:id="900"/>
      <w:bookmarkEnd w:id="901"/>
      <w:bookmarkStart w:id="902" w:name="_Toc493506288"/>
      <w:bookmarkStart w:id="903" w:name="_Toc9535"/>
    </w:p>
    <w:bookmarkEnd w:id="902"/>
    <w:bookmarkEnd w:id="903"/>
    <w:p w14:paraId="4E57A92E">
      <w:pPr>
        <w:spacing w:line="360" w:lineRule="auto"/>
        <w:ind w:left="0" w:leftChars="0" w:firstLine="638" w:firstLineChars="228"/>
        <w:rPr>
          <w:rFonts w:hint="eastAsia" w:ascii="宋体" w:hAnsi="宋体" w:eastAsia="宋体" w:cs="宋体"/>
          <w:color w:val="auto"/>
          <w:sz w:val="28"/>
          <w:szCs w:val="36"/>
          <w:highlight w:val="none"/>
        </w:rPr>
      </w:pPr>
      <w:bookmarkStart w:id="904" w:name="_Toc24289"/>
    </w:p>
    <w:p w14:paraId="6900794A">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项目概况</w:t>
      </w:r>
    </w:p>
    <w:p w14:paraId="23FA27E8">
      <w:pPr>
        <w:pageBreakBefore w:val="0"/>
        <w:tabs>
          <w:tab w:val="left" w:pos="709"/>
        </w:tabs>
        <w:kinsoku/>
        <w:wordWrap w:val="0"/>
        <w:overflowPunct/>
        <w:autoSpaceDE w:val="0"/>
        <w:autoSpaceDN w:val="0"/>
        <w:bidi w:val="0"/>
        <w:adjustRightInd w:val="0"/>
        <w:snapToGrid w:val="0"/>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val="en-US" w:eastAsia="zh-CN"/>
        </w:rPr>
        <w:t>固始县2024年中央财政油茶产业发展示范奖补项目</w:t>
      </w:r>
      <w:r>
        <w:rPr>
          <w:rFonts w:hint="eastAsia" w:ascii="宋体" w:hAnsi="宋体" w:eastAsia="宋体" w:cs="宋体"/>
          <w:color w:val="auto"/>
          <w:sz w:val="24"/>
          <w:szCs w:val="24"/>
          <w:highlight w:val="none"/>
          <w:lang w:val="en-US" w:eastAsia="zh-CN"/>
        </w:rPr>
        <w:t>设计招标</w:t>
      </w:r>
    </w:p>
    <w:p w14:paraId="17D7D000">
      <w:pPr>
        <w:pageBreakBefore w:val="0"/>
        <w:tabs>
          <w:tab w:val="left" w:pos="709"/>
        </w:tabs>
        <w:kinsoku/>
        <w:wordWrap w:val="0"/>
        <w:overflowPunct/>
        <w:autoSpaceDE w:val="0"/>
        <w:autoSpaceDN w:val="0"/>
        <w:bidi w:val="0"/>
        <w:adjustRightInd w:val="0"/>
        <w:snapToGrid w:val="0"/>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项目概括：本项目建设工程内容包含“固始县2024年中央财政油茶产业发展示范奖补项目全部设计内容，根据项目建设需要，对本建设项目的施工图设计及后续设计服务等工作。</w:t>
      </w:r>
    </w:p>
    <w:p w14:paraId="17BC325B">
      <w:pPr>
        <w:pageBreakBefore w:val="0"/>
        <w:tabs>
          <w:tab w:val="left" w:pos="709"/>
        </w:tabs>
        <w:kinsoku/>
        <w:wordWrap w:val="0"/>
        <w:overflowPunct/>
        <w:autoSpaceDE w:val="0"/>
        <w:autoSpaceDN w:val="0"/>
        <w:bidi w:val="0"/>
        <w:adjustRightInd w:val="0"/>
        <w:snapToGrid w:val="0"/>
        <w:spacing w:line="48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采购范围：</w:t>
      </w:r>
      <w:r>
        <w:rPr>
          <w:rFonts w:hint="eastAsia" w:ascii="宋体" w:hAnsi="宋体" w:cs="宋体"/>
          <w:color w:val="auto"/>
          <w:sz w:val="24"/>
          <w:szCs w:val="24"/>
          <w:highlight w:val="none"/>
          <w:lang w:val="en-US" w:eastAsia="zh-CN"/>
        </w:rPr>
        <w:t>固始县2024年中央财政油茶产业发展示范奖补项目</w:t>
      </w:r>
      <w:r>
        <w:rPr>
          <w:rFonts w:hint="eastAsia" w:ascii="宋体" w:hAnsi="宋体" w:eastAsia="宋体" w:cs="宋体"/>
          <w:color w:val="auto"/>
          <w:sz w:val="24"/>
          <w:szCs w:val="24"/>
          <w:highlight w:val="none"/>
          <w:lang w:val="en-US" w:eastAsia="zh-CN"/>
        </w:rPr>
        <w:t>的施工图设计及后续设计服务等工作</w:t>
      </w:r>
      <w:r>
        <w:rPr>
          <w:rFonts w:hint="eastAsia" w:ascii="宋体" w:hAnsi="宋体" w:cs="宋体"/>
          <w:color w:val="auto"/>
          <w:sz w:val="24"/>
          <w:szCs w:val="24"/>
          <w:highlight w:val="none"/>
          <w:shd w:val="clear" w:color="auto" w:fill="FFFFFF"/>
          <w:lang w:val="en-US" w:eastAsia="zh-CN"/>
        </w:rPr>
        <w:t>。</w:t>
      </w:r>
    </w:p>
    <w:p w14:paraId="4A3C4B87">
      <w:pPr>
        <w:spacing w:line="480" w:lineRule="auto"/>
        <w:ind w:left="0" w:leftChars="0"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p w14:paraId="51EEB82E">
      <w:pPr>
        <w:spacing w:line="480" w:lineRule="auto"/>
        <w:ind w:left="0" w:leftChars="0" w:firstLine="547" w:firstLineChars="22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设计周期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30日历天；</w:t>
      </w:r>
    </w:p>
    <w:p w14:paraId="61D81AFF">
      <w:pPr>
        <w:spacing w:line="480" w:lineRule="auto"/>
        <w:ind w:left="0" w:leftChars="0" w:firstLine="547" w:firstLineChars="22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质量要求：</w:t>
      </w:r>
      <w:r>
        <w:rPr>
          <w:rFonts w:hint="eastAsia" w:ascii="宋体" w:hAnsi="宋体" w:cs="宋体"/>
          <w:kern w:val="0"/>
          <w:sz w:val="24"/>
          <w:szCs w:val="24"/>
          <w:highlight w:val="none"/>
        </w:rPr>
        <w:t>符合国家有关法律、法规和现行规划、设计标准，深度达到相关的规范要求；</w:t>
      </w:r>
    </w:p>
    <w:p w14:paraId="359A8ECA">
      <w:pPr>
        <w:spacing w:line="480" w:lineRule="auto"/>
        <w:ind w:left="0" w:leftChars="0" w:firstLine="547" w:firstLineChars="228"/>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标准和要求</w:t>
      </w:r>
    </w:p>
    <w:p w14:paraId="1C265565">
      <w:pPr>
        <w:spacing w:line="480" w:lineRule="auto"/>
        <w:ind w:left="0" w:leftChars="0" w:firstLine="547" w:firstLineChars="228"/>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设计规范、依据按照国家和地方的有关法规和设计规范，本工程实施中所采用的规范和标准如出现标准不一致的情况，以标准高的为准。其它与本工程有关的现行工程技术、施工验收标准及规范。技术规范标准与新技术规范标准不一致时，以新技术规范标准为准</w:t>
      </w:r>
      <w:r>
        <w:rPr>
          <w:rFonts w:hint="eastAsia" w:ascii="宋体" w:hAnsi="宋体" w:cs="宋体"/>
          <w:color w:val="auto"/>
          <w:sz w:val="24"/>
          <w:szCs w:val="24"/>
          <w:highlight w:val="none"/>
          <w:lang w:eastAsia="zh-CN"/>
        </w:rPr>
        <w:t>；</w:t>
      </w:r>
    </w:p>
    <w:p w14:paraId="365C192E">
      <w:pPr>
        <w:spacing w:line="480" w:lineRule="auto"/>
        <w:ind w:left="0" w:leftChars="0" w:firstLine="547" w:firstLineChars="228"/>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4、未尽事宜按照国家、省、市有关规定。</w:t>
      </w:r>
    </w:p>
    <w:p w14:paraId="2EE18823">
      <w:pPr>
        <w:spacing w:line="360" w:lineRule="auto"/>
        <w:ind w:left="0" w:leftChars="0" w:firstLine="0" w:firstLineChars="0"/>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color w:val="auto"/>
          <w:sz w:val="28"/>
          <w:szCs w:val="36"/>
          <w:highlight w:val="none"/>
        </w:rPr>
        <w:br w:type="page"/>
      </w:r>
      <w:bookmarkEnd w:id="904"/>
    </w:p>
    <w:p w14:paraId="1AB2E9AA">
      <w:pPr>
        <w:pStyle w:val="4"/>
        <w:bidi w:val="0"/>
        <w:rPr>
          <w:rFonts w:hint="eastAsia"/>
        </w:rPr>
      </w:pPr>
      <w:bookmarkStart w:id="905" w:name="_Toc27722"/>
      <w:r>
        <w:rPr>
          <w:rFonts w:hint="eastAsia"/>
        </w:rPr>
        <w:t>第六章 响应文件格式</w:t>
      </w:r>
      <w:bookmarkEnd w:id="905"/>
    </w:p>
    <w:p w14:paraId="0258111C">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highlight w:val="none"/>
          <w:u w:val="single"/>
        </w:rPr>
      </w:pPr>
      <w:bookmarkStart w:id="906" w:name="_A1_投标书"/>
      <w:bookmarkEnd w:id="906"/>
      <w:bookmarkStart w:id="907" w:name="_Toc372807484"/>
      <w:bookmarkStart w:id="908" w:name="_Toc416103814"/>
      <w:bookmarkStart w:id="909" w:name="_Toc162669084"/>
      <w:bookmarkStart w:id="910" w:name="_Toc23340"/>
      <w:bookmarkStart w:id="911" w:name="_Toc192127128"/>
      <w:bookmarkStart w:id="912" w:name="_Toc192127127"/>
      <w:bookmarkStart w:id="913" w:name="_Toc176663528"/>
      <w:bookmarkStart w:id="914" w:name="_Toc410631173"/>
      <w:bookmarkStart w:id="915" w:name="_Toc181038076"/>
      <w:bookmarkStart w:id="916" w:name="_Toc414445764"/>
      <w:bookmarkStart w:id="917" w:name="_Toc128455956"/>
      <w:bookmarkStart w:id="918" w:name="_Toc179091096"/>
    </w:p>
    <w:p w14:paraId="4E7AA4A0">
      <w:pPr>
        <w:pageBreakBefore w:val="0"/>
        <w:kinsoku/>
        <w:wordWrap w:val="0"/>
        <w:overflowPunct/>
        <w:bidi w:val="0"/>
        <w:snapToGrid w:val="0"/>
        <w:spacing w:line="420" w:lineRule="exact"/>
        <w:ind w:firstLine="1446" w:firstLineChars="450"/>
        <w:rPr>
          <w:rFonts w:hint="eastAsia" w:ascii="宋体" w:hAnsi="宋体" w:eastAsia="宋体" w:cs="宋体"/>
          <w:b/>
          <w:bCs/>
          <w:color w:val="auto"/>
          <w:sz w:val="32"/>
          <w:szCs w:val="32"/>
          <w:highlight w:val="none"/>
          <w:u w:val="single"/>
        </w:rPr>
      </w:pPr>
    </w:p>
    <w:p w14:paraId="662DDF73">
      <w:pPr>
        <w:pageBreakBefore w:val="0"/>
        <w:kinsoku/>
        <w:wordWrap w:val="0"/>
        <w:overflowPunct/>
        <w:bidi w:val="0"/>
        <w:snapToGrid w:val="0"/>
        <w:spacing w:line="420" w:lineRule="exact"/>
        <w:ind w:firstLine="1446" w:firstLineChars="45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u w:val="single"/>
        </w:rPr>
        <w:t xml:space="preserve">                 </w:t>
      </w:r>
      <w:bookmarkStart w:id="919" w:name="_Toc16795_WPSOffice_Level1"/>
      <w:bookmarkStart w:id="920" w:name="_Toc6392"/>
      <w:bookmarkStart w:id="921" w:name="_Toc25632"/>
      <w:bookmarkStart w:id="922" w:name="_Toc4484"/>
      <w:bookmarkStart w:id="923" w:name="_Toc8245_WPSOffice_Level1"/>
      <w:bookmarkStart w:id="924" w:name="_Toc3967_WPSOffice_Level1"/>
      <w:bookmarkStart w:id="925" w:name="_Toc13474"/>
      <w:bookmarkStart w:id="926" w:name="_Toc22805_WPSOffice_Level1"/>
      <w:r>
        <w:rPr>
          <w:rFonts w:hint="eastAsia" w:ascii="宋体" w:hAnsi="宋体" w:eastAsia="宋体" w:cs="宋体"/>
          <w:b/>
          <w:bCs/>
          <w:color w:val="auto"/>
          <w:sz w:val="32"/>
          <w:szCs w:val="32"/>
          <w:highlight w:val="none"/>
        </w:rPr>
        <w:t>（项目名称）</w:t>
      </w:r>
      <w:bookmarkEnd w:id="919"/>
      <w:bookmarkEnd w:id="920"/>
      <w:bookmarkEnd w:id="921"/>
      <w:bookmarkEnd w:id="922"/>
      <w:bookmarkEnd w:id="923"/>
      <w:bookmarkEnd w:id="924"/>
      <w:bookmarkEnd w:id="925"/>
      <w:bookmarkEnd w:id="926"/>
      <w:r>
        <w:rPr>
          <w:rFonts w:hint="eastAsia" w:ascii="宋体" w:hAnsi="宋体" w:eastAsia="宋体" w:cs="宋体"/>
          <w:b/>
          <w:bCs/>
          <w:color w:val="auto"/>
          <w:sz w:val="32"/>
          <w:szCs w:val="32"/>
          <w:highlight w:val="none"/>
        </w:rPr>
        <w:t>竞争性磋商</w:t>
      </w:r>
    </w:p>
    <w:p w14:paraId="297A704F">
      <w:pPr>
        <w:pageBreakBefore w:val="0"/>
        <w:kinsoku/>
        <w:wordWrap w:val="0"/>
        <w:overflowPunct/>
        <w:bidi w:val="0"/>
        <w:spacing w:line="1000" w:lineRule="exact"/>
        <w:jc w:val="center"/>
        <w:rPr>
          <w:rFonts w:hint="eastAsia" w:ascii="宋体" w:hAnsi="宋体" w:eastAsia="宋体" w:cs="宋体"/>
          <w:b/>
          <w:bCs/>
          <w:color w:val="auto"/>
          <w:sz w:val="84"/>
          <w:szCs w:val="84"/>
          <w:highlight w:val="none"/>
        </w:rPr>
      </w:pPr>
    </w:p>
    <w:p w14:paraId="3ACA6567">
      <w:pPr>
        <w:pageBreakBefore w:val="0"/>
        <w:kinsoku/>
        <w:wordWrap w:val="0"/>
        <w:overflowPunct/>
        <w:bidi w:val="0"/>
        <w:spacing w:line="1000" w:lineRule="exact"/>
        <w:jc w:val="center"/>
        <w:rPr>
          <w:rFonts w:hint="eastAsia" w:ascii="宋体" w:hAnsi="宋体" w:eastAsia="宋体" w:cs="宋体"/>
          <w:color w:val="auto"/>
          <w:sz w:val="52"/>
          <w:szCs w:val="52"/>
          <w:highlight w:val="none"/>
        </w:rPr>
      </w:pPr>
      <w:r>
        <w:rPr>
          <w:rFonts w:hint="eastAsia" w:ascii="宋体" w:hAnsi="宋体" w:eastAsia="宋体" w:cs="宋体"/>
          <w:b/>
          <w:bCs/>
          <w:color w:val="auto"/>
          <w:sz w:val="84"/>
          <w:szCs w:val="84"/>
          <w:highlight w:val="none"/>
        </w:rPr>
        <w:t>响 应 文 件</w:t>
      </w:r>
    </w:p>
    <w:p w14:paraId="67D90F8A">
      <w:pPr>
        <w:pageBreakBefore w:val="0"/>
        <w:kinsoku/>
        <w:wordWrap w:val="0"/>
        <w:overflowPunct/>
        <w:bidi w:val="0"/>
        <w:spacing w:before="240" w:beforeLines="100"/>
        <w:ind w:firstLine="3840" w:firstLineChars="1200"/>
        <w:rPr>
          <w:rFonts w:hint="eastAsia" w:ascii="宋体" w:hAnsi="宋体" w:eastAsia="宋体" w:cs="宋体"/>
          <w:color w:val="auto"/>
          <w:sz w:val="32"/>
          <w:szCs w:val="32"/>
          <w:highlight w:val="none"/>
        </w:rPr>
      </w:pPr>
    </w:p>
    <w:p w14:paraId="7BA66280">
      <w:pPr>
        <w:pageBreakBefore w:val="0"/>
        <w:kinsoku/>
        <w:wordWrap w:val="0"/>
        <w:overflowPunct/>
        <w:bidi w:val="0"/>
        <w:jc w:val="center"/>
        <w:rPr>
          <w:rFonts w:hint="eastAsia" w:ascii="宋体" w:hAnsi="宋体" w:eastAsia="宋体" w:cs="宋体"/>
          <w:color w:val="auto"/>
          <w:sz w:val="32"/>
          <w:szCs w:val="32"/>
          <w:highlight w:val="none"/>
        </w:rPr>
      </w:pPr>
    </w:p>
    <w:p w14:paraId="4B6DFC41">
      <w:pPr>
        <w:pageBreakBefore w:val="0"/>
        <w:kinsoku/>
        <w:wordWrap w:val="0"/>
        <w:overflowPunct/>
        <w:bidi w:val="0"/>
        <w:jc w:val="center"/>
        <w:rPr>
          <w:rFonts w:hint="eastAsia" w:ascii="宋体" w:hAnsi="宋体" w:eastAsia="宋体" w:cs="宋体"/>
          <w:color w:val="auto"/>
          <w:sz w:val="32"/>
          <w:szCs w:val="32"/>
          <w:highlight w:val="none"/>
        </w:rPr>
      </w:pPr>
    </w:p>
    <w:p w14:paraId="7B1EAA98">
      <w:pPr>
        <w:pageBreakBefore w:val="0"/>
        <w:kinsoku/>
        <w:wordWrap w:val="0"/>
        <w:overflowPunct/>
        <w:bidi w:val="0"/>
        <w:jc w:val="center"/>
        <w:rPr>
          <w:rFonts w:hint="eastAsia" w:ascii="宋体" w:hAnsi="宋体" w:eastAsia="宋体" w:cs="宋体"/>
          <w:color w:val="auto"/>
          <w:sz w:val="32"/>
          <w:szCs w:val="32"/>
          <w:highlight w:val="none"/>
        </w:rPr>
      </w:pPr>
    </w:p>
    <w:p w14:paraId="76E50DD9">
      <w:pPr>
        <w:pageBreakBefore w:val="0"/>
        <w:kinsoku/>
        <w:wordWrap w:val="0"/>
        <w:overflowPunct/>
        <w:bidi w:val="0"/>
        <w:jc w:val="center"/>
        <w:rPr>
          <w:rFonts w:hint="eastAsia" w:ascii="宋体" w:hAnsi="宋体" w:eastAsia="宋体" w:cs="宋体"/>
          <w:color w:val="auto"/>
          <w:sz w:val="32"/>
          <w:szCs w:val="32"/>
          <w:highlight w:val="none"/>
        </w:rPr>
      </w:pPr>
    </w:p>
    <w:p w14:paraId="40F25A42">
      <w:pPr>
        <w:pageBreakBefore w:val="0"/>
        <w:kinsoku/>
        <w:wordWrap w:val="0"/>
        <w:overflowPunct/>
        <w:bidi w:val="0"/>
        <w:jc w:val="center"/>
        <w:rPr>
          <w:rFonts w:hint="eastAsia" w:ascii="宋体" w:hAnsi="宋体" w:eastAsia="宋体" w:cs="宋体"/>
          <w:color w:val="auto"/>
          <w:sz w:val="32"/>
          <w:szCs w:val="32"/>
          <w:highlight w:val="none"/>
        </w:rPr>
      </w:pPr>
    </w:p>
    <w:p w14:paraId="65135125">
      <w:pPr>
        <w:pageBreakBefore w:val="0"/>
        <w:kinsoku/>
        <w:wordWrap w:val="0"/>
        <w:overflowPunct/>
        <w:bidi w:val="0"/>
        <w:jc w:val="center"/>
        <w:rPr>
          <w:rFonts w:hint="eastAsia" w:ascii="宋体" w:hAnsi="宋体" w:eastAsia="宋体" w:cs="宋体"/>
          <w:color w:val="auto"/>
          <w:sz w:val="32"/>
          <w:szCs w:val="32"/>
          <w:highlight w:val="none"/>
        </w:rPr>
      </w:pPr>
    </w:p>
    <w:p w14:paraId="6BFDAA94">
      <w:pPr>
        <w:pageBreakBefore w:val="0"/>
        <w:kinsoku/>
        <w:wordWrap w:val="0"/>
        <w:overflowPunct/>
        <w:bidi w:val="0"/>
        <w:jc w:val="center"/>
        <w:rPr>
          <w:rFonts w:hint="eastAsia" w:ascii="宋体" w:hAnsi="宋体" w:eastAsia="宋体" w:cs="宋体"/>
          <w:color w:val="auto"/>
          <w:sz w:val="32"/>
          <w:szCs w:val="32"/>
          <w:highlight w:val="none"/>
        </w:rPr>
      </w:pPr>
    </w:p>
    <w:p w14:paraId="6FDEAD57">
      <w:pPr>
        <w:pageBreakBefore w:val="0"/>
        <w:kinsoku/>
        <w:wordWrap w:val="0"/>
        <w:overflowPunct/>
        <w:bidi w:val="0"/>
        <w:jc w:val="center"/>
        <w:rPr>
          <w:rFonts w:hint="eastAsia" w:ascii="宋体" w:hAnsi="宋体" w:eastAsia="宋体" w:cs="宋体"/>
          <w:color w:val="auto"/>
          <w:sz w:val="32"/>
          <w:szCs w:val="32"/>
          <w:highlight w:val="none"/>
        </w:rPr>
      </w:pPr>
    </w:p>
    <w:p w14:paraId="66E04A1B">
      <w:pPr>
        <w:pageBreakBefore w:val="0"/>
        <w:kinsoku/>
        <w:wordWrap w:val="0"/>
        <w:overflowPunct/>
        <w:bidi w:val="0"/>
        <w:rPr>
          <w:rFonts w:hint="eastAsia" w:ascii="宋体" w:hAnsi="宋体" w:eastAsia="宋体" w:cs="宋体"/>
          <w:color w:val="auto"/>
          <w:sz w:val="32"/>
          <w:szCs w:val="32"/>
          <w:highlight w:val="none"/>
        </w:rPr>
      </w:pPr>
    </w:p>
    <w:p w14:paraId="106B281F">
      <w:pPr>
        <w:pageBreakBefore w:val="0"/>
        <w:kinsoku/>
        <w:wordWrap w:val="0"/>
        <w:overflowPunct/>
        <w:bidi w:val="0"/>
        <w:jc w:val="center"/>
        <w:rPr>
          <w:rFonts w:hint="eastAsia" w:ascii="宋体" w:hAnsi="宋体" w:eastAsia="宋体" w:cs="宋体"/>
          <w:color w:val="auto"/>
          <w:sz w:val="32"/>
          <w:szCs w:val="32"/>
          <w:highlight w:val="none"/>
        </w:rPr>
      </w:pPr>
    </w:p>
    <w:p w14:paraId="286A2B50">
      <w:pPr>
        <w:pageBreakBefore w:val="0"/>
        <w:kinsoku/>
        <w:wordWrap w:val="0"/>
        <w:overflowPunct/>
        <w:bidi w:val="0"/>
        <w:spacing w:line="360" w:lineRule="auto"/>
        <w:jc w:val="center"/>
        <w:rPr>
          <w:rFonts w:hint="eastAsia" w:ascii="宋体" w:hAnsi="宋体" w:eastAsia="宋体" w:cs="宋体"/>
          <w:color w:val="auto"/>
          <w:sz w:val="32"/>
          <w:szCs w:val="32"/>
          <w:highlight w:val="none"/>
        </w:rPr>
      </w:pPr>
    </w:p>
    <w:p w14:paraId="3B96E87A">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bookmarkStart w:id="927" w:name="_Toc18652_WPSOffice_Level1"/>
      <w:bookmarkStart w:id="928" w:name="_Toc7391"/>
      <w:bookmarkStart w:id="929" w:name="_Toc7378"/>
      <w:bookmarkStart w:id="930" w:name="_Toc14451_WPSOffice_Level1"/>
      <w:bookmarkStart w:id="931" w:name="_Toc16044"/>
      <w:bookmarkStart w:id="932" w:name="_Toc22812_WPSOffice_Level1"/>
      <w:bookmarkStart w:id="933" w:name="_Toc14463_WPSOffice_Level1"/>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供应商：</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（单位电子签章）</w:t>
      </w:r>
      <w:bookmarkEnd w:id="927"/>
      <w:bookmarkEnd w:id="928"/>
      <w:bookmarkEnd w:id="929"/>
      <w:bookmarkEnd w:id="930"/>
      <w:bookmarkEnd w:id="931"/>
      <w:bookmarkEnd w:id="932"/>
      <w:bookmarkEnd w:id="933"/>
    </w:p>
    <w:p w14:paraId="57DC1B47">
      <w:pPr>
        <w:pageBreakBefore w:val="0"/>
        <w:kinsoku/>
        <w:wordWrap w:val="0"/>
        <w:overflowPunct/>
        <w:bidi w:val="0"/>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负责人</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（电子签名或盖章）</w:t>
      </w:r>
    </w:p>
    <w:p w14:paraId="230EDC39">
      <w:pPr>
        <w:pageBreakBefore w:val="0"/>
        <w:kinsoku/>
        <w:wordWrap w:val="0"/>
        <w:overflowPunct/>
        <w:bidi w:val="0"/>
        <w:spacing w:line="360" w:lineRule="auto"/>
        <w:ind w:firstLine="1687" w:firstLineChars="600"/>
        <w:jc w:val="left"/>
        <w:rPr>
          <w:rFonts w:hint="eastAsia" w:ascii="宋体" w:hAnsi="宋体" w:eastAsia="宋体" w:cs="宋体"/>
          <w:color w:val="auto"/>
          <w:sz w:val="28"/>
          <w:szCs w:val="28"/>
          <w:highlight w:val="none"/>
        </w:rPr>
        <w:sectPr>
          <w:pgSz w:w="11906" w:h="16838"/>
          <w:pgMar w:top="1418" w:right="1418" w:bottom="1418" w:left="1418" w:header="851" w:footer="850" w:gutter="0"/>
          <w:pgNumType w:fmt="decimal"/>
          <w:cols w:space="720" w:num="1"/>
          <w:docGrid w:linePitch="312" w:charSpace="0"/>
        </w:sectPr>
      </w:pPr>
      <w:bookmarkStart w:id="934" w:name="_Toc31395"/>
      <w:bookmarkStart w:id="935" w:name="_Toc31848_WPSOffice_Level1"/>
      <w:bookmarkStart w:id="936" w:name="_Toc21015_WPSOffice_Level1"/>
      <w:bookmarkStart w:id="937" w:name="_Toc27351_WPSOffice_Level1"/>
      <w:bookmarkStart w:id="938" w:name="_Toc20450"/>
      <w:bookmarkStart w:id="939" w:name="_Toc3607_WPSOffice_Level1"/>
      <w:bookmarkStart w:id="940" w:name="_Toc16649"/>
      <w:bookmarkStart w:id="941" w:name="_Toc12941"/>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bookmarkEnd w:id="934"/>
      <w:bookmarkEnd w:id="935"/>
      <w:bookmarkEnd w:id="936"/>
      <w:bookmarkEnd w:id="937"/>
      <w:bookmarkEnd w:id="938"/>
      <w:bookmarkEnd w:id="939"/>
      <w:bookmarkEnd w:id="940"/>
      <w:bookmarkEnd w:id="941"/>
    </w:p>
    <w:p w14:paraId="073FB217">
      <w:pPr>
        <w:pageBreakBefore w:val="0"/>
        <w:kinsoku/>
        <w:wordWrap w:val="0"/>
        <w:overflowPunct/>
        <w:bidi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116C3084">
      <w:pPr>
        <w:pageBreakBefore w:val="0"/>
        <w:kinsoku/>
        <w:wordWrap w:val="0"/>
        <w:overflowPunct/>
        <w:bidi w:val="0"/>
        <w:spacing w:line="460" w:lineRule="exact"/>
        <w:rPr>
          <w:rFonts w:hint="eastAsia" w:ascii="宋体" w:hAnsi="宋体" w:eastAsia="宋体" w:cs="宋体"/>
          <w:color w:val="auto"/>
          <w:szCs w:val="21"/>
          <w:highlight w:val="none"/>
        </w:rPr>
      </w:pPr>
    </w:p>
    <w:p w14:paraId="49FE2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cs="宋体"/>
          <w:bCs/>
          <w:sz w:val="24"/>
          <w:szCs w:val="24"/>
          <w:lang w:val="en-US" w:eastAsia="zh-CN" w:bidi="ar-SA"/>
        </w:rPr>
      </w:pPr>
      <w:r>
        <w:rPr>
          <w:rFonts w:hint="eastAsia" w:ascii="宋体" w:eastAsia="宋体" w:cs="宋体"/>
          <w:bCs/>
          <w:sz w:val="24"/>
          <w:szCs w:val="24"/>
          <w:lang w:bidi="ar-SA"/>
        </w:rPr>
        <w:t>一、响应函及响应函附录</w:t>
      </w:r>
    </w:p>
    <w:p w14:paraId="08494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宋体" w:cs="宋体"/>
          <w:bCs/>
          <w:sz w:val="24"/>
          <w:szCs w:val="24"/>
          <w:lang w:bidi="ar-SA"/>
        </w:rPr>
      </w:pPr>
      <w:r>
        <w:rPr>
          <w:rFonts w:hint="eastAsia" w:ascii="宋体" w:eastAsia="宋体" w:cs="宋体"/>
          <w:bCs/>
          <w:sz w:val="24"/>
          <w:szCs w:val="24"/>
          <w:lang w:bidi="ar-SA"/>
        </w:rPr>
        <w:t>二、法定代表人身份证明</w:t>
      </w:r>
    </w:p>
    <w:p w14:paraId="7B2F24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宋体" w:cs="宋体"/>
          <w:bCs/>
          <w:sz w:val="24"/>
          <w:szCs w:val="24"/>
          <w:lang w:bidi="ar-SA"/>
        </w:rPr>
      </w:pPr>
      <w:r>
        <w:rPr>
          <w:rFonts w:hint="eastAsia" w:ascii="宋体" w:eastAsia="宋体" w:cs="宋体"/>
          <w:bCs/>
          <w:sz w:val="24"/>
          <w:szCs w:val="24"/>
          <w:lang w:bidi="ar-SA"/>
        </w:rPr>
        <w:t>三、授权委托书</w:t>
      </w:r>
    </w:p>
    <w:p w14:paraId="255A2B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宋体" w:cs="宋体"/>
          <w:bCs/>
          <w:sz w:val="24"/>
          <w:szCs w:val="24"/>
          <w:lang w:val="en-US" w:eastAsia="zh-CN" w:bidi="ar-SA"/>
        </w:rPr>
      </w:pPr>
      <w:r>
        <w:rPr>
          <w:rFonts w:hint="eastAsia" w:eastAsia="宋体" w:cs="宋体"/>
          <w:bCs/>
          <w:sz w:val="24"/>
          <w:szCs w:val="24"/>
          <w:lang w:val="en-US" w:eastAsia="zh-CN" w:bidi="ar-SA"/>
        </w:rPr>
        <w:t>四</w:t>
      </w:r>
      <w:r>
        <w:rPr>
          <w:rFonts w:hint="eastAsia" w:ascii="宋体" w:eastAsia="宋体" w:cs="宋体"/>
          <w:bCs/>
          <w:sz w:val="24"/>
          <w:szCs w:val="24"/>
          <w:lang w:bidi="ar-SA"/>
        </w:rPr>
        <w:t>、</w:t>
      </w:r>
      <w:r>
        <w:rPr>
          <w:rFonts w:hint="eastAsia" w:eastAsia="宋体" w:cs="宋体"/>
          <w:bCs/>
          <w:sz w:val="24"/>
          <w:szCs w:val="24"/>
          <w:lang w:val="en-US" w:eastAsia="zh-CN" w:bidi="ar-SA"/>
        </w:rPr>
        <w:t>商务条款偏离表</w:t>
      </w:r>
    </w:p>
    <w:p w14:paraId="3BE2F8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cs="宋体"/>
          <w:bCs/>
          <w:sz w:val="24"/>
          <w:szCs w:val="24"/>
          <w:lang w:val="en-US" w:eastAsia="zh-CN" w:bidi="ar-SA"/>
        </w:rPr>
      </w:pPr>
      <w:r>
        <w:rPr>
          <w:rFonts w:hint="eastAsia" w:eastAsia="宋体" w:cs="宋体"/>
          <w:bCs/>
          <w:sz w:val="24"/>
          <w:szCs w:val="24"/>
          <w:lang w:val="en-US" w:eastAsia="zh-CN" w:bidi="ar-SA"/>
        </w:rPr>
        <w:t>五</w:t>
      </w:r>
      <w:r>
        <w:rPr>
          <w:rFonts w:hint="eastAsia" w:ascii="宋体" w:eastAsia="宋体" w:cs="宋体"/>
          <w:bCs/>
          <w:sz w:val="24"/>
          <w:szCs w:val="24"/>
          <w:lang w:bidi="ar-SA"/>
        </w:rPr>
        <w:t>、</w:t>
      </w:r>
      <w:r>
        <w:rPr>
          <w:rFonts w:hint="eastAsia" w:ascii="宋体" w:eastAsia="宋体" w:cs="宋体"/>
          <w:bCs/>
          <w:sz w:val="24"/>
          <w:szCs w:val="24"/>
          <w:lang w:val="en-US" w:eastAsia="zh-CN" w:bidi="ar-SA"/>
        </w:rPr>
        <w:t>项目管理机构</w:t>
      </w:r>
    </w:p>
    <w:p w14:paraId="3B6B43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cs="宋体"/>
          <w:bCs/>
          <w:sz w:val="24"/>
          <w:szCs w:val="24"/>
          <w:lang w:val="en-US" w:eastAsia="zh-CN" w:bidi="ar-SA"/>
        </w:rPr>
      </w:pPr>
      <w:r>
        <w:rPr>
          <w:rFonts w:hint="eastAsia" w:ascii="宋体" w:eastAsia="宋体" w:cs="宋体"/>
          <w:bCs/>
          <w:sz w:val="24"/>
          <w:szCs w:val="24"/>
          <w:lang w:val="en-US" w:eastAsia="zh-CN" w:bidi="ar-SA"/>
        </w:rPr>
        <w:t>六、</w:t>
      </w:r>
      <w:r>
        <w:rPr>
          <w:rFonts w:hint="eastAsia" w:cs="宋体"/>
          <w:bCs/>
          <w:sz w:val="24"/>
          <w:szCs w:val="24"/>
          <w:lang w:val="en-US" w:eastAsia="zh-CN" w:bidi="ar-SA"/>
        </w:rPr>
        <w:t>资格审查表</w:t>
      </w:r>
    </w:p>
    <w:p w14:paraId="389CC3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cs="宋体"/>
          <w:bCs/>
          <w:sz w:val="24"/>
          <w:szCs w:val="24"/>
          <w:lang w:val="en-US" w:eastAsia="zh-CN" w:bidi="ar-SA"/>
        </w:rPr>
      </w:pPr>
      <w:r>
        <w:rPr>
          <w:rFonts w:hint="eastAsia" w:eastAsia="宋体" w:cs="宋体"/>
          <w:bCs/>
          <w:sz w:val="24"/>
          <w:szCs w:val="24"/>
          <w:lang w:val="en-US" w:eastAsia="zh-CN" w:bidi="ar-SA"/>
        </w:rPr>
        <w:t>七</w:t>
      </w:r>
      <w:r>
        <w:rPr>
          <w:rFonts w:hint="eastAsia" w:ascii="宋体" w:eastAsia="宋体" w:cs="宋体"/>
          <w:bCs/>
          <w:sz w:val="24"/>
          <w:szCs w:val="24"/>
          <w:lang w:bidi="ar-SA"/>
        </w:rPr>
        <w:t>、</w:t>
      </w:r>
      <w:r>
        <w:rPr>
          <w:rFonts w:hint="eastAsia" w:cs="宋体"/>
          <w:bCs/>
          <w:sz w:val="24"/>
          <w:szCs w:val="24"/>
          <w:lang w:val="en-US" w:eastAsia="zh-CN" w:bidi="ar-SA"/>
        </w:rPr>
        <w:t>项目技术方案</w:t>
      </w:r>
    </w:p>
    <w:p w14:paraId="514011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cs="宋体"/>
          <w:bCs/>
          <w:sz w:val="24"/>
          <w:szCs w:val="24"/>
          <w:lang w:val="en-US" w:eastAsia="zh-CN" w:bidi="ar-SA"/>
        </w:rPr>
      </w:pPr>
      <w:r>
        <w:rPr>
          <w:rFonts w:hint="eastAsia" w:eastAsia="宋体" w:cs="宋体"/>
          <w:bCs/>
          <w:sz w:val="24"/>
          <w:szCs w:val="24"/>
          <w:lang w:val="en-US" w:eastAsia="zh-CN" w:bidi="ar-SA"/>
        </w:rPr>
        <w:t>八</w:t>
      </w:r>
      <w:r>
        <w:rPr>
          <w:rFonts w:hint="eastAsia" w:ascii="宋体" w:eastAsia="宋体" w:cs="宋体"/>
          <w:bCs/>
          <w:sz w:val="24"/>
          <w:szCs w:val="24"/>
          <w:lang w:bidi="ar-SA"/>
        </w:rPr>
        <w:t>、</w:t>
      </w:r>
      <w:r>
        <w:rPr>
          <w:rFonts w:hint="eastAsia" w:cs="宋体"/>
          <w:bCs/>
          <w:sz w:val="24"/>
          <w:szCs w:val="24"/>
          <w:lang w:val="en-US" w:eastAsia="zh-CN" w:bidi="ar-SA"/>
        </w:rPr>
        <w:t>服务承诺</w:t>
      </w:r>
    </w:p>
    <w:p w14:paraId="321E0C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宋体" w:cs="宋体"/>
          <w:bCs/>
          <w:sz w:val="24"/>
          <w:szCs w:val="24"/>
          <w:lang w:val="en-US" w:eastAsia="zh-CN" w:bidi="ar-SA"/>
        </w:rPr>
      </w:pPr>
      <w:r>
        <w:rPr>
          <w:rFonts w:hint="eastAsia" w:eastAsia="宋体" w:cs="宋体"/>
          <w:bCs/>
          <w:sz w:val="24"/>
          <w:szCs w:val="24"/>
          <w:lang w:val="en-US" w:eastAsia="zh-CN" w:bidi="ar-SA"/>
        </w:rPr>
        <w:t>九</w:t>
      </w:r>
      <w:r>
        <w:rPr>
          <w:rFonts w:hint="eastAsia" w:ascii="宋体" w:eastAsia="宋体" w:cs="宋体"/>
          <w:bCs/>
          <w:sz w:val="24"/>
          <w:szCs w:val="24"/>
          <w:lang w:bidi="ar-SA"/>
        </w:rPr>
        <w:t>、</w:t>
      </w:r>
      <w:r>
        <w:rPr>
          <w:rFonts w:hint="eastAsia" w:ascii="宋体" w:eastAsia="宋体" w:cs="宋体"/>
          <w:bCs/>
          <w:sz w:val="24"/>
          <w:szCs w:val="24"/>
          <w:lang w:val="en-US" w:eastAsia="zh-CN" w:bidi="ar-SA"/>
        </w:rPr>
        <w:t>综合材料</w:t>
      </w:r>
    </w:p>
    <w:p w14:paraId="72D8EED3">
      <w:pPr>
        <w:pStyle w:val="5"/>
        <w:bidi w:val="0"/>
        <w:jc w:val="center"/>
        <w:rPr>
          <w:rFonts w:hint="default" w:eastAsia="黑体"/>
          <w:lang w:val="en-US" w:eastAsia="zh-CN"/>
        </w:rPr>
      </w:pPr>
      <w:r>
        <w:rPr>
          <w:rFonts w:hint="eastAsia"/>
        </w:rPr>
        <w:br w:type="page"/>
      </w:r>
      <w:bookmarkStart w:id="942" w:name="_Toc26987"/>
      <w:r>
        <w:rPr>
          <w:rFonts w:hint="eastAsia" w:ascii="宋体" w:hAnsi="宋体" w:eastAsia="宋体" w:cs="宋体"/>
          <w:sz w:val="28"/>
          <w:szCs w:val="28"/>
        </w:rPr>
        <w:t>一、</w:t>
      </w:r>
      <w:r>
        <w:rPr>
          <w:rFonts w:hint="eastAsia" w:ascii="宋体" w:hAnsi="宋体" w:eastAsia="宋体" w:cs="宋体"/>
          <w:sz w:val="28"/>
          <w:szCs w:val="28"/>
          <w:lang w:val="en-US" w:eastAsia="zh-CN"/>
        </w:rPr>
        <w:t>响应函</w:t>
      </w:r>
      <w:r>
        <w:rPr>
          <w:rFonts w:hint="eastAsia" w:ascii="宋体" w:hAnsi="宋体" w:eastAsia="宋体" w:cs="宋体"/>
          <w:sz w:val="28"/>
          <w:szCs w:val="28"/>
        </w:rPr>
        <w:t>及</w:t>
      </w:r>
      <w:r>
        <w:rPr>
          <w:rFonts w:hint="eastAsia" w:ascii="宋体" w:hAnsi="宋体" w:eastAsia="宋体" w:cs="宋体"/>
          <w:sz w:val="28"/>
          <w:szCs w:val="28"/>
          <w:lang w:val="en-US" w:eastAsia="zh-CN"/>
        </w:rPr>
        <w:t>响应函附录</w:t>
      </w:r>
      <w:bookmarkEnd w:id="942"/>
    </w:p>
    <w:p w14:paraId="7EA61430">
      <w:pPr>
        <w:pStyle w:val="6"/>
        <w:bidi w:val="0"/>
        <w:jc w:val="center"/>
        <w:rPr>
          <w:rFonts w:hint="eastAsia" w:ascii="宋体" w:hAnsi="宋体" w:eastAsia="宋体" w:cs="宋体"/>
          <w:sz w:val="28"/>
          <w:szCs w:val="28"/>
          <w:lang w:eastAsia="zh-CN"/>
        </w:rPr>
      </w:pPr>
      <w:bookmarkStart w:id="943" w:name="_Toc1593"/>
      <w:bookmarkStart w:id="944" w:name="_Toc251767424"/>
      <w:bookmarkStart w:id="945" w:name="_Toc191983685"/>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一）响应函</w:t>
      </w:r>
      <w:bookmarkEnd w:id="943"/>
    </w:p>
    <w:p w14:paraId="26679370">
      <w:pPr>
        <w:spacing w:line="400" w:lineRule="exact"/>
        <w:rPr>
          <w:rFonts w:hint="eastAsia" w:ascii="宋体" w:eastAsia="宋体" w:cs="宋体"/>
          <w:color w:val="000000"/>
          <w:sz w:val="24"/>
          <w:szCs w:val="24"/>
          <w:u w:val="single"/>
          <w:lang w:val="en-US" w:eastAsia="zh-CN" w:bidi="ar-SA"/>
        </w:rPr>
      </w:pPr>
      <w:r>
        <w:rPr>
          <w:rFonts w:hint="eastAsia" w:ascii="宋体" w:eastAsia="宋体" w:cs="宋体"/>
          <w:color w:val="000000"/>
          <w:sz w:val="24"/>
          <w:szCs w:val="24"/>
          <w:lang w:bidi="ar-SA"/>
        </w:rPr>
        <w:t>致：</w:t>
      </w:r>
      <w:r>
        <w:rPr>
          <w:rFonts w:hint="eastAsia" w:ascii="宋体" w:eastAsia="宋体" w:cs="宋体"/>
          <w:color w:val="000000"/>
          <w:sz w:val="24"/>
          <w:szCs w:val="24"/>
          <w:lang w:val="en-US" w:eastAsia="zh-CN" w:bidi="ar-SA"/>
        </w:rPr>
        <w:t xml:space="preserve"> </w:t>
      </w:r>
      <w:r>
        <w:rPr>
          <w:rFonts w:hint="eastAsia" w:ascii="宋体" w:eastAsia="宋体" w:cs="宋体"/>
          <w:color w:val="000000"/>
          <w:sz w:val="24"/>
          <w:szCs w:val="24"/>
          <w:u w:val="single"/>
          <w:lang w:val="en-US" w:eastAsia="zh-CN" w:bidi="ar-SA"/>
        </w:rPr>
        <w:t xml:space="preserve">       （采购人）</w:t>
      </w:r>
    </w:p>
    <w:p w14:paraId="6961CA38">
      <w:pPr>
        <w:pStyle w:val="424"/>
        <w:spacing w:line="400" w:lineRule="exact"/>
        <w:ind w:firstLine="600" w:firstLineChars="250"/>
        <w:rPr>
          <w:rFonts w:hint="eastAsia" w:ascii="宋体" w:eastAsia="宋体" w:cs="宋体"/>
          <w:sz w:val="24"/>
          <w:szCs w:val="24"/>
          <w:lang w:bidi="ar-SA"/>
        </w:rPr>
      </w:pPr>
      <w:r>
        <w:rPr>
          <w:rFonts w:hint="eastAsia" w:ascii="宋体" w:eastAsia="宋体" w:cs="宋体"/>
          <w:sz w:val="24"/>
          <w:szCs w:val="24"/>
          <w:lang w:bidi="ar-SA"/>
        </w:rPr>
        <w:t>根据贵方</w:t>
      </w:r>
      <w:r>
        <w:rPr>
          <w:rFonts w:hint="eastAsia" w:ascii="宋体" w:eastAsia="宋体" w:cs="宋体"/>
          <w:sz w:val="24"/>
          <w:szCs w:val="24"/>
          <w:u w:val="single"/>
          <w:lang w:bidi="ar-SA"/>
        </w:rPr>
        <w:t xml:space="preserve">              </w:t>
      </w:r>
      <w:r>
        <w:rPr>
          <w:rFonts w:hint="eastAsia" w:ascii="宋体" w:eastAsia="宋体" w:cs="宋体"/>
          <w:sz w:val="24"/>
          <w:szCs w:val="24"/>
          <w:lang w:bidi="ar-SA"/>
        </w:rPr>
        <w:t>项目的竞争性磋商邀请（项目编号：</w:t>
      </w:r>
      <w:r>
        <w:rPr>
          <w:rFonts w:hint="eastAsia" w:ascii="宋体" w:eastAsia="宋体" w:cs="宋体"/>
          <w:sz w:val="24"/>
          <w:szCs w:val="24"/>
          <w:u w:val="single"/>
          <w:lang w:bidi="ar-SA"/>
        </w:rPr>
        <w:t xml:space="preserve">           </w:t>
      </w:r>
      <w:r>
        <w:rPr>
          <w:rFonts w:hint="eastAsia" w:ascii="宋体" w:eastAsia="宋体" w:cs="宋体"/>
          <w:sz w:val="24"/>
          <w:szCs w:val="24"/>
          <w:lang w:bidi="ar-SA"/>
        </w:rPr>
        <w:t>），委托代理人</w:t>
      </w:r>
      <w:r>
        <w:rPr>
          <w:rFonts w:hint="eastAsia" w:ascii="宋体" w:eastAsia="宋体" w:cs="宋体"/>
          <w:sz w:val="24"/>
          <w:szCs w:val="24"/>
          <w:u w:val="single"/>
          <w:lang w:bidi="ar-SA"/>
        </w:rPr>
        <w:t xml:space="preserve">      </w:t>
      </w:r>
      <w:r>
        <w:rPr>
          <w:rFonts w:hint="eastAsia" w:ascii="宋体" w:eastAsia="宋体" w:cs="宋体"/>
          <w:sz w:val="24"/>
          <w:szCs w:val="24"/>
          <w:lang w:bidi="ar-SA"/>
        </w:rPr>
        <w:t>(全名、职务)代表</w:t>
      </w:r>
      <w:r>
        <w:rPr>
          <w:rFonts w:hint="eastAsia" w:ascii="宋体" w:eastAsia="宋体" w:cs="宋体"/>
          <w:sz w:val="24"/>
          <w:szCs w:val="24"/>
          <w:u w:val="single"/>
          <w:lang w:bidi="ar-SA"/>
        </w:rPr>
        <w:t xml:space="preserve">              </w:t>
      </w:r>
      <w:r>
        <w:rPr>
          <w:rFonts w:hint="eastAsia" w:ascii="宋体" w:eastAsia="宋体" w:cs="宋体"/>
          <w:sz w:val="24"/>
          <w:szCs w:val="24"/>
          <w:lang w:bidi="ar-SA"/>
        </w:rPr>
        <w:t>（供应商名称、地址)提交下述文件，并对之负法律责任。</w:t>
      </w:r>
    </w:p>
    <w:p w14:paraId="3F346641">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据此函，宣布同意如下：</w:t>
      </w:r>
    </w:p>
    <w:p w14:paraId="6AD61849">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(1)我们完全理解贵方不一定要接受最低报价，并同意本文件规定的响应性文件有效期。</w:t>
      </w:r>
    </w:p>
    <w:p w14:paraId="7160B3CD">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(2)我们已详细审核全部竞争性磋商文件，我们知道必须放弃提出含糊不清或误解的问题的权利。</w:t>
      </w:r>
    </w:p>
    <w:p w14:paraId="64C23FD8">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（3）同意向贵方提供贵方可能另外要求的与其竞争性磋商有关的任何证据和资料。</w:t>
      </w:r>
    </w:p>
    <w:p w14:paraId="7C5C0DCA">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(4)一旦我们成交，我们将严格履行合同责任和义务。</w:t>
      </w:r>
    </w:p>
    <w:p w14:paraId="032F4698">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(5)我们完全理解不向未成交人解释未成交理由的义务。</w:t>
      </w:r>
    </w:p>
    <w:p w14:paraId="410BE2C2">
      <w:pPr>
        <w:pStyle w:val="424"/>
        <w:spacing w:line="400" w:lineRule="exact"/>
        <w:ind w:firstLine="501" w:firstLineChars="209"/>
        <w:rPr>
          <w:rFonts w:hint="eastAsia" w:ascii="宋体" w:eastAsia="宋体" w:cs="宋体"/>
          <w:sz w:val="24"/>
          <w:szCs w:val="24"/>
          <w:lang w:eastAsia="zh-CN" w:bidi="ar-SA"/>
        </w:rPr>
      </w:pPr>
      <w:r>
        <w:rPr>
          <w:rFonts w:hint="eastAsia" w:ascii="宋体" w:eastAsia="宋体" w:cs="宋体"/>
          <w:sz w:val="24"/>
          <w:szCs w:val="24"/>
          <w:lang w:bidi="ar-SA"/>
        </w:rPr>
        <w:t>(6)与本次竞争性磋商有关的正式通讯地址为：</w:t>
      </w:r>
    </w:p>
    <w:p w14:paraId="2E951336">
      <w:pPr>
        <w:pStyle w:val="424"/>
        <w:spacing w:line="400" w:lineRule="exact"/>
        <w:ind w:firstLine="501" w:firstLineChars="209"/>
        <w:rPr>
          <w:rFonts w:hint="eastAsia" w:ascii="宋体" w:eastAsia="宋体" w:cs="宋体"/>
          <w:sz w:val="24"/>
          <w:szCs w:val="24"/>
          <w:lang w:eastAsia="zh-CN" w:bidi="ar-SA"/>
        </w:rPr>
      </w:pPr>
      <w:r>
        <w:rPr>
          <w:rFonts w:hint="eastAsia" w:ascii="宋体" w:eastAsia="宋体" w:cs="宋体"/>
          <w:sz w:val="24"/>
          <w:szCs w:val="24"/>
          <w:lang w:bidi="ar-SA"/>
        </w:rPr>
        <w:t xml:space="preserve">    地 址：</w:t>
      </w:r>
    </w:p>
    <w:p w14:paraId="2EAD66F6">
      <w:pPr>
        <w:pStyle w:val="424"/>
        <w:spacing w:line="400" w:lineRule="exact"/>
        <w:ind w:firstLine="501" w:firstLineChars="209"/>
        <w:rPr>
          <w:rFonts w:hint="eastAsia" w:ascii="宋体" w:eastAsia="宋体" w:cs="宋体"/>
          <w:sz w:val="24"/>
          <w:szCs w:val="24"/>
          <w:lang w:eastAsia="zh-CN" w:bidi="ar-SA"/>
        </w:rPr>
      </w:pPr>
      <w:r>
        <w:rPr>
          <w:rFonts w:hint="eastAsia" w:ascii="宋体" w:eastAsia="宋体" w:cs="宋体"/>
          <w:sz w:val="24"/>
          <w:szCs w:val="24"/>
          <w:lang w:bidi="ar-SA"/>
        </w:rPr>
        <w:t xml:space="preserve">    邮 编：</w:t>
      </w:r>
    </w:p>
    <w:p w14:paraId="792DEFB0">
      <w:pPr>
        <w:pStyle w:val="424"/>
        <w:spacing w:line="400" w:lineRule="exact"/>
        <w:ind w:firstLine="501" w:firstLineChars="209"/>
        <w:rPr>
          <w:rFonts w:hint="eastAsia" w:ascii="宋体" w:eastAsia="宋体" w:cs="宋体"/>
          <w:sz w:val="24"/>
          <w:szCs w:val="24"/>
          <w:lang w:eastAsia="zh-CN" w:bidi="ar-SA"/>
        </w:rPr>
      </w:pPr>
      <w:r>
        <w:rPr>
          <w:rFonts w:hint="eastAsia" w:ascii="宋体" w:eastAsia="宋体" w:cs="宋体"/>
          <w:sz w:val="24"/>
          <w:szCs w:val="24"/>
          <w:lang w:bidi="ar-SA"/>
        </w:rPr>
        <w:t xml:space="preserve">    电 话：</w:t>
      </w:r>
    </w:p>
    <w:p w14:paraId="043A0467">
      <w:pPr>
        <w:pStyle w:val="424"/>
        <w:spacing w:line="400" w:lineRule="exact"/>
        <w:ind w:firstLine="501" w:firstLineChars="209"/>
        <w:rPr>
          <w:rFonts w:hint="eastAsia" w:ascii="宋体" w:eastAsia="宋体" w:cs="宋体"/>
          <w:sz w:val="24"/>
          <w:szCs w:val="24"/>
          <w:lang w:bidi="ar-SA"/>
        </w:rPr>
      </w:pPr>
      <w:r>
        <w:rPr>
          <w:rFonts w:hint="eastAsia" w:ascii="宋体" w:eastAsia="宋体" w:cs="宋体"/>
          <w:sz w:val="24"/>
          <w:szCs w:val="24"/>
          <w:lang w:bidi="ar-SA"/>
        </w:rPr>
        <w:t xml:space="preserve">    传 真：</w:t>
      </w:r>
    </w:p>
    <w:p w14:paraId="2CE1710B">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我们保证：</w:t>
      </w:r>
    </w:p>
    <w:p w14:paraId="2072CFBF">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(1)不提供虚假材料谋取成交；</w:t>
      </w:r>
    </w:p>
    <w:p w14:paraId="7E65650C">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(2)不以不正当手段抵毁、排挤其他供应商；</w:t>
      </w:r>
    </w:p>
    <w:p w14:paraId="4CFE5927">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(3)不与采购人，采购人恶意串通；</w:t>
      </w:r>
    </w:p>
    <w:p w14:paraId="2B4677B4">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(4)不向采购人，采购人提供不正当利益；</w:t>
      </w:r>
    </w:p>
    <w:p w14:paraId="0F99FE4A">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(5)不拒绝有关部门监督检查或提供虚假情况。</w:t>
      </w:r>
    </w:p>
    <w:p w14:paraId="68CE6C4B">
      <w:pPr>
        <w:spacing w:line="440" w:lineRule="exact"/>
        <w:ind w:firstLine="1920" w:firstLineChars="800"/>
        <w:jc w:val="left"/>
        <w:rPr>
          <w:rFonts w:hint="eastAsia" w:ascii="宋体" w:eastAsia="宋体" w:cs="宋体"/>
          <w:color w:val="000000"/>
          <w:sz w:val="24"/>
          <w:szCs w:val="24"/>
          <w:lang w:eastAsia="zh-CN" w:bidi="ar-SA"/>
        </w:rPr>
      </w:pPr>
      <w:r>
        <w:rPr>
          <w:rFonts w:hint="eastAsia" w:ascii="宋体" w:eastAsia="宋体" w:cs="宋体"/>
          <w:color w:val="000000"/>
          <w:sz w:val="24"/>
          <w:szCs w:val="24"/>
          <w:lang w:bidi="ar-SA"/>
        </w:rPr>
        <w:t xml:space="preserve">    </w:t>
      </w:r>
    </w:p>
    <w:p w14:paraId="2EBC7649">
      <w:pPr>
        <w:spacing w:line="440" w:lineRule="exact"/>
        <w:ind w:firstLine="1920" w:firstLineChars="800"/>
        <w:jc w:val="left"/>
        <w:rPr>
          <w:rFonts w:hint="eastAsia" w:ascii="宋体" w:eastAsia="宋体" w:cs="宋体"/>
          <w:sz w:val="24"/>
          <w:szCs w:val="24"/>
          <w:lang w:bidi="ar-SA"/>
        </w:rPr>
      </w:pPr>
      <w:r>
        <w:rPr>
          <w:rFonts w:hint="eastAsia" w:ascii="宋体" w:eastAsia="宋体" w:cs="宋体"/>
          <w:color w:val="000000"/>
          <w:sz w:val="24"/>
          <w:szCs w:val="24"/>
          <w:lang w:bidi="ar-SA"/>
        </w:rPr>
        <w:t xml:space="preserve">        </w:t>
      </w:r>
      <w:r>
        <w:rPr>
          <w:rFonts w:hint="eastAsia" w:ascii="宋体" w:eastAsia="宋体" w:cs="宋体"/>
          <w:sz w:val="24"/>
          <w:szCs w:val="24"/>
          <w:lang w:bidi="ar-SA"/>
        </w:rPr>
        <w:t>供应商：</w:t>
      </w:r>
      <w:r>
        <w:rPr>
          <w:rFonts w:hint="eastAsia" w:ascii="宋体" w:eastAsia="宋体" w:cs="宋体"/>
          <w:sz w:val="24"/>
          <w:szCs w:val="24"/>
          <w:u w:val="single"/>
          <w:lang w:bidi="ar-SA"/>
        </w:rPr>
        <w:t xml:space="preserve">               </w:t>
      </w:r>
      <w:r>
        <w:rPr>
          <w:rFonts w:hint="eastAsia" w:ascii="宋体" w:eastAsia="宋体" w:cs="宋体"/>
          <w:sz w:val="24"/>
          <w:szCs w:val="24"/>
          <w:lang w:bidi="ar-SA"/>
        </w:rPr>
        <w:t>（盖单位章）</w:t>
      </w:r>
    </w:p>
    <w:p w14:paraId="680DBE38">
      <w:pPr>
        <w:spacing w:line="440" w:lineRule="exact"/>
        <w:ind w:firstLine="2880" w:firstLineChars="1200"/>
        <w:jc w:val="left"/>
        <w:rPr>
          <w:rFonts w:hint="eastAsia" w:ascii="宋体" w:eastAsia="宋体" w:cs="宋体"/>
          <w:sz w:val="24"/>
          <w:szCs w:val="24"/>
          <w:lang w:bidi="ar-SA"/>
        </w:rPr>
      </w:pPr>
      <w:r>
        <w:rPr>
          <w:rFonts w:hint="eastAsia" w:ascii="宋体" w:eastAsia="宋体" w:cs="宋体"/>
          <w:sz w:val="24"/>
          <w:szCs w:val="24"/>
          <w:lang w:bidi="ar-SA"/>
        </w:rPr>
        <w:t>法定代表人</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负责人</w:t>
      </w:r>
      <w:r>
        <w:rPr>
          <w:rFonts w:hint="eastAsia" w:ascii="宋体" w:eastAsia="宋体" w:cs="宋体"/>
          <w:sz w:val="24"/>
          <w:szCs w:val="24"/>
          <w:lang w:eastAsia="zh-CN" w:bidi="ar-SA"/>
        </w:rPr>
        <w:t>）</w:t>
      </w:r>
      <w:r>
        <w:rPr>
          <w:rFonts w:hint="eastAsia" w:ascii="宋体" w:eastAsia="宋体" w:cs="宋体"/>
          <w:sz w:val="24"/>
          <w:szCs w:val="24"/>
          <w:lang w:bidi="ar-SA"/>
        </w:rPr>
        <w:t>或其委托代理人：</w:t>
      </w:r>
      <w:r>
        <w:rPr>
          <w:rFonts w:hint="eastAsia" w:ascii="宋体" w:eastAsia="宋体" w:cs="宋体"/>
          <w:sz w:val="24"/>
          <w:szCs w:val="24"/>
          <w:u w:val="single"/>
          <w:lang w:bidi="ar-SA"/>
        </w:rPr>
        <w:t xml:space="preserve">    </w:t>
      </w:r>
      <w:r>
        <w:rPr>
          <w:rFonts w:hint="eastAsia" w:ascii="宋体" w:eastAsia="宋体" w:cs="宋体"/>
          <w:sz w:val="24"/>
          <w:szCs w:val="24"/>
          <w:lang w:bidi="ar-SA"/>
        </w:rPr>
        <w:t>（签字或盖章）</w:t>
      </w:r>
    </w:p>
    <w:p w14:paraId="6ED2C483">
      <w:pPr>
        <w:ind w:firstLine="3120" w:firstLineChars="1300"/>
        <w:jc w:val="left"/>
        <w:rPr>
          <w:rFonts w:hint="eastAsia" w:ascii="宋体" w:eastAsia="宋体" w:cs="宋体"/>
          <w:sz w:val="24"/>
          <w:szCs w:val="24"/>
          <w:lang w:bidi="ar-SA"/>
        </w:rPr>
      </w:pPr>
      <w:r>
        <w:rPr>
          <w:rFonts w:hint="eastAsia" w:ascii="宋体" w:eastAsia="宋体" w:cs="宋体"/>
          <w:sz w:val="24"/>
          <w:szCs w:val="24"/>
          <w:u w:val="single"/>
          <w:lang w:bidi="ar-SA"/>
        </w:rPr>
        <w:t xml:space="preserve">     </w:t>
      </w:r>
      <w:r>
        <w:rPr>
          <w:rFonts w:hint="eastAsia" w:ascii="宋体" w:eastAsia="宋体" w:cs="宋体"/>
          <w:sz w:val="24"/>
          <w:szCs w:val="24"/>
          <w:lang w:bidi="ar-SA"/>
        </w:rPr>
        <w:t>年</w:t>
      </w:r>
      <w:r>
        <w:rPr>
          <w:rFonts w:hint="eastAsia" w:ascii="宋体" w:eastAsia="宋体" w:cs="宋体"/>
          <w:sz w:val="24"/>
          <w:szCs w:val="24"/>
          <w:u w:val="single"/>
          <w:lang w:bidi="ar-SA"/>
        </w:rPr>
        <w:t xml:space="preserve">      </w:t>
      </w:r>
      <w:r>
        <w:rPr>
          <w:rFonts w:hint="eastAsia" w:ascii="宋体" w:eastAsia="宋体" w:cs="宋体"/>
          <w:sz w:val="24"/>
          <w:szCs w:val="24"/>
          <w:lang w:bidi="ar-SA"/>
        </w:rPr>
        <w:t>月</w:t>
      </w:r>
      <w:r>
        <w:rPr>
          <w:rFonts w:hint="eastAsia" w:ascii="宋体" w:eastAsia="宋体" w:cs="宋体"/>
          <w:sz w:val="24"/>
          <w:szCs w:val="24"/>
          <w:u w:val="single"/>
          <w:lang w:bidi="ar-SA"/>
        </w:rPr>
        <w:t xml:space="preserve">       </w:t>
      </w:r>
      <w:r>
        <w:rPr>
          <w:rFonts w:hint="eastAsia" w:ascii="宋体" w:eastAsia="宋体" w:cs="宋体"/>
          <w:sz w:val="24"/>
          <w:szCs w:val="24"/>
          <w:lang w:bidi="ar-SA"/>
        </w:rPr>
        <w:t>日</w:t>
      </w:r>
    </w:p>
    <w:p w14:paraId="6D56FD7B">
      <w:pPr>
        <w:bidi w:val="0"/>
        <w:rPr>
          <w:rFonts w:hint="eastAsia"/>
        </w:rPr>
      </w:pPr>
    </w:p>
    <w:p w14:paraId="40E4081E">
      <w:pPr>
        <w:bidi w:val="0"/>
        <w:rPr>
          <w:rFonts w:hint="eastAsia"/>
        </w:rPr>
      </w:pPr>
    </w:p>
    <w:p w14:paraId="49B81DB3">
      <w:pPr>
        <w:bidi w:val="0"/>
        <w:rPr>
          <w:rFonts w:hint="eastAsia"/>
        </w:rPr>
      </w:pPr>
    </w:p>
    <w:p w14:paraId="2F618C1D">
      <w:pPr>
        <w:bidi w:val="0"/>
        <w:rPr>
          <w:rFonts w:hint="eastAsia"/>
        </w:rPr>
      </w:pPr>
    </w:p>
    <w:p w14:paraId="6E65975B">
      <w:pPr>
        <w:pStyle w:val="6"/>
        <w:bidi w:val="0"/>
        <w:jc w:val="center"/>
        <w:rPr>
          <w:rFonts w:hint="default" w:ascii="宋体" w:hAnsi="宋体" w:eastAsia="宋体" w:cs="宋体"/>
          <w:sz w:val="28"/>
          <w:szCs w:val="28"/>
          <w:lang w:val="en-US" w:eastAsia="zh-CN"/>
        </w:rPr>
      </w:pPr>
      <w:bookmarkStart w:id="946" w:name="_Toc349210434"/>
      <w:bookmarkStart w:id="947" w:name="_Toc393984485"/>
      <w:bookmarkStart w:id="948" w:name="_Toc29454"/>
      <w:r>
        <w:rPr>
          <w:rFonts w:hint="eastAsia" w:ascii="宋体" w:hAnsi="宋体" w:eastAsia="宋体" w:cs="宋体"/>
          <w:sz w:val="28"/>
          <w:szCs w:val="28"/>
          <w:lang w:eastAsia="zh-CN"/>
        </w:rPr>
        <w:t>（二）</w:t>
      </w:r>
      <w:bookmarkEnd w:id="944"/>
      <w:bookmarkEnd w:id="945"/>
      <w:bookmarkEnd w:id="946"/>
      <w:bookmarkEnd w:id="947"/>
      <w:r>
        <w:rPr>
          <w:rFonts w:hint="eastAsia" w:ascii="宋体" w:hAnsi="宋体" w:eastAsia="宋体" w:cs="宋体"/>
          <w:sz w:val="28"/>
          <w:szCs w:val="28"/>
          <w:lang w:val="en-US" w:eastAsia="zh-CN"/>
        </w:rPr>
        <w:t>响应函附录</w:t>
      </w:r>
      <w:bookmarkEnd w:id="948"/>
    </w:p>
    <w:p w14:paraId="34595028">
      <w:pPr>
        <w:spacing w:line="360" w:lineRule="auto"/>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val="en-US" w:eastAsia="zh-CN" w:bidi="ar-SA"/>
        </w:rPr>
        <w:t>项目</w:t>
      </w:r>
      <w:r>
        <w:rPr>
          <w:rFonts w:hint="eastAsia" w:asciiTheme="minorEastAsia" w:hAnsiTheme="minorEastAsia" w:eastAsiaTheme="minorEastAsia" w:cstheme="minorEastAsia"/>
          <w:color w:val="000000"/>
          <w:sz w:val="24"/>
          <w:szCs w:val="24"/>
          <w:lang w:bidi="ar-SA"/>
        </w:rPr>
        <w:t xml:space="preserve">编号：                      </w:t>
      </w:r>
    </w:p>
    <w:tbl>
      <w:tblPr>
        <w:tblStyle w:val="54"/>
        <w:tblW w:w="10419" w:type="dxa"/>
        <w:jc w:val="center"/>
        <w:tblLayout w:type="fixed"/>
        <w:tblCellMar>
          <w:top w:w="0" w:type="dxa"/>
          <w:left w:w="0" w:type="dxa"/>
          <w:bottom w:w="0" w:type="dxa"/>
          <w:right w:w="0" w:type="dxa"/>
        </w:tblCellMar>
      </w:tblPr>
      <w:tblGrid>
        <w:gridCol w:w="2672"/>
        <w:gridCol w:w="7747"/>
      </w:tblGrid>
      <w:tr w14:paraId="36C3B7F0">
        <w:tblPrEx>
          <w:tblCellMar>
            <w:top w:w="0" w:type="dxa"/>
            <w:left w:w="0" w:type="dxa"/>
            <w:bottom w:w="0" w:type="dxa"/>
            <w:right w:w="0" w:type="dxa"/>
          </w:tblCellMar>
        </w:tblPrEx>
        <w:trPr>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20C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项目名称</w:t>
            </w:r>
          </w:p>
        </w:tc>
        <w:tc>
          <w:tcPr>
            <w:tcW w:w="774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2B6C1F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40068953">
        <w:tblPrEx>
          <w:tblCellMar>
            <w:top w:w="0" w:type="dxa"/>
            <w:left w:w="0" w:type="dxa"/>
            <w:bottom w:w="0" w:type="dxa"/>
            <w:right w:w="0" w:type="dxa"/>
          </w:tblCellMar>
        </w:tblPrEx>
        <w:trPr>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9BA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投标人名称</w:t>
            </w:r>
          </w:p>
        </w:tc>
        <w:tc>
          <w:tcPr>
            <w:tcW w:w="774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82B17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38FA7952">
        <w:tblPrEx>
          <w:tblCellMar>
            <w:top w:w="0" w:type="dxa"/>
            <w:left w:w="0" w:type="dxa"/>
            <w:bottom w:w="0" w:type="dxa"/>
            <w:right w:w="0" w:type="dxa"/>
          </w:tblCellMar>
        </w:tblPrEx>
        <w:trPr>
          <w:cantSplit/>
          <w:trHeight w:val="1341"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7502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投标报价（元）</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687D08B4">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lang w:bidi="ar-SA"/>
              </w:rPr>
            </w:pPr>
          </w:p>
          <w:p w14:paraId="02403512">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u w:val="single"/>
                <w:lang w:bidi="ar-SA"/>
              </w:rPr>
            </w:pPr>
            <w:r>
              <w:rPr>
                <w:rFonts w:hint="eastAsia" w:asciiTheme="minorEastAsia" w:hAnsiTheme="minorEastAsia" w:eastAsiaTheme="minorEastAsia" w:cstheme="minorEastAsia"/>
                <w:color w:val="000000"/>
                <w:sz w:val="24"/>
                <w:szCs w:val="24"/>
                <w:lang w:bidi="ar-SA"/>
              </w:rPr>
              <w:t>大写：</w:t>
            </w:r>
            <w:r>
              <w:rPr>
                <w:rFonts w:hint="eastAsia" w:asciiTheme="minorEastAsia" w:hAnsiTheme="minorEastAsia" w:eastAsiaTheme="minorEastAsia" w:cstheme="minorEastAsia"/>
                <w:color w:val="000000"/>
                <w:sz w:val="24"/>
                <w:szCs w:val="24"/>
                <w:lang w:val="en-US" w:eastAsia="zh-CN" w:bidi="ar-SA"/>
              </w:rPr>
              <w:t xml:space="preserve"> </w:t>
            </w:r>
            <w:r>
              <w:rPr>
                <w:rFonts w:hint="eastAsia" w:asciiTheme="minorEastAsia" w:hAnsiTheme="minorEastAsia" w:eastAsiaTheme="minorEastAsia" w:cstheme="minorEastAsia"/>
                <w:color w:val="000000"/>
                <w:sz w:val="24"/>
                <w:szCs w:val="24"/>
                <w:u w:val="single"/>
                <w:lang w:val="en-US" w:eastAsia="zh-CN" w:bidi="ar-SA"/>
              </w:rPr>
              <w:t xml:space="preserve">          </w:t>
            </w:r>
            <w:r>
              <w:rPr>
                <w:rFonts w:hint="eastAsia" w:asciiTheme="minorEastAsia" w:hAnsiTheme="minorEastAsia" w:eastAsiaTheme="minorEastAsia" w:cstheme="minorEastAsia"/>
                <w:color w:val="000000"/>
                <w:sz w:val="24"/>
                <w:szCs w:val="24"/>
                <w:lang w:val="en-US" w:eastAsia="zh-CN" w:bidi="ar-SA"/>
              </w:rPr>
              <w:t>，</w:t>
            </w:r>
          </w:p>
          <w:p w14:paraId="1827EF2F">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小写：</w:t>
            </w:r>
            <w:r>
              <w:rPr>
                <w:rFonts w:hint="eastAsia" w:asciiTheme="minorEastAsia" w:hAnsiTheme="minorEastAsia" w:eastAsiaTheme="minorEastAsia" w:cstheme="minorEastAsia"/>
                <w:color w:val="000000"/>
                <w:sz w:val="24"/>
                <w:szCs w:val="24"/>
                <w:lang w:val="en-US" w:eastAsia="zh-CN" w:bidi="ar-SA"/>
              </w:rPr>
              <w:t xml:space="preserve"> </w:t>
            </w:r>
            <w:r>
              <w:rPr>
                <w:rFonts w:hint="eastAsia" w:asciiTheme="minorEastAsia" w:hAnsiTheme="minorEastAsia" w:eastAsiaTheme="minorEastAsia" w:cstheme="minorEastAsia"/>
                <w:color w:val="000000"/>
                <w:sz w:val="24"/>
                <w:szCs w:val="24"/>
                <w:u w:val="single"/>
                <w:lang w:val="en-US" w:eastAsia="zh-CN" w:bidi="ar-SA"/>
              </w:rPr>
              <w:t xml:space="preserve">          </w:t>
            </w:r>
            <w:r>
              <w:rPr>
                <w:rFonts w:hint="eastAsia" w:asciiTheme="minorEastAsia" w:hAnsiTheme="minorEastAsia" w:eastAsiaTheme="minorEastAsia" w:cstheme="minorEastAsia"/>
                <w:color w:val="000000"/>
                <w:sz w:val="24"/>
                <w:szCs w:val="24"/>
                <w:lang w:val="en-US" w:eastAsia="zh-CN" w:bidi="ar-SA"/>
              </w:rPr>
              <w:t>；</w:t>
            </w:r>
          </w:p>
        </w:tc>
      </w:tr>
      <w:tr w14:paraId="1F26F0FD">
        <w:tblPrEx>
          <w:tblCellMar>
            <w:top w:w="0" w:type="dxa"/>
            <w:left w:w="0" w:type="dxa"/>
            <w:bottom w:w="0" w:type="dxa"/>
            <w:right w:w="0" w:type="dxa"/>
          </w:tblCellMar>
        </w:tblPrEx>
        <w:trPr>
          <w:cantSplit/>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C6EB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bidi="ar-SA"/>
              </w:rPr>
              <w:t>质量</w:t>
            </w:r>
            <w:r>
              <w:rPr>
                <w:rFonts w:hint="eastAsia" w:asciiTheme="minorEastAsia" w:hAnsiTheme="minorEastAsia" w:eastAsiaTheme="minorEastAsia" w:cstheme="minorEastAsia"/>
                <w:color w:val="000000"/>
                <w:sz w:val="24"/>
                <w:szCs w:val="24"/>
                <w:lang w:val="en-US" w:eastAsia="zh-CN" w:bidi="ar-SA"/>
              </w:rPr>
              <w:t>要求</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C22B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64D00CD5">
        <w:tblPrEx>
          <w:tblCellMar>
            <w:top w:w="0" w:type="dxa"/>
            <w:left w:w="0" w:type="dxa"/>
            <w:bottom w:w="0" w:type="dxa"/>
            <w:right w:w="0" w:type="dxa"/>
          </w:tblCellMar>
        </w:tblPrEx>
        <w:trPr>
          <w:cantSplit/>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3A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val="en-US" w:eastAsia="zh-CN" w:bidi="ar-SA"/>
              </w:rPr>
              <w:t>设计周期</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53AE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5926C821">
        <w:tblPrEx>
          <w:tblCellMar>
            <w:top w:w="0" w:type="dxa"/>
            <w:left w:w="0" w:type="dxa"/>
            <w:bottom w:w="0" w:type="dxa"/>
            <w:right w:w="0" w:type="dxa"/>
          </w:tblCellMar>
        </w:tblPrEx>
        <w:trPr>
          <w:cantSplit/>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7FFE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val="en-US" w:eastAsia="zh-CN" w:bidi="ar-SA"/>
              </w:rPr>
              <w:t>磋商</w:t>
            </w:r>
            <w:r>
              <w:rPr>
                <w:rFonts w:hint="eastAsia" w:asciiTheme="minorEastAsia" w:hAnsiTheme="minorEastAsia" w:eastAsiaTheme="minorEastAsia" w:cstheme="minorEastAsia"/>
                <w:color w:val="000000"/>
                <w:sz w:val="24"/>
                <w:szCs w:val="24"/>
                <w:lang w:bidi="ar-SA"/>
              </w:rPr>
              <w:t>有效期</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B4A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38EFF329">
        <w:tblPrEx>
          <w:tblCellMar>
            <w:top w:w="0" w:type="dxa"/>
            <w:left w:w="0" w:type="dxa"/>
            <w:bottom w:w="0" w:type="dxa"/>
            <w:right w:w="0" w:type="dxa"/>
          </w:tblCellMar>
        </w:tblPrEx>
        <w:trPr>
          <w:cantSplit/>
          <w:trHeight w:val="696"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E063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其他说明</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CA6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p>
        </w:tc>
      </w:tr>
      <w:tr w14:paraId="1CD6D194">
        <w:tblPrEx>
          <w:tblCellMar>
            <w:top w:w="0" w:type="dxa"/>
            <w:left w:w="0" w:type="dxa"/>
            <w:bottom w:w="0" w:type="dxa"/>
            <w:right w:w="0" w:type="dxa"/>
          </w:tblCellMar>
        </w:tblPrEx>
        <w:trPr>
          <w:cantSplit/>
          <w:trHeight w:val="708" w:hRule="atLeast"/>
          <w:jc w:val="center"/>
        </w:trPr>
        <w:tc>
          <w:tcPr>
            <w:tcW w:w="2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C10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color w:val="000000"/>
                <w:sz w:val="24"/>
                <w:szCs w:val="24"/>
                <w:lang w:bidi="ar-SA"/>
              </w:rPr>
              <w:t>备注</w:t>
            </w:r>
          </w:p>
        </w:tc>
        <w:tc>
          <w:tcPr>
            <w:tcW w:w="7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98FB6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lang w:bidi="ar-SA"/>
              </w:rPr>
            </w:pPr>
          </w:p>
        </w:tc>
      </w:tr>
    </w:tbl>
    <w:p w14:paraId="577B0DA1">
      <w:pPr>
        <w:spacing w:line="440" w:lineRule="exact"/>
        <w:ind w:firstLine="1920" w:firstLineChars="800"/>
        <w:jc w:val="left"/>
        <w:rPr>
          <w:rFonts w:hint="eastAsia" w:asciiTheme="minorEastAsia" w:hAnsiTheme="minorEastAsia" w:eastAsiaTheme="minorEastAsia" w:cstheme="minorEastAsia"/>
          <w:sz w:val="24"/>
          <w:szCs w:val="24"/>
          <w:lang w:bidi="ar-SA"/>
        </w:rPr>
      </w:pPr>
    </w:p>
    <w:p w14:paraId="4E262C70">
      <w:pPr>
        <w:bidi w:val="0"/>
        <w:rPr>
          <w:rFonts w:hint="eastAsia" w:asciiTheme="minorEastAsia" w:hAnsiTheme="minorEastAsia" w:eastAsiaTheme="minorEastAsia" w:cstheme="minorEastAsia"/>
          <w:sz w:val="24"/>
          <w:szCs w:val="24"/>
        </w:rPr>
      </w:pPr>
    </w:p>
    <w:p w14:paraId="0A1C0A12">
      <w:pPr>
        <w:bidi w:val="0"/>
        <w:rPr>
          <w:rFonts w:hint="eastAsia" w:asciiTheme="minorEastAsia" w:hAnsiTheme="minorEastAsia" w:eastAsiaTheme="minorEastAsia" w:cstheme="minorEastAsia"/>
          <w:sz w:val="24"/>
          <w:szCs w:val="24"/>
        </w:rPr>
      </w:pPr>
    </w:p>
    <w:p w14:paraId="6C03D1B7">
      <w:pPr>
        <w:bidi w:val="0"/>
        <w:rPr>
          <w:rFonts w:hint="eastAsia" w:asciiTheme="minorEastAsia" w:hAnsiTheme="minorEastAsia" w:eastAsiaTheme="minorEastAsia" w:cstheme="minorEastAsia"/>
          <w:sz w:val="24"/>
          <w:szCs w:val="24"/>
        </w:rPr>
      </w:pPr>
    </w:p>
    <w:p w14:paraId="709A3E22">
      <w:pPr>
        <w:spacing w:line="440" w:lineRule="exact"/>
        <w:ind w:firstLine="1920" w:firstLineChars="800"/>
        <w:jc w:val="lef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供应商：</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（盖单位章）</w:t>
      </w:r>
    </w:p>
    <w:p w14:paraId="5C569855">
      <w:pPr>
        <w:spacing w:line="440" w:lineRule="exact"/>
        <w:ind w:firstLine="1920" w:firstLineChars="800"/>
        <w:jc w:val="lef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法定代表人</w:t>
      </w:r>
      <w:r>
        <w:rPr>
          <w:rFonts w:hint="eastAsia" w:asciiTheme="minorEastAsia" w:hAnsiTheme="minorEastAsia" w:eastAsiaTheme="minorEastAsia" w:cstheme="minorEastAsia"/>
          <w:sz w:val="24"/>
          <w:szCs w:val="24"/>
          <w:lang w:eastAsia="zh-CN" w:bidi="ar-SA"/>
        </w:rPr>
        <w:t>（</w:t>
      </w:r>
      <w:r>
        <w:rPr>
          <w:rFonts w:hint="eastAsia" w:asciiTheme="minorEastAsia" w:hAnsiTheme="minorEastAsia" w:eastAsiaTheme="minorEastAsia" w:cstheme="minorEastAsia"/>
          <w:sz w:val="24"/>
          <w:szCs w:val="24"/>
          <w:lang w:val="en-US" w:eastAsia="zh-CN" w:bidi="ar-SA"/>
        </w:rPr>
        <w:t>负责人</w:t>
      </w:r>
      <w:r>
        <w:rPr>
          <w:rFonts w:hint="eastAsia" w:asciiTheme="minorEastAsia" w:hAnsiTheme="minorEastAsia" w:eastAsiaTheme="minorEastAsia" w:cstheme="minorEastAsia"/>
          <w:sz w:val="24"/>
          <w:szCs w:val="24"/>
          <w:lang w:eastAsia="zh-CN" w:bidi="ar-SA"/>
        </w:rPr>
        <w:t>）</w:t>
      </w:r>
      <w:r>
        <w:rPr>
          <w:rFonts w:hint="eastAsia" w:asciiTheme="minorEastAsia" w:hAnsiTheme="minorEastAsia" w:eastAsiaTheme="minorEastAsia" w:cstheme="minorEastAsia"/>
          <w:sz w:val="24"/>
          <w:szCs w:val="24"/>
          <w:lang w:bidi="ar-SA"/>
        </w:rPr>
        <w:t xml:space="preserve">或其委托代理人： </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（签字或盖章）</w:t>
      </w:r>
    </w:p>
    <w:p w14:paraId="2061A5E6">
      <w:pPr>
        <w:ind w:firstLine="2640" w:firstLineChars="1100"/>
        <w:jc w:val="left"/>
        <w:rPr>
          <w:rFonts w:hint="eastAsia" w:asciiTheme="minorEastAsia" w:hAnsiTheme="minorEastAsia" w:eastAsiaTheme="minorEastAsia" w:cstheme="minorEastAsia"/>
          <w:color w:val="000000"/>
          <w:sz w:val="24"/>
          <w:szCs w:val="24"/>
          <w:lang w:bidi="ar-SA"/>
        </w:rPr>
      </w:pP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年</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月</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日</w:t>
      </w:r>
    </w:p>
    <w:p w14:paraId="30E03CB1">
      <w:pPr>
        <w:rPr>
          <w:rFonts w:hint="eastAsia" w:ascii="宋体" w:eastAsia="宋体" w:cs="宋体"/>
          <w:color w:val="000000"/>
          <w:sz w:val="24"/>
          <w:szCs w:val="24"/>
          <w:lang w:bidi="ar-SA"/>
        </w:rPr>
      </w:pPr>
    </w:p>
    <w:p w14:paraId="60D407AD">
      <w:pPr>
        <w:rPr>
          <w:rFonts w:hint="eastAsia" w:ascii="宋体" w:eastAsia="宋体" w:cs="宋体"/>
          <w:color w:val="000000"/>
          <w:sz w:val="22"/>
          <w:szCs w:val="22"/>
          <w:lang w:bidi="ar-SA"/>
        </w:rPr>
      </w:pPr>
      <w:r>
        <w:rPr>
          <w:rFonts w:hint="eastAsia" w:ascii="宋体" w:eastAsia="宋体" w:cs="宋体"/>
          <w:color w:val="000000"/>
          <w:sz w:val="22"/>
          <w:szCs w:val="22"/>
          <w:lang w:bidi="ar-SA"/>
        </w:rPr>
        <w:t>注：所有价格均为</w:t>
      </w:r>
      <w:r>
        <w:rPr>
          <w:rFonts w:hint="eastAsia" w:ascii="宋体" w:eastAsia="宋体" w:cs="宋体"/>
          <w:color w:val="000000"/>
          <w:sz w:val="22"/>
          <w:szCs w:val="22"/>
          <w:lang w:val="en-US" w:eastAsia="zh-CN" w:bidi="ar-SA"/>
        </w:rPr>
        <w:t>人民币</w:t>
      </w:r>
      <w:r>
        <w:rPr>
          <w:rFonts w:hint="eastAsia" w:ascii="宋体" w:eastAsia="宋体" w:cs="宋体"/>
          <w:color w:val="000000"/>
          <w:sz w:val="22"/>
          <w:szCs w:val="22"/>
          <w:lang w:bidi="ar-SA"/>
        </w:rPr>
        <w:t>报价，投标价格包括所有招标范围内的费用（均为含税价）；</w:t>
      </w:r>
    </w:p>
    <w:p w14:paraId="30C944B8">
      <w:pPr>
        <w:pStyle w:val="51"/>
        <w:rPr>
          <w:rFonts w:hint="eastAsia"/>
        </w:rPr>
      </w:pPr>
    </w:p>
    <w:p w14:paraId="31436869">
      <w:pPr>
        <w:rPr>
          <w:rFonts w:hint="eastAsia"/>
        </w:rPr>
      </w:pPr>
    </w:p>
    <w:p w14:paraId="3423B598">
      <w:pPr>
        <w:ind w:right="420" w:firstLine="4410" w:firstLineChars="2100"/>
        <w:rPr>
          <w:rFonts w:hint="eastAsia"/>
        </w:rPr>
      </w:pPr>
    </w:p>
    <w:p w14:paraId="1F3BCDBB">
      <w:pPr>
        <w:ind w:right="420" w:firstLine="4410" w:firstLineChars="2100"/>
        <w:rPr>
          <w:rFonts w:hint="eastAsia"/>
        </w:rPr>
      </w:pPr>
    </w:p>
    <w:p w14:paraId="6A9C7DC2">
      <w:pPr>
        <w:pStyle w:val="25"/>
        <w:rPr>
          <w:rFonts w:hint="eastAsia"/>
        </w:rPr>
      </w:pPr>
    </w:p>
    <w:p w14:paraId="383DA009">
      <w:pPr>
        <w:ind w:right="420" w:firstLine="4410" w:firstLineChars="2100"/>
        <w:rPr>
          <w:rFonts w:hint="eastAsia"/>
        </w:rPr>
      </w:pPr>
      <w:r>
        <w:rPr>
          <w:rFonts w:hint="eastAsia"/>
        </w:rPr>
        <w:t xml:space="preserve">               </w:t>
      </w:r>
    </w:p>
    <w:p w14:paraId="3FF69AA4">
      <w:pPr>
        <w:pStyle w:val="2"/>
        <w:rPr>
          <w:rFonts w:hint="eastAsia" w:ascii="宋体"/>
          <w:sz w:val="24"/>
        </w:rPr>
      </w:pPr>
    </w:p>
    <w:p w14:paraId="3B9A92BD">
      <w:pPr>
        <w:pStyle w:val="2"/>
        <w:rPr>
          <w:rFonts w:hint="eastAsia" w:ascii="宋体"/>
          <w:sz w:val="24"/>
        </w:rPr>
      </w:pPr>
    </w:p>
    <w:p w14:paraId="247BF207">
      <w:pPr>
        <w:pStyle w:val="5"/>
        <w:bidi w:val="0"/>
        <w:jc w:val="center"/>
        <w:rPr>
          <w:rFonts w:hint="eastAsia" w:ascii="宋体" w:hAnsi="宋体" w:eastAsia="宋体" w:cs="宋体"/>
          <w:sz w:val="28"/>
          <w:szCs w:val="28"/>
          <w:lang w:val="en-US" w:eastAsia="zh-CN"/>
        </w:rPr>
      </w:pPr>
      <w:bookmarkStart w:id="949" w:name="_Toc251767425"/>
      <w:bookmarkStart w:id="950" w:name="_Toc5550"/>
      <w:bookmarkStart w:id="951" w:name="_Toc31999"/>
      <w:bookmarkStart w:id="952" w:name="_Toc191983686"/>
      <w:bookmarkStart w:id="953" w:name="_Toc20545"/>
      <w:bookmarkStart w:id="954" w:name="_Toc10895"/>
      <w:bookmarkStart w:id="955" w:name="_Toc5246"/>
      <w:bookmarkStart w:id="956" w:name="_Toc349210435"/>
      <w:bookmarkStart w:id="957" w:name="_Toc451437166"/>
      <w:r>
        <w:rPr>
          <w:rFonts w:hint="eastAsia" w:ascii="宋体" w:hAnsi="宋体" w:eastAsia="宋体" w:cs="宋体"/>
          <w:sz w:val="28"/>
          <w:szCs w:val="28"/>
          <w:lang w:val="en-US" w:eastAsia="zh-CN"/>
        </w:rPr>
        <w:t>二、法定代表人身份证明</w:t>
      </w:r>
      <w:bookmarkEnd w:id="949"/>
      <w:bookmarkEnd w:id="950"/>
      <w:bookmarkEnd w:id="951"/>
      <w:bookmarkEnd w:id="952"/>
      <w:bookmarkEnd w:id="953"/>
      <w:bookmarkEnd w:id="954"/>
      <w:bookmarkEnd w:id="955"/>
      <w:bookmarkEnd w:id="956"/>
      <w:bookmarkEnd w:id="957"/>
    </w:p>
    <w:p w14:paraId="2D4082D1">
      <w:pPr>
        <w:rPr>
          <w:rFonts w:hint="eastAsia" w:ascii="宋体" w:eastAsia="宋体" w:cs="宋体"/>
          <w:sz w:val="24"/>
          <w:szCs w:val="24"/>
          <w:lang w:bidi="ar-SA"/>
        </w:rPr>
      </w:pPr>
    </w:p>
    <w:p w14:paraId="62B62908">
      <w:pPr>
        <w:spacing w:line="440" w:lineRule="exact"/>
        <w:rPr>
          <w:rFonts w:hint="eastAsia" w:ascii="宋体" w:eastAsia="宋体" w:cs="宋体"/>
          <w:sz w:val="24"/>
          <w:szCs w:val="24"/>
          <w:lang w:bidi="ar-SA"/>
        </w:rPr>
      </w:pPr>
      <w:r>
        <w:rPr>
          <w:rFonts w:hint="eastAsia" w:ascii="宋体" w:eastAsia="宋体" w:cs="宋体"/>
          <w:sz w:val="24"/>
          <w:szCs w:val="24"/>
          <w:lang w:bidi="ar-SA"/>
        </w:rPr>
        <w:t>供应商名称：</w:t>
      </w:r>
      <w:r>
        <w:rPr>
          <w:rFonts w:hint="eastAsia" w:ascii="宋体" w:eastAsia="宋体" w:cs="宋体"/>
          <w:sz w:val="24"/>
          <w:szCs w:val="24"/>
          <w:u w:val="single"/>
          <w:lang w:bidi="ar-SA"/>
        </w:rPr>
        <w:t xml:space="preserve">                                </w:t>
      </w:r>
    </w:p>
    <w:p w14:paraId="235C8011">
      <w:pPr>
        <w:spacing w:line="440" w:lineRule="exact"/>
        <w:rPr>
          <w:rFonts w:hint="eastAsia" w:ascii="宋体" w:eastAsia="宋体" w:cs="宋体"/>
          <w:sz w:val="24"/>
          <w:szCs w:val="24"/>
          <w:lang w:bidi="ar-SA"/>
        </w:rPr>
      </w:pPr>
      <w:r>
        <w:rPr>
          <w:rFonts w:hint="eastAsia" w:ascii="宋体" w:eastAsia="宋体" w:cs="宋体"/>
          <w:sz w:val="24"/>
          <w:szCs w:val="24"/>
          <w:lang w:bidi="ar-SA"/>
        </w:rPr>
        <w:t>单位性质：</w:t>
      </w:r>
      <w:r>
        <w:rPr>
          <w:rFonts w:hint="eastAsia" w:ascii="宋体" w:eastAsia="宋体" w:cs="宋体"/>
          <w:sz w:val="24"/>
          <w:szCs w:val="24"/>
          <w:u w:val="single"/>
          <w:lang w:bidi="ar-SA"/>
        </w:rPr>
        <w:t xml:space="preserve">                                  </w:t>
      </w:r>
    </w:p>
    <w:p w14:paraId="359E7E01">
      <w:pPr>
        <w:spacing w:line="440" w:lineRule="exact"/>
        <w:rPr>
          <w:rFonts w:hint="eastAsia" w:ascii="宋体" w:eastAsia="宋体" w:cs="宋体"/>
          <w:sz w:val="24"/>
          <w:szCs w:val="24"/>
          <w:lang w:bidi="ar-SA"/>
        </w:rPr>
      </w:pPr>
      <w:r>
        <w:rPr>
          <w:rFonts w:hint="eastAsia" w:ascii="宋体" w:eastAsia="宋体" w:cs="宋体"/>
          <w:sz w:val="24"/>
          <w:szCs w:val="24"/>
          <w:lang w:bidi="ar-SA"/>
        </w:rPr>
        <w:t>地址：</w:t>
      </w:r>
      <w:r>
        <w:rPr>
          <w:rFonts w:hint="eastAsia" w:ascii="宋体" w:eastAsia="宋体" w:cs="宋体"/>
          <w:sz w:val="24"/>
          <w:szCs w:val="24"/>
          <w:u w:val="single"/>
          <w:lang w:bidi="ar-SA"/>
        </w:rPr>
        <w:t xml:space="preserve">                                      </w:t>
      </w:r>
    </w:p>
    <w:p w14:paraId="195E6741">
      <w:pPr>
        <w:spacing w:line="440" w:lineRule="exact"/>
        <w:rPr>
          <w:rFonts w:hint="eastAsia" w:ascii="宋体" w:eastAsia="宋体" w:cs="宋体"/>
          <w:sz w:val="24"/>
          <w:szCs w:val="24"/>
          <w:lang w:bidi="ar-SA"/>
        </w:rPr>
      </w:pPr>
      <w:r>
        <w:rPr>
          <w:rFonts w:hint="eastAsia" w:ascii="宋体" w:eastAsia="宋体" w:cs="宋体"/>
          <w:sz w:val="24"/>
          <w:szCs w:val="24"/>
          <w:lang w:bidi="ar-SA"/>
        </w:rPr>
        <w:t>成立时间：</w:t>
      </w:r>
      <w:r>
        <w:rPr>
          <w:rFonts w:hint="eastAsia" w:ascii="宋体" w:eastAsia="宋体" w:cs="宋体"/>
          <w:sz w:val="24"/>
          <w:szCs w:val="24"/>
          <w:u w:val="single"/>
          <w:lang w:bidi="ar-SA"/>
        </w:rPr>
        <w:tab/>
      </w:r>
      <w:r>
        <w:rPr>
          <w:rFonts w:hint="eastAsia" w:ascii="宋体" w:eastAsia="宋体" w:cs="宋体"/>
          <w:sz w:val="24"/>
          <w:szCs w:val="24"/>
          <w:u w:val="single"/>
          <w:lang w:bidi="ar-SA"/>
        </w:rPr>
        <w:t xml:space="preserve">           </w:t>
      </w:r>
      <w:r>
        <w:rPr>
          <w:rFonts w:hint="eastAsia" w:ascii="宋体" w:eastAsia="宋体" w:cs="宋体"/>
          <w:sz w:val="24"/>
          <w:szCs w:val="24"/>
          <w:lang w:bidi="ar-SA"/>
        </w:rPr>
        <w:t>年</w:t>
      </w:r>
      <w:r>
        <w:rPr>
          <w:rFonts w:hint="eastAsia" w:ascii="宋体" w:eastAsia="宋体" w:cs="宋体"/>
          <w:sz w:val="24"/>
          <w:szCs w:val="24"/>
          <w:u w:val="single"/>
          <w:lang w:bidi="ar-SA"/>
        </w:rPr>
        <w:t xml:space="preserve">        </w:t>
      </w:r>
      <w:r>
        <w:rPr>
          <w:rFonts w:hint="eastAsia" w:ascii="宋体" w:eastAsia="宋体" w:cs="宋体"/>
          <w:sz w:val="24"/>
          <w:szCs w:val="24"/>
          <w:lang w:bidi="ar-SA"/>
        </w:rPr>
        <w:t>月</w:t>
      </w:r>
      <w:r>
        <w:rPr>
          <w:rFonts w:hint="eastAsia" w:ascii="宋体" w:eastAsia="宋体" w:cs="宋体"/>
          <w:sz w:val="24"/>
          <w:szCs w:val="24"/>
          <w:u w:val="single"/>
          <w:lang w:bidi="ar-SA"/>
        </w:rPr>
        <w:t xml:space="preserve">         </w:t>
      </w:r>
      <w:r>
        <w:rPr>
          <w:rFonts w:hint="eastAsia" w:ascii="宋体" w:eastAsia="宋体" w:cs="宋体"/>
          <w:sz w:val="24"/>
          <w:szCs w:val="24"/>
          <w:lang w:bidi="ar-SA"/>
        </w:rPr>
        <w:t>日</w:t>
      </w:r>
    </w:p>
    <w:p w14:paraId="5AA610EE">
      <w:pPr>
        <w:spacing w:line="440" w:lineRule="exact"/>
        <w:rPr>
          <w:rFonts w:hint="eastAsia" w:ascii="宋体" w:eastAsia="宋体" w:cs="宋体"/>
          <w:sz w:val="24"/>
          <w:szCs w:val="24"/>
          <w:u w:val="single"/>
          <w:lang w:bidi="ar-SA"/>
        </w:rPr>
      </w:pPr>
      <w:r>
        <w:rPr>
          <w:rFonts w:hint="eastAsia" w:ascii="宋体" w:eastAsia="宋体" w:cs="宋体"/>
          <w:sz w:val="24"/>
          <w:szCs w:val="24"/>
          <w:lang w:bidi="ar-SA"/>
        </w:rPr>
        <w:t>经营期限：</w:t>
      </w:r>
      <w:r>
        <w:rPr>
          <w:rFonts w:hint="eastAsia" w:ascii="宋体" w:eastAsia="宋体" w:cs="宋体"/>
          <w:sz w:val="24"/>
          <w:szCs w:val="24"/>
          <w:u w:val="single"/>
          <w:lang w:bidi="ar-SA"/>
        </w:rPr>
        <w:t xml:space="preserve">                                  </w:t>
      </w:r>
    </w:p>
    <w:p w14:paraId="0F6DF541">
      <w:pPr>
        <w:spacing w:line="440" w:lineRule="exact"/>
        <w:rPr>
          <w:rFonts w:hint="eastAsia" w:ascii="宋体" w:eastAsia="宋体" w:cs="宋体"/>
          <w:sz w:val="24"/>
          <w:szCs w:val="24"/>
          <w:lang w:bidi="ar-SA"/>
        </w:rPr>
      </w:pPr>
      <w:r>
        <w:rPr>
          <w:rFonts w:hint="eastAsia" w:ascii="宋体" w:eastAsia="宋体" w:cs="宋体"/>
          <w:sz w:val="24"/>
          <w:szCs w:val="24"/>
          <w:lang w:bidi="ar-SA"/>
        </w:rPr>
        <w:t>姓名：</w:t>
      </w:r>
      <w:r>
        <w:rPr>
          <w:rFonts w:hint="eastAsia" w:ascii="宋体" w:eastAsia="宋体" w:cs="宋体"/>
          <w:sz w:val="24"/>
          <w:szCs w:val="24"/>
          <w:u w:val="single"/>
          <w:lang w:bidi="ar-SA"/>
        </w:rPr>
        <w:t xml:space="preserve">      </w:t>
      </w:r>
      <w:r>
        <w:rPr>
          <w:rFonts w:hint="eastAsia" w:ascii="宋体" w:eastAsia="宋体" w:cs="宋体"/>
          <w:sz w:val="24"/>
          <w:szCs w:val="24"/>
          <w:lang w:bidi="ar-SA"/>
        </w:rPr>
        <w:t xml:space="preserve"> 性别：</w:t>
      </w:r>
      <w:r>
        <w:rPr>
          <w:rFonts w:hint="eastAsia" w:ascii="宋体" w:eastAsia="宋体" w:cs="宋体"/>
          <w:sz w:val="24"/>
          <w:szCs w:val="24"/>
          <w:u w:val="single"/>
          <w:lang w:bidi="ar-SA"/>
        </w:rPr>
        <w:t xml:space="preserve"> </w:t>
      </w:r>
      <w:r>
        <w:rPr>
          <w:rFonts w:hint="eastAsia" w:ascii="宋体" w:eastAsia="宋体" w:cs="宋体"/>
          <w:sz w:val="24"/>
          <w:szCs w:val="24"/>
          <w:u w:val="single"/>
          <w:lang w:bidi="ar-SA"/>
        </w:rPr>
        <w:tab/>
      </w:r>
      <w:r>
        <w:rPr>
          <w:rFonts w:hint="eastAsia" w:ascii="宋体" w:eastAsia="宋体" w:cs="宋体"/>
          <w:sz w:val="24"/>
          <w:szCs w:val="24"/>
          <w:u w:val="single"/>
          <w:lang w:bidi="ar-SA"/>
        </w:rPr>
        <w:t xml:space="preserve">  </w:t>
      </w:r>
      <w:r>
        <w:rPr>
          <w:rFonts w:hint="eastAsia" w:ascii="宋体" w:eastAsia="宋体" w:cs="宋体"/>
          <w:sz w:val="24"/>
          <w:szCs w:val="24"/>
          <w:lang w:bidi="ar-SA"/>
        </w:rPr>
        <w:t>年龄：</w:t>
      </w:r>
      <w:r>
        <w:rPr>
          <w:rFonts w:hint="eastAsia" w:ascii="宋体" w:eastAsia="宋体" w:cs="宋体"/>
          <w:sz w:val="24"/>
          <w:szCs w:val="24"/>
          <w:u w:val="single"/>
          <w:lang w:bidi="ar-SA"/>
        </w:rPr>
        <w:t xml:space="preserve"> </w:t>
      </w:r>
      <w:r>
        <w:rPr>
          <w:rFonts w:hint="eastAsia" w:ascii="宋体" w:eastAsia="宋体" w:cs="宋体"/>
          <w:sz w:val="24"/>
          <w:szCs w:val="24"/>
          <w:u w:val="single"/>
          <w:lang w:bidi="ar-SA"/>
        </w:rPr>
        <w:tab/>
      </w:r>
      <w:r>
        <w:rPr>
          <w:rFonts w:hint="eastAsia" w:ascii="宋体" w:eastAsia="宋体" w:cs="宋体"/>
          <w:sz w:val="24"/>
          <w:szCs w:val="24"/>
          <w:lang w:bidi="ar-SA"/>
        </w:rPr>
        <w:t>职务：</w:t>
      </w:r>
      <w:r>
        <w:rPr>
          <w:rFonts w:hint="eastAsia" w:ascii="宋体" w:eastAsia="宋体" w:cs="宋体"/>
          <w:sz w:val="24"/>
          <w:szCs w:val="24"/>
          <w:u w:val="single"/>
          <w:lang w:bidi="ar-SA"/>
        </w:rPr>
        <w:t xml:space="preserve">      </w:t>
      </w:r>
    </w:p>
    <w:p w14:paraId="0D7C5167">
      <w:pPr>
        <w:spacing w:line="440" w:lineRule="exact"/>
        <w:rPr>
          <w:rFonts w:hint="eastAsia" w:ascii="宋体" w:eastAsia="宋体" w:cs="宋体"/>
          <w:sz w:val="24"/>
          <w:szCs w:val="24"/>
          <w:lang w:bidi="ar-SA"/>
        </w:rPr>
      </w:pPr>
      <w:r>
        <w:rPr>
          <w:rFonts w:hint="eastAsia" w:ascii="宋体" w:eastAsia="宋体" w:cs="宋体"/>
          <w:sz w:val="24"/>
          <w:szCs w:val="24"/>
          <w:lang w:bidi="ar-SA"/>
        </w:rPr>
        <w:t>系</w:t>
      </w:r>
      <w:r>
        <w:rPr>
          <w:rFonts w:hint="eastAsia" w:ascii="宋体" w:eastAsia="宋体" w:cs="宋体"/>
          <w:sz w:val="24"/>
          <w:szCs w:val="24"/>
          <w:u w:val="single"/>
          <w:lang w:bidi="ar-SA"/>
        </w:rPr>
        <w:t xml:space="preserve">                  </w:t>
      </w:r>
      <w:r>
        <w:rPr>
          <w:rFonts w:hint="eastAsia" w:ascii="宋体" w:eastAsia="宋体" w:cs="宋体"/>
          <w:sz w:val="24"/>
          <w:szCs w:val="24"/>
          <w:lang w:bidi="ar-SA"/>
        </w:rPr>
        <w:t>（供应商名称）的法定代表人</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负责人</w:t>
      </w:r>
      <w:r>
        <w:rPr>
          <w:rFonts w:hint="eastAsia" w:ascii="宋体" w:eastAsia="宋体" w:cs="宋体"/>
          <w:sz w:val="24"/>
          <w:szCs w:val="24"/>
          <w:lang w:eastAsia="zh-CN" w:bidi="ar-SA"/>
        </w:rPr>
        <w:t>）</w:t>
      </w:r>
      <w:r>
        <w:rPr>
          <w:rFonts w:hint="eastAsia" w:ascii="宋体" w:eastAsia="宋体" w:cs="宋体"/>
          <w:sz w:val="24"/>
          <w:szCs w:val="24"/>
          <w:lang w:bidi="ar-SA"/>
        </w:rPr>
        <w:t>。</w:t>
      </w:r>
    </w:p>
    <w:p w14:paraId="2D9273D3">
      <w:pPr>
        <w:spacing w:line="440" w:lineRule="exact"/>
        <w:ind w:firstLine="480" w:firstLineChars="200"/>
        <w:rPr>
          <w:rFonts w:hint="eastAsia" w:ascii="宋体" w:eastAsia="宋体" w:cs="宋体"/>
          <w:sz w:val="24"/>
          <w:szCs w:val="24"/>
          <w:lang w:bidi="ar-SA"/>
        </w:rPr>
      </w:pPr>
    </w:p>
    <w:p w14:paraId="302A41D0">
      <w:pPr>
        <w:spacing w:line="440" w:lineRule="exact"/>
        <w:ind w:firstLine="480" w:firstLineChars="200"/>
        <w:rPr>
          <w:rFonts w:hint="eastAsia" w:ascii="宋体" w:eastAsia="宋体" w:cs="宋体"/>
          <w:sz w:val="24"/>
          <w:szCs w:val="24"/>
          <w:lang w:bidi="ar-SA"/>
        </w:rPr>
      </w:pPr>
    </w:p>
    <w:p w14:paraId="71867FF9">
      <w:pPr>
        <w:spacing w:line="440" w:lineRule="exact"/>
        <w:ind w:firstLine="480" w:firstLineChars="200"/>
        <w:rPr>
          <w:rFonts w:hint="eastAsia" w:ascii="宋体" w:eastAsia="宋体" w:cs="宋体"/>
          <w:sz w:val="24"/>
          <w:szCs w:val="24"/>
          <w:lang w:bidi="ar-SA"/>
        </w:rPr>
      </w:pPr>
      <w:r>
        <w:rPr>
          <w:rFonts w:hint="eastAsia" w:ascii="宋体" w:eastAsia="宋体" w:cs="宋体"/>
          <w:sz w:val="24"/>
          <w:szCs w:val="24"/>
          <w:lang w:bidi="ar-SA"/>
        </w:rPr>
        <w:t>特此证明。</w:t>
      </w:r>
    </w:p>
    <w:p w14:paraId="1D417B64">
      <w:pPr>
        <w:spacing w:line="440" w:lineRule="exact"/>
        <w:ind w:firstLine="480" w:firstLineChars="200"/>
        <w:rPr>
          <w:rFonts w:hint="eastAsia" w:ascii="宋体" w:eastAsia="宋体" w:cs="宋体"/>
          <w:sz w:val="24"/>
          <w:szCs w:val="24"/>
          <w:lang w:bidi="ar-SA"/>
        </w:rPr>
      </w:pPr>
      <w:r>
        <w:rPr>
          <w:rFonts w:hint="eastAsia" w:ascii="宋体" w:eastAsia="宋体" w:cs="宋体"/>
          <w:sz w:val="24"/>
          <w:szCs w:val="24"/>
          <w:lang w:bidi="ar-SA"/>
        </w:rPr>
        <w:t>附法定代表人</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负责人</w:t>
      </w:r>
      <w:r>
        <w:rPr>
          <w:rFonts w:hint="eastAsia" w:ascii="宋体" w:eastAsia="宋体" w:cs="宋体"/>
          <w:sz w:val="24"/>
          <w:szCs w:val="24"/>
          <w:lang w:eastAsia="zh-CN" w:bidi="ar-SA"/>
        </w:rPr>
        <w:t>）</w:t>
      </w:r>
      <w:r>
        <w:rPr>
          <w:rFonts w:hint="eastAsia" w:ascii="宋体" w:eastAsia="宋体" w:cs="宋体"/>
          <w:sz w:val="24"/>
          <w:szCs w:val="24"/>
          <w:lang w:bidi="ar-SA"/>
        </w:rPr>
        <w:t>身份证复印件</w:t>
      </w:r>
    </w:p>
    <w:p w14:paraId="2CF4BA08">
      <w:pPr>
        <w:spacing w:line="440" w:lineRule="exact"/>
        <w:ind w:firstLine="480" w:firstLineChars="200"/>
        <w:rPr>
          <w:rFonts w:hint="eastAsia" w:ascii="宋体" w:eastAsia="宋体" w:cs="宋体"/>
          <w:sz w:val="24"/>
          <w:szCs w:val="24"/>
          <w:lang w:bidi="ar-SA"/>
        </w:rPr>
      </w:pPr>
    </w:p>
    <w:p w14:paraId="5C091129">
      <w:pPr>
        <w:spacing w:line="440" w:lineRule="exact"/>
        <w:rPr>
          <w:rFonts w:hint="eastAsia" w:ascii="宋体" w:eastAsia="宋体" w:cs="宋体"/>
          <w:sz w:val="24"/>
          <w:szCs w:val="24"/>
          <w:lang w:bidi="ar-SA"/>
        </w:rPr>
      </w:pPr>
    </w:p>
    <w:p w14:paraId="72591133">
      <w:pPr>
        <w:spacing w:line="440" w:lineRule="exact"/>
        <w:rPr>
          <w:rFonts w:hint="eastAsia" w:ascii="宋体" w:eastAsia="宋体" w:cs="宋体"/>
          <w:sz w:val="24"/>
          <w:szCs w:val="24"/>
          <w:lang w:bidi="ar-SA"/>
        </w:rPr>
      </w:pPr>
    </w:p>
    <w:p w14:paraId="284E53AB">
      <w:pPr>
        <w:spacing w:line="440" w:lineRule="exact"/>
        <w:rPr>
          <w:rFonts w:hint="eastAsia" w:ascii="宋体" w:eastAsia="宋体" w:cs="宋体"/>
          <w:sz w:val="24"/>
          <w:szCs w:val="24"/>
          <w:lang w:bidi="ar-SA"/>
        </w:rPr>
      </w:pPr>
    </w:p>
    <w:p w14:paraId="2F05B347">
      <w:pPr>
        <w:spacing w:line="440" w:lineRule="exact"/>
        <w:jc w:val="right"/>
        <w:rPr>
          <w:rFonts w:hint="eastAsia" w:ascii="宋体" w:eastAsia="宋体" w:cs="宋体"/>
          <w:sz w:val="24"/>
          <w:szCs w:val="24"/>
          <w:lang w:bidi="ar-SA"/>
        </w:rPr>
      </w:pPr>
      <w:r>
        <w:rPr>
          <w:rFonts w:hint="eastAsia" w:ascii="宋体" w:eastAsia="宋体" w:cs="宋体"/>
          <w:sz w:val="24"/>
          <w:szCs w:val="24"/>
          <w:lang w:bidi="ar-SA"/>
        </w:rPr>
        <w:t>供应商：</w:t>
      </w:r>
      <w:r>
        <w:rPr>
          <w:rFonts w:hint="eastAsia" w:ascii="宋体" w:eastAsia="宋体" w:cs="宋体"/>
          <w:sz w:val="24"/>
          <w:szCs w:val="24"/>
          <w:u w:val="single"/>
          <w:lang w:bidi="ar-SA"/>
        </w:rPr>
        <w:t xml:space="preserve">                     </w:t>
      </w:r>
      <w:r>
        <w:rPr>
          <w:rFonts w:hint="eastAsia" w:ascii="宋体" w:eastAsia="宋体" w:cs="宋体"/>
          <w:sz w:val="24"/>
          <w:szCs w:val="24"/>
          <w:lang w:bidi="ar-SA"/>
        </w:rPr>
        <w:t>（盖单位章）</w:t>
      </w:r>
    </w:p>
    <w:p w14:paraId="032C6F60">
      <w:pPr>
        <w:spacing w:line="440" w:lineRule="exact"/>
        <w:jc w:val="right"/>
        <w:rPr>
          <w:rFonts w:hint="eastAsia" w:ascii="宋体" w:eastAsia="宋体" w:cs="宋体"/>
          <w:sz w:val="24"/>
          <w:szCs w:val="24"/>
          <w:lang w:bidi="ar-SA"/>
        </w:rPr>
      </w:pPr>
    </w:p>
    <w:p w14:paraId="2736857A">
      <w:pPr>
        <w:spacing w:line="440" w:lineRule="exact"/>
        <w:jc w:val="right"/>
        <w:rPr>
          <w:rFonts w:hint="eastAsia" w:ascii="宋体" w:eastAsia="宋体" w:cs="宋体"/>
          <w:sz w:val="24"/>
          <w:szCs w:val="24"/>
          <w:lang w:bidi="ar-SA"/>
        </w:rPr>
      </w:pPr>
      <w:r>
        <w:rPr>
          <w:rFonts w:hint="eastAsia" w:ascii="宋体" w:eastAsia="宋体" w:cs="宋体"/>
          <w:sz w:val="24"/>
          <w:szCs w:val="24"/>
          <w:u w:val="single"/>
          <w:lang w:bidi="ar-SA"/>
        </w:rPr>
        <w:tab/>
      </w:r>
      <w:r>
        <w:rPr>
          <w:rFonts w:hint="eastAsia" w:ascii="宋体" w:eastAsia="宋体" w:cs="宋体"/>
          <w:sz w:val="24"/>
          <w:szCs w:val="24"/>
          <w:u w:val="single"/>
          <w:lang w:bidi="ar-SA"/>
        </w:rPr>
        <w:t xml:space="preserve">      </w:t>
      </w:r>
      <w:r>
        <w:rPr>
          <w:rFonts w:hint="eastAsia" w:ascii="宋体" w:eastAsia="宋体" w:cs="宋体"/>
          <w:sz w:val="24"/>
          <w:szCs w:val="24"/>
          <w:lang w:bidi="ar-SA"/>
        </w:rPr>
        <w:t>年</w:t>
      </w:r>
      <w:r>
        <w:rPr>
          <w:rFonts w:hint="eastAsia" w:ascii="宋体" w:eastAsia="宋体" w:cs="宋体"/>
          <w:sz w:val="24"/>
          <w:szCs w:val="24"/>
          <w:u w:val="single"/>
          <w:lang w:bidi="ar-SA"/>
        </w:rPr>
        <w:t xml:space="preserve">      </w:t>
      </w:r>
      <w:r>
        <w:rPr>
          <w:rFonts w:hint="eastAsia" w:ascii="宋体" w:eastAsia="宋体" w:cs="宋体"/>
          <w:sz w:val="24"/>
          <w:szCs w:val="24"/>
          <w:lang w:bidi="ar-SA"/>
        </w:rPr>
        <w:t>月</w:t>
      </w:r>
      <w:r>
        <w:rPr>
          <w:rFonts w:hint="eastAsia" w:ascii="宋体" w:eastAsia="宋体" w:cs="宋体"/>
          <w:sz w:val="24"/>
          <w:szCs w:val="24"/>
          <w:u w:val="single"/>
          <w:lang w:bidi="ar-SA"/>
        </w:rPr>
        <w:t xml:space="preserve">       </w:t>
      </w:r>
      <w:r>
        <w:rPr>
          <w:rFonts w:hint="eastAsia" w:ascii="宋体" w:eastAsia="宋体" w:cs="宋体"/>
          <w:sz w:val="24"/>
          <w:szCs w:val="24"/>
          <w:lang w:bidi="ar-SA"/>
        </w:rPr>
        <w:t>日</w:t>
      </w:r>
    </w:p>
    <w:p w14:paraId="179A417D">
      <w:pPr>
        <w:spacing w:line="440" w:lineRule="exact"/>
        <w:jc w:val="right"/>
        <w:rPr>
          <w:rFonts w:hint="eastAsia" w:ascii="宋体"/>
          <w:szCs w:val="21"/>
        </w:rPr>
      </w:pPr>
    </w:p>
    <w:p w14:paraId="37B32B74">
      <w:pPr>
        <w:spacing w:line="440" w:lineRule="exact"/>
        <w:jc w:val="right"/>
        <w:rPr>
          <w:rFonts w:hint="eastAsia" w:ascii="宋体"/>
          <w:szCs w:val="21"/>
        </w:rPr>
      </w:pPr>
    </w:p>
    <w:p w14:paraId="15FA2865">
      <w:pPr>
        <w:spacing w:line="440" w:lineRule="exact"/>
        <w:jc w:val="right"/>
        <w:rPr>
          <w:rFonts w:hint="eastAsia" w:ascii="宋体"/>
          <w:szCs w:val="21"/>
        </w:rPr>
      </w:pPr>
    </w:p>
    <w:p w14:paraId="4CC68AF9">
      <w:pPr>
        <w:spacing w:line="440" w:lineRule="exact"/>
        <w:jc w:val="right"/>
        <w:rPr>
          <w:rFonts w:hint="eastAsia" w:ascii="宋体"/>
          <w:szCs w:val="21"/>
        </w:rPr>
      </w:pPr>
    </w:p>
    <w:p w14:paraId="4ECE74A9">
      <w:pPr>
        <w:spacing w:line="440" w:lineRule="exact"/>
        <w:jc w:val="right"/>
        <w:rPr>
          <w:rFonts w:hint="eastAsia" w:ascii="宋体"/>
          <w:szCs w:val="21"/>
        </w:rPr>
      </w:pPr>
    </w:p>
    <w:p w14:paraId="6F1F1A1A">
      <w:pPr>
        <w:spacing w:line="440" w:lineRule="exact"/>
        <w:jc w:val="right"/>
        <w:rPr>
          <w:rFonts w:hint="eastAsia" w:ascii="宋体"/>
          <w:szCs w:val="21"/>
        </w:rPr>
      </w:pPr>
    </w:p>
    <w:p w14:paraId="068955E7">
      <w:pPr>
        <w:spacing w:line="440" w:lineRule="exact"/>
        <w:jc w:val="right"/>
        <w:rPr>
          <w:rFonts w:hint="eastAsia" w:ascii="宋体"/>
          <w:szCs w:val="21"/>
        </w:rPr>
      </w:pPr>
    </w:p>
    <w:p w14:paraId="0961BE4B">
      <w:pPr>
        <w:spacing w:line="440" w:lineRule="exact"/>
        <w:jc w:val="right"/>
        <w:rPr>
          <w:rFonts w:hint="eastAsia" w:ascii="宋体"/>
          <w:szCs w:val="21"/>
        </w:rPr>
      </w:pPr>
    </w:p>
    <w:p w14:paraId="5F02A55E">
      <w:pPr>
        <w:spacing w:line="440" w:lineRule="exact"/>
        <w:jc w:val="right"/>
        <w:rPr>
          <w:rFonts w:hint="eastAsia" w:ascii="宋体"/>
          <w:szCs w:val="21"/>
        </w:rPr>
      </w:pPr>
    </w:p>
    <w:p w14:paraId="6BC777AD">
      <w:pPr>
        <w:spacing w:line="440" w:lineRule="exact"/>
        <w:jc w:val="both"/>
        <w:rPr>
          <w:rFonts w:hint="eastAsia" w:ascii="宋体"/>
          <w:szCs w:val="21"/>
        </w:rPr>
      </w:pPr>
    </w:p>
    <w:p w14:paraId="501573EE">
      <w:pPr>
        <w:pStyle w:val="5"/>
        <w:bidi w:val="0"/>
        <w:jc w:val="center"/>
        <w:rPr>
          <w:rFonts w:hint="eastAsia" w:ascii="宋体" w:hAnsi="宋体" w:eastAsia="宋体" w:cs="宋体"/>
          <w:sz w:val="28"/>
          <w:szCs w:val="28"/>
          <w:lang w:val="en-US" w:eastAsia="zh-CN"/>
        </w:rPr>
      </w:pPr>
      <w:bookmarkStart w:id="958" w:name="_Toc251767426"/>
      <w:bookmarkStart w:id="959" w:name="_Toc8531"/>
      <w:bookmarkStart w:id="960" w:name="_Toc26633"/>
      <w:bookmarkStart w:id="961" w:name="_Toc15636"/>
      <w:bookmarkStart w:id="962" w:name="_Toc191983687"/>
      <w:bookmarkStart w:id="963" w:name="_Toc30239"/>
      <w:bookmarkStart w:id="964" w:name="_Toc9045"/>
      <w:bookmarkStart w:id="965" w:name="_Toc349210436"/>
      <w:bookmarkStart w:id="966" w:name="_Toc451437167"/>
      <w:r>
        <w:rPr>
          <w:rFonts w:hint="eastAsia" w:ascii="宋体" w:hAnsi="宋体" w:eastAsia="宋体" w:cs="宋体"/>
          <w:sz w:val="28"/>
          <w:szCs w:val="28"/>
          <w:lang w:val="en-US" w:eastAsia="zh-CN"/>
        </w:rPr>
        <w:t>三、授权委托书</w:t>
      </w:r>
      <w:bookmarkEnd w:id="958"/>
      <w:bookmarkEnd w:id="959"/>
      <w:bookmarkEnd w:id="960"/>
      <w:bookmarkEnd w:id="961"/>
      <w:bookmarkEnd w:id="962"/>
      <w:bookmarkEnd w:id="963"/>
      <w:bookmarkEnd w:id="964"/>
      <w:bookmarkEnd w:id="965"/>
      <w:bookmarkEnd w:id="966"/>
    </w:p>
    <w:p w14:paraId="7A1EC293">
      <w:pPr>
        <w:spacing w:line="440" w:lineRule="exact"/>
        <w:ind w:firstLine="480" w:firstLineChars="200"/>
        <w:rPr>
          <w:rFonts w:hint="eastAsia" w:ascii="宋体" w:eastAsia="宋体" w:cs="宋体"/>
          <w:sz w:val="24"/>
          <w:szCs w:val="24"/>
          <w:lang w:bidi="ar-SA"/>
        </w:rPr>
      </w:pPr>
      <w:r>
        <w:rPr>
          <w:rFonts w:hint="eastAsia" w:ascii="宋体" w:eastAsia="宋体" w:cs="宋体"/>
          <w:sz w:val="24"/>
          <w:szCs w:val="24"/>
          <w:lang w:bidi="ar-SA"/>
        </w:rPr>
        <w:t>本人</w:t>
      </w:r>
      <w:r>
        <w:rPr>
          <w:rFonts w:hint="eastAsia" w:ascii="宋体" w:eastAsia="宋体" w:cs="宋体"/>
          <w:sz w:val="24"/>
          <w:szCs w:val="24"/>
          <w:u w:val="single"/>
          <w:lang w:bidi="ar-SA"/>
        </w:rPr>
        <w:t xml:space="preserve">       </w:t>
      </w:r>
      <w:r>
        <w:rPr>
          <w:rFonts w:hint="eastAsia" w:ascii="宋体" w:eastAsia="宋体" w:cs="宋体"/>
          <w:sz w:val="24"/>
          <w:szCs w:val="24"/>
          <w:lang w:bidi="ar-SA"/>
        </w:rPr>
        <w:t>（姓名）系</w:t>
      </w:r>
      <w:r>
        <w:rPr>
          <w:rFonts w:hint="eastAsia" w:ascii="宋体" w:eastAsia="宋体" w:cs="宋体"/>
          <w:sz w:val="24"/>
          <w:szCs w:val="24"/>
          <w:u w:val="single"/>
          <w:lang w:bidi="ar-SA"/>
        </w:rPr>
        <w:t xml:space="preserve">            </w:t>
      </w:r>
      <w:r>
        <w:rPr>
          <w:rFonts w:hint="eastAsia" w:ascii="宋体" w:eastAsia="宋体" w:cs="宋体"/>
          <w:sz w:val="24"/>
          <w:szCs w:val="24"/>
          <w:lang w:bidi="ar-SA"/>
        </w:rPr>
        <w:t>（供应商名称）的法定代表人</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负责人</w:t>
      </w:r>
      <w:r>
        <w:rPr>
          <w:rFonts w:hint="eastAsia" w:ascii="宋体" w:eastAsia="宋体" w:cs="宋体"/>
          <w:sz w:val="24"/>
          <w:szCs w:val="24"/>
          <w:lang w:eastAsia="zh-CN" w:bidi="ar-SA"/>
        </w:rPr>
        <w:t>）</w:t>
      </w:r>
      <w:r>
        <w:rPr>
          <w:rFonts w:hint="eastAsia" w:ascii="宋体" w:eastAsia="宋体" w:cs="宋体"/>
          <w:sz w:val="24"/>
          <w:szCs w:val="24"/>
          <w:lang w:bidi="ar-SA"/>
        </w:rPr>
        <w:t>，现委托</w:t>
      </w:r>
      <w:r>
        <w:rPr>
          <w:rFonts w:hint="eastAsia" w:ascii="宋体" w:eastAsia="宋体" w:cs="宋体"/>
          <w:sz w:val="24"/>
          <w:szCs w:val="24"/>
          <w:u w:val="single"/>
          <w:lang w:bidi="ar-SA"/>
        </w:rPr>
        <w:t xml:space="preserve">      （姓名）</w:t>
      </w:r>
      <w:r>
        <w:rPr>
          <w:rFonts w:hint="eastAsia" w:ascii="宋体" w:eastAsia="宋体" w:cs="宋体"/>
          <w:sz w:val="24"/>
          <w:szCs w:val="24"/>
          <w:lang w:bidi="ar-SA"/>
        </w:rPr>
        <w:t>为我方代理人。代理人根据授权，以我方名义签署、澄清、说明、补正、递交、撤回、修改</w:t>
      </w:r>
      <w:r>
        <w:rPr>
          <w:rFonts w:hint="eastAsia" w:ascii="宋体" w:eastAsia="宋体" w:cs="宋体"/>
          <w:sz w:val="24"/>
          <w:szCs w:val="24"/>
          <w:u w:val="single"/>
          <w:lang w:bidi="ar-SA"/>
        </w:rPr>
        <w:t xml:space="preserve">              （项目名称</w:t>
      </w:r>
      <w:r>
        <w:rPr>
          <w:rFonts w:hint="eastAsia" w:ascii="宋体" w:eastAsia="宋体" w:cs="宋体"/>
          <w:sz w:val="24"/>
          <w:szCs w:val="24"/>
          <w:u w:val="none"/>
          <w:lang w:bidi="ar-SA"/>
        </w:rPr>
        <w:t>）</w:t>
      </w:r>
      <w:r>
        <w:rPr>
          <w:rFonts w:hint="eastAsia" w:ascii="宋体" w:eastAsia="宋体" w:cs="宋体"/>
          <w:sz w:val="24"/>
          <w:szCs w:val="24"/>
          <w:lang w:bidi="ar-SA"/>
        </w:rPr>
        <w:t>谈判</w:t>
      </w:r>
      <w:r>
        <w:rPr>
          <w:rFonts w:hint="eastAsia" w:eastAsia="宋体" w:cs="宋体"/>
          <w:sz w:val="24"/>
          <w:szCs w:val="24"/>
          <w:lang w:val="en-US" w:eastAsia="zh-CN" w:bidi="ar-SA"/>
        </w:rPr>
        <w:t>磋商</w:t>
      </w:r>
      <w:r>
        <w:rPr>
          <w:rFonts w:hint="eastAsia" w:ascii="宋体" w:eastAsia="宋体" w:cs="宋体"/>
          <w:sz w:val="24"/>
          <w:szCs w:val="24"/>
          <w:lang w:bidi="ar-SA"/>
        </w:rPr>
        <w:t>响应文件、洽谈合同和处理有关事宜，其法律后果由我方承担。</w:t>
      </w:r>
    </w:p>
    <w:p w14:paraId="598F8588">
      <w:pPr>
        <w:spacing w:line="440" w:lineRule="exact"/>
        <w:ind w:firstLine="480" w:firstLineChars="200"/>
        <w:rPr>
          <w:rFonts w:hint="eastAsia" w:ascii="宋体" w:eastAsia="宋体" w:cs="宋体"/>
          <w:sz w:val="24"/>
          <w:szCs w:val="24"/>
          <w:lang w:bidi="ar-SA"/>
        </w:rPr>
      </w:pPr>
      <w:r>
        <w:rPr>
          <w:rFonts w:hint="eastAsia" w:ascii="宋体" w:eastAsia="宋体" w:cs="宋体"/>
          <w:sz w:val="24"/>
          <w:szCs w:val="24"/>
          <w:lang w:bidi="ar-SA"/>
        </w:rPr>
        <w:t>委托期限：</w:t>
      </w:r>
      <w:r>
        <w:rPr>
          <w:rFonts w:hint="eastAsia" w:ascii="宋体" w:eastAsia="宋体" w:cs="宋体"/>
          <w:sz w:val="24"/>
          <w:szCs w:val="24"/>
          <w:u w:val="single"/>
          <w:lang w:bidi="ar-SA"/>
        </w:rPr>
        <w:t xml:space="preserve">        </w:t>
      </w:r>
      <w:r>
        <w:rPr>
          <w:rFonts w:hint="eastAsia" w:ascii="宋体" w:eastAsia="宋体" w:cs="宋体"/>
          <w:sz w:val="24"/>
          <w:szCs w:val="24"/>
          <w:lang w:bidi="ar-SA"/>
        </w:rPr>
        <w:t xml:space="preserve">。 代理人无转委托权。 </w:t>
      </w:r>
    </w:p>
    <w:p w14:paraId="7EFD171A">
      <w:pPr>
        <w:spacing w:line="440" w:lineRule="exact"/>
        <w:ind w:firstLine="480" w:firstLineChars="200"/>
        <w:rPr>
          <w:rFonts w:hint="eastAsia" w:ascii="宋体" w:eastAsia="宋体" w:cs="宋体"/>
          <w:sz w:val="24"/>
          <w:szCs w:val="24"/>
          <w:lang w:bidi="ar-SA"/>
        </w:rPr>
      </w:pPr>
      <w:r>
        <w:rPr>
          <w:rFonts w:hint="eastAsia" w:ascii="宋体" w:eastAsia="宋体" w:cs="宋体"/>
          <w:sz w:val="24"/>
          <w:szCs w:val="24"/>
          <w:lang w:bidi="ar-SA"/>
        </w:rPr>
        <w:t>附：授权委托人身份证明</w:t>
      </w:r>
    </w:p>
    <w:p w14:paraId="454CD1A5">
      <w:pPr>
        <w:spacing w:line="440" w:lineRule="exact"/>
        <w:rPr>
          <w:rFonts w:hint="eastAsia" w:ascii="宋体" w:eastAsia="宋体" w:cs="宋体"/>
          <w:sz w:val="24"/>
          <w:szCs w:val="24"/>
          <w:lang w:bidi="ar-SA"/>
        </w:rPr>
      </w:pPr>
    </w:p>
    <w:p w14:paraId="062CF1D2">
      <w:pPr>
        <w:spacing w:line="440" w:lineRule="exact"/>
        <w:rPr>
          <w:rFonts w:hint="eastAsia" w:ascii="宋体" w:eastAsia="宋体" w:cs="宋体"/>
          <w:sz w:val="24"/>
          <w:szCs w:val="24"/>
          <w:lang w:bidi="ar-SA"/>
        </w:rPr>
      </w:pPr>
    </w:p>
    <w:p w14:paraId="6F873E10">
      <w:pPr>
        <w:spacing w:line="440" w:lineRule="exact"/>
        <w:rPr>
          <w:rFonts w:hint="eastAsia" w:ascii="宋体" w:eastAsia="宋体" w:cs="宋体"/>
          <w:sz w:val="24"/>
          <w:szCs w:val="24"/>
          <w:lang w:bidi="ar-SA"/>
        </w:rPr>
      </w:pPr>
    </w:p>
    <w:p w14:paraId="3D3C4D57">
      <w:pPr>
        <w:spacing w:line="440" w:lineRule="exact"/>
        <w:rPr>
          <w:rFonts w:hint="eastAsia" w:ascii="宋体" w:eastAsia="宋体" w:cs="宋体"/>
          <w:sz w:val="24"/>
          <w:szCs w:val="24"/>
          <w:lang w:bidi="ar-SA"/>
        </w:rPr>
      </w:pPr>
    </w:p>
    <w:p w14:paraId="16E23E01">
      <w:pPr>
        <w:spacing w:line="440" w:lineRule="exact"/>
        <w:rPr>
          <w:rFonts w:hint="eastAsia" w:ascii="宋体" w:eastAsia="宋体" w:cs="宋体"/>
          <w:sz w:val="24"/>
          <w:szCs w:val="24"/>
          <w:lang w:bidi="ar-SA"/>
        </w:rPr>
      </w:pPr>
      <w:r>
        <w:rPr>
          <w:rFonts w:hint="eastAsia" w:ascii="宋体" w:eastAsia="宋体" w:cs="宋体"/>
          <w:sz w:val="24"/>
          <w:szCs w:val="24"/>
          <w:lang w:bidi="ar-SA"/>
        </w:rPr>
        <w:t xml:space="preserve">                              供应商：</w:t>
      </w:r>
      <w:r>
        <w:rPr>
          <w:rFonts w:hint="eastAsia" w:ascii="宋体" w:eastAsia="宋体" w:cs="宋体"/>
          <w:sz w:val="24"/>
          <w:szCs w:val="24"/>
          <w:u w:val="single"/>
          <w:lang w:bidi="ar-SA"/>
        </w:rPr>
        <w:t xml:space="preserve">                </w:t>
      </w:r>
      <w:r>
        <w:rPr>
          <w:rFonts w:hint="eastAsia" w:ascii="宋体" w:eastAsia="宋体" w:cs="宋体"/>
          <w:sz w:val="24"/>
          <w:szCs w:val="24"/>
          <w:lang w:bidi="ar-SA"/>
        </w:rPr>
        <w:t>（盖单位章）</w:t>
      </w:r>
    </w:p>
    <w:p w14:paraId="185532B6">
      <w:pPr>
        <w:spacing w:line="440" w:lineRule="exact"/>
        <w:rPr>
          <w:rFonts w:hint="eastAsia" w:ascii="宋体" w:eastAsia="宋体" w:cs="宋体"/>
          <w:sz w:val="24"/>
          <w:szCs w:val="24"/>
          <w:lang w:bidi="ar-SA"/>
        </w:rPr>
      </w:pPr>
      <w:r>
        <w:rPr>
          <w:rFonts w:hint="eastAsia" w:ascii="宋体" w:eastAsia="宋体" w:cs="宋体"/>
          <w:sz w:val="24"/>
          <w:szCs w:val="24"/>
          <w:lang w:bidi="ar-SA"/>
        </w:rPr>
        <w:t xml:space="preserve">                              法定代表人</w:t>
      </w:r>
      <w:r>
        <w:rPr>
          <w:rFonts w:hint="eastAsia" w:ascii="宋体" w:eastAsia="宋体" w:cs="宋体"/>
          <w:sz w:val="24"/>
          <w:szCs w:val="24"/>
          <w:lang w:eastAsia="zh-CN" w:bidi="ar-SA"/>
        </w:rPr>
        <w:t>（</w:t>
      </w:r>
      <w:r>
        <w:rPr>
          <w:rFonts w:hint="eastAsia" w:ascii="宋体" w:eastAsia="宋体" w:cs="宋体"/>
          <w:sz w:val="24"/>
          <w:szCs w:val="24"/>
          <w:lang w:val="en-US" w:eastAsia="zh-CN" w:bidi="ar-SA"/>
        </w:rPr>
        <w:t>负责人</w:t>
      </w:r>
      <w:r>
        <w:rPr>
          <w:rFonts w:hint="eastAsia" w:ascii="宋体" w:eastAsia="宋体" w:cs="宋体"/>
          <w:sz w:val="24"/>
          <w:szCs w:val="24"/>
          <w:lang w:eastAsia="zh-CN" w:bidi="ar-SA"/>
        </w:rPr>
        <w:t>）</w:t>
      </w:r>
      <w:r>
        <w:rPr>
          <w:rFonts w:hint="eastAsia" w:ascii="宋体" w:eastAsia="宋体" w:cs="宋体"/>
          <w:sz w:val="24"/>
          <w:szCs w:val="24"/>
          <w:lang w:bidi="ar-SA"/>
        </w:rPr>
        <w:t>：</w:t>
      </w:r>
      <w:r>
        <w:rPr>
          <w:rFonts w:hint="eastAsia" w:ascii="宋体" w:eastAsia="宋体" w:cs="宋体"/>
          <w:sz w:val="24"/>
          <w:szCs w:val="24"/>
          <w:u w:val="single"/>
          <w:lang w:bidi="ar-SA"/>
        </w:rPr>
        <w:t xml:space="preserve">            </w:t>
      </w:r>
      <w:r>
        <w:rPr>
          <w:rFonts w:hint="eastAsia" w:ascii="宋体" w:eastAsia="宋体" w:cs="宋体"/>
          <w:sz w:val="24"/>
          <w:szCs w:val="24"/>
          <w:lang w:bidi="ar-SA"/>
        </w:rPr>
        <w:t>（签字或盖章）</w:t>
      </w:r>
    </w:p>
    <w:p w14:paraId="682E872F">
      <w:pPr>
        <w:spacing w:line="440" w:lineRule="exact"/>
        <w:rPr>
          <w:rFonts w:hint="eastAsia" w:ascii="宋体" w:eastAsia="宋体" w:cs="宋体"/>
          <w:sz w:val="24"/>
          <w:szCs w:val="24"/>
          <w:lang w:bidi="ar-SA"/>
        </w:rPr>
      </w:pPr>
      <w:r>
        <w:rPr>
          <w:rFonts w:hint="eastAsia" w:ascii="宋体" w:eastAsia="宋体" w:cs="宋体"/>
          <w:sz w:val="24"/>
          <w:szCs w:val="24"/>
          <w:lang w:bidi="ar-SA"/>
        </w:rPr>
        <w:t xml:space="preserve">                              身份证号码：</w:t>
      </w:r>
      <w:r>
        <w:rPr>
          <w:rFonts w:hint="eastAsia" w:ascii="宋体" w:eastAsia="宋体" w:cs="宋体"/>
          <w:sz w:val="24"/>
          <w:szCs w:val="24"/>
          <w:u w:val="single"/>
          <w:lang w:bidi="ar-SA"/>
        </w:rPr>
        <w:t xml:space="preserve">                        </w:t>
      </w:r>
    </w:p>
    <w:p w14:paraId="59983C11">
      <w:pPr>
        <w:spacing w:line="440" w:lineRule="exact"/>
        <w:rPr>
          <w:rFonts w:hint="eastAsia" w:ascii="宋体" w:eastAsia="宋体" w:cs="宋体"/>
          <w:sz w:val="24"/>
          <w:szCs w:val="24"/>
          <w:lang w:bidi="ar-SA"/>
        </w:rPr>
      </w:pPr>
      <w:r>
        <w:rPr>
          <w:rFonts w:hint="eastAsia" w:ascii="宋体" w:eastAsia="宋体" w:cs="宋体"/>
          <w:sz w:val="24"/>
          <w:szCs w:val="24"/>
          <w:lang w:bidi="ar-SA"/>
        </w:rPr>
        <w:t xml:space="preserve">                              委托代理人：</w:t>
      </w:r>
      <w:r>
        <w:rPr>
          <w:rFonts w:hint="eastAsia" w:ascii="宋体" w:eastAsia="宋体" w:cs="宋体"/>
          <w:sz w:val="24"/>
          <w:szCs w:val="24"/>
          <w:u w:val="single"/>
          <w:lang w:bidi="ar-SA"/>
        </w:rPr>
        <w:t xml:space="preserve">                </w:t>
      </w:r>
      <w:r>
        <w:rPr>
          <w:rFonts w:hint="eastAsia" w:ascii="宋体" w:eastAsia="宋体" w:cs="宋体"/>
          <w:sz w:val="24"/>
          <w:szCs w:val="24"/>
          <w:lang w:bidi="ar-SA"/>
        </w:rPr>
        <w:t>（签字或盖章）</w:t>
      </w:r>
    </w:p>
    <w:p w14:paraId="4AAAEBA7">
      <w:pPr>
        <w:spacing w:line="440" w:lineRule="exact"/>
        <w:rPr>
          <w:rFonts w:hint="eastAsia" w:ascii="宋体" w:eastAsia="宋体" w:cs="宋体"/>
          <w:sz w:val="24"/>
          <w:szCs w:val="24"/>
          <w:lang w:bidi="ar-SA"/>
        </w:rPr>
      </w:pPr>
      <w:r>
        <w:rPr>
          <w:rFonts w:hint="eastAsia" w:ascii="宋体" w:eastAsia="宋体" w:cs="宋体"/>
          <w:sz w:val="24"/>
          <w:szCs w:val="24"/>
          <w:lang w:bidi="ar-SA"/>
        </w:rPr>
        <w:t xml:space="preserve">                              身份证号码：</w:t>
      </w:r>
      <w:r>
        <w:rPr>
          <w:rFonts w:hint="eastAsia" w:ascii="宋体" w:eastAsia="宋体" w:cs="宋体"/>
          <w:sz w:val="24"/>
          <w:szCs w:val="24"/>
          <w:u w:val="single"/>
          <w:lang w:bidi="ar-SA"/>
        </w:rPr>
        <w:t xml:space="preserve">                        </w:t>
      </w:r>
    </w:p>
    <w:p w14:paraId="37021041">
      <w:pPr>
        <w:spacing w:line="440" w:lineRule="exact"/>
        <w:rPr>
          <w:rFonts w:hint="eastAsia" w:ascii="宋体" w:eastAsia="宋体" w:cs="宋体"/>
          <w:sz w:val="24"/>
          <w:szCs w:val="24"/>
          <w:u w:val="single"/>
          <w:lang w:bidi="ar-SA"/>
        </w:rPr>
      </w:pPr>
    </w:p>
    <w:p w14:paraId="1DCBAA5B">
      <w:pPr>
        <w:spacing w:line="440" w:lineRule="exact"/>
        <w:rPr>
          <w:rFonts w:hint="eastAsia" w:ascii="宋体" w:eastAsia="宋体" w:cs="宋体"/>
          <w:sz w:val="21"/>
          <w:szCs w:val="21"/>
          <w:u w:val="single"/>
          <w:lang w:bidi="ar-SA"/>
        </w:rPr>
      </w:pPr>
    </w:p>
    <w:p w14:paraId="550374CB">
      <w:pPr>
        <w:spacing w:line="440" w:lineRule="exact"/>
        <w:jc w:val="right"/>
        <w:rPr>
          <w:rFonts w:hint="eastAsia" w:ascii="宋体" w:eastAsia="宋体" w:cs="宋体"/>
          <w:sz w:val="24"/>
          <w:szCs w:val="24"/>
          <w:lang w:bidi="ar-SA"/>
        </w:rPr>
      </w:pPr>
      <w:r>
        <w:rPr>
          <w:rFonts w:hint="eastAsia" w:ascii="宋体" w:eastAsia="宋体" w:cs="宋体"/>
          <w:sz w:val="24"/>
          <w:szCs w:val="24"/>
          <w:u w:val="single"/>
          <w:lang w:bidi="ar-SA"/>
        </w:rPr>
        <w:tab/>
      </w:r>
      <w:r>
        <w:rPr>
          <w:rFonts w:hint="eastAsia" w:ascii="宋体" w:eastAsia="宋体" w:cs="宋体"/>
          <w:sz w:val="24"/>
          <w:szCs w:val="24"/>
          <w:u w:val="single"/>
          <w:lang w:bidi="ar-SA"/>
        </w:rPr>
        <w:t xml:space="preserve">      </w:t>
      </w:r>
      <w:r>
        <w:rPr>
          <w:rFonts w:hint="eastAsia" w:ascii="宋体" w:eastAsia="宋体" w:cs="宋体"/>
          <w:sz w:val="24"/>
          <w:szCs w:val="24"/>
          <w:lang w:bidi="ar-SA"/>
        </w:rPr>
        <w:t>年</w:t>
      </w:r>
      <w:r>
        <w:rPr>
          <w:rFonts w:hint="eastAsia" w:ascii="宋体" w:eastAsia="宋体" w:cs="宋体"/>
          <w:sz w:val="24"/>
          <w:szCs w:val="24"/>
          <w:u w:val="single"/>
          <w:lang w:bidi="ar-SA"/>
        </w:rPr>
        <w:t xml:space="preserve">      </w:t>
      </w:r>
      <w:r>
        <w:rPr>
          <w:rFonts w:hint="eastAsia" w:ascii="宋体" w:eastAsia="宋体" w:cs="宋体"/>
          <w:sz w:val="24"/>
          <w:szCs w:val="24"/>
          <w:lang w:bidi="ar-SA"/>
        </w:rPr>
        <w:t>月</w:t>
      </w:r>
      <w:r>
        <w:rPr>
          <w:rFonts w:hint="eastAsia" w:ascii="宋体" w:eastAsia="宋体" w:cs="宋体"/>
          <w:sz w:val="24"/>
          <w:szCs w:val="24"/>
          <w:u w:val="single"/>
          <w:lang w:bidi="ar-SA"/>
        </w:rPr>
        <w:t xml:space="preserve">       </w:t>
      </w:r>
      <w:r>
        <w:rPr>
          <w:rFonts w:hint="eastAsia" w:ascii="宋体" w:eastAsia="宋体" w:cs="宋体"/>
          <w:sz w:val="24"/>
          <w:szCs w:val="24"/>
          <w:lang w:bidi="ar-SA"/>
        </w:rPr>
        <w:t>日</w:t>
      </w:r>
    </w:p>
    <w:p w14:paraId="7C28B205">
      <w:pPr>
        <w:spacing w:line="360" w:lineRule="auto"/>
        <w:jc w:val="right"/>
        <w:rPr>
          <w:rFonts w:hint="eastAsia" w:ascii="宋体" w:eastAsia="宋体" w:cs="宋体"/>
          <w:sz w:val="21"/>
          <w:szCs w:val="21"/>
          <w:lang w:bidi="ar-SA"/>
        </w:rPr>
      </w:pPr>
    </w:p>
    <w:p w14:paraId="3656A39D">
      <w:pPr>
        <w:spacing w:line="360" w:lineRule="auto"/>
        <w:jc w:val="right"/>
        <w:rPr>
          <w:rFonts w:hint="eastAsia" w:ascii="宋体" w:eastAsia="宋体" w:cs="宋体"/>
          <w:sz w:val="21"/>
          <w:szCs w:val="21"/>
          <w:lang w:bidi="ar-SA"/>
        </w:rPr>
      </w:pPr>
    </w:p>
    <w:p w14:paraId="551A00B5">
      <w:pPr>
        <w:pStyle w:val="25"/>
        <w:rPr>
          <w:rFonts w:hint="eastAsia" w:ascii="宋体" w:eastAsia="宋体" w:cs="宋体"/>
          <w:sz w:val="21"/>
          <w:szCs w:val="21"/>
          <w:lang w:bidi="ar-SA"/>
        </w:rPr>
      </w:pPr>
    </w:p>
    <w:p w14:paraId="577BB49E">
      <w:pPr>
        <w:pStyle w:val="25"/>
        <w:rPr>
          <w:rFonts w:hint="eastAsia" w:ascii="宋体" w:eastAsia="宋体" w:cs="宋体"/>
          <w:sz w:val="21"/>
          <w:szCs w:val="21"/>
          <w:lang w:bidi="ar-SA"/>
        </w:rPr>
      </w:pPr>
    </w:p>
    <w:p w14:paraId="09FC6308">
      <w:pPr>
        <w:pStyle w:val="2"/>
        <w:rPr>
          <w:rFonts w:hint="eastAsia"/>
        </w:rPr>
      </w:pPr>
    </w:p>
    <w:p w14:paraId="56CEC61A">
      <w:pPr>
        <w:pStyle w:val="25"/>
        <w:rPr>
          <w:rFonts w:hint="eastAsia" w:ascii="宋体" w:eastAsia="宋体" w:cs="宋体"/>
          <w:sz w:val="21"/>
          <w:szCs w:val="21"/>
          <w:lang w:bidi="ar-SA"/>
        </w:rPr>
      </w:pPr>
    </w:p>
    <w:p w14:paraId="30373038">
      <w:pPr>
        <w:pStyle w:val="2"/>
        <w:rPr>
          <w:rFonts w:hint="eastAsia"/>
        </w:rPr>
      </w:pPr>
    </w:p>
    <w:p w14:paraId="491A8DDB">
      <w:pPr>
        <w:pStyle w:val="2"/>
        <w:rPr>
          <w:rFonts w:hint="eastAsia"/>
        </w:rPr>
      </w:pPr>
    </w:p>
    <w:p w14:paraId="6BB8998B">
      <w:pPr>
        <w:spacing w:line="360" w:lineRule="auto"/>
        <w:jc w:val="right"/>
        <w:rPr>
          <w:rFonts w:hint="eastAsia" w:ascii="宋体" w:eastAsia="宋体" w:cs="宋体"/>
          <w:sz w:val="24"/>
          <w:szCs w:val="24"/>
          <w:lang w:bidi="ar-SA"/>
        </w:rPr>
      </w:pPr>
    </w:p>
    <w:p w14:paraId="37F1C596">
      <w:pPr>
        <w:spacing w:line="360" w:lineRule="auto"/>
        <w:jc w:val="right"/>
        <w:rPr>
          <w:rFonts w:hint="eastAsia" w:ascii="宋体" w:eastAsia="宋体" w:cs="宋体"/>
          <w:sz w:val="24"/>
          <w:szCs w:val="24"/>
          <w:lang w:bidi="ar-SA"/>
        </w:rPr>
      </w:pPr>
    </w:p>
    <w:p w14:paraId="3C32B97B">
      <w:pPr>
        <w:spacing w:line="360" w:lineRule="auto"/>
        <w:jc w:val="right"/>
        <w:rPr>
          <w:rFonts w:hint="eastAsia" w:ascii="宋体" w:eastAsia="宋体" w:cs="宋体"/>
          <w:sz w:val="24"/>
          <w:szCs w:val="24"/>
          <w:lang w:bidi="ar-SA"/>
        </w:rPr>
      </w:pPr>
    </w:p>
    <w:p w14:paraId="03547468">
      <w:pPr>
        <w:pStyle w:val="5"/>
        <w:bidi w:val="0"/>
        <w:jc w:val="center"/>
        <w:rPr>
          <w:rFonts w:hint="eastAsia" w:ascii="宋体" w:hAnsi="宋体" w:eastAsia="宋体" w:cs="宋体"/>
          <w:sz w:val="28"/>
          <w:szCs w:val="28"/>
          <w:lang w:val="en-US" w:eastAsia="zh-CN"/>
        </w:rPr>
      </w:pPr>
      <w:bookmarkStart w:id="967" w:name="_Toc23693"/>
      <w:bookmarkStart w:id="968" w:name="_Toc414956975"/>
      <w:bookmarkStart w:id="969" w:name="_Toc417567991"/>
      <w:bookmarkStart w:id="970" w:name="_Toc398716804"/>
      <w:r>
        <w:rPr>
          <w:rFonts w:hint="eastAsia" w:ascii="宋体" w:hAnsi="宋体" w:eastAsia="宋体" w:cs="宋体"/>
          <w:sz w:val="28"/>
          <w:szCs w:val="28"/>
          <w:lang w:val="en-US" w:eastAsia="zh-CN"/>
        </w:rPr>
        <w:t>四、商务条款偏离表</w:t>
      </w:r>
      <w:bookmarkEnd w:id="967"/>
    </w:p>
    <w:p w14:paraId="69C805EA">
      <w:pPr>
        <w:pStyle w:val="25"/>
        <w:rPr>
          <w:rFonts w:hint="eastAsia" w:ascii="宋体"/>
        </w:rPr>
      </w:pP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220"/>
        <w:gridCol w:w="3220"/>
        <w:gridCol w:w="1768"/>
      </w:tblGrid>
      <w:tr w14:paraId="6D3F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70" w:type="dxa"/>
            <w:noWrap w:val="0"/>
            <w:vAlign w:val="center"/>
          </w:tcPr>
          <w:p w14:paraId="63709E27">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20" w:type="dxa"/>
            <w:noWrap w:val="0"/>
            <w:vAlign w:val="center"/>
          </w:tcPr>
          <w:p w14:paraId="32E340CB">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文件的商务条款</w:t>
            </w:r>
          </w:p>
        </w:tc>
        <w:tc>
          <w:tcPr>
            <w:tcW w:w="3220" w:type="dxa"/>
            <w:noWrap w:val="0"/>
            <w:vAlign w:val="center"/>
          </w:tcPr>
          <w:p w14:paraId="098E2172">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文件的商务条款</w:t>
            </w:r>
          </w:p>
        </w:tc>
        <w:tc>
          <w:tcPr>
            <w:tcW w:w="1768" w:type="dxa"/>
            <w:noWrap w:val="0"/>
            <w:vAlign w:val="center"/>
          </w:tcPr>
          <w:p w14:paraId="5DC06611">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14:paraId="197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364F3BB7">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26C7F4D0">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152AB7D3">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343F6A57">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57B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79CDAFA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329F7A16">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37D01C50">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0336425A">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7A91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2AAF78D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5357D0AE">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44AB89AC">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2D8D8563">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7FC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7C544A61">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0E5CC0C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64CFCEEC">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18D4406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1004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6D3DC4B3">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0E9D3806">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1DCAE32F">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0710EB89">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27F8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173E77D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7098ABB3">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7B0816F5">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5BAAE79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3F1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34000FCD">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5EFF3ABD">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3B3CA106">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16515105">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5C4D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14:paraId="55D712FF">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7A4FA88B">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09D3F9C2">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116A49EE">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r w14:paraId="4446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0" w:type="dxa"/>
            <w:noWrap w:val="0"/>
            <w:vAlign w:val="center"/>
          </w:tcPr>
          <w:p w14:paraId="4527A0D4">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42E8C461">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3220" w:type="dxa"/>
            <w:noWrap w:val="0"/>
            <w:vAlign w:val="center"/>
          </w:tcPr>
          <w:p w14:paraId="0D80A227">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c>
          <w:tcPr>
            <w:tcW w:w="1768" w:type="dxa"/>
            <w:noWrap w:val="0"/>
            <w:vAlign w:val="center"/>
          </w:tcPr>
          <w:p w14:paraId="13D3B472">
            <w:pPr>
              <w:keepNext w:val="0"/>
              <w:keepLines w:val="0"/>
              <w:suppressLineNumbers w:val="0"/>
              <w:spacing w:before="120" w:beforeAutospacing="0" w:after="0" w:afterAutospacing="0"/>
              <w:ind w:left="0" w:right="0"/>
              <w:rPr>
                <w:rFonts w:hint="eastAsia" w:asciiTheme="minorEastAsia" w:hAnsiTheme="minorEastAsia" w:eastAsiaTheme="minorEastAsia" w:cstheme="minorEastAsia"/>
                <w:sz w:val="24"/>
                <w:szCs w:val="24"/>
              </w:rPr>
            </w:pPr>
          </w:p>
        </w:tc>
      </w:tr>
    </w:tbl>
    <w:p w14:paraId="2EEC31F8">
      <w:pPr>
        <w:pStyle w:val="2"/>
        <w:jc w:val="both"/>
        <w:rPr>
          <w:rFonts w:hint="eastAsia" w:asciiTheme="minorEastAsia" w:hAnsiTheme="minorEastAsia" w:eastAsiaTheme="minorEastAsia" w:cstheme="minorEastAsia"/>
          <w:sz w:val="21"/>
          <w:szCs w:val="21"/>
        </w:rPr>
      </w:pPr>
    </w:p>
    <w:p w14:paraId="485DA2F4">
      <w:pPr>
        <w:pStyle w:val="25"/>
        <w:spacing w:line="360" w:lineRule="auto"/>
        <w:ind w:left="42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注：“偏离说明”一栏必须写明偏离情况，不得以“满足”代替，若无偏离则填写“无”。</w:t>
      </w:r>
    </w:p>
    <w:p w14:paraId="195CBB4F">
      <w:pPr>
        <w:spacing w:after="120" w:line="360" w:lineRule="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 xml:space="preserve">   </w:t>
      </w:r>
    </w:p>
    <w:p w14:paraId="19B3C7AB">
      <w:pPr>
        <w:spacing w:line="440" w:lineRule="exact"/>
        <w:ind w:firstLine="2640" w:firstLineChars="1100"/>
        <w:jc w:val="lef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供应商：</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（盖单位章）</w:t>
      </w:r>
    </w:p>
    <w:p w14:paraId="3B7ED892">
      <w:pPr>
        <w:spacing w:line="440" w:lineRule="exact"/>
        <w:ind w:firstLine="2640" w:firstLineChars="1100"/>
        <w:jc w:val="lef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法定代表人</w:t>
      </w:r>
      <w:r>
        <w:rPr>
          <w:rFonts w:hint="eastAsia" w:asciiTheme="minorEastAsia" w:hAnsiTheme="minorEastAsia" w:eastAsiaTheme="minorEastAsia" w:cstheme="minorEastAsia"/>
          <w:sz w:val="24"/>
          <w:szCs w:val="24"/>
          <w:lang w:eastAsia="zh-CN" w:bidi="ar-SA"/>
        </w:rPr>
        <w:t>（</w:t>
      </w:r>
      <w:r>
        <w:rPr>
          <w:rFonts w:hint="eastAsia" w:asciiTheme="minorEastAsia" w:hAnsiTheme="minorEastAsia" w:eastAsiaTheme="minorEastAsia" w:cstheme="minorEastAsia"/>
          <w:sz w:val="24"/>
          <w:szCs w:val="24"/>
          <w:lang w:val="en-US" w:eastAsia="zh-CN" w:bidi="ar-SA"/>
        </w:rPr>
        <w:t>负责人</w:t>
      </w:r>
      <w:r>
        <w:rPr>
          <w:rFonts w:hint="eastAsia" w:asciiTheme="minorEastAsia" w:hAnsiTheme="minorEastAsia" w:eastAsiaTheme="minorEastAsia" w:cstheme="minorEastAsia"/>
          <w:sz w:val="24"/>
          <w:szCs w:val="24"/>
          <w:lang w:eastAsia="zh-CN" w:bidi="ar-SA"/>
        </w:rPr>
        <w:t>）</w:t>
      </w:r>
      <w:r>
        <w:rPr>
          <w:rFonts w:hint="eastAsia" w:asciiTheme="minorEastAsia" w:hAnsiTheme="minorEastAsia" w:eastAsiaTheme="minorEastAsia" w:cstheme="minorEastAsia"/>
          <w:sz w:val="24"/>
          <w:szCs w:val="24"/>
          <w:lang w:bidi="ar-SA"/>
        </w:rPr>
        <w:t xml:space="preserve">或其委托代理人： </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（签字或盖章）</w:t>
      </w:r>
    </w:p>
    <w:p w14:paraId="57422BE6">
      <w:pPr>
        <w:ind w:firstLine="3360" w:firstLineChars="1400"/>
        <w:jc w:val="lef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年</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月</w:t>
      </w:r>
      <w:r>
        <w:rPr>
          <w:rFonts w:hint="eastAsia" w:asciiTheme="minorEastAsia" w:hAnsiTheme="minorEastAsia" w:eastAsiaTheme="minorEastAsia" w:cstheme="minorEastAsia"/>
          <w:sz w:val="24"/>
          <w:szCs w:val="24"/>
          <w:u w:val="single"/>
          <w:lang w:bidi="ar-SA"/>
        </w:rPr>
        <w:t xml:space="preserve">       </w:t>
      </w:r>
      <w:r>
        <w:rPr>
          <w:rFonts w:hint="eastAsia" w:asciiTheme="minorEastAsia" w:hAnsiTheme="minorEastAsia" w:eastAsiaTheme="minorEastAsia" w:cstheme="minorEastAsia"/>
          <w:sz w:val="24"/>
          <w:szCs w:val="24"/>
          <w:lang w:bidi="ar-SA"/>
        </w:rPr>
        <w:t>日</w:t>
      </w:r>
    </w:p>
    <w:p w14:paraId="07F92817">
      <w:pPr>
        <w:pStyle w:val="3"/>
        <w:rPr>
          <w:rFonts w:hint="eastAsia" w:asciiTheme="minorEastAsia" w:hAnsiTheme="minorEastAsia" w:eastAsiaTheme="minorEastAsia" w:cstheme="minorEastAsia"/>
          <w:sz w:val="21"/>
          <w:szCs w:val="21"/>
          <w:lang w:bidi="ar-SA"/>
        </w:rPr>
      </w:pPr>
    </w:p>
    <w:p w14:paraId="1DE640C3">
      <w:pPr>
        <w:pStyle w:val="3"/>
        <w:rPr>
          <w:rFonts w:hint="eastAsia" w:asciiTheme="minorEastAsia" w:hAnsiTheme="minorEastAsia" w:eastAsiaTheme="minorEastAsia" w:cstheme="minorEastAsia"/>
          <w:sz w:val="21"/>
          <w:szCs w:val="21"/>
          <w:lang w:bidi="ar-SA"/>
        </w:rPr>
      </w:pPr>
    </w:p>
    <w:p w14:paraId="0AD39F01">
      <w:pPr>
        <w:pStyle w:val="3"/>
        <w:rPr>
          <w:rFonts w:hint="eastAsia" w:asciiTheme="minorEastAsia" w:hAnsiTheme="minorEastAsia" w:eastAsiaTheme="minorEastAsia" w:cstheme="minorEastAsia"/>
          <w:sz w:val="21"/>
          <w:szCs w:val="21"/>
          <w:lang w:bidi="ar-SA"/>
        </w:rPr>
      </w:pPr>
    </w:p>
    <w:p w14:paraId="60DB7C89">
      <w:pPr>
        <w:pStyle w:val="3"/>
        <w:rPr>
          <w:rFonts w:hint="eastAsia" w:asciiTheme="minorEastAsia" w:hAnsiTheme="minorEastAsia" w:eastAsiaTheme="minorEastAsia" w:cstheme="minorEastAsia"/>
          <w:sz w:val="21"/>
          <w:szCs w:val="21"/>
          <w:lang w:bidi="ar-SA"/>
        </w:rPr>
      </w:pPr>
    </w:p>
    <w:p w14:paraId="2422CA21">
      <w:pPr>
        <w:pStyle w:val="3"/>
        <w:rPr>
          <w:rFonts w:hint="eastAsia" w:asciiTheme="minorEastAsia" w:hAnsiTheme="minorEastAsia" w:eastAsiaTheme="minorEastAsia" w:cstheme="minorEastAsia"/>
          <w:sz w:val="21"/>
          <w:szCs w:val="21"/>
          <w:lang w:bidi="ar-SA"/>
        </w:rPr>
      </w:pPr>
    </w:p>
    <w:p w14:paraId="0A29A2E1">
      <w:pPr>
        <w:pStyle w:val="3"/>
        <w:rPr>
          <w:rFonts w:hint="eastAsia" w:asciiTheme="minorEastAsia" w:hAnsiTheme="minorEastAsia" w:eastAsiaTheme="minorEastAsia" w:cstheme="minorEastAsia"/>
          <w:sz w:val="21"/>
          <w:szCs w:val="21"/>
          <w:lang w:bidi="ar-SA"/>
        </w:rPr>
      </w:pPr>
    </w:p>
    <w:p w14:paraId="3D7F107F">
      <w:pPr>
        <w:pStyle w:val="3"/>
        <w:rPr>
          <w:rFonts w:hint="eastAsia" w:asciiTheme="minorEastAsia" w:hAnsiTheme="minorEastAsia" w:eastAsiaTheme="minorEastAsia" w:cstheme="minorEastAsia"/>
          <w:sz w:val="21"/>
          <w:szCs w:val="21"/>
          <w:lang w:bidi="ar-SA"/>
        </w:rPr>
      </w:pPr>
    </w:p>
    <w:p w14:paraId="1DD79D21">
      <w:pPr>
        <w:pStyle w:val="3"/>
        <w:rPr>
          <w:rFonts w:hint="eastAsia" w:asciiTheme="minorEastAsia" w:hAnsiTheme="minorEastAsia" w:eastAsiaTheme="minorEastAsia" w:cstheme="minorEastAsia"/>
          <w:sz w:val="21"/>
          <w:szCs w:val="21"/>
          <w:lang w:bidi="ar-SA"/>
        </w:rPr>
      </w:pPr>
    </w:p>
    <w:p w14:paraId="131B215E">
      <w:pPr>
        <w:pStyle w:val="5"/>
        <w:bidi w:val="0"/>
        <w:jc w:val="center"/>
        <w:rPr>
          <w:rFonts w:hint="eastAsia" w:ascii="宋体" w:hAnsi="宋体" w:eastAsia="宋体" w:cs="宋体"/>
          <w:sz w:val="28"/>
          <w:szCs w:val="28"/>
          <w:lang w:val="en-US" w:eastAsia="zh-CN"/>
        </w:rPr>
      </w:pPr>
      <w:bookmarkStart w:id="971" w:name="_Toc27330"/>
      <w:bookmarkStart w:id="972" w:name="_Toc15153"/>
      <w:r>
        <w:rPr>
          <w:rFonts w:hint="eastAsia" w:ascii="宋体" w:hAnsi="宋体" w:eastAsia="宋体" w:cs="宋体"/>
          <w:sz w:val="28"/>
          <w:szCs w:val="28"/>
          <w:lang w:val="en-US" w:eastAsia="zh-CN"/>
        </w:rPr>
        <w:t>五、项目管理机构</w:t>
      </w:r>
      <w:bookmarkEnd w:id="971"/>
      <w:bookmarkEnd w:id="972"/>
    </w:p>
    <w:p w14:paraId="658F39FD">
      <w:pPr>
        <w:pStyle w:val="6"/>
        <w:bidi w:val="0"/>
        <w:jc w:val="center"/>
        <w:rPr>
          <w:rFonts w:hint="eastAsia" w:ascii="宋体" w:hAnsi="宋体" w:eastAsia="宋体" w:cs="宋体"/>
          <w:sz w:val="28"/>
          <w:szCs w:val="28"/>
          <w:lang w:eastAsia="zh-CN"/>
        </w:rPr>
      </w:pPr>
      <w:bookmarkStart w:id="973" w:name="_Toc5981"/>
      <w:bookmarkStart w:id="974" w:name="_Toc2913"/>
      <w:r>
        <w:rPr>
          <w:rFonts w:hint="eastAsia" w:ascii="宋体" w:hAnsi="宋体" w:eastAsia="宋体" w:cs="宋体"/>
          <w:sz w:val="28"/>
          <w:szCs w:val="28"/>
          <w:lang w:eastAsia="zh-CN"/>
        </w:rPr>
        <w:t>（一）拟派</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人员组成表</w:t>
      </w:r>
      <w:bookmarkEnd w:id="973"/>
      <w:bookmarkEnd w:id="974"/>
    </w:p>
    <w:tbl>
      <w:tblPr>
        <w:tblStyle w:val="5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33"/>
        <w:gridCol w:w="1030"/>
        <w:gridCol w:w="1502"/>
        <w:gridCol w:w="1560"/>
        <w:gridCol w:w="1487"/>
        <w:gridCol w:w="1284"/>
        <w:gridCol w:w="745"/>
      </w:tblGrid>
      <w:tr w14:paraId="05A8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17" w:type="dxa"/>
            <w:vMerge w:val="restart"/>
            <w:vAlign w:val="center"/>
          </w:tcPr>
          <w:p w14:paraId="7256597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职务</w:t>
            </w:r>
          </w:p>
        </w:tc>
        <w:tc>
          <w:tcPr>
            <w:tcW w:w="1133" w:type="dxa"/>
            <w:vMerge w:val="restart"/>
            <w:vAlign w:val="center"/>
          </w:tcPr>
          <w:p w14:paraId="16B0107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姓名</w:t>
            </w:r>
          </w:p>
        </w:tc>
        <w:tc>
          <w:tcPr>
            <w:tcW w:w="1030" w:type="dxa"/>
            <w:vMerge w:val="restart"/>
            <w:vAlign w:val="center"/>
          </w:tcPr>
          <w:p w14:paraId="386DA3A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职称</w:t>
            </w:r>
          </w:p>
        </w:tc>
        <w:tc>
          <w:tcPr>
            <w:tcW w:w="5833" w:type="dxa"/>
            <w:gridSpan w:val="4"/>
            <w:vAlign w:val="center"/>
          </w:tcPr>
          <w:p w14:paraId="1A77D0E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执业或职业资格证明</w:t>
            </w:r>
          </w:p>
        </w:tc>
        <w:tc>
          <w:tcPr>
            <w:tcW w:w="745" w:type="dxa"/>
            <w:vAlign w:val="center"/>
          </w:tcPr>
          <w:p w14:paraId="67D4631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备注</w:t>
            </w:r>
          </w:p>
        </w:tc>
      </w:tr>
      <w:tr w14:paraId="4EF9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17" w:type="dxa"/>
            <w:vMerge w:val="continue"/>
            <w:vAlign w:val="center"/>
          </w:tcPr>
          <w:p w14:paraId="6EDBBC0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vMerge w:val="continue"/>
            <w:vAlign w:val="center"/>
          </w:tcPr>
          <w:p w14:paraId="03AEA5B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vMerge w:val="continue"/>
            <w:vAlign w:val="center"/>
          </w:tcPr>
          <w:p w14:paraId="09E2C60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vAlign w:val="center"/>
          </w:tcPr>
          <w:p w14:paraId="5E46266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证书名称</w:t>
            </w:r>
          </w:p>
        </w:tc>
        <w:tc>
          <w:tcPr>
            <w:tcW w:w="1560" w:type="dxa"/>
            <w:vAlign w:val="center"/>
          </w:tcPr>
          <w:p w14:paraId="4E12B3D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级别</w:t>
            </w:r>
          </w:p>
        </w:tc>
        <w:tc>
          <w:tcPr>
            <w:tcW w:w="1487" w:type="dxa"/>
            <w:vAlign w:val="center"/>
          </w:tcPr>
          <w:p w14:paraId="668B7AD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证号</w:t>
            </w:r>
          </w:p>
        </w:tc>
        <w:tc>
          <w:tcPr>
            <w:tcW w:w="1284" w:type="dxa"/>
            <w:vAlign w:val="center"/>
          </w:tcPr>
          <w:p w14:paraId="6C1DA26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专业</w:t>
            </w:r>
          </w:p>
        </w:tc>
        <w:tc>
          <w:tcPr>
            <w:tcW w:w="745" w:type="dxa"/>
            <w:vAlign w:val="center"/>
          </w:tcPr>
          <w:p w14:paraId="34E814B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0ABC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vAlign w:val="center"/>
          </w:tcPr>
          <w:p w14:paraId="21A5956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vAlign w:val="center"/>
          </w:tcPr>
          <w:p w14:paraId="573F415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vAlign w:val="center"/>
          </w:tcPr>
          <w:p w14:paraId="6550B9E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vAlign w:val="center"/>
          </w:tcPr>
          <w:p w14:paraId="79A459F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vAlign w:val="center"/>
          </w:tcPr>
          <w:p w14:paraId="3CE846B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vAlign w:val="center"/>
          </w:tcPr>
          <w:p w14:paraId="019A45A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vAlign w:val="center"/>
          </w:tcPr>
          <w:p w14:paraId="0EF38F6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vAlign w:val="center"/>
          </w:tcPr>
          <w:p w14:paraId="78CF8A4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53E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4B3DE74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0B6A1B8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3FF6760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27B6C34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3E9A0CD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4FF6547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3C38466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7C964DD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686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7A62358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0AB302C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70D3B03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4C775B3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46D7014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0F5A701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24EE66B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3EE48E9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3810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7764F51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5BE2285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1D3F962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33DFBD8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3AB313F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7B110C0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0BA4BEC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32BDDD6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7A56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1D454B9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23D04C1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30A34ED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551BEB0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5FFD326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7016D13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2EC8D03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4D15747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1CE5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1A77862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7491EAB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11C1776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18BC29B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518F990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6FD376F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46C02FB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26FA983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67B2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337C8D7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561FF08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159C2D3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0EEFA32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0E18025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01CF97E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00247A1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3F2A287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1910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0384B96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1387533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6A591DC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745AB31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5DE2EA9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0646DBB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6E159AC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61D6C47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499E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Pr>
          <w:p w14:paraId="635402A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Pr>
          <w:p w14:paraId="4E03CCA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Pr>
          <w:p w14:paraId="2CED437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Pr>
          <w:p w14:paraId="16D522B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Pr>
          <w:p w14:paraId="0456694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Pr>
          <w:p w14:paraId="0704071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Pr>
          <w:p w14:paraId="44D651F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Pr>
          <w:p w14:paraId="2CB20E1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034C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4537FD5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245009D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42A8C7D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3B7E06E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1A5C8A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17CB2AF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0E37457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7707310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33A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13D3C61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1D37BB1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3B35DBC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3B99622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564D30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6A129EF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283EBA9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47AB014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426C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352CD26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7B489D1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609D09F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65172AD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90210B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60AF4CF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664E357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52A42A1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0418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33D1614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2E2AA91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1BFBFDF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0302A08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0B2163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7E29CF5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79F39FC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1662E14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0187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548078F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6BB406E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25A495C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71BDCA7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2E0F06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72D92AB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3539899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00CEDDA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59E2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683AA9F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37F529A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74E2443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5846E2E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376CB1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782C096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6B2CE61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28E4AA3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445D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6226195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474FDCD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101DF37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35C7150D">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3A4FB3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7347CB8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7916746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327C499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140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5C63029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2DACF93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2C9C4FB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1C53E66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8F87DC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0E56CA79">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5D9BD57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13D1FF5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19E4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7" w:type="dxa"/>
            <w:tcBorders>
              <w:top w:val="single" w:color="auto" w:sz="4" w:space="0"/>
              <w:left w:val="single" w:color="auto" w:sz="4" w:space="0"/>
              <w:bottom w:val="single" w:color="auto" w:sz="4" w:space="0"/>
              <w:right w:val="single" w:color="auto" w:sz="4" w:space="0"/>
            </w:tcBorders>
          </w:tcPr>
          <w:p w14:paraId="38C23D0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0F669EB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7A1BA45B">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3EB45BF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88D35C5">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441A244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38A308D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0B4BCD1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r w14:paraId="0EA6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17" w:type="dxa"/>
            <w:tcBorders>
              <w:top w:val="single" w:color="auto" w:sz="4" w:space="0"/>
              <w:left w:val="single" w:color="auto" w:sz="4" w:space="0"/>
              <w:bottom w:val="single" w:color="auto" w:sz="4" w:space="0"/>
              <w:right w:val="single" w:color="auto" w:sz="4" w:space="0"/>
            </w:tcBorders>
          </w:tcPr>
          <w:p w14:paraId="5A152CD2">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133" w:type="dxa"/>
            <w:tcBorders>
              <w:top w:val="single" w:color="auto" w:sz="4" w:space="0"/>
              <w:left w:val="single" w:color="auto" w:sz="4" w:space="0"/>
              <w:bottom w:val="single" w:color="auto" w:sz="4" w:space="0"/>
              <w:right w:val="single" w:color="auto" w:sz="4" w:space="0"/>
            </w:tcBorders>
          </w:tcPr>
          <w:p w14:paraId="5298491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030" w:type="dxa"/>
            <w:tcBorders>
              <w:top w:val="single" w:color="auto" w:sz="4" w:space="0"/>
              <w:left w:val="single" w:color="auto" w:sz="4" w:space="0"/>
              <w:bottom w:val="single" w:color="auto" w:sz="4" w:space="0"/>
              <w:right w:val="single" w:color="auto" w:sz="4" w:space="0"/>
            </w:tcBorders>
          </w:tcPr>
          <w:p w14:paraId="41FD0BF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tcPr>
          <w:p w14:paraId="638E64B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43883A6">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487" w:type="dxa"/>
            <w:tcBorders>
              <w:top w:val="single" w:color="auto" w:sz="4" w:space="0"/>
              <w:left w:val="single" w:color="auto" w:sz="4" w:space="0"/>
              <w:bottom w:val="single" w:color="auto" w:sz="4" w:space="0"/>
              <w:right w:val="single" w:color="auto" w:sz="4" w:space="0"/>
            </w:tcBorders>
          </w:tcPr>
          <w:p w14:paraId="0A302C2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1284" w:type="dxa"/>
            <w:tcBorders>
              <w:top w:val="single" w:color="auto" w:sz="4" w:space="0"/>
              <w:left w:val="single" w:color="auto" w:sz="4" w:space="0"/>
              <w:bottom w:val="single" w:color="auto" w:sz="4" w:space="0"/>
              <w:right w:val="single" w:color="auto" w:sz="4" w:space="0"/>
            </w:tcBorders>
          </w:tcPr>
          <w:p w14:paraId="76E6EFD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tcPr>
          <w:p w14:paraId="16CF06EE">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r>
    </w:tbl>
    <w:p w14:paraId="219803A4">
      <w:pPr>
        <w:spacing w:before="156" w:after="312" w:line="420" w:lineRule="exact"/>
        <w:rPr>
          <w:rStyle w:val="484"/>
          <w:rFonts w:ascii="宋体" w:hAnsi="宋体"/>
          <w:szCs w:val="21"/>
        </w:rPr>
      </w:pPr>
      <w:r>
        <w:rPr>
          <w:rStyle w:val="484"/>
          <w:rFonts w:ascii="宋体" w:hAnsi="宋体"/>
          <w:szCs w:val="21"/>
        </w:rPr>
        <w:br w:type="page"/>
      </w:r>
    </w:p>
    <w:p w14:paraId="1CF31B8A">
      <w:pPr>
        <w:pStyle w:val="6"/>
        <w:bidi w:val="0"/>
        <w:jc w:val="center"/>
        <w:rPr>
          <w:rFonts w:hint="eastAsia" w:ascii="宋体" w:hAnsi="宋体" w:eastAsia="宋体" w:cs="宋体"/>
          <w:sz w:val="28"/>
          <w:szCs w:val="28"/>
          <w:lang w:eastAsia="zh-CN"/>
        </w:rPr>
      </w:pPr>
      <w:bookmarkStart w:id="975" w:name="_Toc13623"/>
      <w:bookmarkStart w:id="976" w:name="_Toc1555"/>
      <w:r>
        <w:rPr>
          <w:rFonts w:hint="eastAsia" w:ascii="宋体" w:hAnsi="宋体" w:eastAsia="宋体" w:cs="宋体"/>
          <w:sz w:val="28"/>
          <w:szCs w:val="28"/>
          <w:lang w:eastAsia="zh-CN"/>
        </w:rPr>
        <w:t>（二）主要人员简历表</w:t>
      </w:r>
      <w:bookmarkEnd w:id="975"/>
      <w:bookmarkEnd w:id="976"/>
    </w:p>
    <w:p w14:paraId="4FFA8538">
      <w:pPr>
        <w:spacing w:line="400" w:lineRule="exact"/>
        <w:ind w:firstLine="420" w:firstLineChars="200"/>
        <w:rPr>
          <w:rFonts w:ascii="宋体" w:hAnsi="宋体"/>
          <w:color w:val="000000"/>
          <w:sz w:val="23"/>
          <w:szCs w:val="23"/>
        </w:rPr>
      </w:pPr>
      <w:r>
        <w:rPr>
          <w:rFonts w:hint="eastAsia"/>
          <w:color w:val="000000"/>
        </w:rPr>
        <w:t>“主要人员简历表”中的项目负责人应附</w:t>
      </w:r>
      <w:bookmarkStart w:id="977" w:name="_Hlk12878329"/>
      <w:r>
        <w:rPr>
          <w:rFonts w:hint="eastAsia"/>
          <w:color w:val="000000"/>
          <w:lang w:val="en-US" w:eastAsia="zh-CN"/>
        </w:rPr>
        <w:t>身份证、</w:t>
      </w:r>
      <w:r>
        <w:rPr>
          <w:rFonts w:hint="eastAsia"/>
          <w:color w:val="000000"/>
        </w:rPr>
        <w:t>职称证、</w:t>
      </w:r>
      <w:r>
        <w:rPr>
          <w:rFonts w:hint="eastAsia"/>
          <w:color w:val="000000"/>
          <w:lang w:val="en-US" w:eastAsia="zh-CN"/>
        </w:rPr>
        <w:t>社保、</w:t>
      </w:r>
      <w:r>
        <w:rPr>
          <w:rFonts w:hint="eastAsia"/>
          <w:color w:val="000000"/>
        </w:rPr>
        <w:t>劳务合同</w:t>
      </w:r>
      <w:bookmarkEnd w:id="977"/>
      <w:r>
        <w:rPr>
          <w:rFonts w:hint="eastAsia"/>
          <w:color w:val="000000"/>
        </w:rPr>
        <w:t>；其他主要人员应附身份证、职称证</w:t>
      </w:r>
      <w:bookmarkStart w:id="978" w:name="_Hlk12878431"/>
      <w:r>
        <w:rPr>
          <w:rFonts w:hint="eastAsia"/>
          <w:color w:val="000000"/>
          <w:lang w:val="en-US" w:eastAsia="zh-CN"/>
        </w:rPr>
        <w:t>或</w:t>
      </w:r>
      <w:r>
        <w:rPr>
          <w:rFonts w:hint="eastAsia"/>
          <w:color w:val="000000"/>
        </w:rPr>
        <w:t>执业证或上岗证书</w:t>
      </w:r>
      <w:bookmarkEnd w:id="978"/>
      <w:r>
        <w:rPr>
          <w:rFonts w:hint="eastAsia"/>
          <w:color w:val="000000"/>
          <w:lang w:eastAsia="zh-CN"/>
        </w:rPr>
        <w:t>（</w:t>
      </w:r>
      <w:r>
        <w:rPr>
          <w:rFonts w:hint="eastAsia"/>
          <w:color w:val="000000"/>
          <w:lang w:val="en-US" w:eastAsia="zh-CN"/>
        </w:rPr>
        <w:t>如有</w:t>
      </w:r>
      <w:r>
        <w:rPr>
          <w:rFonts w:hint="eastAsia"/>
          <w:color w:val="000000"/>
          <w:lang w:eastAsia="zh-CN"/>
        </w:rPr>
        <w:t>）</w:t>
      </w:r>
      <w:r>
        <w:rPr>
          <w:rFonts w:hint="eastAsia"/>
          <w:color w:val="000000"/>
        </w:rPr>
        <w:t>。</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172"/>
        <w:gridCol w:w="601"/>
        <w:gridCol w:w="1261"/>
        <w:gridCol w:w="161"/>
        <w:gridCol w:w="2135"/>
      </w:tblGrid>
      <w:tr w14:paraId="3BB2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593AF49C">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姓  名</w:t>
            </w:r>
          </w:p>
        </w:tc>
        <w:tc>
          <w:tcPr>
            <w:tcW w:w="1079" w:type="dxa"/>
            <w:gridSpan w:val="2"/>
            <w:vAlign w:val="center"/>
          </w:tcPr>
          <w:p w14:paraId="20C611D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927" w:type="dxa"/>
            <w:vAlign w:val="center"/>
          </w:tcPr>
          <w:p w14:paraId="3A817C0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年 龄</w:t>
            </w:r>
          </w:p>
        </w:tc>
        <w:tc>
          <w:tcPr>
            <w:tcW w:w="1172" w:type="dxa"/>
            <w:vAlign w:val="center"/>
          </w:tcPr>
          <w:p w14:paraId="7D445FB4">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2023" w:type="dxa"/>
            <w:gridSpan w:val="3"/>
            <w:vAlign w:val="center"/>
          </w:tcPr>
          <w:p w14:paraId="2C73A7A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学历</w:t>
            </w:r>
          </w:p>
        </w:tc>
        <w:tc>
          <w:tcPr>
            <w:tcW w:w="2135" w:type="dxa"/>
            <w:vAlign w:val="center"/>
          </w:tcPr>
          <w:p w14:paraId="7A89E820">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1B5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8EBE65F">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职  称</w:t>
            </w:r>
          </w:p>
        </w:tc>
        <w:tc>
          <w:tcPr>
            <w:tcW w:w="1079" w:type="dxa"/>
            <w:gridSpan w:val="2"/>
            <w:vAlign w:val="center"/>
          </w:tcPr>
          <w:p w14:paraId="3260B470">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927" w:type="dxa"/>
            <w:vAlign w:val="center"/>
          </w:tcPr>
          <w:p w14:paraId="2DC95563">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职 务</w:t>
            </w:r>
          </w:p>
        </w:tc>
        <w:tc>
          <w:tcPr>
            <w:tcW w:w="1172" w:type="dxa"/>
            <w:vAlign w:val="center"/>
          </w:tcPr>
          <w:p w14:paraId="12B2D23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p>
        </w:tc>
        <w:tc>
          <w:tcPr>
            <w:tcW w:w="2023" w:type="dxa"/>
            <w:gridSpan w:val="3"/>
            <w:vAlign w:val="center"/>
          </w:tcPr>
          <w:p w14:paraId="0E165941">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拟在本合同任职</w:t>
            </w:r>
          </w:p>
        </w:tc>
        <w:tc>
          <w:tcPr>
            <w:tcW w:w="2135" w:type="dxa"/>
            <w:vAlign w:val="center"/>
          </w:tcPr>
          <w:p w14:paraId="0DABEBF0">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46F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CB013C2">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r>
              <w:rPr>
                <w:rFonts w:hint="default" w:ascii="宋体" w:hAnsi="宋体"/>
                <w:color w:val="000000"/>
                <w:sz w:val="24"/>
                <w:szCs w:val="24"/>
              </w:rPr>
              <w:t>毕业学校</w:t>
            </w:r>
          </w:p>
        </w:tc>
        <w:tc>
          <w:tcPr>
            <w:tcW w:w="7336" w:type="dxa"/>
            <w:gridSpan w:val="8"/>
          </w:tcPr>
          <w:p w14:paraId="003D658E">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r>
              <w:rPr>
                <w:rFonts w:hint="default" w:ascii="宋体" w:hAnsi="宋体"/>
                <w:color w:val="000000"/>
                <w:sz w:val="24"/>
                <w:szCs w:val="24"/>
              </w:rPr>
              <w:t xml:space="preserve">      年毕业于            学校        专业</w:t>
            </w:r>
          </w:p>
        </w:tc>
      </w:tr>
      <w:tr w14:paraId="1936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5BB6F78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r>
              <w:rPr>
                <w:rFonts w:hint="default" w:ascii="宋体" w:hAnsi="宋体"/>
                <w:color w:val="000000"/>
                <w:sz w:val="24"/>
                <w:szCs w:val="24"/>
              </w:rPr>
              <w:t>主要工作经历</w:t>
            </w:r>
          </w:p>
        </w:tc>
      </w:tr>
      <w:tr w14:paraId="20CB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3E8C77F7">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时  间</w:t>
            </w:r>
          </w:p>
        </w:tc>
        <w:tc>
          <w:tcPr>
            <w:tcW w:w="3420" w:type="dxa"/>
            <w:gridSpan w:val="4"/>
            <w:vAlign w:val="center"/>
          </w:tcPr>
          <w:p w14:paraId="16ACB99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参加过的类似项目</w:t>
            </w:r>
          </w:p>
        </w:tc>
        <w:tc>
          <w:tcPr>
            <w:tcW w:w="1261" w:type="dxa"/>
            <w:vAlign w:val="center"/>
          </w:tcPr>
          <w:p w14:paraId="0EFE109A">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担任职务</w:t>
            </w:r>
          </w:p>
        </w:tc>
        <w:tc>
          <w:tcPr>
            <w:tcW w:w="2296" w:type="dxa"/>
            <w:gridSpan w:val="2"/>
            <w:vAlign w:val="center"/>
          </w:tcPr>
          <w:p w14:paraId="20D5BA88">
            <w:pPr>
              <w:keepNext w:val="0"/>
              <w:keepLines w:val="0"/>
              <w:suppressLineNumbers w:val="0"/>
              <w:spacing w:before="0" w:beforeAutospacing="0" w:after="0" w:afterAutospacing="0" w:line="440" w:lineRule="exact"/>
              <w:ind w:left="0" w:right="0"/>
              <w:jc w:val="center"/>
              <w:rPr>
                <w:rFonts w:hint="default" w:ascii="宋体" w:hAnsi="宋体"/>
                <w:color w:val="000000"/>
                <w:sz w:val="24"/>
                <w:szCs w:val="24"/>
              </w:rPr>
            </w:pPr>
            <w:r>
              <w:rPr>
                <w:rFonts w:hint="default" w:ascii="宋体" w:hAnsi="宋体"/>
                <w:color w:val="000000"/>
                <w:sz w:val="24"/>
                <w:szCs w:val="24"/>
              </w:rPr>
              <w:t>发包人及联系电话</w:t>
            </w:r>
          </w:p>
        </w:tc>
      </w:tr>
      <w:tr w14:paraId="565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BF41F72">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4311BE9C">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0CE021BD">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6E3D8DC0">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343F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221F3EA">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786FFEB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6AFE6C2D">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2DA9ED8A">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509B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8023902">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73646D52">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705BA6D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32B66BCB">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1B14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6877DF1">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03381C0F">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7F822C41">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1236363B">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5B71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2BBA87A">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121D452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171194D1">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2EB5BF4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47AD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60750C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3C7ED30D">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0C5281FF">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2F122C2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57D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52E6A2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1CC8B25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354C197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61DB4694">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081A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6CC6241">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5235E94A">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71ACDBC4">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6E5574B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r w14:paraId="123E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C1A8B13">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3420" w:type="dxa"/>
            <w:gridSpan w:val="4"/>
          </w:tcPr>
          <w:p w14:paraId="21CC50AA">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1261" w:type="dxa"/>
          </w:tcPr>
          <w:p w14:paraId="1B0CC576">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c>
          <w:tcPr>
            <w:tcW w:w="2296" w:type="dxa"/>
            <w:gridSpan w:val="2"/>
          </w:tcPr>
          <w:p w14:paraId="2C78840E">
            <w:pPr>
              <w:keepNext w:val="0"/>
              <w:keepLines w:val="0"/>
              <w:suppressLineNumbers w:val="0"/>
              <w:spacing w:before="0" w:beforeAutospacing="0" w:after="0" w:afterAutospacing="0" w:line="440" w:lineRule="exact"/>
              <w:ind w:left="0" w:right="0"/>
              <w:rPr>
                <w:rFonts w:hint="default" w:ascii="宋体" w:hAnsi="宋体"/>
                <w:color w:val="000000"/>
                <w:sz w:val="24"/>
                <w:szCs w:val="24"/>
              </w:rPr>
            </w:pPr>
          </w:p>
        </w:tc>
      </w:tr>
    </w:tbl>
    <w:p w14:paraId="36584DAD">
      <w:pPr>
        <w:topLinePunct/>
        <w:spacing w:line="440" w:lineRule="exact"/>
        <w:rPr>
          <w:rFonts w:ascii="宋体" w:hAnsi="宋体"/>
          <w:color w:val="000000"/>
          <w:sz w:val="20"/>
        </w:rPr>
      </w:pPr>
    </w:p>
    <w:p w14:paraId="6D0367CA">
      <w:pPr>
        <w:topLinePunct/>
        <w:spacing w:line="440" w:lineRule="exact"/>
        <w:rPr>
          <w:rFonts w:ascii="宋体" w:hAnsi="宋体"/>
          <w:color w:val="000000"/>
          <w:sz w:val="20"/>
        </w:rPr>
      </w:pPr>
    </w:p>
    <w:p w14:paraId="7E048A8A">
      <w:pPr>
        <w:topLinePunct/>
        <w:spacing w:line="440" w:lineRule="exact"/>
        <w:rPr>
          <w:rFonts w:ascii="宋体" w:hAnsi="宋体"/>
          <w:color w:val="000000"/>
          <w:sz w:val="20"/>
        </w:rPr>
      </w:pPr>
    </w:p>
    <w:p w14:paraId="1BFDDB33">
      <w:pPr>
        <w:topLinePunct/>
        <w:spacing w:line="440" w:lineRule="exact"/>
        <w:rPr>
          <w:rFonts w:ascii="宋体" w:hAnsi="宋体"/>
          <w:color w:val="000000"/>
          <w:sz w:val="20"/>
        </w:rPr>
      </w:pPr>
    </w:p>
    <w:p w14:paraId="07B8EADF">
      <w:pPr>
        <w:topLinePunct/>
        <w:spacing w:line="440" w:lineRule="exact"/>
        <w:rPr>
          <w:rFonts w:ascii="宋体" w:hAnsi="宋体"/>
          <w:color w:val="000000"/>
          <w:sz w:val="20"/>
        </w:rPr>
      </w:pPr>
    </w:p>
    <w:p w14:paraId="32ABBC88">
      <w:pPr>
        <w:spacing w:before="312" w:beforeLines="100" w:line="440" w:lineRule="exact"/>
        <w:rPr>
          <w:rFonts w:ascii="宋体" w:hAnsi="宋体"/>
          <w:szCs w:val="21"/>
        </w:rPr>
      </w:pPr>
    </w:p>
    <w:p w14:paraId="674638C2">
      <w:pPr>
        <w:pStyle w:val="3"/>
        <w:rPr>
          <w:rFonts w:hint="eastAsia" w:asciiTheme="minorEastAsia" w:hAnsiTheme="minorEastAsia" w:eastAsiaTheme="minorEastAsia" w:cstheme="minorEastAsia"/>
          <w:sz w:val="21"/>
          <w:szCs w:val="21"/>
          <w:lang w:bidi="ar-SA"/>
        </w:rPr>
      </w:pPr>
    </w:p>
    <w:p w14:paraId="29EAE8D7">
      <w:pPr>
        <w:pStyle w:val="3"/>
        <w:rPr>
          <w:rFonts w:hint="eastAsia" w:asciiTheme="minorEastAsia" w:hAnsiTheme="minorEastAsia" w:eastAsiaTheme="minorEastAsia" w:cstheme="minorEastAsia"/>
          <w:sz w:val="21"/>
          <w:szCs w:val="21"/>
          <w:lang w:bidi="ar-SA"/>
        </w:rPr>
      </w:pPr>
    </w:p>
    <w:p w14:paraId="4E0A80B3">
      <w:pPr>
        <w:pStyle w:val="3"/>
        <w:rPr>
          <w:rFonts w:hint="eastAsia" w:asciiTheme="minorEastAsia" w:hAnsiTheme="minorEastAsia" w:eastAsiaTheme="minorEastAsia" w:cstheme="minorEastAsia"/>
          <w:sz w:val="21"/>
          <w:szCs w:val="21"/>
          <w:lang w:bidi="ar-SA"/>
        </w:rPr>
      </w:pPr>
    </w:p>
    <w:p w14:paraId="35595D3D">
      <w:pPr>
        <w:pStyle w:val="5"/>
        <w:bidi w:val="0"/>
        <w:jc w:val="center"/>
        <w:rPr>
          <w:rFonts w:hint="default" w:ascii="宋体" w:hAnsi="宋体" w:eastAsia="宋体" w:cs="宋体"/>
          <w:sz w:val="28"/>
          <w:szCs w:val="28"/>
          <w:lang w:val="en-US" w:eastAsia="zh-CN"/>
        </w:rPr>
      </w:pPr>
      <w:bookmarkStart w:id="979" w:name="_Toc539"/>
      <w:r>
        <w:rPr>
          <w:rFonts w:hint="eastAsia" w:ascii="宋体" w:hAnsi="宋体" w:eastAsia="宋体" w:cs="宋体"/>
          <w:sz w:val="28"/>
          <w:szCs w:val="28"/>
          <w:lang w:val="en-US" w:eastAsia="zh-CN"/>
        </w:rPr>
        <w:t>六、</w:t>
      </w:r>
      <w:bookmarkEnd w:id="968"/>
      <w:bookmarkEnd w:id="969"/>
      <w:bookmarkEnd w:id="970"/>
      <w:r>
        <w:rPr>
          <w:rFonts w:hint="eastAsia" w:ascii="宋体" w:hAnsi="宋体" w:eastAsia="宋体" w:cs="宋体"/>
          <w:sz w:val="28"/>
          <w:szCs w:val="28"/>
          <w:lang w:val="en-US" w:eastAsia="zh-CN"/>
        </w:rPr>
        <w:t>资格审查表</w:t>
      </w:r>
      <w:bookmarkEnd w:id="979"/>
    </w:p>
    <w:p w14:paraId="7044A4C0">
      <w:pPr>
        <w:pStyle w:val="6"/>
        <w:bidi w:val="0"/>
        <w:jc w:val="center"/>
        <w:rPr>
          <w:rFonts w:hint="eastAsia" w:ascii="宋体" w:hAnsi="宋体" w:eastAsia="宋体" w:cs="宋体"/>
          <w:sz w:val="28"/>
          <w:szCs w:val="28"/>
          <w:lang w:eastAsia="zh-CN"/>
        </w:rPr>
      </w:pPr>
      <w:bookmarkStart w:id="980" w:name="_Toc19155"/>
      <w:bookmarkStart w:id="981" w:name="_Toc22142"/>
      <w:bookmarkStart w:id="982" w:name="_Toc417568003"/>
      <w:r>
        <w:rPr>
          <w:rFonts w:hint="eastAsia" w:ascii="宋体" w:hAnsi="宋体" w:eastAsia="宋体" w:cs="宋体"/>
          <w:sz w:val="28"/>
          <w:szCs w:val="28"/>
          <w:lang w:eastAsia="zh-CN"/>
        </w:rPr>
        <w:t>（一）供应商基本情况表</w:t>
      </w:r>
      <w:bookmarkEnd w:id="980"/>
      <w:bookmarkEnd w:id="981"/>
    </w:p>
    <w:tbl>
      <w:tblPr>
        <w:tblStyle w:val="5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1221"/>
        <w:gridCol w:w="1395"/>
        <w:gridCol w:w="1853"/>
        <w:gridCol w:w="1721"/>
        <w:gridCol w:w="1417"/>
      </w:tblGrid>
      <w:tr w14:paraId="1E1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53" w:type="dxa"/>
            <w:vMerge w:val="restart"/>
            <w:noWrap w:val="0"/>
            <w:vAlign w:val="center"/>
          </w:tcPr>
          <w:p w14:paraId="55C7002A">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供应商名称</w:t>
            </w:r>
          </w:p>
        </w:tc>
        <w:tc>
          <w:tcPr>
            <w:tcW w:w="7607" w:type="dxa"/>
            <w:gridSpan w:val="5"/>
            <w:vMerge w:val="restart"/>
            <w:noWrap w:val="0"/>
            <w:vAlign w:val="bottom"/>
          </w:tcPr>
          <w:p w14:paraId="01DE236E">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7E5B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53" w:type="dxa"/>
            <w:vMerge w:val="continue"/>
            <w:noWrap w:val="0"/>
            <w:vAlign w:val="center"/>
          </w:tcPr>
          <w:p w14:paraId="20E5BEFF">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7607" w:type="dxa"/>
            <w:gridSpan w:val="5"/>
            <w:vMerge w:val="continue"/>
            <w:noWrap w:val="0"/>
            <w:vAlign w:val="bottom"/>
          </w:tcPr>
          <w:p w14:paraId="4C5CBDA9">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762E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53" w:type="dxa"/>
            <w:vMerge w:val="restart"/>
            <w:noWrap w:val="0"/>
            <w:vAlign w:val="center"/>
          </w:tcPr>
          <w:p w14:paraId="12635504">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注册地址</w:t>
            </w:r>
          </w:p>
        </w:tc>
        <w:tc>
          <w:tcPr>
            <w:tcW w:w="7607" w:type="dxa"/>
            <w:gridSpan w:val="5"/>
            <w:vMerge w:val="restart"/>
            <w:noWrap w:val="0"/>
            <w:vAlign w:val="bottom"/>
          </w:tcPr>
          <w:p w14:paraId="18596CFD">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578F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853" w:type="dxa"/>
            <w:vMerge w:val="continue"/>
            <w:noWrap w:val="0"/>
            <w:vAlign w:val="center"/>
          </w:tcPr>
          <w:p w14:paraId="08B227C6">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7607" w:type="dxa"/>
            <w:gridSpan w:val="5"/>
            <w:vMerge w:val="continue"/>
            <w:noWrap w:val="0"/>
            <w:vAlign w:val="bottom"/>
          </w:tcPr>
          <w:p w14:paraId="19E7FD79">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4E22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53" w:type="dxa"/>
            <w:vMerge w:val="restart"/>
            <w:noWrap w:val="0"/>
            <w:vAlign w:val="center"/>
          </w:tcPr>
          <w:p w14:paraId="1160FDB3">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成立时间</w:t>
            </w:r>
          </w:p>
        </w:tc>
        <w:tc>
          <w:tcPr>
            <w:tcW w:w="2616" w:type="dxa"/>
            <w:gridSpan w:val="2"/>
            <w:vMerge w:val="restart"/>
            <w:noWrap w:val="0"/>
            <w:vAlign w:val="bottom"/>
          </w:tcPr>
          <w:p w14:paraId="6FA1EC2A">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c>
          <w:tcPr>
            <w:tcW w:w="1853" w:type="dxa"/>
            <w:vMerge w:val="restart"/>
            <w:noWrap w:val="0"/>
            <w:vAlign w:val="center"/>
          </w:tcPr>
          <w:p w14:paraId="16D31640">
            <w:pPr>
              <w:keepNext w:val="0"/>
              <w:keepLines w:val="0"/>
              <w:suppressLineNumbers w:val="0"/>
              <w:spacing w:before="0" w:beforeAutospacing="0" w:after="0" w:afterAutospacing="0" w:line="360" w:lineRule="auto"/>
              <w:ind w:left="0" w:right="260"/>
              <w:jc w:val="center"/>
              <w:rPr>
                <w:rFonts w:hint="eastAsia" w:hAnsi="宋体" w:eastAsia="宋体" w:cs="宋体"/>
                <w:sz w:val="24"/>
                <w:szCs w:val="24"/>
              </w:rPr>
            </w:pPr>
            <w:r>
              <w:rPr>
                <w:rFonts w:hint="eastAsia" w:hAnsi="宋体" w:eastAsia="宋体" w:cs="宋体"/>
                <w:sz w:val="24"/>
                <w:szCs w:val="24"/>
              </w:rPr>
              <w:t>注册资本</w:t>
            </w:r>
          </w:p>
        </w:tc>
        <w:tc>
          <w:tcPr>
            <w:tcW w:w="3138" w:type="dxa"/>
            <w:gridSpan w:val="2"/>
            <w:vMerge w:val="restart"/>
            <w:noWrap w:val="0"/>
            <w:vAlign w:val="bottom"/>
          </w:tcPr>
          <w:p w14:paraId="14A239E1">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35B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853" w:type="dxa"/>
            <w:vMerge w:val="continue"/>
            <w:noWrap w:val="0"/>
            <w:vAlign w:val="center"/>
          </w:tcPr>
          <w:p w14:paraId="28B1D075">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2616" w:type="dxa"/>
            <w:gridSpan w:val="2"/>
            <w:vMerge w:val="continue"/>
            <w:noWrap w:val="0"/>
            <w:vAlign w:val="bottom"/>
          </w:tcPr>
          <w:p w14:paraId="5E90CE80">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853" w:type="dxa"/>
            <w:vMerge w:val="continue"/>
            <w:noWrap w:val="0"/>
            <w:vAlign w:val="center"/>
          </w:tcPr>
          <w:p w14:paraId="3297EC94">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3138" w:type="dxa"/>
            <w:gridSpan w:val="2"/>
            <w:vMerge w:val="continue"/>
            <w:noWrap w:val="0"/>
            <w:vAlign w:val="bottom"/>
          </w:tcPr>
          <w:p w14:paraId="739D5F40">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5A1D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53" w:type="dxa"/>
            <w:vMerge w:val="restart"/>
            <w:noWrap w:val="0"/>
            <w:vAlign w:val="center"/>
          </w:tcPr>
          <w:p w14:paraId="01F61FEF">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批准部门</w:t>
            </w:r>
          </w:p>
        </w:tc>
        <w:tc>
          <w:tcPr>
            <w:tcW w:w="2616" w:type="dxa"/>
            <w:gridSpan w:val="2"/>
            <w:vMerge w:val="restart"/>
            <w:noWrap w:val="0"/>
            <w:vAlign w:val="bottom"/>
          </w:tcPr>
          <w:p w14:paraId="52C1B915">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c>
          <w:tcPr>
            <w:tcW w:w="1853" w:type="dxa"/>
            <w:vMerge w:val="restart"/>
            <w:noWrap w:val="0"/>
            <w:vAlign w:val="center"/>
          </w:tcPr>
          <w:p w14:paraId="0C9C6FB0">
            <w:pPr>
              <w:keepNext w:val="0"/>
              <w:keepLines w:val="0"/>
              <w:suppressLineNumbers w:val="0"/>
              <w:spacing w:before="0" w:beforeAutospacing="0" w:after="0" w:afterAutospacing="0" w:line="360" w:lineRule="auto"/>
              <w:ind w:left="0" w:right="260"/>
              <w:jc w:val="center"/>
              <w:rPr>
                <w:rFonts w:hint="eastAsia" w:hAnsi="宋体" w:eastAsia="宋体" w:cs="宋体"/>
                <w:sz w:val="24"/>
                <w:szCs w:val="24"/>
              </w:rPr>
            </w:pPr>
            <w:r>
              <w:rPr>
                <w:rFonts w:hint="eastAsia" w:hAnsi="宋体" w:eastAsia="宋体" w:cs="宋体"/>
                <w:sz w:val="24"/>
                <w:szCs w:val="24"/>
              </w:rPr>
              <w:t>批准文号</w:t>
            </w:r>
          </w:p>
        </w:tc>
        <w:tc>
          <w:tcPr>
            <w:tcW w:w="3138" w:type="dxa"/>
            <w:gridSpan w:val="2"/>
            <w:vMerge w:val="restart"/>
            <w:noWrap w:val="0"/>
            <w:vAlign w:val="bottom"/>
          </w:tcPr>
          <w:p w14:paraId="4D839AAB">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0349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853" w:type="dxa"/>
            <w:vMerge w:val="continue"/>
            <w:noWrap w:val="0"/>
            <w:vAlign w:val="center"/>
          </w:tcPr>
          <w:p w14:paraId="23AB9829">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2616" w:type="dxa"/>
            <w:gridSpan w:val="2"/>
            <w:vMerge w:val="continue"/>
            <w:noWrap w:val="0"/>
            <w:vAlign w:val="bottom"/>
          </w:tcPr>
          <w:p w14:paraId="48E9E71A">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853" w:type="dxa"/>
            <w:vMerge w:val="continue"/>
            <w:noWrap w:val="0"/>
            <w:vAlign w:val="center"/>
          </w:tcPr>
          <w:p w14:paraId="01DC4EEE">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3138" w:type="dxa"/>
            <w:gridSpan w:val="2"/>
            <w:vMerge w:val="continue"/>
            <w:noWrap w:val="0"/>
            <w:vAlign w:val="bottom"/>
          </w:tcPr>
          <w:p w14:paraId="3C8F2ED8">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6A6D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853" w:type="dxa"/>
            <w:noWrap w:val="0"/>
            <w:vAlign w:val="center"/>
          </w:tcPr>
          <w:p w14:paraId="3DA6A60C">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营业执照编号</w:t>
            </w:r>
          </w:p>
        </w:tc>
        <w:tc>
          <w:tcPr>
            <w:tcW w:w="7607" w:type="dxa"/>
            <w:gridSpan w:val="5"/>
            <w:noWrap w:val="0"/>
            <w:vAlign w:val="bottom"/>
          </w:tcPr>
          <w:p w14:paraId="4916F084">
            <w:pPr>
              <w:keepNext w:val="0"/>
              <w:keepLines w:val="0"/>
              <w:suppressLineNumbers w:val="0"/>
              <w:spacing w:before="0" w:beforeAutospacing="0" w:after="0" w:afterAutospacing="0" w:line="360" w:lineRule="auto"/>
              <w:ind w:left="0" w:right="0"/>
              <w:rPr>
                <w:rFonts w:hint="eastAsia" w:hAnsi="宋体" w:eastAsia="宋体" w:cs="宋体"/>
                <w:sz w:val="24"/>
                <w:szCs w:val="24"/>
              </w:rPr>
            </w:pPr>
          </w:p>
        </w:tc>
      </w:tr>
      <w:tr w14:paraId="0CFE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53" w:type="dxa"/>
            <w:vMerge w:val="restart"/>
            <w:noWrap w:val="0"/>
            <w:vAlign w:val="center"/>
          </w:tcPr>
          <w:p w14:paraId="22ACA835">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联系人</w:t>
            </w:r>
          </w:p>
        </w:tc>
        <w:tc>
          <w:tcPr>
            <w:tcW w:w="1221" w:type="dxa"/>
            <w:vMerge w:val="restart"/>
            <w:noWrap w:val="0"/>
            <w:vAlign w:val="center"/>
          </w:tcPr>
          <w:p w14:paraId="24D69B95">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395" w:type="dxa"/>
            <w:vMerge w:val="restart"/>
            <w:noWrap w:val="0"/>
            <w:vAlign w:val="center"/>
          </w:tcPr>
          <w:p w14:paraId="331C051A">
            <w:pPr>
              <w:keepNext w:val="0"/>
              <w:keepLines w:val="0"/>
              <w:suppressLineNumbers w:val="0"/>
              <w:spacing w:before="0" w:beforeAutospacing="0" w:after="0" w:afterAutospacing="0" w:line="360" w:lineRule="auto"/>
              <w:ind w:left="420" w:right="0"/>
              <w:jc w:val="center"/>
              <w:rPr>
                <w:rFonts w:hint="eastAsia" w:hAnsi="宋体" w:eastAsia="宋体" w:cs="宋体"/>
                <w:sz w:val="24"/>
                <w:szCs w:val="24"/>
              </w:rPr>
            </w:pPr>
            <w:r>
              <w:rPr>
                <w:rFonts w:hint="eastAsia" w:hAnsi="宋体" w:eastAsia="宋体" w:cs="宋体"/>
                <w:sz w:val="24"/>
                <w:szCs w:val="24"/>
              </w:rPr>
              <w:t>电话</w:t>
            </w:r>
          </w:p>
        </w:tc>
        <w:tc>
          <w:tcPr>
            <w:tcW w:w="1853" w:type="dxa"/>
            <w:vMerge w:val="restart"/>
            <w:noWrap w:val="0"/>
            <w:vAlign w:val="center"/>
          </w:tcPr>
          <w:p w14:paraId="771D93C8">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721" w:type="dxa"/>
            <w:vMerge w:val="restart"/>
            <w:noWrap w:val="0"/>
            <w:vAlign w:val="center"/>
          </w:tcPr>
          <w:p w14:paraId="5C616D9F">
            <w:pPr>
              <w:keepNext w:val="0"/>
              <w:keepLines w:val="0"/>
              <w:suppressLineNumbers w:val="0"/>
              <w:spacing w:before="0" w:beforeAutospacing="0" w:after="0" w:afterAutospacing="0" w:line="360" w:lineRule="auto"/>
              <w:ind w:left="40" w:right="0"/>
              <w:jc w:val="center"/>
              <w:rPr>
                <w:rFonts w:hint="eastAsia" w:hAnsi="宋体" w:eastAsia="宋体" w:cs="宋体"/>
                <w:sz w:val="24"/>
                <w:szCs w:val="24"/>
              </w:rPr>
            </w:pPr>
            <w:r>
              <w:rPr>
                <w:rFonts w:hint="eastAsia" w:hAnsi="宋体" w:eastAsia="宋体" w:cs="宋体"/>
                <w:sz w:val="24"/>
                <w:szCs w:val="24"/>
              </w:rPr>
              <w:t>传真</w:t>
            </w:r>
          </w:p>
        </w:tc>
        <w:tc>
          <w:tcPr>
            <w:tcW w:w="1417" w:type="dxa"/>
            <w:vMerge w:val="restart"/>
            <w:noWrap w:val="0"/>
            <w:vAlign w:val="center"/>
          </w:tcPr>
          <w:p w14:paraId="409EDFD5">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4A1D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1853" w:type="dxa"/>
            <w:vMerge w:val="continue"/>
            <w:noWrap w:val="0"/>
            <w:vAlign w:val="center"/>
          </w:tcPr>
          <w:p w14:paraId="65D0255F">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221" w:type="dxa"/>
            <w:vMerge w:val="continue"/>
            <w:noWrap w:val="0"/>
            <w:vAlign w:val="center"/>
          </w:tcPr>
          <w:p w14:paraId="15CE2F41">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395" w:type="dxa"/>
            <w:vMerge w:val="continue"/>
            <w:noWrap w:val="0"/>
            <w:vAlign w:val="center"/>
          </w:tcPr>
          <w:p w14:paraId="304C23EA">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853" w:type="dxa"/>
            <w:vMerge w:val="continue"/>
            <w:noWrap w:val="0"/>
            <w:vAlign w:val="center"/>
          </w:tcPr>
          <w:p w14:paraId="4DE70FE0">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721" w:type="dxa"/>
            <w:vMerge w:val="continue"/>
            <w:noWrap w:val="0"/>
            <w:vAlign w:val="center"/>
          </w:tcPr>
          <w:p w14:paraId="318D9A96">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417" w:type="dxa"/>
            <w:vMerge w:val="continue"/>
            <w:noWrap w:val="0"/>
            <w:vAlign w:val="center"/>
          </w:tcPr>
          <w:p w14:paraId="5198E71B">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0AEE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trPr>
        <w:tc>
          <w:tcPr>
            <w:tcW w:w="1853" w:type="dxa"/>
            <w:tcBorders>
              <w:bottom w:val="single" w:color="auto" w:sz="4" w:space="0"/>
            </w:tcBorders>
            <w:noWrap w:val="0"/>
            <w:vAlign w:val="center"/>
          </w:tcPr>
          <w:p w14:paraId="0AF9D1FA">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企业人员组成情</w:t>
            </w:r>
          </w:p>
          <w:p w14:paraId="0474E586">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况</w:t>
            </w:r>
          </w:p>
        </w:tc>
        <w:tc>
          <w:tcPr>
            <w:tcW w:w="1221" w:type="dxa"/>
            <w:tcBorders>
              <w:bottom w:val="single" w:color="auto" w:sz="4" w:space="0"/>
            </w:tcBorders>
            <w:noWrap w:val="0"/>
            <w:vAlign w:val="center"/>
          </w:tcPr>
          <w:p w14:paraId="6C878424">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r>
              <w:rPr>
                <w:rFonts w:hint="eastAsia" w:hAnsi="宋体" w:eastAsia="宋体" w:cs="宋体"/>
                <w:sz w:val="24"/>
                <w:szCs w:val="24"/>
              </w:rPr>
              <w:t>职工总数</w:t>
            </w:r>
          </w:p>
        </w:tc>
        <w:tc>
          <w:tcPr>
            <w:tcW w:w="1395" w:type="dxa"/>
            <w:noWrap w:val="0"/>
            <w:vAlign w:val="center"/>
          </w:tcPr>
          <w:p w14:paraId="6D5C6712">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c>
          <w:tcPr>
            <w:tcW w:w="1853" w:type="dxa"/>
            <w:noWrap w:val="0"/>
            <w:vAlign w:val="center"/>
          </w:tcPr>
          <w:p w14:paraId="6BEF6A7C">
            <w:pPr>
              <w:keepNext w:val="0"/>
              <w:keepLines w:val="0"/>
              <w:suppressLineNumbers w:val="0"/>
              <w:spacing w:before="0" w:beforeAutospacing="0" w:after="0" w:afterAutospacing="0" w:line="360" w:lineRule="auto"/>
              <w:ind w:left="0" w:right="20"/>
              <w:jc w:val="center"/>
              <w:rPr>
                <w:rFonts w:hint="eastAsia" w:hAnsi="宋体" w:eastAsia="宋体" w:cs="宋体"/>
                <w:sz w:val="24"/>
                <w:szCs w:val="24"/>
              </w:rPr>
            </w:pPr>
            <w:r>
              <w:rPr>
                <w:rFonts w:hint="eastAsia" w:hAnsi="宋体" w:eastAsia="宋体" w:cs="宋体"/>
                <w:sz w:val="24"/>
                <w:szCs w:val="24"/>
              </w:rPr>
              <w:t>注册人员数量</w:t>
            </w:r>
          </w:p>
        </w:tc>
        <w:tc>
          <w:tcPr>
            <w:tcW w:w="3138" w:type="dxa"/>
            <w:gridSpan w:val="2"/>
            <w:noWrap w:val="0"/>
            <w:vAlign w:val="center"/>
          </w:tcPr>
          <w:p w14:paraId="379E300E">
            <w:pPr>
              <w:keepNext w:val="0"/>
              <w:keepLines w:val="0"/>
              <w:suppressLineNumbers w:val="0"/>
              <w:spacing w:before="0" w:beforeAutospacing="0" w:after="0" w:afterAutospacing="0" w:line="360" w:lineRule="auto"/>
              <w:ind w:left="0" w:right="0"/>
              <w:jc w:val="center"/>
              <w:rPr>
                <w:rFonts w:hint="eastAsia" w:hAnsi="宋体" w:eastAsia="宋体" w:cs="宋体"/>
                <w:sz w:val="24"/>
                <w:szCs w:val="24"/>
              </w:rPr>
            </w:pPr>
          </w:p>
        </w:tc>
      </w:tr>
      <w:tr w14:paraId="4D85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9460" w:type="dxa"/>
            <w:gridSpan w:val="6"/>
            <w:noWrap w:val="0"/>
            <w:vAlign w:val="top"/>
          </w:tcPr>
          <w:p w14:paraId="02E9A3F9">
            <w:pPr>
              <w:keepNext w:val="0"/>
              <w:keepLines w:val="0"/>
              <w:suppressLineNumbers w:val="0"/>
              <w:spacing w:before="0" w:beforeAutospacing="0" w:after="0" w:afterAutospacing="0" w:line="360" w:lineRule="auto"/>
              <w:ind w:left="0" w:right="0"/>
              <w:rPr>
                <w:rFonts w:hint="eastAsia" w:hAnsi="宋体" w:eastAsia="宋体" w:cs="宋体"/>
                <w:sz w:val="24"/>
                <w:szCs w:val="24"/>
              </w:rPr>
            </w:pPr>
            <w:r>
              <w:rPr>
                <w:rFonts w:hint="eastAsia" w:hAnsi="宋体" w:eastAsia="宋体" w:cs="宋体"/>
                <w:sz w:val="24"/>
                <w:szCs w:val="24"/>
              </w:rPr>
              <w:t>其它说明：</w:t>
            </w:r>
          </w:p>
        </w:tc>
      </w:tr>
    </w:tbl>
    <w:p w14:paraId="47677E54">
      <w:pPr>
        <w:autoSpaceDE w:val="0"/>
        <w:autoSpaceDN w:val="0"/>
        <w:adjustRightInd w:val="0"/>
        <w:spacing w:line="360" w:lineRule="auto"/>
        <w:rPr>
          <w:rFonts w:hint="eastAsia" w:hAnsi="宋体" w:eastAsia="宋体" w:cs="宋体"/>
          <w:sz w:val="22"/>
          <w:szCs w:val="22"/>
        </w:rPr>
      </w:pPr>
      <w:r>
        <w:rPr>
          <w:rFonts w:hint="eastAsia" w:hAnsi="宋体" w:eastAsia="宋体" w:cs="宋体"/>
          <w:sz w:val="22"/>
          <w:szCs w:val="22"/>
        </w:rPr>
        <w:t>备注：在本表后须附</w:t>
      </w:r>
      <w:r>
        <w:rPr>
          <w:rFonts w:hint="eastAsia" w:hAnsi="宋体" w:eastAsia="宋体" w:cs="宋体"/>
          <w:sz w:val="22"/>
          <w:szCs w:val="22"/>
          <w:lang w:val="en-US" w:eastAsia="zh-CN"/>
        </w:rPr>
        <w:t>多证合一的</w:t>
      </w:r>
      <w:r>
        <w:rPr>
          <w:rFonts w:hint="eastAsia" w:hAnsi="宋体" w:eastAsia="宋体" w:cs="宋体"/>
          <w:sz w:val="22"/>
          <w:szCs w:val="22"/>
        </w:rPr>
        <w:t>营业</w:t>
      </w:r>
      <w:r>
        <w:rPr>
          <w:rFonts w:hint="eastAsia" w:hAnsi="宋体" w:eastAsia="宋体" w:cs="宋体"/>
          <w:sz w:val="22"/>
          <w:szCs w:val="22"/>
          <w:lang w:val="en-US" w:eastAsia="zh-CN"/>
        </w:rPr>
        <w:t>执照</w:t>
      </w:r>
      <w:r>
        <w:rPr>
          <w:rFonts w:hint="eastAsia" w:hAnsi="宋体" w:eastAsia="宋体" w:cs="宋体"/>
          <w:sz w:val="22"/>
          <w:szCs w:val="22"/>
        </w:rPr>
        <w:t>等证明文件</w:t>
      </w:r>
      <w:r>
        <w:rPr>
          <w:rFonts w:hint="eastAsia" w:hAnsi="宋体" w:eastAsia="宋体" w:cs="宋体"/>
          <w:sz w:val="22"/>
          <w:szCs w:val="22"/>
          <w:lang w:val="en-US" w:eastAsia="zh-CN"/>
        </w:rPr>
        <w:t>的</w:t>
      </w:r>
      <w:r>
        <w:rPr>
          <w:rFonts w:hint="eastAsia" w:hAnsi="宋体" w:eastAsia="宋体" w:cs="宋体"/>
          <w:sz w:val="22"/>
          <w:szCs w:val="22"/>
        </w:rPr>
        <w:t>复印件</w:t>
      </w:r>
      <w:r>
        <w:rPr>
          <w:rFonts w:hint="eastAsia" w:hAnsi="宋体" w:eastAsia="宋体" w:cs="宋体"/>
          <w:sz w:val="22"/>
          <w:szCs w:val="22"/>
          <w:lang w:val="en-US" w:eastAsia="zh-CN"/>
        </w:rPr>
        <w:t>或扫描件</w:t>
      </w:r>
      <w:r>
        <w:rPr>
          <w:rFonts w:hint="eastAsia" w:hAnsi="宋体" w:eastAsia="宋体" w:cs="宋体"/>
          <w:sz w:val="22"/>
          <w:szCs w:val="22"/>
        </w:rPr>
        <w:t>。</w:t>
      </w:r>
    </w:p>
    <w:p w14:paraId="23381516">
      <w:pPr>
        <w:autoSpaceDE w:val="0"/>
        <w:autoSpaceDN w:val="0"/>
        <w:adjustRightInd w:val="0"/>
        <w:spacing w:line="360" w:lineRule="auto"/>
        <w:ind w:firstLine="2520" w:firstLineChars="1050"/>
        <w:rPr>
          <w:rFonts w:hint="eastAsia" w:hAnsi="宋体" w:eastAsia="宋体" w:cs="宋体"/>
          <w:sz w:val="24"/>
          <w:szCs w:val="24"/>
        </w:rPr>
      </w:pPr>
    </w:p>
    <w:p w14:paraId="11185BDC">
      <w:pPr>
        <w:autoSpaceDE w:val="0"/>
        <w:autoSpaceDN w:val="0"/>
        <w:adjustRightInd w:val="0"/>
        <w:spacing w:line="360" w:lineRule="auto"/>
        <w:ind w:firstLine="2520" w:firstLineChars="1050"/>
        <w:rPr>
          <w:rFonts w:hint="eastAsia" w:hAnsi="宋体" w:eastAsia="宋体" w:cs="宋体"/>
          <w:sz w:val="24"/>
          <w:szCs w:val="24"/>
        </w:rPr>
      </w:pPr>
    </w:p>
    <w:p w14:paraId="09F3EAF0">
      <w:pPr>
        <w:autoSpaceDE w:val="0"/>
        <w:autoSpaceDN w:val="0"/>
        <w:adjustRightInd w:val="0"/>
        <w:spacing w:line="360" w:lineRule="auto"/>
        <w:ind w:firstLine="2205" w:firstLineChars="1050"/>
        <w:rPr>
          <w:rFonts w:hint="eastAsia" w:hAnsi="宋体" w:eastAsia="宋体" w:cs="宋体"/>
          <w:sz w:val="21"/>
          <w:szCs w:val="21"/>
        </w:rPr>
      </w:pPr>
      <w:r>
        <w:rPr>
          <w:rFonts w:hint="eastAsia" w:hAnsi="宋体" w:eastAsia="宋体" w:cs="宋体"/>
          <w:sz w:val="21"/>
          <w:szCs w:val="21"/>
        </w:rPr>
        <w:t>供应商：</w:t>
      </w:r>
      <w:r>
        <w:rPr>
          <w:rFonts w:hint="eastAsia" w:hAnsi="宋体" w:eastAsia="宋体" w:cs="宋体"/>
          <w:sz w:val="21"/>
          <w:szCs w:val="21"/>
          <w:u w:val="single"/>
        </w:rPr>
        <w:t xml:space="preserve">                          </w:t>
      </w:r>
      <w:r>
        <w:rPr>
          <w:rFonts w:hint="eastAsia" w:hAnsi="宋体" w:eastAsia="宋体" w:cs="宋体"/>
          <w:sz w:val="21"/>
          <w:szCs w:val="21"/>
        </w:rPr>
        <w:t>（盖单位公章）</w:t>
      </w:r>
    </w:p>
    <w:p w14:paraId="535FD3A5">
      <w:pPr>
        <w:autoSpaceDE w:val="0"/>
        <w:autoSpaceDN w:val="0"/>
        <w:adjustRightInd w:val="0"/>
        <w:spacing w:line="360" w:lineRule="auto"/>
        <w:ind w:firstLine="2205" w:firstLineChars="1050"/>
        <w:rPr>
          <w:rFonts w:hint="eastAsia" w:hAnsi="宋体" w:eastAsia="宋体" w:cs="宋体"/>
          <w:sz w:val="21"/>
          <w:szCs w:val="21"/>
        </w:rPr>
      </w:pPr>
      <w:r>
        <w:rPr>
          <w:rFonts w:hint="eastAsia" w:hAnsi="宋体" w:eastAsia="宋体" w:cs="宋体"/>
          <w:sz w:val="21"/>
          <w:szCs w:val="21"/>
        </w:rPr>
        <w:t>法定代表人</w:t>
      </w:r>
      <w:r>
        <w:rPr>
          <w:rFonts w:hint="eastAsia" w:hAnsi="宋体" w:eastAsia="宋体" w:cs="宋体"/>
          <w:sz w:val="21"/>
          <w:szCs w:val="21"/>
          <w:lang w:eastAsia="zh-CN"/>
        </w:rPr>
        <w:t>（</w:t>
      </w:r>
      <w:r>
        <w:rPr>
          <w:rFonts w:hint="eastAsia" w:hAnsi="宋体" w:eastAsia="宋体" w:cs="宋体"/>
          <w:sz w:val="21"/>
          <w:szCs w:val="21"/>
          <w:lang w:val="en-US" w:eastAsia="zh-CN"/>
        </w:rPr>
        <w:t>负责人</w:t>
      </w:r>
      <w:r>
        <w:rPr>
          <w:rFonts w:hint="eastAsia" w:hAnsi="宋体" w:eastAsia="宋体" w:cs="宋体"/>
          <w:sz w:val="21"/>
          <w:szCs w:val="21"/>
          <w:lang w:eastAsia="zh-CN"/>
        </w:rPr>
        <w:t>）</w:t>
      </w:r>
      <w:r>
        <w:rPr>
          <w:rFonts w:hint="eastAsia" w:hAnsi="宋体" w:eastAsia="宋体" w:cs="宋体"/>
          <w:sz w:val="21"/>
          <w:szCs w:val="21"/>
        </w:rPr>
        <w:t>或其委托代理人：</w:t>
      </w:r>
      <w:r>
        <w:rPr>
          <w:rFonts w:hint="eastAsia" w:hAnsi="宋体" w:eastAsia="宋体" w:cs="宋体"/>
          <w:sz w:val="21"/>
          <w:szCs w:val="21"/>
          <w:u w:val="single"/>
        </w:rPr>
        <w:t xml:space="preserve">        </w:t>
      </w:r>
      <w:r>
        <w:rPr>
          <w:rFonts w:hint="eastAsia" w:hAnsi="宋体" w:eastAsia="宋体" w:cs="宋体"/>
          <w:sz w:val="21"/>
          <w:szCs w:val="21"/>
        </w:rPr>
        <w:t xml:space="preserve"> （签字或盖章）</w:t>
      </w:r>
    </w:p>
    <w:p w14:paraId="15F420B3">
      <w:pPr>
        <w:spacing w:line="360" w:lineRule="auto"/>
        <w:ind w:firstLine="2835" w:firstLineChars="1350"/>
        <w:rPr>
          <w:rFonts w:hint="eastAsia" w:hAnsi="宋体" w:eastAsia="宋体" w:cs="宋体"/>
          <w:sz w:val="21"/>
          <w:szCs w:val="21"/>
        </w:rPr>
      </w:pPr>
      <w:r>
        <w:rPr>
          <w:rFonts w:hint="eastAsia" w:hAnsi="宋体" w:eastAsia="宋体" w:cs="宋体"/>
          <w:sz w:val="21"/>
          <w:szCs w:val="21"/>
          <w:u w:val="single"/>
        </w:rPr>
        <w:t xml:space="preserve">      </w:t>
      </w:r>
      <w:r>
        <w:rPr>
          <w:rFonts w:hint="eastAsia" w:hAnsi="宋体" w:eastAsia="宋体" w:cs="宋体"/>
          <w:sz w:val="21"/>
          <w:szCs w:val="21"/>
        </w:rPr>
        <w:t>年</w:t>
      </w:r>
      <w:r>
        <w:rPr>
          <w:rFonts w:hint="eastAsia" w:hAnsi="宋体" w:eastAsia="宋体" w:cs="宋体"/>
          <w:sz w:val="21"/>
          <w:szCs w:val="21"/>
          <w:u w:val="single"/>
        </w:rPr>
        <w:t xml:space="preserve">    </w:t>
      </w:r>
      <w:r>
        <w:rPr>
          <w:rFonts w:hint="eastAsia" w:hAnsi="宋体" w:eastAsia="宋体" w:cs="宋体"/>
          <w:sz w:val="21"/>
          <w:szCs w:val="21"/>
        </w:rPr>
        <w:t>月</w:t>
      </w:r>
      <w:r>
        <w:rPr>
          <w:rFonts w:hint="eastAsia" w:hAnsi="宋体" w:eastAsia="宋体" w:cs="宋体"/>
          <w:sz w:val="21"/>
          <w:szCs w:val="21"/>
          <w:u w:val="single"/>
        </w:rPr>
        <w:t xml:space="preserve">    </w:t>
      </w:r>
      <w:r>
        <w:rPr>
          <w:rFonts w:hint="eastAsia" w:hAnsi="宋体" w:eastAsia="宋体" w:cs="宋体"/>
          <w:sz w:val="21"/>
          <w:szCs w:val="21"/>
        </w:rPr>
        <w:t>日</w:t>
      </w:r>
    </w:p>
    <w:p w14:paraId="54D51986">
      <w:pPr>
        <w:pStyle w:val="6"/>
        <w:bidi w:val="0"/>
        <w:jc w:val="center"/>
        <w:rPr>
          <w:rFonts w:hint="eastAsia" w:ascii="宋体" w:hAnsi="宋体" w:eastAsia="宋体" w:cs="宋体"/>
          <w:sz w:val="28"/>
          <w:szCs w:val="28"/>
          <w:lang w:eastAsia="zh-CN"/>
        </w:rPr>
      </w:pPr>
      <w:bookmarkStart w:id="983" w:name="_Toc8224"/>
      <w:bookmarkStart w:id="984" w:name="_Toc17594"/>
      <w:bookmarkStart w:id="985" w:name="_Toc393984493"/>
      <w:bookmarkStart w:id="986" w:name="_Toc349210443"/>
      <w:r>
        <w:rPr>
          <w:rFonts w:hint="eastAsia" w:ascii="宋体" w:hAnsi="宋体" w:eastAsia="宋体" w:cs="宋体"/>
          <w:sz w:val="28"/>
          <w:szCs w:val="28"/>
          <w:lang w:eastAsia="zh-CN"/>
        </w:rPr>
        <w:t>（二）近年财务状况表</w:t>
      </w:r>
      <w:bookmarkEnd w:id="983"/>
      <w:bookmarkEnd w:id="984"/>
      <w:bookmarkEnd w:id="985"/>
      <w:bookmarkEnd w:id="986"/>
    </w:p>
    <w:p w14:paraId="4873E9B3">
      <w:pPr>
        <w:rPr>
          <w:rFonts w:hint="eastAsia" w:hAnsi="宋体" w:eastAsia="宋体" w:cs="宋体"/>
          <w:sz w:val="24"/>
          <w:szCs w:val="24"/>
        </w:rPr>
      </w:pPr>
    </w:p>
    <w:p w14:paraId="5B60234B">
      <w:pPr>
        <w:spacing w:line="360" w:lineRule="auto"/>
        <w:ind w:firstLine="480" w:firstLineChars="200"/>
        <w:rPr>
          <w:rFonts w:hint="eastAsia" w:hAnsi="宋体" w:eastAsia="宋体" w:cs="宋体"/>
          <w:sz w:val="24"/>
          <w:szCs w:val="24"/>
        </w:rPr>
      </w:pPr>
      <w:r>
        <w:rPr>
          <w:rFonts w:hint="eastAsia" w:hAnsi="宋体" w:eastAsia="宋体" w:cs="宋体"/>
          <w:sz w:val="24"/>
          <w:szCs w:val="24"/>
        </w:rPr>
        <w:t xml:space="preserve">  “近年财务状况表”应附的证明文件具体详见供应商须知前附表要求。</w:t>
      </w:r>
    </w:p>
    <w:p w14:paraId="1002E146">
      <w:pPr>
        <w:spacing w:line="360" w:lineRule="auto"/>
        <w:rPr>
          <w:rFonts w:hint="eastAsia" w:hAnsi="宋体" w:eastAsia="宋体" w:cs="宋体"/>
          <w:sz w:val="24"/>
          <w:szCs w:val="24"/>
        </w:rPr>
      </w:pPr>
      <w:r>
        <w:rPr>
          <w:rFonts w:hint="eastAsia" w:hAnsi="宋体" w:eastAsia="宋体" w:cs="宋体"/>
          <w:sz w:val="24"/>
          <w:szCs w:val="24"/>
        </w:rPr>
        <w:br w:type="page"/>
      </w:r>
    </w:p>
    <w:p w14:paraId="1DB5C0BA">
      <w:pPr>
        <w:pStyle w:val="6"/>
        <w:bidi w:val="0"/>
        <w:jc w:val="center"/>
        <w:rPr>
          <w:rFonts w:hint="eastAsia" w:ascii="宋体" w:hAnsi="宋体" w:eastAsia="宋体" w:cs="宋体"/>
          <w:sz w:val="28"/>
          <w:szCs w:val="28"/>
          <w:lang w:eastAsia="zh-CN"/>
        </w:rPr>
      </w:pPr>
      <w:bookmarkStart w:id="987" w:name="_Toc13166"/>
      <w:bookmarkStart w:id="988" w:name="_Toc27917"/>
      <w:r>
        <w:rPr>
          <w:rFonts w:hint="eastAsia" w:ascii="宋体" w:hAnsi="宋体" w:eastAsia="宋体" w:cs="宋体"/>
          <w:sz w:val="28"/>
          <w:szCs w:val="28"/>
          <w:lang w:eastAsia="zh-CN"/>
        </w:rPr>
        <w:t>（三）</w:t>
      </w:r>
      <w:bookmarkEnd w:id="987"/>
      <w:r>
        <w:rPr>
          <w:rFonts w:hint="eastAsia" w:ascii="宋体" w:hAnsi="宋体" w:eastAsia="宋体" w:cs="宋体"/>
          <w:sz w:val="28"/>
          <w:szCs w:val="28"/>
          <w:lang w:eastAsia="zh-CN"/>
        </w:rPr>
        <w:t>磋商文件要求的其它</w:t>
      </w:r>
      <w:r>
        <w:rPr>
          <w:rFonts w:hint="eastAsia" w:ascii="宋体" w:hAnsi="宋体" w:eastAsia="宋体" w:cs="宋体"/>
          <w:sz w:val="28"/>
          <w:szCs w:val="28"/>
          <w:lang w:val="en-US" w:eastAsia="zh-CN"/>
        </w:rPr>
        <w:t>资格</w:t>
      </w:r>
      <w:r>
        <w:rPr>
          <w:rFonts w:hint="eastAsia" w:ascii="宋体" w:hAnsi="宋体" w:eastAsia="宋体" w:cs="宋体"/>
          <w:sz w:val="28"/>
          <w:szCs w:val="28"/>
          <w:lang w:eastAsia="zh-CN"/>
        </w:rPr>
        <w:t>材料</w:t>
      </w:r>
      <w:bookmarkEnd w:id="988"/>
    </w:p>
    <w:p w14:paraId="4B7D2F82">
      <w:pPr>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40117A83">
      <w:pPr>
        <w:spacing w:line="360" w:lineRule="auto"/>
        <w:rPr>
          <w:rFonts w:hint="eastAsia" w:hAnsi="宋体" w:eastAsia="宋体" w:cs="宋体"/>
          <w:sz w:val="24"/>
          <w:szCs w:val="24"/>
        </w:rPr>
      </w:pPr>
    </w:p>
    <w:p w14:paraId="5F036306">
      <w:pPr>
        <w:rPr>
          <w:rFonts w:hint="eastAsia"/>
        </w:rPr>
      </w:pPr>
    </w:p>
    <w:p w14:paraId="5D8E8E34">
      <w:pPr>
        <w:spacing w:line="360" w:lineRule="auto"/>
        <w:rPr>
          <w:rFonts w:hint="eastAsia" w:hAnsi="宋体" w:eastAsia="宋体" w:cs="宋体"/>
          <w:sz w:val="24"/>
          <w:szCs w:val="24"/>
        </w:rPr>
      </w:pPr>
    </w:p>
    <w:p w14:paraId="328FF389">
      <w:pPr>
        <w:rPr>
          <w:rFonts w:hint="eastAsia"/>
        </w:rPr>
      </w:pPr>
    </w:p>
    <w:p w14:paraId="54DB8824">
      <w:pPr>
        <w:spacing w:line="360" w:lineRule="auto"/>
        <w:rPr>
          <w:rFonts w:hint="eastAsia" w:hAnsi="宋体" w:eastAsia="宋体" w:cs="宋体"/>
          <w:sz w:val="24"/>
          <w:szCs w:val="24"/>
        </w:rPr>
      </w:pPr>
    </w:p>
    <w:p w14:paraId="08D57402">
      <w:pPr>
        <w:rPr>
          <w:rFonts w:hint="eastAsia"/>
        </w:rPr>
      </w:pPr>
    </w:p>
    <w:p w14:paraId="47B0D18F">
      <w:pPr>
        <w:rPr>
          <w:rFonts w:hint="eastAsia"/>
        </w:rPr>
      </w:pPr>
    </w:p>
    <w:p w14:paraId="7DEE9158">
      <w:pPr>
        <w:spacing w:line="360" w:lineRule="auto"/>
        <w:rPr>
          <w:rFonts w:hint="eastAsia" w:hAnsi="宋体" w:eastAsia="宋体" w:cs="宋体"/>
          <w:sz w:val="24"/>
          <w:szCs w:val="24"/>
        </w:rPr>
      </w:pPr>
    </w:p>
    <w:p w14:paraId="556C0A9E">
      <w:pPr>
        <w:spacing w:line="360" w:lineRule="auto"/>
        <w:rPr>
          <w:rFonts w:hint="eastAsia" w:hAnsi="宋体" w:eastAsia="宋体" w:cs="宋体"/>
          <w:sz w:val="24"/>
          <w:szCs w:val="24"/>
        </w:rPr>
      </w:pPr>
    </w:p>
    <w:p w14:paraId="645A4E15">
      <w:pPr>
        <w:rPr>
          <w:rFonts w:hint="eastAsia"/>
        </w:rPr>
      </w:pPr>
    </w:p>
    <w:p w14:paraId="5BA71051">
      <w:pPr>
        <w:pStyle w:val="5"/>
        <w:bidi w:val="0"/>
        <w:jc w:val="center"/>
        <w:rPr>
          <w:rFonts w:hint="default" w:ascii="宋体" w:hAnsi="宋体" w:eastAsia="宋体" w:cs="宋体"/>
          <w:sz w:val="28"/>
          <w:szCs w:val="28"/>
          <w:lang w:val="en-US" w:eastAsia="zh-CN"/>
        </w:rPr>
      </w:pPr>
      <w:bookmarkStart w:id="989" w:name="_Toc20029"/>
      <w:r>
        <w:rPr>
          <w:rFonts w:hint="eastAsia" w:ascii="宋体" w:hAnsi="宋体" w:eastAsia="宋体" w:cs="宋体"/>
          <w:sz w:val="28"/>
          <w:szCs w:val="28"/>
          <w:lang w:val="en-US" w:eastAsia="zh-CN"/>
        </w:rPr>
        <w:t>七、项目技术方案</w:t>
      </w:r>
      <w:bookmarkEnd w:id="989"/>
    </w:p>
    <w:p w14:paraId="43D5F6DB">
      <w:pPr>
        <w:jc w:val="center"/>
        <w:rPr>
          <w:rFonts w:hint="eastAsia"/>
        </w:rPr>
      </w:pPr>
    </w:p>
    <w:p w14:paraId="6512AB93">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格式自拟</w:t>
      </w:r>
      <w:r>
        <w:rPr>
          <w:rFonts w:hint="eastAsia" w:ascii="Times New Roman" w:hAnsi="Times New Roman" w:eastAsia="宋体" w:cs="Times New Roman"/>
          <w:sz w:val="24"/>
          <w:szCs w:val="24"/>
          <w:lang w:eastAsia="zh-CN"/>
        </w:rPr>
        <w:t>）</w:t>
      </w:r>
    </w:p>
    <w:p w14:paraId="09B49091">
      <w:pPr>
        <w:jc w:val="center"/>
        <w:rPr>
          <w:rFonts w:hint="eastAsia"/>
        </w:rPr>
      </w:pPr>
    </w:p>
    <w:p w14:paraId="593C8A65">
      <w:pPr>
        <w:jc w:val="center"/>
        <w:rPr>
          <w:rFonts w:hint="eastAsia"/>
        </w:rPr>
      </w:pPr>
    </w:p>
    <w:p w14:paraId="5A552395">
      <w:pPr>
        <w:bidi w:val="0"/>
        <w:rPr>
          <w:rFonts w:hint="eastAsia"/>
        </w:rPr>
      </w:pPr>
    </w:p>
    <w:p w14:paraId="4C812ADE">
      <w:pPr>
        <w:bidi w:val="0"/>
        <w:rPr>
          <w:rFonts w:hint="eastAsia"/>
        </w:rPr>
      </w:pPr>
    </w:p>
    <w:p w14:paraId="25E2A9D7">
      <w:pPr>
        <w:jc w:val="center"/>
        <w:rPr>
          <w:rFonts w:hint="eastAsia"/>
        </w:rPr>
      </w:pPr>
    </w:p>
    <w:p w14:paraId="5B81C1FE">
      <w:pPr>
        <w:jc w:val="center"/>
        <w:rPr>
          <w:rFonts w:hint="eastAsia"/>
        </w:rPr>
      </w:pPr>
    </w:p>
    <w:p w14:paraId="5B9446CB">
      <w:pPr>
        <w:jc w:val="center"/>
        <w:rPr>
          <w:rFonts w:hint="eastAsia"/>
        </w:rPr>
      </w:pPr>
    </w:p>
    <w:p w14:paraId="113AFCCF">
      <w:pPr>
        <w:bidi w:val="0"/>
        <w:rPr>
          <w:rFonts w:hint="eastAsia"/>
        </w:rPr>
      </w:pPr>
    </w:p>
    <w:p w14:paraId="024E2983">
      <w:pPr>
        <w:jc w:val="center"/>
        <w:rPr>
          <w:rFonts w:hint="eastAsia"/>
        </w:rPr>
      </w:pPr>
    </w:p>
    <w:p w14:paraId="3FD1D0BE">
      <w:pPr>
        <w:jc w:val="center"/>
        <w:rPr>
          <w:rFonts w:hint="eastAsia"/>
        </w:rPr>
      </w:pPr>
    </w:p>
    <w:p w14:paraId="1BE8487A">
      <w:pPr>
        <w:bidi w:val="0"/>
        <w:rPr>
          <w:rFonts w:hint="eastAsia"/>
        </w:rPr>
      </w:pPr>
    </w:p>
    <w:p w14:paraId="1F1FFA5B">
      <w:pPr>
        <w:bidi w:val="0"/>
        <w:rPr>
          <w:rFonts w:hint="eastAsia"/>
        </w:rPr>
      </w:pPr>
    </w:p>
    <w:p w14:paraId="746B73CE">
      <w:pPr>
        <w:bidi w:val="0"/>
        <w:rPr>
          <w:rFonts w:hint="eastAsia"/>
        </w:rPr>
      </w:pPr>
    </w:p>
    <w:p w14:paraId="68C8172C">
      <w:pPr>
        <w:jc w:val="center"/>
        <w:rPr>
          <w:rFonts w:hint="eastAsia"/>
        </w:rPr>
      </w:pPr>
    </w:p>
    <w:p w14:paraId="01036162">
      <w:pPr>
        <w:pStyle w:val="5"/>
        <w:bidi w:val="0"/>
        <w:jc w:val="center"/>
        <w:rPr>
          <w:rFonts w:hint="eastAsia" w:ascii="宋体" w:hAnsi="宋体" w:eastAsia="宋体" w:cs="宋体"/>
          <w:sz w:val="28"/>
          <w:szCs w:val="28"/>
          <w:lang w:val="en-US" w:eastAsia="zh-CN"/>
        </w:rPr>
      </w:pPr>
      <w:bookmarkStart w:id="990" w:name="_Toc17013"/>
      <w:r>
        <w:rPr>
          <w:rFonts w:hint="eastAsia" w:ascii="宋体" w:hAnsi="宋体" w:eastAsia="宋体" w:cs="宋体"/>
          <w:sz w:val="28"/>
          <w:szCs w:val="28"/>
          <w:lang w:val="en-US" w:eastAsia="zh-CN"/>
        </w:rPr>
        <w:t>八、服务承诺</w:t>
      </w:r>
      <w:bookmarkEnd w:id="990"/>
    </w:p>
    <w:p w14:paraId="358DB75C">
      <w:pPr>
        <w:spacing w:line="440" w:lineRule="exact"/>
        <w:ind w:firstLine="422" w:firstLineChars="200"/>
        <w:jc w:val="center"/>
        <w:rPr>
          <w:rFonts w:hint="eastAsia" w:ascii="宋体"/>
          <w:b/>
        </w:rPr>
      </w:pPr>
    </w:p>
    <w:p w14:paraId="57489958">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格式自拟</w:t>
      </w:r>
      <w:r>
        <w:rPr>
          <w:rFonts w:hint="eastAsia" w:ascii="Times New Roman" w:hAnsi="Times New Roman" w:eastAsia="宋体" w:cs="Times New Roman"/>
          <w:sz w:val="24"/>
          <w:szCs w:val="24"/>
          <w:lang w:eastAsia="zh-CN"/>
        </w:rPr>
        <w:t>）</w:t>
      </w:r>
    </w:p>
    <w:p w14:paraId="21566C16">
      <w:pPr>
        <w:spacing w:line="440" w:lineRule="exact"/>
        <w:ind w:firstLine="643" w:firstLineChars="200"/>
        <w:jc w:val="center"/>
        <w:rPr>
          <w:rFonts w:hint="eastAsia" w:ascii="宋体"/>
          <w:b/>
          <w:sz w:val="32"/>
          <w:szCs w:val="32"/>
        </w:rPr>
      </w:pPr>
    </w:p>
    <w:p w14:paraId="68B29598">
      <w:pPr>
        <w:spacing w:line="440" w:lineRule="exact"/>
        <w:ind w:firstLine="643" w:firstLineChars="200"/>
        <w:jc w:val="center"/>
        <w:rPr>
          <w:rFonts w:hint="eastAsia" w:ascii="宋体"/>
          <w:b/>
          <w:sz w:val="32"/>
          <w:szCs w:val="32"/>
        </w:rPr>
      </w:pPr>
    </w:p>
    <w:p w14:paraId="4E96C2A1">
      <w:pPr>
        <w:pStyle w:val="2"/>
        <w:rPr>
          <w:rFonts w:hint="eastAsia"/>
        </w:rPr>
      </w:pPr>
    </w:p>
    <w:p w14:paraId="3A83367A">
      <w:pPr>
        <w:rPr>
          <w:rFonts w:hint="eastAsia"/>
        </w:rPr>
      </w:pPr>
    </w:p>
    <w:p w14:paraId="34DF244D">
      <w:pPr>
        <w:rPr>
          <w:rFonts w:hint="eastAsia"/>
        </w:rPr>
      </w:pPr>
    </w:p>
    <w:p w14:paraId="43B2E78C">
      <w:pPr>
        <w:pStyle w:val="5"/>
        <w:bidi w:val="0"/>
        <w:jc w:val="center"/>
        <w:rPr>
          <w:rFonts w:hint="eastAsia" w:ascii="宋体" w:hAnsi="宋体" w:eastAsia="宋体" w:cs="宋体"/>
          <w:sz w:val="28"/>
          <w:szCs w:val="28"/>
          <w:lang w:val="en-US" w:eastAsia="zh-CN"/>
        </w:rPr>
      </w:pPr>
      <w:bookmarkStart w:id="991" w:name="_Toc3943"/>
      <w:r>
        <w:rPr>
          <w:rFonts w:hint="eastAsia" w:ascii="宋体" w:hAnsi="宋体" w:eastAsia="宋体" w:cs="宋体"/>
          <w:sz w:val="28"/>
          <w:szCs w:val="28"/>
          <w:lang w:val="en-US" w:eastAsia="zh-CN"/>
        </w:rPr>
        <w:t>九、综合材料</w:t>
      </w:r>
      <w:bookmarkEnd w:id="982"/>
      <w:bookmarkEnd w:id="991"/>
    </w:p>
    <w:p w14:paraId="3D1C2DE8">
      <w:pPr>
        <w:pStyle w:val="6"/>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1、供应商自认为有必要附入的其他资料；</w:t>
      </w:r>
    </w:p>
    <w:p w14:paraId="52A507A0">
      <w:pPr>
        <w:pStyle w:val="3"/>
        <w:rPr>
          <w:rFonts w:hint="eastAsia" w:ascii="宋体" w:hAnsi="宋体"/>
          <w:b/>
          <w:sz w:val="24"/>
          <w:szCs w:val="24"/>
          <w:lang w:val="en-US" w:eastAsia="zh-CN"/>
        </w:rPr>
      </w:pPr>
    </w:p>
    <w:p w14:paraId="0616B492">
      <w:pPr>
        <w:pStyle w:val="3"/>
        <w:rPr>
          <w:rFonts w:hint="eastAsia" w:ascii="宋体" w:hAnsi="宋体"/>
          <w:b/>
          <w:sz w:val="24"/>
          <w:szCs w:val="24"/>
          <w:lang w:val="en-US" w:eastAsia="zh-CN"/>
        </w:rPr>
      </w:pPr>
    </w:p>
    <w:p w14:paraId="133BED54">
      <w:pPr>
        <w:pStyle w:val="3"/>
        <w:rPr>
          <w:rFonts w:hint="eastAsia" w:ascii="宋体" w:hAnsi="宋体"/>
          <w:b/>
          <w:sz w:val="24"/>
          <w:szCs w:val="24"/>
          <w:lang w:val="en-US" w:eastAsia="zh-CN"/>
        </w:rPr>
      </w:pPr>
    </w:p>
    <w:p w14:paraId="496BF5E3">
      <w:pPr>
        <w:pStyle w:val="3"/>
        <w:rPr>
          <w:rFonts w:hint="eastAsia" w:ascii="宋体" w:hAnsi="宋体"/>
          <w:b/>
          <w:sz w:val="24"/>
          <w:szCs w:val="24"/>
          <w:lang w:val="en-US" w:eastAsia="zh-CN"/>
        </w:rPr>
      </w:pPr>
    </w:p>
    <w:p w14:paraId="2B2A1955">
      <w:pPr>
        <w:pStyle w:val="3"/>
        <w:rPr>
          <w:rFonts w:hint="eastAsia" w:ascii="宋体" w:hAnsi="宋体"/>
          <w:b/>
          <w:sz w:val="24"/>
          <w:szCs w:val="24"/>
          <w:lang w:val="en-US" w:eastAsia="zh-CN"/>
        </w:rPr>
      </w:pPr>
    </w:p>
    <w:p w14:paraId="5199861A">
      <w:pPr>
        <w:pStyle w:val="3"/>
        <w:rPr>
          <w:rFonts w:hint="default" w:ascii="宋体" w:hAnsi="宋体"/>
          <w:b/>
          <w:sz w:val="24"/>
          <w:szCs w:val="24"/>
          <w:lang w:val="en-US" w:eastAsia="zh-CN"/>
        </w:rPr>
      </w:pPr>
    </w:p>
    <w:p w14:paraId="70830EBE">
      <w:pPr>
        <w:pStyle w:val="6"/>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2、反商业贿赂承诺书</w:t>
      </w:r>
    </w:p>
    <w:p w14:paraId="08A87B34">
      <w:pPr>
        <w:spacing w:line="360" w:lineRule="exact"/>
        <w:jc w:val="center"/>
        <w:textAlignment w:val="baseline"/>
        <w:rPr>
          <w:rFonts w:hAnsi="宋体" w:cs="宋体"/>
          <w:b/>
          <w:sz w:val="24"/>
          <w:szCs w:val="24"/>
        </w:rPr>
      </w:pPr>
      <w:r>
        <w:rPr>
          <w:rFonts w:hint="eastAsia" w:hAnsi="宋体" w:cs="宋体"/>
          <w:b/>
          <w:sz w:val="24"/>
          <w:szCs w:val="24"/>
        </w:rPr>
        <w:t>反商业贿赂承诺书</w:t>
      </w:r>
    </w:p>
    <w:p w14:paraId="5BF5D7A9">
      <w:pPr>
        <w:rPr>
          <w:rFonts w:hint="eastAsia"/>
          <w:sz w:val="24"/>
          <w:szCs w:val="24"/>
        </w:rPr>
      </w:pPr>
    </w:p>
    <w:p w14:paraId="4F5A241E">
      <w:pPr>
        <w:spacing w:line="360" w:lineRule="auto"/>
        <w:rPr>
          <w:rFonts w:hint="eastAsia"/>
          <w:sz w:val="24"/>
          <w:szCs w:val="24"/>
        </w:rPr>
      </w:pPr>
      <w:r>
        <w:rPr>
          <w:rFonts w:hint="eastAsia"/>
          <w:sz w:val="24"/>
          <w:szCs w:val="24"/>
        </w:rPr>
        <w:t>我公司承诺：</w:t>
      </w:r>
    </w:p>
    <w:p w14:paraId="031726F9">
      <w:pPr>
        <w:spacing w:line="360" w:lineRule="auto"/>
        <w:rPr>
          <w:rFonts w:hint="eastAsia" w:hAnsi="宋体"/>
          <w:sz w:val="24"/>
          <w:szCs w:val="24"/>
        </w:rPr>
      </w:pPr>
      <w:r>
        <w:rPr>
          <w:rFonts w:hint="eastAsia" w:hAnsi="宋体"/>
          <w:sz w:val="24"/>
          <w:szCs w:val="24"/>
        </w:rPr>
        <w:t xml:space="preserve">    在</w:t>
      </w:r>
      <w:r>
        <w:rPr>
          <w:rFonts w:hint="eastAsia" w:hAnsi="宋体"/>
          <w:sz w:val="24"/>
          <w:szCs w:val="24"/>
          <w:u w:val="single"/>
        </w:rPr>
        <w:t xml:space="preserve">             项目名称</w:t>
      </w:r>
      <w:r>
        <w:rPr>
          <w:rFonts w:hint="eastAsia" w:hAnsi="宋体"/>
          <w:sz w:val="24"/>
          <w:szCs w:val="24"/>
        </w:rPr>
        <w:t>（</w:t>
      </w:r>
      <w:r>
        <w:rPr>
          <w:rFonts w:hint="eastAsia" w:hAnsi="宋体"/>
          <w:sz w:val="24"/>
          <w:szCs w:val="24"/>
          <w:lang w:val="en-US" w:eastAsia="zh-CN"/>
        </w:rPr>
        <w:t>项目</w:t>
      </w:r>
      <w:r>
        <w:rPr>
          <w:rFonts w:hint="eastAsia" w:hAnsi="宋体"/>
          <w:sz w:val="24"/>
          <w:szCs w:val="24"/>
        </w:rPr>
        <w:t xml:space="preserve">编号为： </w:t>
      </w:r>
      <w:r>
        <w:rPr>
          <w:rFonts w:hint="eastAsia" w:hAnsi="宋体"/>
          <w:sz w:val="24"/>
          <w:szCs w:val="24"/>
          <w:u w:val="single"/>
        </w:rPr>
        <w:t xml:space="preserve">            </w:t>
      </w:r>
      <w:r>
        <w:rPr>
          <w:rFonts w:hint="eastAsia" w:hAnsi="宋体"/>
          <w:sz w:val="24"/>
          <w:szCs w:val="24"/>
        </w:rPr>
        <w:t>采购活动中，我方保证做到：</w:t>
      </w:r>
    </w:p>
    <w:p w14:paraId="6763E58E">
      <w:pPr>
        <w:spacing w:line="360" w:lineRule="auto"/>
        <w:rPr>
          <w:rFonts w:hint="eastAsia"/>
          <w:sz w:val="24"/>
          <w:szCs w:val="24"/>
        </w:rPr>
      </w:pPr>
      <w:r>
        <w:rPr>
          <w:rFonts w:hint="eastAsia"/>
          <w:sz w:val="24"/>
          <w:szCs w:val="24"/>
        </w:rPr>
        <w:t>一、公平竞争参加本次采购活动。</w:t>
      </w:r>
    </w:p>
    <w:p w14:paraId="7F4B6816">
      <w:pPr>
        <w:spacing w:line="360" w:lineRule="auto"/>
        <w:rPr>
          <w:rFonts w:hint="eastAsia"/>
          <w:sz w:val="24"/>
          <w:szCs w:val="24"/>
        </w:rPr>
      </w:pPr>
      <w:r>
        <w:rPr>
          <w:rFonts w:hint="eastAsia"/>
          <w:sz w:val="24"/>
          <w:szCs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14B2E722">
      <w:pPr>
        <w:spacing w:line="360" w:lineRule="auto"/>
        <w:rPr>
          <w:rFonts w:hint="eastAsia"/>
          <w:sz w:val="24"/>
          <w:szCs w:val="24"/>
        </w:rPr>
      </w:pPr>
      <w:r>
        <w:rPr>
          <w:rFonts w:hint="eastAsia"/>
          <w:sz w:val="24"/>
          <w:szCs w:val="24"/>
        </w:rPr>
        <w:t>三、若出现上述行为，我方及参与招标投标活动的工作人员愿意接受按照国家法律法规等有关规定给予的处罚。</w:t>
      </w:r>
    </w:p>
    <w:p w14:paraId="658154EA">
      <w:pPr>
        <w:rPr>
          <w:rFonts w:hint="eastAsia"/>
          <w:sz w:val="24"/>
          <w:szCs w:val="24"/>
        </w:rPr>
      </w:pPr>
    </w:p>
    <w:p w14:paraId="4D6E8B1C">
      <w:pPr>
        <w:spacing w:line="360" w:lineRule="auto"/>
        <w:jc w:val="center"/>
        <w:rPr>
          <w:rFonts w:hint="eastAsia"/>
          <w:sz w:val="24"/>
          <w:szCs w:val="24"/>
        </w:rPr>
      </w:pPr>
      <w:r>
        <w:rPr>
          <w:rFonts w:hint="eastAsia"/>
          <w:sz w:val="24"/>
          <w:szCs w:val="24"/>
        </w:rPr>
        <w:t xml:space="preserve">      供应商（盖单位公章） ：</w:t>
      </w:r>
    </w:p>
    <w:p w14:paraId="4D9B3E14">
      <w:pPr>
        <w:spacing w:line="360" w:lineRule="auto"/>
        <w:jc w:val="center"/>
        <w:rPr>
          <w:rFonts w:hint="eastAsia"/>
          <w:sz w:val="24"/>
          <w:szCs w:val="24"/>
        </w:rPr>
      </w:pPr>
      <w:r>
        <w:rPr>
          <w:rFonts w:hint="eastAsia" w:ascii="宋体" w:hAnsi="宋体"/>
          <w:sz w:val="24"/>
          <w:szCs w:val="24"/>
        </w:rPr>
        <w:t xml:space="preserve">                    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rPr>
        <w:t>或其委托代理人（签字或盖章）</w:t>
      </w:r>
      <w:r>
        <w:rPr>
          <w:rFonts w:hint="eastAsia" w:hAnsi="宋体"/>
          <w:sz w:val="24"/>
          <w:szCs w:val="24"/>
        </w:rPr>
        <w:t>：</w:t>
      </w:r>
    </w:p>
    <w:p w14:paraId="08556B63">
      <w:pPr>
        <w:spacing w:line="360" w:lineRule="auto"/>
        <w:jc w:val="center"/>
        <w:rPr>
          <w:rFonts w:hint="eastAsia" w:hAnsi="宋体"/>
          <w:spacing w:val="20"/>
          <w:sz w:val="24"/>
          <w:szCs w:val="24"/>
        </w:rPr>
      </w:pPr>
      <w:r>
        <w:rPr>
          <w:rFonts w:hint="eastAsia" w:hAnsi="宋体"/>
          <w:sz w:val="24"/>
          <w:szCs w:val="24"/>
        </w:rPr>
        <w:t xml:space="preserve">                   日期：</w:t>
      </w:r>
      <w:r>
        <w:rPr>
          <w:rFonts w:hint="eastAsia" w:hAnsi="宋体"/>
          <w:spacing w:val="20"/>
          <w:sz w:val="24"/>
          <w:szCs w:val="24"/>
          <w:u w:val="single"/>
        </w:rPr>
        <w:t xml:space="preserve">      </w:t>
      </w:r>
      <w:r>
        <w:rPr>
          <w:rFonts w:hint="eastAsia" w:hAnsi="宋体"/>
          <w:spacing w:val="20"/>
          <w:sz w:val="24"/>
          <w:szCs w:val="24"/>
        </w:rPr>
        <w:t>年</w:t>
      </w:r>
      <w:r>
        <w:rPr>
          <w:rFonts w:hint="eastAsia" w:hAnsi="宋体"/>
          <w:spacing w:val="20"/>
          <w:sz w:val="24"/>
          <w:szCs w:val="24"/>
          <w:u w:val="single"/>
        </w:rPr>
        <w:t xml:space="preserve">    </w:t>
      </w:r>
      <w:r>
        <w:rPr>
          <w:rFonts w:hint="eastAsia" w:hAnsi="宋体"/>
          <w:spacing w:val="20"/>
          <w:sz w:val="24"/>
          <w:szCs w:val="24"/>
        </w:rPr>
        <w:t>月</w:t>
      </w:r>
      <w:r>
        <w:rPr>
          <w:rFonts w:hint="eastAsia" w:hAnsi="宋体"/>
          <w:spacing w:val="20"/>
          <w:sz w:val="24"/>
          <w:szCs w:val="24"/>
          <w:u w:val="single"/>
        </w:rPr>
        <w:t xml:space="preserve">    </w:t>
      </w:r>
      <w:r>
        <w:rPr>
          <w:rFonts w:hint="eastAsia" w:hAnsi="宋体"/>
          <w:spacing w:val="20"/>
          <w:sz w:val="24"/>
          <w:szCs w:val="24"/>
        </w:rPr>
        <w:t>日</w:t>
      </w:r>
    </w:p>
    <w:p w14:paraId="4365407D">
      <w:pPr>
        <w:spacing w:line="420" w:lineRule="exact"/>
        <w:ind w:firstLine="411" w:firstLineChars="196"/>
        <w:rPr>
          <w:rFonts w:hint="eastAsia" w:hAnsi="宋体"/>
          <w:sz w:val="21"/>
          <w:szCs w:val="21"/>
        </w:rPr>
      </w:pPr>
      <w:r>
        <w:rPr>
          <w:rFonts w:hint="eastAsia" w:hAnsi="宋体"/>
          <w:sz w:val="21"/>
          <w:szCs w:val="21"/>
        </w:rPr>
        <w:t>注：本承诺书应由法定代表人</w:t>
      </w:r>
      <w:r>
        <w:rPr>
          <w:rFonts w:hint="eastAsia" w:hAnsi="宋体"/>
          <w:sz w:val="21"/>
          <w:szCs w:val="21"/>
          <w:lang w:eastAsia="zh-CN"/>
        </w:rPr>
        <w:t>（</w:t>
      </w:r>
      <w:r>
        <w:rPr>
          <w:rFonts w:hint="eastAsia" w:hAnsi="宋体"/>
          <w:sz w:val="21"/>
          <w:szCs w:val="21"/>
          <w:lang w:val="en-US" w:eastAsia="zh-CN"/>
        </w:rPr>
        <w:t>负责人）</w:t>
      </w:r>
      <w:r>
        <w:rPr>
          <w:rFonts w:hint="eastAsia" w:hAnsi="宋体"/>
          <w:sz w:val="21"/>
          <w:szCs w:val="21"/>
        </w:rPr>
        <w:t>或授权代理人签字并加盖公章，</w:t>
      </w:r>
      <w:r>
        <w:rPr>
          <w:rFonts w:hint="eastAsia" w:hAnsi="宋体"/>
          <w:bCs/>
          <w:sz w:val="21"/>
          <w:szCs w:val="21"/>
        </w:rPr>
        <w:t>否则视为无效文件</w:t>
      </w:r>
      <w:r>
        <w:rPr>
          <w:rFonts w:hint="eastAsia" w:hAnsi="宋体"/>
          <w:sz w:val="21"/>
          <w:szCs w:val="21"/>
        </w:rPr>
        <w:t>。</w:t>
      </w:r>
    </w:p>
    <w:p w14:paraId="3BAF93A9">
      <w:pPr>
        <w:spacing w:line="400" w:lineRule="exact"/>
        <w:jc w:val="center"/>
        <w:rPr>
          <w:rFonts w:hint="eastAsia" w:hAnsi="宋体"/>
          <w:b/>
          <w:sz w:val="21"/>
          <w:szCs w:val="21"/>
        </w:rPr>
      </w:pPr>
    </w:p>
    <w:p w14:paraId="0001C913">
      <w:pPr>
        <w:spacing w:line="400" w:lineRule="exact"/>
        <w:rPr>
          <w:rFonts w:hint="eastAsia" w:hAnsi="宋体"/>
          <w:b/>
          <w:sz w:val="21"/>
          <w:szCs w:val="21"/>
        </w:rPr>
      </w:pPr>
      <w:r>
        <w:rPr>
          <w:rFonts w:hint="eastAsia" w:hAnsi="宋体"/>
          <w:b/>
          <w:sz w:val="21"/>
          <w:szCs w:val="21"/>
        </w:rPr>
        <w:br w:type="page"/>
      </w:r>
    </w:p>
    <w:p w14:paraId="6E1052B9">
      <w:pPr>
        <w:pStyle w:val="6"/>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3、采购项目承诺书</w:t>
      </w:r>
    </w:p>
    <w:p w14:paraId="5156F244">
      <w:pPr>
        <w:spacing w:line="360" w:lineRule="exact"/>
        <w:jc w:val="center"/>
        <w:textAlignment w:val="baseline"/>
        <w:rPr>
          <w:rFonts w:hAnsi="宋体" w:cs="宋体"/>
          <w:b/>
          <w:sz w:val="24"/>
          <w:szCs w:val="24"/>
        </w:rPr>
      </w:pPr>
      <w:r>
        <w:rPr>
          <w:rFonts w:hint="eastAsia" w:hAnsi="宋体" w:cs="宋体"/>
          <w:b/>
          <w:sz w:val="24"/>
          <w:szCs w:val="24"/>
        </w:rPr>
        <w:t>采购项目承诺书</w:t>
      </w:r>
    </w:p>
    <w:p w14:paraId="0128A619">
      <w:pPr>
        <w:spacing w:line="56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p>
    <w:p w14:paraId="045A41EE">
      <w:pPr>
        <w:rPr>
          <w:rFonts w:hint="eastAsia" w:ascii="宋体" w:hAnsi="宋体" w:eastAsia="宋体" w:cs="宋体"/>
          <w:sz w:val="24"/>
          <w:szCs w:val="24"/>
        </w:rPr>
      </w:pPr>
      <w:r>
        <w:rPr>
          <w:rFonts w:hint="eastAsia" w:ascii="宋体" w:hAnsi="宋体" w:eastAsia="宋体" w:cs="宋体"/>
          <w:sz w:val="24"/>
          <w:szCs w:val="24"/>
        </w:rPr>
        <w:t xml:space="preserve">      本承诺书作为我方参加 </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w:t>
      </w:r>
      <w:r>
        <w:rPr>
          <w:rFonts w:hint="eastAsia" w:ascii="宋体" w:hAnsi="宋体" w:eastAsia="宋体" w:cs="宋体"/>
          <w:sz w:val="24"/>
          <w:szCs w:val="24"/>
          <w:lang w:val="en-US" w:eastAsia="zh-CN"/>
        </w:rPr>
        <w:t>项目</w:t>
      </w: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）投标文件不可分割的一部分。我方参加本次投标特郑重作出如下承诺：</w:t>
      </w:r>
    </w:p>
    <w:p w14:paraId="111E4D72">
      <w:pPr>
        <w:adjustRightInd w:val="0"/>
        <w:spacing w:line="500" w:lineRule="exact"/>
        <w:ind w:left="17" w:firstLine="230" w:firstLineChars="96"/>
        <w:jc w:val="left"/>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   1、我方已经过详细市场调查，本次所投报产品货源充足，保证不会出现无货、断货现象；</w:t>
      </w:r>
    </w:p>
    <w:p w14:paraId="33E01CB7">
      <w:pPr>
        <w:spacing w:line="500" w:lineRule="exact"/>
        <w:ind w:firstLine="544" w:firstLineChars="227"/>
        <w:rPr>
          <w:rFonts w:hint="eastAsia" w:ascii="宋体" w:hAnsi="宋体" w:eastAsia="宋体" w:cs="宋体"/>
          <w:bCs/>
          <w:sz w:val="24"/>
          <w:szCs w:val="24"/>
        </w:rPr>
      </w:pPr>
      <w:r>
        <w:rPr>
          <w:rFonts w:hint="eastAsia" w:ascii="宋体" w:hAnsi="宋体" w:eastAsia="宋体" w:cs="宋体"/>
          <w:bCs/>
          <w:sz w:val="24"/>
          <w:szCs w:val="24"/>
        </w:rPr>
        <w:t>2、我方将严格履行招标文件中规定的每一项要求，按所投产品的品牌、型号及约定的交货（完工）期保质、保量提交货物和相关服务，</w:t>
      </w:r>
      <w:r>
        <w:rPr>
          <w:rFonts w:hint="eastAsia" w:ascii="宋体" w:hAnsi="宋体" w:eastAsia="宋体" w:cs="宋体"/>
          <w:sz w:val="24"/>
          <w:szCs w:val="24"/>
        </w:rPr>
        <w:t>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r>
        <w:rPr>
          <w:rFonts w:hint="eastAsia" w:ascii="宋体" w:hAnsi="宋体" w:eastAsia="宋体" w:cs="宋体"/>
          <w:bCs/>
          <w:sz w:val="24"/>
          <w:szCs w:val="24"/>
        </w:rPr>
        <w:t>；</w:t>
      </w:r>
    </w:p>
    <w:p w14:paraId="7F623B03">
      <w:pPr>
        <w:spacing w:line="500" w:lineRule="exact"/>
        <w:ind w:left="1" w:firstLine="480" w:firstLineChars="200"/>
        <w:rPr>
          <w:rFonts w:hint="eastAsia" w:ascii="宋体" w:hAnsi="宋体" w:eastAsia="宋体" w:cs="宋体"/>
          <w:bCs/>
          <w:sz w:val="24"/>
          <w:szCs w:val="24"/>
        </w:rPr>
      </w:pPr>
      <w:r>
        <w:rPr>
          <w:rFonts w:hint="eastAsia" w:ascii="宋体" w:hAnsi="宋体" w:eastAsia="宋体" w:cs="宋体"/>
          <w:bCs/>
          <w:sz w:val="24"/>
          <w:szCs w:val="24"/>
        </w:rPr>
        <w:t>3、如无法按我方承诺期限如期交货，我方愿按合同条款承担相应违约责任，对采购人造成损失的，我方愿承担相应赔偿责任；</w:t>
      </w:r>
    </w:p>
    <w:p w14:paraId="04E9A528">
      <w:pPr>
        <w:spacing w:line="500" w:lineRule="exact"/>
        <w:ind w:left="1" w:firstLine="480" w:firstLineChars="200"/>
        <w:rPr>
          <w:rFonts w:hint="eastAsia" w:ascii="宋体" w:hAnsi="宋体" w:eastAsia="宋体" w:cs="宋体"/>
          <w:bCs/>
          <w:sz w:val="24"/>
          <w:szCs w:val="24"/>
        </w:rPr>
      </w:pPr>
      <w:r>
        <w:rPr>
          <w:rFonts w:hint="eastAsia" w:ascii="宋体" w:hAnsi="宋体" w:eastAsia="宋体" w:cs="宋体"/>
          <w:bCs/>
          <w:sz w:val="24"/>
          <w:szCs w:val="24"/>
        </w:rPr>
        <w:t>4、采购人验收时如发现我方所供产品与投标文件中所承诺的产品型号、规格、技术参数要求不符的，我方将立即无条件更换。如因此造成交货及安装周期超出我方承诺期限的，我方愿承担合同约定的违约责任；</w:t>
      </w:r>
    </w:p>
    <w:p w14:paraId="5CA11981">
      <w:pPr>
        <w:spacing w:line="500" w:lineRule="exact"/>
        <w:ind w:left="1" w:firstLine="480" w:firstLineChars="200"/>
        <w:rPr>
          <w:rFonts w:hint="eastAsia" w:ascii="宋体" w:hAnsi="宋体" w:eastAsia="宋体" w:cs="宋体"/>
          <w:sz w:val="24"/>
          <w:szCs w:val="24"/>
        </w:rPr>
      </w:pPr>
      <w:r>
        <w:rPr>
          <w:rFonts w:hint="eastAsia" w:ascii="宋体" w:hAnsi="宋体" w:eastAsia="宋体" w:cs="宋体"/>
          <w:bCs/>
          <w:sz w:val="24"/>
          <w:szCs w:val="24"/>
        </w:rPr>
        <w:t>5、</w:t>
      </w:r>
      <w:r>
        <w:rPr>
          <w:rFonts w:hint="eastAsia" w:ascii="宋体" w:hAnsi="宋体" w:eastAsia="宋体" w:cs="宋体"/>
          <w:sz w:val="24"/>
          <w:szCs w:val="24"/>
        </w:rPr>
        <w:t>我方提供的产品如不能满足招标文件要求的，采购人有权拒绝接收；</w:t>
      </w:r>
    </w:p>
    <w:p w14:paraId="4E75FEFB">
      <w:pPr>
        <w:spacing w:line="500" w:lineRule="exact"/>
        <w:ind w:left="1" w:firstLine="480" w:firstLineChars="200"/>
        <w:rPr>
          <w:rFonts w:hint="eastAsia" w:ascii="宋体" w:hAnsi="宋体" w:eastAsia="宋体" w:cs="宋体"/>
          <w:bCs/>
          <w:sz w:val="24"/>
          <w:szCs w:val="24"/>
        </w:rPr>
      </w:pPr>
      <w:r>
        <w:rPr>
          <w:rFonts w:hint="eastAsia" w:ascii="宋体" w:hAnsi="宋体" w:eastAsia="宋体" w:cs="宋体"/>
          <w:bCs/>
          <w:sz w:val="24"/>
          <w:szCs w:val="24"/>
        </w:rPr>
        <w:t>6、如我方中标，在公示期内或领取中标（成交）通知书后，我方无正当理由（如自身报价失误、无法组织及时交货、资金不到位、帐户无法正常使用等）放弃中标资格，我方愿接受财政部门做出的记入不良诚信记录、网上曝光、禁止参加政府采购活动等的处理；</w:t>
      </w:r>
    </w:p>
    <w:p w14:paraId="256F57DE">
      <w:pPr>
        <w:spacing w:line="500" w:lineRule="exact"/>
        <w:ind w:left="1" w:firstLine="480" w:firstLineChars="200"/>
        <w:rPr>
          <w:rFonts w:hint="eastAsia" w:ascii="宋体" w:hAnsi="宋体" w:eastAsia="宋体" w:cs="宋体"/>
          <w:bCs/>
          <w:sz w:val="24"/>
          <w:szCs w:val="24"/>
        </w:rPr>
      </w:pPr>
      <w:r>
        <w:rPr>
          <w:rFonts w:hint="eastAsia" w:ascii="宋体" w:hAnsi="宋体" w:eastAsia="宋体" w:cs="宋体"/>
          <w:bCs/>
          <w:sz w:val="24"/>
          <w:szCs w:val="24"/>
        </w:rPr>
        <w:t>7、我方已详细阅读了本招标文件，保证可以完全响应招标文件所有要求，并理解你方或评标委员会对我方进行资格审查的权利，如在资格审查中发现我方存在有违规行为愿承担相应法律责任；</w:t>
      </w:r>
    </w:p>
    <w:p w14:paraId="06DD0F7D">
      <w:pPr>
        <w:spacing w:line="500" w:lineRule="exact"/>
        <w:ind w:left="1" w:firstLine="480" w:firstLineChars="200"/>
        <w:rPr>
          <w:rFonts w:hint="eastAsia" w:ascii="宋体" w:hAnsi="宋体" w:eastAsia="宋体" w:cs="宋体"/>
          <w:bCs/>
          <w:sz w:val="24"/>
          <w:szCs w:val="24"/>
        </w:rPr>
      </w:pPr>
      <w:r>
        <w:rPr>
          <w:rFonts w:hint="eastAsia" w:ascii="宋体" w:hAnsi="宋体" w:eastAsia="宋体" w:cs="宋体"/>
          <w:bCs/>
          <w:sz w:val="24"/>
          <w:szCs w:val="24"/>
        </w:rPr>
        <w:t>8、保证不将我方的有关资格、资质证书转借他人投标，不与他人进行串标、围标，不将本项目进行转包或分包。</w:t>
      </w:r>
    </w:p>
    <w:p w14:paraId="5DDEA6F8">
      <w:pPr>
        <w:spacing w:line="42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供应商（盖单位公章）：               </w:t>
      </w:r>
    </w:p>
    <w:p w14:paraId="45C449CA">
      <w:pPr>
        <w:spacing w:line="42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负责人）</w:t>
      </w:r>
      <w:r>
        <w:rPr>
          <w:rFonts w:hint="eastAsia" w:ascii="宋体" w:hAnsi="宋体" w:eastAsia="宋体" w:cs="宋体"/>
          <w:sz w:val="24"/>
          <w:szCs w:val="24"/>
        </w:rPr>
        <w:t>或其委托代理人（签字或盖章）：</w:t>
      </w:r>
    </w:p>
    <w:p w14:paraId="0A3C7C2D">
      <w:pPr>
        <w:spacing w:line="420" w:lineRule="exact"/>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5078BCFB">
      <w:pPr>
        <w:spacing w:line="420" w:lineRule="exact"/>
        <w:ind w:firstLine="392" w:firstLineChars="196"/>
        <w:rPr>
          <w:rFonts w:hint="eastAsia" w:ascii="宋体" w:hAnsi="宋体" w:cs="宋体"/>
          <w:sz w:val="20"/>
          <w:szCs w:val="20"/>
        </w:rPr>
      </w:pPr>
      <w:r>
        <w:rPr>
          <w:rFonts w:hint="eastAsia" w:ascii="宋体" w:hAnsi="宋体" w:cs="宋体"/>
          <w:sz w:val="20"/>
          <w:szCs w:val="20"/>
        </w:rPr>
        <w:t>特别提示：</w:t>
      </w:r>
      <w:r>
        <w:rPr>
          <w:rFonts w:hint="eastAsia" w:ascii="宋体" w:hAnsi="宋体" w:cs="宋体"/>
          <w:spacing w:val="20"/>
          <w:sz w:val="20"/>
          <w:szCs w:val="20"/>
        </w:rPr>
        <w:t>以上</w:t>
      </w:r>
      <w:r>
        <w:rPr>
          <w:rFonts w:hint="eastAsia" w:ascii="宋体" w:hAnsi="宋体" w:cs="宋体"/>
          <w:sz w:val="20"/>
          <w:szCs w:val="20"/>
        </w:rPr>
        <w:t>承诺书内容不得随意改动，本承诺书应由法定代表人</w:t>
      </w:r>
      <w:r>
        <w:rPr>
          <w:rFonts w:hint="eastAsia" w:ascii="宋体" w:hAnsi="宋体" w:cs="宋体"/>
          <w:sz w:val="20"/>
          <w:szCs w:val="20"/>
          <w:lang w:eastAsia="zh-CN"/>
        </w:rPr>
        <w:t>（</w:t>
      </w:r>
      <w:r>
        <w:rPr>
          <w:rFonts w:hint="eastAsia" w:ascii="宋体" w:hAnsi="宋体" w:cs="宋体"/>
          <w:sz w:val="20"/>
          <w:szCs w:val="20"/>
          <w:lang w:val="en-US" w:eastAsia="zh-CN"/>
        </w:rPr>
        <w:t>负责人）</w:t>
      </w:r>
      <w:r>
        <w:rPr>
          <w:rFonts w:hint="eastAsia" w:ascii="宋体" w:hAnsi="宋体" w:cs="宋体"/>
          <w:sz w:val="20"/>
          <w:szCs w:val="20"/>
        </w:rPr>
        <w:t>或授权代理人签字并加盖公章，</w:t>
      </w:r>
      <w:r>
        <w:rPr>
          <w:rFonts w:hint="eastAsia" w:ascii="宋体" w:hAnsi="宋体" w:cs="宋体"/>
          <w:bCs/>
          <w:sz w:val="20"/>
          <w:szCs w:val="20"/>
        </w:rPr>
        <w:t>否则视为无效投标文件</w:t>
      </w:r>
      <w:r>
        <w:rPr>
          <w:rFonts w:hint="eastAsia" w:ascii="宋体" w:hAnsi="宋体" w:cs="宋体"/>
          <w:sz w:val="20"/>
          <w:szCs w:val="20"/>
        </w:rPr>
        <w:t>。</w:t>
      </w:r>
    </w:p>
    <w:p w14:paraId="3A62768C">
      <w:pPr>
        <w:pStyle w:val="6"/>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eastAsia="宋体" w:cs="宋体"/>
          <w:sz w:val="28"/>
          <w:szCs w:val="28"/>
          <w:lang w:val="en-US" w:eastAsia="zh-CN"/>
        </w:rPr>
        <w:t>4、关于政府采购政策（有则附，没有不附）</w:t>
      </w:r>
    </w:p>
    <w:p w14:paraId="6A7530F2">
      <w:pPr>
        <w:autoSpaceDE w:val="0"/>
        <w:autoSpaceDN w:val="0"/>
        <w:adjustRightInd w:val="0"/>
        <w:spacing w:line="595" w:lineRule="exact"/>
        <w:ind w:right="-20"/>
        <w:jc w:val="center"/>
        <w:rPr>
          <w:rFonts w:hint="eastAsia" w:ascii="宋体" w:hAnsi="宋体" w:cs="宋体"/>
          <w:spacing w:val="2"/>
          <w:kern w:val="0"/>
          <w:sz w:val="24"/>
          <w:szCs w:val="24"/>
        </w:rPr>
      </w:pPr>
      <w:r>
        <w:rPr>
          <w:rFonts w:hint="eastAsia" w:ascii="宋体" w:hAnsi="宋体" w:cs="宋体"/>
          <w:spacing w:val="2"/>
          <w:kern w:val="0"/>
          <w:sz w:val="24"/>
          <w:szCs w:val="24"/>
        </w:rPr>
        <w:t>政府采购政策、采购标的需满足的要求，以及投标人须提供的证明材料</w:t>
      </w:r>
    </w:p>
    <w:p w14:paraId="67935FB9">
      <w:pPr>
        <w:pStyle w:val="51"/>
        <w:ind w:firstLine="240"/>
        <w:rPr>
          <w:rFonts w:hint="eastAsia"/>
          <w:sz w:val="24"/>
          <w:szCs w:val="24"/>
        </w:rPr>
      </w:pPr>
    </w:p>
    <w:p w14:paraId="295F2BB1">
      <w:pPr>
        <w:numPr>
          <w:ilvl w:val="0"/>
          <w:numId w:val="3"/>
        </w:numPr>
        <w:jc w:val="center"/>
        <w:rPr>
          <w:rFonts w:hint="eastAsia"/>
          <w:sz w:val="24"/>
          <w:szCs w:val="24"/>
        </w:rPr>
      </w:pPr>
      <w:bookmarkStart w:id="992" w:name="_Toc16158"/>
      <w:bookmarkStart w:id="993" w:name="_Toc32628"/>
      <w:bookmarkStart w:id="994" w:name="_Toc5320"/>
      <w:bookmarkStart w:id="995" w:name="_Toc23143"/>
      <w:bookmarkStart w:id="996" w:name="_Toc9246"/>
      <w:bookmarkStart w:id="997" w:name="_Toc3557455"/>
      <w:bookmarkStart w:id="998" w:name="_Toc746"/>
      <w:bookmarkStart w:id="999" w:name="_Toc22789"/>
      <w:bookmarkStart w:id="1000" w:name="_Toc30711"/>
      <w:r>
        <w:rPr>
          <w:rFonts w:hint="eastAsia"/>
          <w:sz w:val="24"/>
          <w:szCs w:val="24"/>
        </w:rPr>
        <w:t>关于中小企业及产品</w:t>
      </w:r>
      <w:bookmarkEnd w:id="992"/>
      <w:bookmarkEnd w:id="993"/>
      <w:bookmarkEnd w:id="994"/>
      <w:bookmarkEnd w:id="995"/>
      <w:bookmarkEnd w:id="996"/>
      <w:bookmarkEnd w:id="997"/>
      <w:bookmarkEnd w:id="998"/>
      <w:bookmarkEnd w:id="999"/>
      <w:bookmarkEnd w:id="1000"/>
    </w:p>
    <w:p w14:paraId="6C329021">
      <w:pPr>
        <w:pStyle w:val="51"/>
        <w:ind w:firstLine="240"/>
        <w:rPr>
          <w:rFonts w:hint="eastAsia"/>
          <w:sz w:val="24"/>
          <w:szCs w:val="24"/>
        </w:rPr>
      </w:pPr>
    </w:p>
    <w:p w14:paraId="6CB99415">
      <w:pPr>
        <w:jc w:val="center"/>
        <w:rPr>
          <w:rFonts w:hint="eastAsia"/>
          <w:sz w:val="24"/>
          <w:szCs w:val="24"/>
        </w:rPr>
      </w:pPr>
      <w:r>
        <w:rPr>
          <w:rFonts w:hint="eastAsia"/>
          <w:sz w:val="24"/>
          <w:szCs w:val="24"/>
        </w:rPr>
        <w:t>（属于中小企业的填写，不属于的无需填写此项内容，也无需放入投标文件格式中）</w:t>
      </w:r>
    </w:p>
    <w:p w14:paraId="5B3C6F10">
      <w:pPr>
        <w:rPr>
          <w:rFonts w:hint="eastAsia"/>
          <w:sz w:val="24"/>
          <w:szCs w:val="24"/>
        </w:rPr>
      </w:pPr>
    </w:p>
    <w:p w14:paraId="1B98D8A1">
      <w:pPr>
        <w:jc w:val="center"/>
        <w:rPr>
          <w:rFonts w:hint="eastAsia" w:ascii="宋体" w:hAnsi="宋体" w:cs="宋体"/>
          <w:sz w:val="24"/>
          <w:szCs w:val="24"/>
        </w:rPr>
      </w:pPr>
      <w:r>
        <w:rPr>
          <w:rFonts w:hint="eastAsia" w:ascii="宋体" w:hAnsi="宋体" w:cs="宋体"/>
          <w:sz w:val="24"/>
          <w:szCs w:val="24"/>
        </w:rPr>
        <w:t>中小企业声明函（工程</w:t>
      </w:r>
      <w:r>
        <w:rPr>
          <w:rFonts w:hint="eastAsia" w:ascii="宋体" w:hAnsi="宋体" w:cs="宋体"/>
          <w:sz w:val="24"/>
          <w:szCs w:val="24"/>
          <w:lang w:eastAsia="zh-CN"/>
        </w:rPr>
        <w:t>、</w:t>
      </w:r>
      <w:r>
        <w:rPr>
          <w:rFonts w:hint="eastAsia" w:ascii="宋体" w:hAnsi="宋体" w:cs="宋体"/>
          <w:sz w:val="24"/>
          <w:szCs w:val="24"/>
          <w:lang w:val="en-US" w:eastAsia="zh-CN"/>
        </w:rPr>
        <w:t>服务</w:t>
      </w:r>
      <w:r>
        <w:rPr>
          <w:rFonts w:hint="eastAsia" w:ascii="宋体" w:hAnsi="宋体" w:cs="宋体"/>
          <w:sz w:val="24"/>
          <w:szCs w:val="24"/>
        </w:rPr>
        <w:t>）</w:t>
      </w:r>
    </w:p>
    <w:p w14:paraId="731A200E">
      <w:pPr>
        <w:rPr>
          <w:rFonts w:hint="eastAsia" w:ascii="宋体" w:hAnsi="宋体" w:cs="宋体"/>
          <w:sz w:val="24"/>
          <w:szCs w:val="24"/>
        </w:rPr>
      </w:pPr>
    </w:p>
    <w:p w14:paraId="4CB5202F">
      <w:pPr>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02D41BFC">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133ED8D4">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4D37914">
      <w:pPr>
        <w:spacing w:line="360" w:lineRule="auto"/>
        <w:ind w:firstLine="480" w:firstLineChars="200"/>
        <w:rPr>
          <w:rFonts w:hint="eastAsia" w:ascii="宋体" w:hAnsi="宋体" w:cs="宋体"/>
          <w:sz w:val="24"/>
          <w:szCs w:val="24"/>
        </w:rPr>
      </w:pPr>
      <w:r>
        <w:rPr>
          <w:rFonts w:hint="eastAsia" w:ascii="宋体" w:hAnsi="宋体" w:cs="宋体"/>
          <w:sz w:val="24"/>
          <w:szCs w:val="24"/>
        </w:rPr>
        <w:t>……</w:t>
      </w:r>
    </w:p>
    <w:p w14:paraId="0D7B2450">
      <w:pPr>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616AB0BA">
      <w:pPr>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6A77C9F7">
      <w:pPr>
        <w:spacing w:line="360" w:lineRule="auto"/>
        <w:ind w:firstLine="4560" w:firstLineChars="1900"/>
        <w:rPr>
          <w:rFonts w:hint="eastAsia" w:ascii="宋体" w:hAnsi="宋体" w:cs="宋体"/>
          <w:sz w:val="24"/>
          <w:szCs w:val="24"/>
        </w:rPr>
      </w:pPr>
      <w:r>
        <w:rPr>
          <w:rFonts w:hint="eastAsia" w:ascii="宋体" w:hAnsi="宋体" w:cs="宋体"/>
          <w:sz w:val="24"/>
          <w:szCs w:val="24"/>
        </w:rPr>
        <w:t>企业名称（盖章）：</w:t>
      </w:r>
    </w:p>
    <w:p w14:paraId="1401DBF9">
      <w:pPr>
        <w:spacing w:line="360" w:lineRule="auto"/>
        <w:ind w:firstLine="4560" w:firstLineChars="1900"/>
        <w:rPr>
          <w:rFonts w:hint="eastAsia" w:ascii="宋体" w:hAnsi="宋体" w:cs="宋体"/>
          <w:sz w:val="24"/>
          <w:szCs w:val="24"/>
        </w:rPr>
      </w:pPr>
      <w:r>
        <w:rPr>
          <w:rFonts w:hint="eastAsia" w:ascii="宋体" w:hAnsi="宋体" w:cs="宋体"/>
          <w:sz w:val="24"/>
          <w:szCs w:val="24"/>
        </w:rPr>
        <w:t>日期：</w:t>
      </w:r>
    </w:p>
    <w:p w14:paraId="5B13EB5C">
      <w:pPr>
        <w:spacing w:line="360" w:lineRule="auto"/>
        <w:rPr>
          <w:rFonts w:hint="eastAsia"/>
          <w:sz w:val="24"/>
          <w:szCs w:val="24"/>
        </w:rPr>
      </w:pPr>
      <w:r>
        <w:rPr>
          <w:rFonts w:hint="eastAsia" w:ascii="宋体" w:hAnsi="宋体" w:cs="宋体"/>
          <w:sz w:val="22"/>
          <w:szCs w:val="22"/>
          <w:vertAlign w:val="superscript"/>
        </w:rPr>
        <w:t>1</w:t>
      </w:r>
      <w:r>
        <w:rPr>
          <w:rFonts w:hint="eastAsia" w:ascii="宋体" w:hAnsi="宋体" w:cs="宋体"/>
          <w:sz w:val="22"/>
          <w:szCs w:val="22"/>
        </w:rPr>
        <w:t>从业人员、营业收入、资产总额填报上一年度数据，无上一年度数据的新成立企业可不填报。</w:t>
      </w:r>
      <w:r>
        <w:rPr>
          <w:rFonts w:hint="eastAsia" w:ascii="宋体" w:hAnsi="宋体" w:cs="宋体"/>
          <w:sz w:val="24"/>
          <w:szCs w:val="24"/>
        </w:rPr>
        <w:br w:type="page"/>
      </w:r>
    </w:p>
    <w:p w14:paraId="0B88B27A">
      <w:pPr>
        <w:adjustRightInd w:val="0"/>
        <w:snapToGrid w:val="0"/>
        <w:spacing w:line="360" w:lineRule="auto"/>
        <w:rPr>
          <w:rFonts w:ascii="宋体" w:hAnsi="宋体" w:cs="宋体"/>
          <w:sz w:val="24"/>
          <w:szCs w:val="24"/>
        </w:rPr>
      </w:pPr>
      <w:r>
        <w:rPr>
          <w:rFonts w:hint="eastAsia" w:ascii="宋体" w:hAnsi="宋体" w:cs="宋体"/>
          <w:sz w:val="24"/>
          <w:szCs w:val="24"/>
        </w:rPr>
        <w:t>附件</w:t>
      </w:r>
    </w:p>
    <w:p w14:paraId="1444795F">
      <w:pPr>
        <w:widowControl/>
        <w:spacing w:line="330" w:lineRule="atLeast"/>
        <w:jc w:val="center"/>
        <w:rPr>
          <w:rFonts w:ascii="方正小标宋_GBK" w:hAnsi="宋体" w:eastAsia="方正小标宋_GBK" w:cs="宋体"/>
          <w:color w:val="000000"/>
          <w:kern w:val="0"/>
          <w:sz w:val="22"/>
          <w:szCs w:val="22"/>
        </w:rPr>
      </w:pPr>
      <w:r>
        <w:rPr>
          <w:rFonts w:hint="eastAsia" w:ascii="宋体" w:hAnsi="宋体" w:cs="宋体"/>
          <w:color w:val="000000"/>
          <w:kern w:val="0"/>
          <w:sz w:val="22"/>
          <w:szCs w:val="22"/>
        </w:rPr>
        <w:t>国家统计局《统计上大中小微型企业划分标准》</w:t>
      </w:r>
    </w:p>
    <w:tbl>
      <w:tblPr>
        <w:tblStyle w:val="54"/>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524"/>
        <w:gridCol w:w="709"/>
        <w:gridCol w:w="1125"/>
        <w:gridCol w:w="1862"/>
        <w:gridCol w:w="1752"/>
        <w:gridCol w:w="1008"/>
      </w:tblGrid>
      <w:tr w14:paraId="3A3C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58" w:type="dxa"/>
            <w:noWrap w:val="0"/>
            <w:vAlign w:val="center"/>
          </w:tcPr>
          <w:p w14:paraId="5BC86C81">
            <w:pPr>
              <w:keepNext w:val="0"/>
              <w:keepLines w:val="0"/>
              <w:widowControl/>
              <w:suppressLineNumbers w:val="0"/>
              <w:spacing w:before="0" w:beforeAutospacing="0" w:after="0" w:afterAutospacing="0" w:line="240" w:lineRule="exact"/>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行业名称</w:t>
            </w:r>
          </w:p>
        </w:tc>
        <w:tc>
          <w:tcPr>
            <w:tcW w:w="1524" w:type="dxa"/>
            <w:noWrap w:val="0"/>
            <w:vAlign w:val="center"/>
          </w:tcPr>
          <w:p w14:paraId="25FC8979">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指标名称</w:t>
            </w:r>
          </w:p>
        </w:tc>
        <w:tc>
          <w:tcPr>
            <w:tcW w:w="709" w:type="dxa"/>
            <w:noWrap w:val="0"/>
            <w:vAlign w:val="center"/>
          </w:tcPr>
          <w:p w14:paraId="740895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计量</w:t>
            </w:r>
          </w:p>
          <w:p w14:paraId="58FFF311">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单位</w:t>
            </w:r>
          </w:p>
        </w:tc>
        <w:tc>
          <w:tcPr>
            <w:tcW w:w="1125" w:type="dxa"/>
            <w:noWrap w:val="0"/>
            <w:vAlign w:val="center"/>
          </w:tcPr>
          <w:p w14:paraId="6E2D723B">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大型</w:t>
            </w:r>
          </w:p>
        </w:tc>
        <w:tc>
          <w:tcPr>
            <w:tcW w:w="1862" w:type="dxa"/>
            <w:noWrap w:val="0"/>
            <w:vAlign w:val="center"/>
          </w:tcPr>
          <w:p w14:paraId="1E15C4F9">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中型</w:t>
            </w:r>
          </w:p>
        </w:tc>
        <w:tc>
          <w:tcPr>
            <w:tcW w:w="1752" w:type="dxa"/>
            <w:noWrap w:val="0"/>
            <w:vAlign w:val="center"/>
          </w:tcPr>
          <w:p w14:paraId="6A187666">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小型</w:t>
            </w:r>
          </w:p>
        </w:tc>
        <w:tc>
          <w:tcPr>
            <w:tcW w:w="1008" w:type="dxa"/>
            <w:noWrap w:val="0"/>
            <w:vAlign w:val="center"/>
          </w:tcPr>
          <w:p w14:paraId="0447E8D1">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微型</w:t>
            </w:r>
          </w:p>
        </w:tc>
      </w:tr>
      <w:tr w14:paraId="18D6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noWrap w:val="0"/>
            <w:vAlign w:val="center"/>
          </w:tcPr>
          <w:p w14:paraId="78DE0528">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农、林、牧、渔业</w:t>
            </w:r>
          </w:p>
        </w:tc>
        <w:tc>
          <w:tcPr>
            <w:tcW w:w="1524" w:type="dxa"/>
            <w:noWrap w:val="0"/>
            <w:vAlign w:val="center"/>
          </w:tcPr>
          <w:p w14:paraId="14AD922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3731651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6905A05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862" w:type="dxa"/>
            <w:noWrap w:val="0"/>
            <w:vAlign w:val="center"/>
          </w:tcPr>
          <w:p w14:paraId="418F8FF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752" w:type="dxa"/>
            <w:noWrap w:val="0"/>
            <w:vAlign w:val="center"/>
          </w:tcPr>
          <w:p w14:paraId="00DC756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w:t>
            </w:r>
          </w:p>
        </w:tc>
        <w:tc>
          <w:tcPr>
            <w:tcW w:w="1008" w:type="dxa"/>
            <w:noWrap w:val="0"/>
            <w:vAlign w:val="center"/>
          </w:tcPr>
          <w:p w14:paraId="2B3E240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w:t>
            </w:r>
          </w:p>
        </w:tc>
      </w:tr>
      <w:tr w14:paraId="6AD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D0A8AE7">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工业</w:t>
            </w:r>
            <w:r>
              <w:rPr>
                <w:rFonts w:hint="default" w:ascii="宋体" w:hAnsi="宋体" w:cs="宋体"/>
                <w:color w:val="000000"/>
                <w:kern w:val="0"/>
                <w:sz w:val="22"/>
                <w:szCs w:val="22"/>
              </w:rPr>
              <w:t xml:space="preserve"> *</w:t>
            </w:r>
          </w:p>
        </w:tc>
        <w:tc>
          <w:tcPr>
            <w:tcW w:w="1524" w:type="dxa"/>
            <w:noWrap w:val="0"/>
            <w:vAlign w:val="center"/>
          </w:tcPr>
          <w:p w14:paraId="01C2AB8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0CB0FCA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51AACF7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30EAE19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36E7A75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008" w:type="dxa"/>
            <w:noWrap w:val="0"/>
            <w:vAlign w:val="center"/>
          </w:tcPr>
          <w:p w14:paraId="4A4262B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26C3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0603202D">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01B1403D">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154CEF9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46EA92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862" w:type="dxa"/>
            <w:noWrap w:val="0"/>
            <w:vAlign w:val="center"/>
          </w:tcPr>
          <w:p w14:paraId="2C71DDC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752" w:type="dxa"/>
            <w:noWrap w:val="0"/>
            <w:vAlign w:val="center"/>
          </w:tcPr>
          <w:p w14:paraId="5572B78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300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4C93DD3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r>
      <w:tr w14:paraId="36F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EBAD8D2">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建筑业</w:t>
            </w:r>
          </w:p>
        </w:tc>
        <w:tc>
          <w:tcPr>
            <w:tcW w:w="1524" w:type="dxa"/>
            <w:noWrap w:val="0"/>
            <w:vAlign w:val="center"/>
          </w:tcPr>
          <w:p w14:paraId="01F1DEF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6C8004F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4C8D5F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862" w:type="dxa"/>
            <w:noWrap w:val="0"/>
            <w:vAlign w:val="center"/>
          </w:tcPr>
          <w:p w14:paraId="4F0B6D1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6000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752" w:type="dxa"/>
            <w:noWrap w:val="0"/>
            <w:vAlign w:val="center"/>
          </w:tcPr>
          <w:p w14:paraId="4C7FF5D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300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6000</w:t>
            </w:r>
          </w:p>
        </w:tc>
        <w:tc>
          <w:tcPr>
            <w:tcW w:w="1008" w:type="dxa"/>
            <w:noWrap w:val="0"/>
            <w:vAlign w:val="center"/>
          </w:tcPr>
          <w:p w14:paraId="3590881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r>
      <w:tr w14:paraId="3125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23031483">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02940428">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4227B3D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30E60F0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862" w:type="dxa"/>
            <w:noWrap w:val="0"/>
            <w:vAlign w:val="center"/>
          </w:tcPr>
          <w:p w14:paraId="0A4C233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752" w:type="dxa"/>
            <w:noWrap w:val="0"/>
            <w:vAlign w:val="center"/>
          </w:tcPr>
          <w:p w14:paraId="61662A1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300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008" w:type="dxa"/>
            <w:noWrap w:val="0"/>
            <w:vAlign w:val="center"/>
          </w:tcPr>
          <w:p w14:paraId="503289C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r>
      <w:tr w14:paraId="7CC7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9ED2D2E">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批发业</w:t>
            </w:r>
          </w:p>
        </w:tc>
        <w:tc>
          <w:tcPr>
            <w:tcW w:w="1524" w:type="dxa"/>
            <w:noWrap w:val="0"/>
            <w:vAlign w:val="center"/>
          </w:tcPr>
          <w:p w14:paraId="5D3BCCB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795F0FF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077CCF2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862" w:type="dxa"/>
            <w:noWrap w:val="0"/>
            <w:vAlign w:val="center"/>
          </w:tcPr>
          <w:p w14:paraId="5ED7CD7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752" w:type="dxa"/>
            <w:noWrap w:val="0"/>
            <w:vAlign w:val="center"/>
          </w:tcPr>
          <w:p w14:paraId="24F115D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c>
          <w:tcPr>
            <w:tcW w:w="1008" w:type="dxa"/>
            <w:noWrap w:val="0"/>
            <w:vAlign w:val="center"/>
          </w:tcPr>
          <w:p w14:paraId="0576C2A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5</w:t>
            </w:r>
          </w:p>
        </w:tc>
      </w:tr>
      <w:tr w14:paraId="50D9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4E7128C6">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19EEFAEE">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5DEF584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DC9B10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862" w:type="dxa"/>
            <w:noWrap w:val="0"/>
            <w:vAlign w:val="center"/>
          </w:tcPr>
          <w:p w14:paraId="30481A8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752" w:type="dxa"/>
            <w:noWrap w:val="0"/>
            <w:vAlign w:val="center"/>
          </w:tcPr>
          <w:p w14:paraId="7E767308">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008" w:type="dxa"/>
            <w:noWrap w:val="0"/>
            <w:vAlign w:val="center"/>
          </w:tcPr>
          <w:p w14:paraId="4BAA1D8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r>
      <w:tr w14:paraId="1684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34230F99">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零售业</w:t>
            </w:r>
          </w:p>
        </w:tc>
        <w:tc>
          <w:tcPr>
            <w:tcW w:w="1524" w:type="dxa"/>
            <w:noWrap w:val="0"/>
            <w:vAlign w:val="center"/>
          </w:tcPr>
          <w:p w14:paraId="6E20835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186775F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7233702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4F1AF60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752" w:type="dxa"/>
            <w:noWrap w:val="0"/>
            <w:vAlign w:val="center"/>
          </w:tcPr>
          <w:p w14:paraId="534BC711">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 </w:t>
            </w:r>
          </w:p>
        </w:tc>
        <w:tc>
          <w:tcPr>
            <w:tcW w:w="1008" w:type="dxa"/>
            <w:noWrap w:val="0"/>
            <w:vAlign w:val="center"/>
          </w:tcPr>
          <w:p w14:paraId="24C20D8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082C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14D79A78">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04A7B3DD">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2CB441F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0B5006B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862" w:type="dxa"/>
            <w:noWrap w:val="0"/>
            <w:vAlign w:val="center"/>
          </w:tcPr>
          <w:p w14:paraId="3B912C4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752" w:type="dxa"/>
            <w:noWrap w:val="0"/>
            <w:vAlign w:val="center"/>
          </w:tcPr>
          <w:p w14:paraId="127EB784">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 </w:t>
            </w:r>
          </w:p>
        </w:tc>
        <w:tc>
          <w:tcPr>
            <w:tcW w:w="1008" w:type="dxa"/>
            <w:noWrap w:val="0"/>
            <w:vAlign w:val="center"/>
          </w:tcPr>
          <w:p w14:paraId="2079EC6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49CB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45F9831F">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交通运输业</w:t>
            </w:r>
            <w:r>
              <w:rPr>
                <w:rFonts w:hint="default" w:ascii="宋体" w:hAnsi="宋体" w:cs="宋体"/>
                <w:color w:val="000000"/>
                <w:kern w:val="0"/>
                <w:sz w:val="22"/>
                <w:szCs w:val="22"/>
              </w:rPr>
              <w:t xml:space="preserve"> *</w:t>
            </w:r>
          </w:p>
        </w:tc>
        <w:tc>
          <w:tcPr>
            <w:tcW w:w="1524" w:type="dxa"/>
            <w:noWrap w:val="0"/>
            <w:vAlign w:val="center"/>
          </w:tcPr>
          <w:p w14:paraId="1485901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360372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3559D3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26F349E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269FF7E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008" w:type="dxa"/>
            <w:noWrap w:val="0"/>
            <w:vAlign w:val="center"/>
          </w:tcPr>
          <w:p w14:paraId="2B8B53F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27DE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6ECCC81F">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46AE4AE1">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53BD334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03EE089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562F6AC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0C0FA67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w:t>
            </w:r>
          </w:p>
        </w:tc>
        <w:tc>
          <w:tcPr>
            <w:tcW w:w="1008" w:type="dxa"/>
            <w:noWrap w:val="0"/>
            <w:vAlign w:val="center"/>
          </w:tcPr>
          <w:p w14:paraId="53318DF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r>
      <w:tr w14:paraId="66AF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CF67EDE">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仓储业</w:t>
            </w:r>
            <w:r>
              <w:rPr>
                <w:rFonts w:hint="default" w:ascii="宋体" w:hAnsi="宋体" w:cs="宋体"/>
                <w:color w:val="000000"/>
                <w:kern w:val="0"/>
                <w:sz w:val="22"/>
                <w:szCs w:val="22"/>
              </w:rPr>
              <w:t>*</w:t>
            </w:r>
          </w:p>
        </w:tc>
        <w:tc>
          <w:tcPr>
            <w:tcW w:w="1524" w:type="dxa"/>
            <w:noWrap w:val="0"/>
            <w:vAlign w:val="center"/>
          </w:tcPr>
          <w:p w14:paraId="367B1AD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2EDEA55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D452C6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862" w:type="dxa"/>
            <w:noWrap w:val="0"/>
            <w:vAlign w:val="center"/>
          </w:tcPr>
          <w:p w14:paraId="4E369395">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752" w:type="dxa"/>
            <w:noWrap w:val="0"/>
            <w:vAlign w:val="center"/>
          </w:tcPr>
          <w:p w14:paraId="2A422DE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7B6F5E7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0ED8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15022CC1">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E70045A">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3EDE14B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362AC2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5FEE765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10AC0AA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289A079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5E9F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958" w:type="dxa"/>
            <w:vMerge w:val="restart"/>
            <w:noWrap w:val="0"/>
            <w:vAlign w:val="center"/>
          </w:tcPr>
          <w:p w14:paraId="452842F5">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邮政业</w:t>
            </w:r>
          </w:p>
        </w:tc>
        <w:tc>
          <w:tcPr>
            <w:tcW w:w="1524" w:type="dxa"/>
            <w:noWrap w:val="0"/>
            <w:vAlign w:val="center"/>
          </w:tcPr>
          <w:p w14:paraId="7B85807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A176B0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6F89246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200A6B7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7B7BF78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008" w:type="dxa"/>
            <w:noWrap w:val="0"/>
            <w:vAlign w:val="center"/>
          </w:tcPr>
          <w:p w14:paraId="0F43958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6F5E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958" w:type="dxa"/>
            <w:vMerge w:val="continue"/>
            <w:noWrap w:val="0"/>
            <w:vAlign w:val="center"/>
          </w:tcPr>
          <w:p w14:paraId="7D74CF8F">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13704095">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55C459F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3D0E754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0E8DE09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4F00DEC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7C7E8DB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16FF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958" w:type="dxa"/>
            <w:vMerge w:val="restart"/>
            <w:noWrap w:val="0"/>
            <w:vAlign w:val="center"/>
          </w:tcPr>
          <w:p w14:paraId="04946203">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住宿业</w:t>
            </w:r>
          </w:p>
        </w:tc>
        <w:tc>
          <w:tcPr>
            <w:tcW w:w="1524" w:type="dxa"/>
            <w:noWrap w:val="0"/>
            <w:vAlign w:val="center"/>
          </w:tcPr>
          <w:p w14:paraId="74DB046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77D252B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0678B6F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43D05848">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50D70A0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5310403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26BC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958" w:type="dxa"/>
            <w:vMerge w:val="continue"/>
            <w:noWrap w:val="0"/>
            <w:vAlign w:val="center"/>
          </w:tcPr>
          <w:p w14:paraId="5F53515F">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1D95A3AB">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759B2E9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01A5E9B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263C851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6BA2692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2B6CFD4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65D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69B5AB2C">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餐饮业</w:t>
            </w:r>
          </w:p>
        </w:tc>
        <w:tc>
          <w:tcPr>
            <w:tcW w:w="1524" w:type="dxa"/>
            <w:noWrap w:val="0"/>
            <w:vAlign w:val="center"/>
          </w:tcPr>
          <w:p w14:paraId="1DA78F8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88B848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46A66AA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66E3CB47">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1D76D4D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187EAA9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4785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2D02325A">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4EA9DF42">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742EBEB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190627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3CDAC29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08C3148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3DC0960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4F8B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4B486ACE">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信息传输业</w:t>
            </w:r>
            <w:r>
              <w:rPr>
                <w:rFonts w:hint="default" w:ascii="宋体" w:hAnsi="宋体" w:cs="宋体"/>
                <w:color w:val="000000"/>
                <w:kern w:val="0"/>
                <w:sz w:val="22"/>
                <w:szCs w:val="22"/>
              </w:rPr>
              <w:t xml:space="preserve"> *</w:t>
            </w:r>
          </w:p>
        </w:tc>
        <w:tc>
          <w:tcPr>
            <w:tcW w:w="1524" w:type="dxa"/>
            <w:noWrap w:val="0"/>
            <w:vAlign w:val="center"/>
          </w:tcPr>
          <w:p w14:paraId="5CB9DED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392C10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67CF114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862" w:type="dxa"/>
            <w:noWrap w:val="0"/>
            <w:vAlign w:val="center"/>
          </w:tcPr>
          <w:p w14:paraId="59428EB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752" w:type="dxa"/>
            <w:noWrap w:val="0"/>
            <w:vAlign w:val="center"/>
          </w:tcPr>
          <w:p w14:paraId="0772993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1C28203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7E9B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5E118795">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1E48D08">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7D63A75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BA4FDE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100000</w:t>
            </w:r>
          </w:p>
        </w:tc>
        <w:tc>
          <w:tcPr>
            <w:tcW w:w="1862" w:type="dxa"/>
            <w:noWrap w:val="0"/>
            <w:vAlign w:val="center"/>
          </w:tcPr>
          <w:p w14:paraId="17937E8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100000</w:t>
            </w:r>
          </w:p>
        </w:tc>
        <w:tc>
          <w:tcPr>
            <w:tcW w:w="1752" w:type="dxa"/>
            <w:noWrap w:val="0"/>
            <w:vAlign w:val="center"/>
          </w:tcPr>
          <w:p w14:paraId="0450DAF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30E8BBF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55F5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795B5F5B">
            <w:pPr>
              <w:keepNext w:val="0"/>
              <w:keepLines w:val="0"/>
              <w:widowControl/>
              <w:suppressLineNumbers w:val="0"/>
              <w:spacing w:before="0" w:beforeAutospacing="0" w:after="0" w:afterAutospacing="0" w:line="240" w:lineRule="exact"/>
              <w:ind w:left="0" w:right="0"/>
              <w:jc w:val="left"/>
              <w:rPr>
                <w:rFonts w:hint="default" w:ascii="宋体" w:cs="宋体"/>
                <w:color w:val="000000"/>
                <w:spacing w:val="-12"/>
                <w:kern w:val="0"/>
                <w:sz w:val="22"/>
                <w:szCs w:val="22"/>
              </w:rPr>
            </w:pPr>
            <w:r>
              <w:rPr>
                <w:rFonts w:hint="eastAsia" w:ascii="宋体" w:hAnsi="宋体" w:cs="宋体"/>
                <w:color w:val="000000"/>
                <w:spacing w:val="-12"/>
                <w:kern w:val="0"/>
                <w:sz w:val="22"/>
                <w:szCs w:val="22"/>
              </w:rPr>
              <w:t>软件和信息技术服</w:t>
            </w:r>
            <w:r>
              <w:rPr>
                <w:rFonts w:hint="eastAsia" w:ascii="宋体" w:hAnsi="宋体" w:cs="宋体"/>
                <w:color w:val="000000"/>
                <w:kern w:val="0"/>
                <w:sz w:val="22"/>
                <w:szCs w:val="22"/>
              </w:rPr>
              <w:t>务业</w:t>
            </w:r>
          </w:p>
        </w:tc>
        <w:tc>
          <w:tcPr>
            <w:tcW w:w="1524" w:type="dxa"/>
            <w:noWrap w:val="0"/>
            <w:vAlign w:val="center"/>
          </w:tcPr>
          <w:p w14:paraId="7F7FED8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3541456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12844C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70351CED">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7989AE6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6F1A426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42DC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continue"/>
            <w:noWrap w:val="0"/>
            <w:vAlign w:val="center"/>
          </w:tcPr>
          <w:p w14:paraId="729E8546">
            <w:pPr>
              <w:keepNext w:val="0"/>
              <w:keepLines w:val="0"/>
              <w:widowControl/>
              <w:suppressLineNumbers w:val="0"/>
              <w:spacing w:before="0" w:beforeAutospacing="0" w:after="0" w:afterAutospacing="0"/>
              <w:ind w:left="0" w:right="0"/>
              <w:jc w:val="left"/>
              <w:rPr>
                <w:rFonts w:hint="default" w:ascii="宋体" w:cs="宋体"/>
                <w:color w:val="000000"/>
                <w:spacing w:val="-12"/>
                <w:kern w:val="0"/>
                <w:sz w:val="22"/>
                <w:szCs w:val="22"/>
              </w:rPr>
            </w:pPr>
          </w:p>
        </w:tc>
        <w:tc>
          <w:tcPr>
            <w:tcW w:w="1524" w:type="dxa"/>
            <w:noWrap w:val="0"/>
            <w:vAlign w:val="center"/>
          </w:tcPr>
          <w:p w14:paraId="1492EB8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0B65D4D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E3AD7B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41D2D15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7CCAB5D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2F1B050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w:t>
            </w:r>
          </w:p>
        </w:tc>
      </w:tr>
      <w:tr w14:paraId="4466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37E6E28B">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房地产开发经营</w:t>
            </w:r>
          </w:p>
        </w:tc>
        <w:tc>
          <w:tcPr>
            <w:tcW w:w="1524" w:type="dxa"/>
            <w:noWrap w:val="0"/>
            <w:vAlign w:val="center"/>
          </w:tcPr>
          <w:p w14:paraId="2993B42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24850B0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EE94CC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200000</w:t>
            </w:r>
          </w:p>
        </w:tc>
        <w:tc>
          <w:tcPr>
            <w:tcW w:w="1862" w:type="dxa"/>
            <w:noWrap w:val="0"/>
            <w:vAlign w:val="center"/>
          </w:tcPr>
          <w:p w14:paraId="135C22C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200000</w:t>
            </w:r>
          </w:p>
        </w:tc>
        <w:tc>
          <w:tcPr>
            <w:tcW w:w="1752" w:type="dxa"/>
            <w:noWrap w:val="0"/>
            <w:vAlign w:val="center"/>
          </w:tcPr>
          <w:p w14:paraId="1D3D6B5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0971061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49AE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958" w:type="dxa"/>
            <w:vMerge w:val="continue"/>
            <w:noWrap w:val="0"/>
            <w:vAlign w:val="center"/>
          </w:tcPr>
          <w:p w14:paraId="56B38B12">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3CB0F962">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059E6DC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33F9AF1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4236287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2D73B8B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5000   </w:t>
            </w:r>
          </w:p>
        </w:tc>
        <w:tc>
          <w:tcPr>
            <w:tcW w:w="1008" w:type="dxa"/>
            <w:noWrap w:val="0"/>
            <w:vAlign w:val="center"/>
          </w:tcPr>
          <w:p w14:paraId="7FE619E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r>
      <w:tr w14:paraId="7437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48209B1C">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物业管理</w:t>
            </w:r>
          </w:p>
        </w:tc>
        <w:tc>
          <w:tcPr>
            <w:tcW w:w="1524" w:type="dxa"/>
            <w:noWrap w:val="0"/>
            <w:vAlign w:val="center"/>
          </w:tcPr>
          <w:p w14:paraId="7F6C3B1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5DFF4D0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4443512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1B9ED2C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39109E1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008" w:type="dxa"/>
            <w:noWrap w:val="0"/>
            <w:vAlign w:val="center"/>
          </w:tcPr>
          <w:p w14:paraId="5102B6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7653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continue"/>
            <w:noWrap w:val="0"/>
            <w:vAlign w:val="center"/>
          </w:tcPr>
          <w:p w14:paraId="126FA7E0">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6D2B57B8">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03FA8E6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05B481B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862" w:type="dxa"/>
            <w:noWrap w:val="0"/>
            <w:vAlign w:val="center"/>
          </w:tcPr>
          <w:p w14:paraId="65161BF1">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5000 </w:t>
            </w:r>
          </w:p>
        </w:tc>
        <w:tc>
          <w:tcPr>
            <w:tcW w:w="1752" w:type="dxa"/>
            <w:noWrap w:val="0"/>
            <w:vAlign w:val="center"/>
          </w:tcPr>
          <w:p w14:paraId="19144F4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71720C1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w:t>
            </w:r>
          </w:p>
        </w:tc>
      </w:tr>
      <w:tr w14:paraId="728E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7F3220AA">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租赁和商务服务业</w:t>
            </w:r>
          </w:p>
        </w:tc>
        <w:tc>
          <w:tcPr>
            <w:tcW w:w="1524" w:type="dxa"/>
            <w:noWrap w:val="0"/>
            <w:vAlign w:val="center"/>
          </w:tcPr>
          <w:p w14:paraId="4E3C033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061819D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123FCC5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59540018">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1F2223F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4F092EB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0904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958" w:type="dxa"/>
            <w:vMerge w:val="continue"/>
            <w:noWrap w:val="0"/>
            <w:vAlign w:val="center"/>
          </w:tcPr>
          <w:p w14:paraId="2FCF3D00">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330E53AA">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39C68FA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22E79A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120000</w:t>
            </w:r>
          </w:p>
        </w:tc>
        <w:tc>
          <w:tcPr>
            <w:tcW w:w="1862" w:type="dxa"/>
            <w:noWrap w:val="0"/>
            <w:vAlign w:val="center"/>
          </w:tcPr>
          <w:p w14:paraId="0FA8603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8000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120000</w:t>
            </w:r>
          </w:p>
        </w:tc>
        <w:tc>
          <w:tcPr>
            <w:tcW w:w="1752" w:type="dxa"/>
            <w:noWrap w:val="0"/>
            <w:vAlign w:val="center"/>
          </w:tcPr>
          <w:p w14:paraId="3F5A13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w:t>
            </w:r>
          </w:p>
        </w:tc>
        <w:tc>
          <w:tcPr>
            <w:tcW w:w="1008" w:type="dxa"/>
            <w:noWrap w:val="0"/>
            <w:vAlign w:val="center"/>
          </w:tcPr>
          <w:p w14:paraId="468891B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1F80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958" w:type="dxa"/>
            <w:noWrap w:val="0"/>
            <w:vAlign w:val="center"/>
          </w:tcPr>
          <w:p w14:paraId="3E78D823">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其他未列明行业</w:t>
            </w:r>
            <w:r>
              <w:rPr>
                <w:rFonts w:hint="default" w:ascii="宋体" w:hAnsi="宋体" w:cs="宋体"/>
                <w:color w:val="000000"/>
                <w:kern w:val="0"/>
                <w:sz w:val="22"/>
                <w:szCs w:val="22"/>
              </w:rPr>
              <w:t xml:space="preserve"> *</w:t>
            </w:r>
          </w:p>
        </w:tc>
        <w:tc>
          <w:tcPr>
            <w:tcW w:w="1524" w:type="dxa"/>
            <w:noWrap w:val="0"/>
            <w:vAlign w:val="center"/>
          </w:tcPr>
          <w:p w14:paraId="00C5985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CDCE02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6164980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0F15225F">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32434A1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787BE59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bl>
    <w:p w14:paraId="1935DEEE">
      <w:pPr>
        <w:widowControl/>
        <w:spacing w:line="540" w:lineRule="exact"/>
        <w:rPr>
          <w:rFonts w:ascii="宋体" w:hAnsi="宋体" w:cs="宋体"/>
          <w:color w:val="000000"/>
          <w:spacing w:val="8"/>
          <w:kern w:val="0"/>
          <w:sz w:val="24"/>
          <w:szCs w:val="24"/>
        </w:rPr>
      </w:pPr>
      <w:r>
        <w:rPr>
          <w:rFonts w:hint="eastAsia" w:ascii="宋体" w:hAnsi="宋体" w:cs="宋体"/>
          <w:color w:val="000000"/>
          <w:spacing w:val="8"/>
          <w:kern w:val="0"/>
          <w:sz w:val="24"/>
          <w:szCs w:val="24"/>
        </w:rPr>
        <w:t>说明：</w:t>
      </w:r>
    </w:p>
    <w:p w14:paraId="68D05297">
      <w:pPr>
        <w:spacing w:line="540" w:lineRule="exac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r>
        <w:rPr>
          <w:rFonts w:ascii="宋体" w:hAnsi="宋体"/>
          <w:color w:val="000000"/>
          <w:spacing w:val="8"/>
          <w:kern w:val="0"/>
          <w:sz w:val="24"/>
          <w:szCs w:val="24"/>
        </w:rPr>
        <w:t>1.</w:t>
      </w:r>
      <w:r>
        <w:rPr>
          <w:rFonts w:hint="eastAsia" w:ascii="宋体" w:hAnsi="宋体" w:cs="宋体"/>
          <w:color w:val="000000"/>
          <w:spacing w:val="8"/>
          <w:kern w:val="0"/>
          <w:sz w:val="24"/>
          <w:szCs w:val="24"/>
        </w:rPr>
        <w:t>大型、中型和小型企业须同时满足所列指标的下限，否则下划一档；微型企业只须满足所列指标中的一项即可。</w:t>
      </w:r>
    </w:p>
    <w:p w14:paraId="7A5E1244">
      <w:pPr>
        <w:spacing w:line="540" w:lineRule="exac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r>
        <w:rPr>
          <w:rFonts w:ascii="宋体" w:hAnsi="宋体"/>
          <w:color w:val="000000"/>
          <w:spacing w:val="8"/>
          <w:kern w:val="0"/>
          <w:sz w:val="24"/>
          <w:szCs w:val="24"/>
        </w:rPr>
        <w:t>2.</w:t>
      </w:r>
      <w:r>
        <w:rPr>
          <w:rFonts w:hint="eastAsia" w:ascii="宋体" w:hAnsi="宋体" w:cs="宋体"/>
          <w:color w:val="000000"/>
          <w:spacing w:val="8"/>
          <w:kern w:val="0"/>
          <w:sz w:val="24"/>
          <w:szCs w:val="24"/>
        </w:rPr>
        <w:t>附表中各行业的范围以《国民经济行业分类》（</w:t>
      </w:r>
      <w:r>
        <w:rPr>
          <w:rFonts w:ascii="宋体" w:hAnsi="宋体"/>
          <w:color w:val="000000"/>
          <w:spacing w:val="8"/>
          <w:kern w:val="0"/>
          <w:sz w:val="24"/>
          <w:szCs w:val="24"/>
        </w:rPr>
        <w:t>GB/T4754-2017</w:t>
      </w:r>
      <w:r>
        <w:rPr>
          <w:rFonts w:hint="eastAsia" w:ascii="宋体" w:hAnsi="宋体" w:cs="宋体"/>
          <w:color w:val="000000"/>
          <w:spacing w:val="8"/>
          <w:kern w:val="0"/>
          <w:sz w:val="24"/>
          <w:szCs w:val="24"/>
        </w:rPr>
        <w:t>）为准。带</w:t>
      </w:r>
      <w:r>
        <w:rPr>
          <w:rFonts w:ascii="宋体" w:hAnsi="宋体"/>
          <w:color w:val="000000"/>
          <w:spacing w:val="8"/>
          <w:kern w:val="0"/>
          <w:sz w:val="24"/>
          <w:szCs w:val="24"/>
        </w:rPr>
        <w:t>*</w:t>
      </w:r>
      <w:r>
        <w:rPr>
          <w:rFonts w:hint="eastAsia" w:ascii="宋体" w:hAnsi="宋体" w:cs="宋体"/>
          <w:color w:val="000000"/>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 w:val="24"/>
          <w:szCs w:val="24"/>
        </w:rPr>
        <w:t>;</w:t>
      </w:r>
      <w:r>
        <w:rPr>
          <w:rFonts w:hint="eastAsia" w:ascii="宋体" w:hAnsi="宋体" w:cs="宋体"/>
          <w:color w:val="000000"/>
          <w:spacing w:val="8"/>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2ECFAC3">
      <w:pPr>
        <w:spacing w:line="540" w:lineRule="exact"/>
        <w:rPr>
          <w:rFonts w:ascii="宋体" w:hAnsi="宋体"/>
          <w:color w:val="000000"/>
          <w:sz w:val="24"/>
          <w:szCs w:val="24"/>
        </w:rPr>
      </w:pPr>
      <w:r>
        <w:rPr>
          <w:rFonts w:hint="eastAsia" w:ascii="宋体" w:hAnsi="宋体" w:cs="宋体"/>
          <w:color w:val="000000"/>
          <w:spacing w:val="8"/>
          <w:kern w:val="0"/>
          <w:sz w:val="24"/>
          <w:szCs w:val="24"/>
        </w:rPr>
        <w:t>　　</w:t>
      </w:r>
      <w:r>
        <w:rPr>
          <w:rFonts w:ascii="宋体" w:hAnsi="宋体"/>
          <w:color w:val="000000"/>
          <w:spacing w:val="8"/>
          <w:kern w:val="0"/>
          <w:sz w:val="24"/>
          <w:szCs w:val="24"/>
        </w:rPr>
        <w:t>3.</w:t>
      </w:r>
      <w:r>
        <w:rPr>
          <w:rFonts w:hint="eastAsia" w:ascii="宋体" w:hAnsi="宋体" w:cs="宋体"/>
          <w:color w:val="000000"/>
          <w:spacing w:val="8"/>
          <w:kern w:val="0"/>
          <w:sz w:val="24"/>
          <w:szCs w:val="24"/>
        </w:rPr>
        <w:t>企业划分指标以现行统计制度为准。（</w:t>
      </w:r>
      <w:r>
        <w:rPr>
          <w:rFonts w:ascii="宋体" w:hAnsi="宋体"/>
          <w:color w:val="000000"/>
          <w:spacing w:val="8"/>
          <w:kern w:val="0"/>
          <w:sz w:val="24"/>
          <w:szCs w:val="24"/>
        </w:rPr>
        <w:t>1</w:t>
      </w:r>
      <w:r>
        <w:rPr>
          <w:rFonts w:hint="eastAsia" w:ascii="宋体" w:hAnsi="宋体" w:cs="宋体"/>
          <w:color w:val="000000"/>
          <w:spacing w:val="8"/>
          <w:kern w:val="0"/>
          <w:sz w:val="24"/>
          <w:szCs w:val="24"/>
        </w:rPr>
        <w:t>）从业人员，是指期末从业人员数，没有期末从业人员数的，采用全年平均人员数代替。（</w:t>
      </w:r>
      <w:r>
        <w:rPr>
          <w:rFonts w:ascii="宋体" w:hAnsi="宋体"/>
          <w:color w:val="000000"/>
          <w:spacing w:val="8"/>
          <w:kern w:val="0"/>
          <w:sz w:val="24"/>
          <w:szCs w:val="24"/>
        </w:rPr>
        <w:t>2</w:t>
      </w:r>
      <w:r>
        <w:rPr>
          <w:rFonts w:hint="eastAsia" w:ascii="宋体" w:hAnsi="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olor w:val="000000"/>
          <w:spacing w:val="8"/>
          <w:kern w:val="0"/>
          <w:sz w:val="24"/>
          <w:szCs w:val="24"/>
        </w:rPr>
        <w:t>3</w:t>
      </w:r>
      <w:r>
        <w:rPr>
          <w:rFonts w:hint="eastAsia" w:ascii="宋体" w:hAnsi="宋体" w:cs="宋体"/>
          <w:color w:val="000000"/>
          <w:spacing w:val="8"/>
          <w:kern w:val="0"/>
          <w:sz w:val="24"/>
          <w:szCs w:val="24"/>
        </w:rPr>
        <w:t>）资产总额，采用资产总计代替。</w:t>
      </w:r>
    </w:p>
    <w:p w14:paraId="3C368A6B">
      <w:pPr>
        <w:adjustRightInd w:val="0"/>
        <w:snapToGrid w:val="0"/>
        <w:spacing w:line="360" w:lineRule="auto"/>
        <w:jc w:val="right"/>
        <w:rPr>
          <w:rFonts w:hint="eastAsia" w:ascii="宋体" w:hAnsi="宋体" w:cs="宋体"/>
          <w:sz w:val="24"/>
          <w:szCs w:val="24"/>
        </w:rPr>
      </w:pPr>
    </w:p>
    <w:p w14:paraId="161CE03C">
      <w:pPr>
        <w:rPr>
          <w:rFonts w:hint="eastAsia"/>
          <w:sz w:val="24"/>
          <w:szCs w:val="24"/>
        </w:rPr>
      </w:pPr>
      <w:r>
        <w:rPr>
          <w:rFonts w:hint="eastAsia"/>
          <w:sz w:val="24"/>
          <w:szCs w:val="24"/>
        </w:rPr>
        <w:br w:type="page"/>
      </w:r>
    </w:p>
    <w:p w14:paraId="1FD5B3A2">
      <w:pPr>
        <w:numPr>
          <w:ilvl w:val="0"/>
          <w:numId w:val="3"/>
        </w:numPr>
        <w:jc w:val="center"/>
        <w:rPr>
          <w:rFonts w:hint="eastAsia"/>
          <w:sz w:val="24"/>
          <w:szCs w:val="24"/>
        </w:rPr>
      </w:pPr>
      <w:bookmarkStart w:id="1001" w:name="_Toc16216"/>
      <w:bookmarkStart w:id="1002" w:name="_Toc1625"/>
      <w:bookmarkStart w:id="1003" w:name="_Toc8711"/>
      <w:bookmarkStart w:id="1004" w:name="_Toc11852"/>
      <w:bookmarkStart w:id="1005" w:name="_Toc223"/>
      <w:bookmarkStart w:id="1006" w:name="_Toc22909"/>
      <w:bookmarkStart w:id="1007" w:name="_Toc17496"/>
      <w:bookmarkStart w:id="1008" w:name="_Toc3557457"/>
      <w:bookmarkStart w:id="1009" w:name="_Toc28073"/>
      <w:r>
        <w:rPr>
          <w:rFonts w:hint="eastAsia"/>
          <w:sz w:val="24"/>
          <w:szCs w:val="24"/>
        </w:rPr>
        <w:t>关于监狱企业</w:t>
      </w:r>
      <w:bookmarkEnd w:id="1001"/>
      <w:bookmarkEnd w:id="1002"/>
      <w:bookmarkEnd w:id="1003"/>
      <w:bookmarkEnd w:id="1004"/>
      <w:bookmarkEnd w:id="1005"/>
      <w:bookmarkEnd w:id="1006"/>
      <w:bookmarkEnd w:id="1007"/>
      <w:bookmarkEnd w:id="1008"/>
      <w:bookmarkEnd w:id="1009"/>
    </w:p>
    <w:p w14:paraId="67079F6C">
      <w:pPr>
        <w:tabs>
          <w:tab w:val="left" w:pos="7900"/>
        </w:tabs>
        <w:autoSpaceDE w:val="0"/>
        <w:autoSpaceDN w:val="0"/>
        <w:adjustRightInd w:val="0"/>
        <w:spacing w:line="360" w:lineRule="auto"/>
        <w:ind w:firstLine="482" w:firstLineChars="200"/>
        <w:jc w:val="left"/>
        <w:rPr>
          <w:rFonts w:hint="eastAsia" w:ascii="宋体" w:hAnsi="宋体" w:cs="宋体"/>
          <w:b/>
          <w:bCs/>
          <w:kern w:val="0"/>
          <w:position w:val="-2"/>
          <w:sz w:val="24"/>
          <w:szCs w:val="24"/>
        </w:rPr>
      </w:pPr>
      <w:r>
        <w:rPr>
          <w:rFonts w:hint="eastAsia" w:ascii="宋体" w:hAnsi="宋体" w:cs="宋体"/>
          <w:b/>
          <w:bCs/>
          <w:kern w:val="0"/>
          <w:position w:val="-2"/>
          <w:sz w:val="24"/>
          <w:szCs w:val="24"/>
        </w:rPr>
        <w:t>1、政府采购政策</w:t>
      </w:r>
    </w:p>
    <w:p w14:paraId="38CEB4E1">
      <w:pPr>
        <w:tabs>
          <w:tab w:val="left" w:pos="7900"/>
        </w:tabs>
        <w:autoSpaceDE w:val="0"/>
        <w:autoSpaceDN w:val="0"/>
        <w:adjustRightInd w:val="0"/>
        <w:spacing w:line="360" w:lineRule="auto"/>
        <w:ind w:firstLine="480" w:firstLineChars="200"/>
        <w:jc w:val="left"/>
        <w:rPr>
          <w:rFonts w:hint="eastAsia" w:ascii="宋体" w:hAnsi="宋体" w:cs="宋体"/>
          <w:kern w:val="0"/>
          <w:position w:val="-2"/>
          <w:sz w:val="24"/>
          <w:szCs w:val="24"/>
        </w:rPr>
      </w:pPr>
      <w:r>
        <w:rPr>
          <w:rFonts w:hint="eastAsia" w:ascii="宋体" w:hAnsi="宋体" w:cs="宋体"/>
          <w:kern w:val="0"/>
          <w:position w:val="-2"/>
          <w:sz w:val="24"/>
          <w:szCs w:val="24"/>
        </w:rPr>
        <w:t>财政部、司法部关于政府采购支持监狱企业发展有关问题的通知（财库【2014】68号）</w:t>
      </w:r>
    </w:p>
    <w:p w14:paraId="26EB0064">
      <w:pPr>
        <w:tabs>
          <w:tab w:val="left" w:pos="7900"/>
        </w:tabs>
        <w:autoSpaceDE w:val="0"/>
        <w:autoSpaceDN w:val="0"/>
        <w:adjustRightInd w:val="0"/>
        <w:spacing w:line="360" w:lineRule="auto"/>
        <w:ind w:firstLine="482" w:firstLineChars="200"/>
        <w:jc w:val="left"/>
        <w:rPr>
          <w:rFonts w:hint="eastAsia" w:ascii="宋体" w:hAnsi="宋体" w:cs="宋体"/>
          <w:b/>
          <w:bCs/>
          <w:kern w:val="0"/>
          <w:position w:val="-2"/>
          <w:sz w:val="24"/>
          <w:szCs w:val="24"/>
        </w:rPr>
      </w:pPr>
      <w:r>
        <w:rPr>
          <w:rFonts w:hint="eastAsia" w:ascii="宋体" w:hAnsi="宋体" w:cs="宋体"/>
          <w:b/>
          <w:bCs/>
          <w:kern w:val="0"/>
          <w:position w:val="-2"/>
          <w:sz w:val="24"/>
          <w:szCs w:val="24"/>
        </w:rPr>
        <w:t>2、附证明材料</w:t>
      </w:r>
    </w:p>
    <w:p w14:paraId="6AC8590D">
      <w:pPr>
        <w:tabs>
          <w:tab w:val="left" w:pos="7900"/>
        </w:tabs>
        <w:autoSpaceDE w:val="0"/>
        <w:autoSpaceDN w:val="0"/>
        <w:adjustRightInd w:val="0"/>
        <w:spacing w:line="360" w:lineRule="auto"/>
        <w:ind w:firstLine="480" w:firstLineChars="200"/>
        <w:jc w:val="left"/>
        <w:rPr>
          <w:rFonts w:hint="eastAsia" w:ascii="宋体" w:hAnsi="宋体" w:cs="宋体"/>
          <w:kern w:val="0"/>
          <w:position w:val="-2"/>
          <w:sz w:val="24"/>
          <w:szCs w:val="24"/>
        </w:rPr>
      </w:pPr>
      <w:r>
        <w:rPr>
          <w:rFonts w:hint="eastAsia" w:ascii="宋体" w:hAnsi="宋体" w:cs="宋体"/>
          <w:kern w:val="0"/>
          <w:position w:val="-2"/>
          <w:sz w:val="24"/>
          <w:szCs w:val="24"/>
        </w:rPr>
        <w:t>提供由省级以上监狱管理局、戒毒管理局（含新疆生产建设兵团）出具的属于监狱企业的证明文件，否则投标报价评审时不予价格扣除优惠。</w:t>
      </w:r>
    </w:p>
    <w:p w14:paraId="2117168D">
      <w:pPr>
        <w:rPr>
          <w:rFonts w:hint="eastAsia"/>
          <w:sz w:val="24"/>
          <w:szCs w:val="24"/>
        </w:rPr>
      </w:pPr>
      <w:r>
        <w:rPr>
          <w:rFonts w:hint="eastAsia"/>
          <w:sz w:val="24"/>
          <w:szCs w:val="24"/>
        </w:rPr>
        <w:br w:type="page"/>
      </w:r>
    </w:p>
    <w:p w14:paraId="799CFC70">
      <w:pPr>
        <w:numPr>
          <w:ilvl w:val="0"/>
          <w:numId w:val="3"/>
        </w:numPr>
        <w:jc w:val="center"/>
        <w:rPr>
          <w:rFonts w:hint="eastAsia"/>
          <w:sz w:val="24"/>
          <w:szCs w:val="24"/>
        </w:rPr>
      </w:pPr>
      <w:bookmarkStart w:id="1010" w:name="_Toc3557458"/>
      <w:bookmarkStart w:id="1011" w:name="_Toc23216"/>
      <w:bookmarkStart w:id="1012" w:name="_Toc7329"/>
      <w:bookmarkStart w:id="1013" w:name="_Toc16049"/>
      <w:bookmarkStart w:id="1014" w:name="_Toc12822"/>
      <w:bookmarkStart w:id="1015" w:name="_Toc28934"/>
      <w:bookmarkStart w:id="1016" w:name="_Toc26124"/>
      <w:bookmarkStart w:id="1017" w:name="_Toc1489"/>
      <w:bookmarkStart w:id="1018" w:name="_Toc27961"/>
      <w:r>
        <w:rPr>
          <w:rFonts w:hint="eastAsia"/>
          <w:sz w:val="24"/>
          <w:szCs w:val="24"/>
        </w:rPr>
        <w:t>关于促进残疾人就业的政府采购政策</w:t>
      </w:r>
      <w:bookmarkEnd w:id="1010"/>
      <w:bookmarkEnd w:id="1011"/>
      <w:bookmarkEnd w:id="1012"/>
      <w:bookmarkEnd w:id="1013"/>
      <w:bookmarkEnd w:id="1014"/>
      <w:bookmarkEnd w:id="1015"/>
      <w:bookmarkEnd w:id="1016"/>
      <w:bookmarkEnd w:id="1017"/>
      <w:bookmarkEnd w:id="1018"/>
    </w:p>
    <w:p w14:paraId="370DA998">
      <w:pPr>
        <w:rPr>
          <w:rFonts w:hint="eastAsia"/>
          <w:sz w:val="24"/>
          <w:szCs w:val="24"/>
        </w:rPr>
      </w:pPr>
      <w:bookmarkStart w:id="1019" w:name="sendNo"/>
    </w:p>
    <w:p w14:paraId="2DCDEAD8">
      <w:pPr>
        <w:tabs>
          <w:tab w:val="left" w:pos="7900"/>
        </w:tabs>
        <w:autoSpaceDE w:val="0"/>
        <w:autoSpaceDN w:val="0"/>
        <w:adjustRightInd w:val="0"/>
        <w:spacing w:line="360" w:lineRule="auto"/>
        <w:ind w:firstLine="482" w:firstLineChars="200"/>
        <w:jc w:val="left"/>
        <w:rPr>
          <w:rFonts w:hint="eastAsia" w:ascii="宋体" w:hAnsi="宋体" w:cs="宋体"/>
          <w:b/>
          <w:bCs/>
          <w:kern w:val="0"/>
          <w:position w:val="-2"/>
          <w:sz w:val="24"/>
          <w:szCs w:val="24"/>
        </w:rPr>
      </w:pPr>
      <w:r>
        <w:rPr>
          <w:rFonts w:hint="eastAsia" w:ascii="宋体" w:hAnsi="宋体" w:cs="宋体"/>
          <w:b/>
          <w:bCs/>
          <w:kern w:val="0"/>
          <w:position w:val="-2"/>
          <w:sz w:val="24"/>
          <w:szCs w:val="24"/>
        </w:rPr>
        <w:t>1、政府采购政策</w:t>
      </w:r>
    </w:p>
    <w:p w14:paraId="0B218AA8">
      <w:pPr>
        <w:tabs>
          <w:tab w:val="left" w:pos="7900"/>
        </w:tabs>
        <w:autoSpaceDE w:val="0"/>
        <w:autoSpaceDN w:val="0"/>
        <w:adjustRightInd w:val="0"/>
        <w:spacing w:line="360" w:lineRule="auto"/>
        <w:ind w:firstLine="480" w:firstLineChars="200"/>
        <w:jc w:val="left"/>
        <w:rPr>
          <w:rFonts w:hint="eastAsia" w:ascii="宋体" w:hAnsi="宋体" w:cs="宋体"/>
          <w:kern w:val="0"/>
          <w:position w:val="-2"/>
          <w:sz w:val="24"/>
          <w:szCs w:val="24"/>
        </w:rPr>
      </w:pPr>
      <w:r>
        <w:rPr>
          <w:rFonts w:hint="eastAsia" w:ascii="宋体" w:hAnsi="宋体" w:cs="宋体"/>
          <w:kern w:val="0"/>
          <w:position w:val="-2"/>
          <w:sz w:val="24"/>
          <w:szCs w:val="24"/>
        </w:rPr>
        <w:t>关于促进残疾人就业政府采购政策的通知（财库〔2017〕141号）</w:t>
      </w:r>
    </w:p>
    <w:p w14:paraId="6D3CD89F">
      <w:pPr>
        <w:tabs>
          <w:tab w:val="left" w:pos="7900"/>
        </w:tabs>
        <w:autoSpaceDE w:val="0"/>
        <w:autoSpaceDN w:val="0"/>
        <w:adjustRightInd w:val="0"/>
        <w:spacing w:line="360" w:lineRule="auto"/>
        <w:ind w:firstLine="482" w:firstLineChars="200"/>
        <w:jc w:val="left"/>
        <w:rPr>
          <w:rFonts w:hint="eastAsia" w:ascii="宋体" w:hAnsi="宋体" w:cs="宋体"/>
          <w:b/>
          <w:bCs/>
          <w:kern w:val="0"/>
          <w:position w:val="-2"/>
          <w:sz w:val="24"/>
          <w:szCs w:val="24"/>
        </w:rPr>
      </w:pPr>
      <w:bookmarkStart w:id="1020" w:name="toDeptId"/>
      <w:r>
        <w:rPr>
          <w:rFonts w:hint="eastAsia" w:ascii="宋体" w:hAnsi="宋体" w:cs="宋体"/>
          <w:b/>
          <w:bCs/>
          <w:kern w:val="0"/>
          <w:position w:val="-2"/>
          <w:sz w:val="24"/>
          <w:szCs w:val="24"/>
        </w:rPr>
        <w:t>2、附声明函（无声明函投标报价评审时不予价格扣除优惠）</w:t>
      </w:r>
    </w:p>
    <w:bookmarkEnd w:id="1019"/>
    <w:bookmarkEnd w:id="1020"/>
    <w:p w14:paraId="1BA7C622">
      <w:pPr>
        <w:spacing w:before="120" w:beforeLines="50" w:line="360" w:lineRule="auto"/>
        <w:jc w:val="center"/>
        <w:rPr>
          <w:rFonts w:hint="eastAsia" w:ascii="宋体" w:hAnsi="宋体" w:cs="宋体"/>
          <w:b/>
          <w:spacing w:val="6"/>
          <w:sz w:val="24"/>
          <w:szCs w:val="24"/>
        </w:rPr>
      </w:pPr>
      <w:bookmarkStart w:id="1021" w:name="OLE_LINK13"/>
      <w:bookmarkStart w:id="1022" w:name="OLE_LINK14"/>
      <w:r>
        <w:rPr>
          <w:rFonts w:hint="eastAsia" w:ascii="宋体" w:hAnsi="宋体" w:cs="宋体"/>
          <w:b/>
          <w:spacing w:val="6"/>
          <w:sz w:val="24"/>
          <w:szCs w:val="24"/>
        </w:rPr>
        <w:t>残疾人福利性单位声明函</w:t>
      </w:r>
    </w:p>
    <w:bookmarkEnd w:id="1021"/>
    <w:bookmarkEnd w:id="1022"/>
    <w:p w14:paraId="3E115E58">
      <w:pPr>
        <w:tabs>
          <w:tab w:val="left" w:pos="7900"/>
        </w:tabs>
        <w:autoSpaceDE w:val="0"/>
        <w:autoSpaceDN w:val="0"/>
        <w:adjustRightInd w:val="0"/>
        <w:spacing w:line="360" w:lineRule="auto"/>
        <w:ind w:firstLine="480" w:firstLineChars="200"/>
        <w:jc w:val="left"/>
        <w:rPr>
          <w:rFonts w:hint="eastAsia" w:ascii="宋体" w:hAnsi="宋体" w:cs="宋体"/>
          <w:kern w:val="0"/>
          <w:position w:val="-2"/>
          <w:sz w:val="24"/>
          <w:szCs w:val="24"/>
        </w:rPr>
      </w:pPr>
      <w:r>
        <w:rPr>
          <w:rFonts w:hint="eastAsia" w:ascii="宋体" w:hAnsi="宋体" w:cs="宋体"/>
          <w:kern w:val="0"/>
          <w:position w:val="-2"/>
          <w:sz w:val="24"/>
          <w:szCs w:val="24"/>
        </w:rPr>
        <w:t>本单位郑重声明，根据《财政部 民政部 中国残疾人联合会关于促进残疾人就业政府采购政策的通知》（财库〔2017〕141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5A1C06BF">
      <w:pPr>
        <w:tabs>
          <w:tab w:val="left" w:pos="7900"/>
        </w:tabs>
        <w:autoSpaceDE w:val="0"/>
        <w:autoSpaceDN w:val="0"/>
        <w:adjustRightInd w:val="0"/>
        <w:spacing w:line="360" w:lineRule="auto"/>
        <w:ind w:firstLine="480" w:firstLineChars="200"/>
        <w:jc w:val="left"/>
        <w:rPr>
          <w:rFonts w:hint="eastAsia" w:ascii="宋体" w:hAnsi="宋体" w:cs="宋体"/>
          <w:kern w:val="0"/>
          <w:position w:val="-2"/>
          <w:sz w:val="24"/>
          <w:szCs w:val="24"/>
        </w:rPr>
      </w:pPr>
      <w:r>
        <w:rPr>
          <w:rFonts w:hint="eastAsia" w:ascii="宋体" w:hAnsi="宋体" w:cs="宋体"/>
          <w:kern w:val="0"/>
          <w:position w:val="-2"/>
          <w:sz w:val="24"/>
          <w:szCs w:val="24"/>
        </w:rPr>
        <w:t>本单位对上述声明的真实性负责。如有虚假，将依法承担相应责任。</w:t>
      </w:r>
    </w:p>
    <w:p w14:paraId="4C44B4D5">
      <w:pPr>
        <w:spacing w:line="360" w:lineRule="auto"/>
        <w:ind w:firstLine="504" w:firstLineChars="200"/>
        <w:rPr>
          <w:rFonts w:hint="eastAsia" w:ascii="宋体" w:hAnsi="宋体" w:cs="宋体"/>
          <w:spacing w:val="6"/>
          <w:sz w:val="24"/>
          <w:szCs w:val="24"/>
        </w:rPr>
      </w:pPr>
    </w:p>
    <w:p w14:paraId="73235CAF">
      <w:pPr>
        <w:tabs>
          <w:tab w:val="left" w:pos="4860"/>
        </w:tabs>
        <w:spacing w:line="360" w:lineRule="auto"/>
        <w:ind w:right="-2" w:firstLine="504" w:firstLineChars="200"/>
        <w:jc w:val="right"/>
        <w:rPr>
          <w:rFonts w:hint="eastAsia" w:ascii="宋体" w:hAnsi="宋体" w:cs="宋体"/>
          <w:spacing w:val="6"/>
          <w:sz w:val="24"/>
          <w:szCs w:val="24"/>
        </w:rPr>
      </w:pPr>
      <w:r>
        <w:rPr>
          <w:rFonts w:hint="eastAsia" w:ascii="宋体" w:hAnsi="宋体" w:cs="宋体"/>
          <w:spacing w:val="6"/>
          <w:sz w:val="24"/>
          <w:szCs w:val="24"/>
        </w:rPr>
        <w:t>单位名称（盖章）：__________________</w:t>
      </w:r>
    </w:p>
    <w:p w14:paraId="35D9FE0C">
      <w:pPr>
        <w:tabs>
          <w:tab w:val="left" w:pos="4860"/>
        </w:tabs>
        <w:wordWrap w:val="0"/>
        <w:spacing w:line="360" w:lineRule="auto"/>
        <w:ind w:right="-2" w:firstLine="504" w:firstLineChars="200"/>
        <w:jc w:val="right"/>
        <w:rPr>
          <w:rFonts w:hint="eastAsia" w:ascii="宋体" w:hAnsi="宋体" w:cs="宋体"/>
          <w:spacing w:val="6"/>
          <w:sz w:val="24"/>
          <w:szCs w:val="24"/>
        </w:rPr>
      </w:pPr>
      <w:r>
        <w:rPr>
          <w:rFonts w:hint="eastAsia" w:ascii="宋体" w:hAnsi="宋体" w:cs="宋体"/>
          <w:spacing w:val="6"/>
          <w:sz w:val="24"/>
          <w:szCs w:val="24"/>
        </w:rPr>
        <w:t>日  期：__________________</w:t>
      </w:r>
    </w:p>
    <w:p w14:paraId="6DAF82F8">
      <w:pPr>
        <w:rPr>
          <w:rFonts w:hint="eastAsia"/>
          <w:sz w:val="24"/>
          <w:szCs w:val="24"/>
        </w:rPr>
      </w:pPr>
    </w:p>
    <w:p w14:paraId="07820145">
      <w:pPr>
        <w:pStyle w:val="51"/>
        <w:ind w:firstLine="240"/>
        <w:rPr>
          <w:rFonts w:hint="eastAsia"/>
          <w:sz w:val="24"/>
          <w:szCs w:val="24"/>
        </w:rPr>
      </w:pPr>
    </w:p>
    <w:p w14:paraId="3633221B">
      <w:pPr>
        <w:rPr>
          <w:rFonts w:hint="eastAsia"/>
          <w:sz w:val="24"/>
          <w:szCs w:val="24"/>
        </w:rPr>
      </w:pPr>
    </w:p>
    <w:p w14:paraId="4BCBA668">
      <w:pPr>
        <w:pStyle w:val="51"/>
        <w:ind w:firstLine="240"/>
        <w:rPr>
          <w:rFonts w:hint="eastAsia"/>
          <w:sz w:val="24"/>
          <w:szCs w:val="24"/>
        </w:rPr>
      </w:pPr>
    </w:p>
    <w:p w14:paraId="0E60F42E">
      <w:pPr>
        <w:rPr>
          <w:rFonts w:hint="eastAsia"/>
          <w:sz w:val="24"/>
          <w:szCs w:val="24"/>
        </w:rPr>
      </w:pPr>
    </w:p>
    <w:p w14:paraId="5AD44D8C">
      <w:pPr>
        <w:pStyle w:val="51"/>
        <w:ind w:firstLine="240"/>
        <w:rPr>
          <w:rFonts w:hint="eastAsia"/>
          <w:sz w:val="24"/>
          <w:szCs w:val="24"/>
        </w:rPr>
      </w:pPr>
    </w:p>
    <w:p w14:paraId="7FFBDA12">
      <w:pPr>
        <w:rPr>
          <w:rFonts w:hint="eastAsia"/>
          <w:sz w:val="24"/>
          <w:szCs w:val="24"/>
        </w:rPr>
      </w:pPr>
    </w:p>
    <w:p w14:paraId="409D93AC">
      <w:pPr>
        <w:pStyle w:val="51"/>
        <w:ind w:firstLine="240"/>
        <w:rPr>
          <w:rFonts w:hint="eastAsia"/>
          <w:sz w:val="24"/>
          <w:szCs w:val="24"/>
        </w:rPr>
      </w:pPr>
    </w:p>
    <w:p w14:paraId="14C51D10">
      <w:pPr>
        <w:rPr>
          <w:rFonts w:hint="eastAsia"/>
          <w:sz w:val="24"/>
          <w:szCs w:val="24"/>
        </w:rPr>
      </w:pPr>
    </w:p>
    <w:p w14:paraId="0623B10E">
      <w:pPr>
        <w:pStyle w:val="51"/>
        <w:ind w:firstLine="240"/>
        <w:rPr>
          <w:rFonts w:hint="eastAsia"/>
          <w:sz w:val="24"/>
          <w:szCs w:val="24"/>
        </w:rPr>
      </w:pPr>
    </w:p>
    <w:p w14:paraId="00B0992B">
      <w:pPr>
        <w:rPr>
          <w:rFonts w:hint="eastAsia"/>
          <w:sz w:val="24"/>
          <w:szCs w:val="24"/>
        </w:rPr>
      </w:pPr>
    </w:p>
    <w:p w14:paraId="7EACDB99">
      <w:pPr>
        <w:pStyle w:val="51"/>
        <w:ind w:firstLine="240"/>
        <w:rPr>
          <w:rFonts w:hint="eastAsia"/>
          <w:sz w:val="24"/>
          <w:szCs w:val="24"/>
        </w:rPr>
      </w:pPr>
    </w:p>
    <w:p w14:paraId="63CF6D9B">
      <w:pPr>
        <w:rPr>
          <w:rFonts w:hint="eastAsia"/>
          <w:sz w:val="24"/>
          <w:szCs w:val="24"/>
        </w:rPr>
      </w:pPr>
    </w:p>
    <w:p w14:paraId="779A38B1">
      <w:pPr>
        <w:pStyle w:val="51"/>
        <w:ind w:firstLine="240"/>
        <w:rPr>
          <w:rFonts w:hint="eastAsia"/>
          <w:sz w:val="24"/>
          <w:szCs w:val="24"/>
        </w:rPr>
      </w:pPr>
    </w:p>
    <w:p w14:paraId="7D940C1B">
      <w:pPr>
        <w:rPr>
          <w:rFonts w:hint="eastAsia"/>
          <w:sz w:val="24"/>
          <w:szCs w:val="24"/>
        </w:rPr>
      </w:pPr>
    </w:p>
    <w:p w14:paraId="58078CF9">
      <w:pPr>
        <w:pStyle w:val="51"/>
        <w:ind w:firstLine="240"/>
        <w:rPr>
          <w:rFonts w:hint="eastAsia"/>
          <w:sz w:val="24"/>
          <w:szCs w:val="24"/>
        </w:rPr>
      </w:pPr>
    </w:p>
    <w:p w14:paraId="2E495181">
      <w:pPr>
        <w:rPr>
          <w:rFonts w:hint="eastAsia"/>
          <w:sz w:val="24"/>
          <w:szCs w:val="24"/>
        </w:rPr>
      </w:pPr>
    </w:p>
    <w:p w14:paraId="6E475702">
      <w:pPr>
        <w:pStyle w:val="51"/>
        <w:ind w:firstLine="240"/>
        <w:rPr>
          <w:rFonts w:hint="eastAsia"/>
          <w:sz w:val="24"/>
          <w:szCs w:val="24"/>
        </w:rPr>
      </w:pPr>
    </w:p>
    <w:p w14:paraId="18E056C5">
      <w:pPr>
        <w:rPr>
          <w:rFonts w:hint="eastAsia"/>
          <w:sz w:val="24"/>
          <w:szCs w:val="24"/>
        </w:rPr>
      </w:pPr>
    </w:p>
    <w:p w14:paraId="1CA323B1">
      <w:pPr>
        <w:pStyle w:val="51"/>
        <w:ind w:firstLine="240"/>
        <w:rPr>
          <w:rFonts w:hint="eastAsia"/>
          <w:sz w:val="24"/>
          <w:szCs w:val="24"/>
        </w:rPr>
      </w:pPr>
    </w:p>
    <w:p w14:paraId="1D343369">
      <w:pPr>
        <w:rPr>
          <w:rFonts w:hint="eastAsia"/>
          <w:sz w:val="24"/>
          <w:szCs w:val="24"/>
        </w:rPr>
      </w:pPr>
    </w:p>
    <w:p w14:paraId="0FEB30B4">
      <w:pPr>
        <w:pStyle w:val="51"/>
        <w:ind w:firstLine="240"/>
        <w:jc w:val="center"/>
        <w:rPr>
          <w:rFonts w:hint="eastAsia" w:ascii="宋体" w:hAnsi="宋体" w:eastAsia="宋体" w:cs="宋体"/>
          <w:b/>
          <w:bCs/>
          <w:sz w:val="36"/>
          <w:szCs w:val="36"/>
        </w:rPr>
      </w:pPr>
    </w:p>
    <w:p w14:paraId="299CF0AD">
      <w:pPr>
        <w:pStyle w:val="51"/>
        <w:ind w:firstLine="240"/>
        <w:jc w:val="center"/>
        <w:rPr>
          <w:rFonts w:hint="eastAsia" w:ascii="宋体" w:hAnsi="宋体" w:eastAsia="宋体" w:cs="宋体"/>
          <w:b/>
          <w:bCs/>
          <w:sz w:val="36"/>
          <w:szCs w:val="36"/>
        </w:rPr>
      </w:pPr>
      <w:r>
        <w:rPr>
          <w:rFonts w:hint="eastAsia" w:ascii="宋体" w:hAnsi="宋体" w:eastAsia="宋体" w:cs="宋体"/>
          <w:b/>
          <w:bCs/>
          <w:sz w:val="36"/>
          <w:szCs w:val="36"/>
        </w:rPr>
        <w:t>河南省政府采购合同融资政策告知函</w:t>
      </w:r>
    </w:p>
    <w:p w14:paraId="069ED1CA">
      <w:pPr>
        <w:pStyle w:val="51"/>
        <w:ind w:firstLine="240"/>
        <w:rPr>
          <w:rFonts w:hint="eastAsia"/>
          <w:sz w:val="24"/>
          <w:szCs w:val="24"/>
        </w:rPr>
      </w:pPr>
    </w:p>
    <w:p w14:paraId="26041DBC">
      <w:pPr>
        <w:pStyle w:val="51"/>
        <w:keepNext w:val="0"/>
        <w:keepLines w:val="0"/>
        <w:pageBreakBefore w:val="0"/>
        <w:widowControl w:val="0"/>
        <w:kinsoku/>
        <w:wordWrap/>
        <w:overflowPunct/>
        <w:topLinePunct w:val="0"/>
        <w:autoSpaceDE/>
        <w:autoSpaceDN/>
        <w:bidi w:val="0"/>
        <w:adjustRightInd/>
        <w:snapToGrid/>
        <w:spacing w:line="480" w:lineRule="auto"/>
        <w:ind w:firstLine="240"/>
        <w:textAlignment w:val="auto"/>
        <w:rPr>
          <w:rFonts w:hint="eastAsia" w:ascii="宋体" w:hAnsi="宋体" w:eastAsia="宋体" w:cs="宋体"/>
          <w:sz w:val="28"/>
          <w:szCs w:val="28"/>
        </w:rPr>
      </w:pPr>
      <w:r>
        <w:rPr>
          <w:rFonts w:hint="eastAsia" w:ascii="宋体" w:hAnsi="宋体" w:eastAsia="宋体" w:cs="宋体"/>
          <w:sz w:val="28"/>
          <w:szCs w:val="28"/>
        </w:rPr>
        <w:t>各供应商:</w:t>
      </w:r>
    </w:p>
    <w:p w14:paraId="4253CE73">
      <w:pPr>
        <w:pStyle w:val="51"/>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欢迎贵公司参与河南省政府采购活动!</w:t>
      </w:r>
    </w:p>
    <w:p w14:paraId="2D3D2508">
      <w:pPr>
        <w:pStyle w:val="51"/>
        <w:keepNext w:val="0"/>
        <w:keepLines w:val="0"/>
        <w:pageBreakBefore w:val="0"/>
        <w:widowControl w:val="0"/>
        <w:kinsoku/>
        <w:wordWrap/>
        <w:overflowPunct/>
        <w:topLinePunct w:val="0"/>
        <w:autoSpaceDE/>
        <w:autoSpaceDN/>
        <w:bidi w:val="0"/>
        <w:adjustRightInd/>
        <w:snapToGrid/>
        <w:spacing w:line="480" w:lineRule="auto"/>
        <w:ind w:left="279" w:leftChars="133"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B82C452">
      <w:pPr>
        <w:pStyle w:val="51"/>
        <w:keepNext w:val="0"/>
        <w:keepLines w:val="0"/>
        <w:pageBreakBefore w:val="0"/>
        <w:widowControl w:val="0"/>
        <w:kinsoku/>
        <w:wordWrap/>
        <w:overflowPunct/>
        <w:topLinePunct w:val="0"/>
        <w:autoSpaceDE/>
        <w:autoSpaceDN/>
        <w:bidi w:val="0"/>
        <w:adjustRightInd/>
        <w:snapToGrid/>
        <w:spacing w:line="480" w:lineRule="auto"/>
        <w:ind w:left="279" w:leftChars="133"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贷款渠道和提供贷款的金融机构，可在河南省政府采购网“河南省政府采购合同融资平台”查询联系。</w:t>
      </w:r>
    </w:p>
    <w:p w14:paraId="56E29F3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14:paraId="0711AAD6">
      <w:pPr>
        <w:pStyle w:val="51"/>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固始县合作融资平台：</w:t>
      </w:r>
    </w:p>
    <w:p w14:paraId="6D9C7959">
      <w:pPr>
        <w:pStyle w:val="51"/>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1、中原银行固始支行，联系人：吴宵 联系方式：13526070966 ；</w:t>
      </w:r>
    </w:p>
    <w:p w14:paraId="7636BF49">
      <w:pPr>
        <w:pStyle w:val="51"/>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auto"/>
          <w:highlight w:val="none"/>
        </w:rPr>
      </w:pPr>
      <w:r>
        <w:rPr>
          <w:rFonts w:hint="eastAsia" w:ascii="宋体" w:hAnsi="宋体" w:eastAsia="宋体" w:cs="宋体"/>
          <w:sz w:val="24"/>
          <w:szCs w:val="24"/>
          <w:lang w:val="en-US" w:eastAsia="zh-CN"/>
        </w:rPr>
        <w:t>2、中国农业银行固始县支行，联系人：姚玉烛 联系方式：18037601233 ；</w:t>
      </w:r>
      <w:bookmarkEnd w:id="907"/>
      <w:bookmarkEnd w:id="908"/>
      <w:bookmarkEnd w:id="909"/>
      <w:bookmarkEnd w:id="910"/>
      <w:bookmarkEnd w:id="911"/>
      <w:bookmarkEnd w:id="912"/>
      <w:bookmarkEnd w:id="913"/>
      <w:bookmarkEnd w:id="914"/>
      <w:bookmarkEnd w:id="915"/>
      <w:bookmarkEnd w:id="916"/>
      <w:bookmarkEnd w:id="917"/>
      <w:bookmarkEnd w:id="918"/>
    </w:p>
    <w:sectPr>
      <w:footerReference r:id="rId13" w:type="default"/>
      <w:pgSz w:w="11906" w:h="16838"/>
      <w:pgMar w:top="1418" w:right="1418" w:bottom="1418" w:left="1418"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PMingLiU">
    <w:altName w:val="Microsoft JhengHei"/>
    <w:panose1 w:val="02020500000000000000"/>
    <w:charset w:val="88"/>
    <w:family w:val="auto"/>
    <w:pitch w:val="default"/>
    <w:sig w:usb0="00000000" w:usb1="00000000" w:usb2="00000016" w:usb3="00000000" w:csb0="00100001" w:csb1="00000000"/>
  </w:font>
  <w:font w:name="MS Gothic">
    <w:altName w:val="Meiryo UI"/>
    <w:panose1 w:val="020B0609070205080204"/>
    <w:charset w:val="80"/>
    <w:family w:val="modern"/>
    <w:pitch w:val="default"/>
    <w:sig w:usb0="00000000" w:usb1="00000000"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Univers">
    <w:altName w:val="Arial"/>
    <w:panose1 w:val="00000000000000000000"/>
    <w:charset w:val="00"/>
    <w:family w:val="auto"/>
    <w:pitch w:val="default"/>
    <w:sig w:usb0="00000000" w:usb1="00000000" w:usb2="00000000" w:usb3="00000000" w:csb0="00000093" w:csb1="00000000"/>
  </w:font>
  <w:font w:name="Adobe 宋体 Std L">
    <w:altName w:val="宋体"/>
    <w:panose1 w:val="020203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D320">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EF7B">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0992">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AC0B">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A530">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832D">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CC832D">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CCDE0">
    <w:pPr>
      <w:pStyle w:val="38"/>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82879">
                          <w:pPr>
                            <w:pStyle w:val="38"/>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F82879">
                    <w:pPr>
                      <w:pStyle w:val="38"/>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DE76">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5F0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0248">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5BE6">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B490">
    <w:pPr>
      <w:pStyle w:val="39"/>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3C7616ED">
    <w:pPr>
      <w:pStyle w:val="39"/>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6B98"/>
    <w:multiLevelType w:val="singleLevel"/>
    <w:tmpl w:val="813A6B98"/>
    <w:lvl w:ilvl="0" w:tentative="0">
      <w:start w:val="1"/>
      <w:numFmt w:val="chineseCounting"/>
      <w:suff w:val="nothing"/>
      <w:lvlText w:val="%1、"/>
      <w:lvlJc w:val="left"/>
      <w:rPr>
        <w:rFonts w:hint="eastAsia"/>
      </w:rPr>
    </w:lvl>
  </w:abstractNum>
  <w:abstractNum w:abstractNumId="1">
    <w:nsid w:val="98EF3C7A"/>
    <w:multiLevelType w:val="singleLevel"/>
    <w:tmpl w:val="98EF3C7A"/>
    <w:lvl w:ilvl="0" w:tentative="0">
      <w:start w:val="2"/>
      <w:numFmt w:val="chineseCounting"/>
      <w:suff w:val="space"/>
      <w:lvlText w:val="第%1章"/>
      <w:lvlJc w:val="left"/>
      <w:rPr>
        <w:rFonts w:hint="eastAsia"/>
      </w:rPr>
    </w:lvl>
  </w:abstractNum>
  <w:abstractNum w:abstractNumId="2">
    <w:nsid w:val="D9B65395"/>
    <w:multiLevelType w:val="singleLevel"/>
    <w:tmpl w:val="D9B65395"/>
    <w:lvl w:ilvl="0" w:tentative="0">
      <w:start w:val="1"/>
      <w:numFmt w:val="decimal"/>
      <w:lvlText w:val="%1."/>
      <w:lvlJc w:val="left"/>
      <w:pPr>
        <w:tabs>
          <w:tab w:val="left" w:pos="312"/>
        </w:tabs>
      </w:pPr>
    </w:lvl>
  </w:abstractNum>
  <w:abstractNum w:abstractNumId="3">
    <w:nsid w:val="29F6E284"/>
    <w:multiLevelType w:val="singleLevel"/>
    <w:tmpl w:val="29F6E284"/>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OGNlMTZhOTE4OGQzMjM4MGVjNzM5MDFlOGNkOTYifQ=="/>
  </w:docVars>
  <w:rsids>
    <w:rsidRoot w:val="00F253E1"/>
    <w:rsid w:val="00000FCB"/>
    <w:rsid w:val="00001C88"/>
    <w:rsid w:val="00001CD3"/>
    <w:rsid w:val="00002712"/>
    <w:rsid w:val="000028EB"/>
    <w:rsid w:val="00003539"/>
    <w:rsid w:val="000056AE"/>
    <w:rsid w:val="00005888"/>
    <w:rsid w:val="000058FB"/>
    <w:rsid w:val="00006D3E"/>
    <w:rsid w:val="00006DCA"/>
    <w:rsid w:val="000075D5"/>
    <w:rsid w:val="00007E45"/>
    <w:rsid w:val="00010500"/>
    <w:rsid w:val="00011100"/>
    <w:rsid w:val="00011EF2"/>
    <w:rsid w:val="00012999"/>
    <w:rsid w:val="000129C7"/>
    <w:rsid w:val="0001394F"/>
    <w:rsid w:val="00014447"/>
    <w:rsid w:val="000159D0"/>
    <w:rsid w:val="00015BE5"/>
    <w:rsid w:val="000160A4"/>
    <w:rsid w:val="00016512"/>
    <w:rsid w:val="0001747F"/>
    <w:rsid w:val="000200A1"/>
    <w:rsid w:val="00020348"/>
    <w:rsid w:val="000205ED"/>
    <w:rsid w:val="000208B8"/>
    <w:rsid w:val="00021627"/>
    <w:rsid w:val="00021E64"/>
    <w:rsid w:val="00022E41"/>
    <w:rsid w:val="0002445D"/>
    <w:rsid w:val="000252A7"/>
    <w:rsid w:val="00026C93"/>
    <w:rsid w:val="00026F71"/>
    <w:rsid w:val="00026FB9"/>
    <w:rsid w:val="00027754"/>
    <w:rsid w:val="0003024A"/>
    <w:rsid w:val="0003073A"/>
    <w:rsid w:val="00030853"/>
    <w:rsid w:val="00030B5C"/>
    <w:rsid w:val="0003268C"/>
    <w:rsid w:val="000328C8"/>
    <w:rsid w:val="00032EC9"/>
    <w:rsid w:val="0003317E"/>
    <w:rsid w:val="0003570B"/>
    <w:rsid w:val="000363A8"/>
    <w:rsid w:val="000401DE"/>
    <w:rsid w:val="0004025D"/>
    <w:rsid w:val="000411C5"/>
    <w:rsid w:val="00042A38"/>
    <w:rsid w:val="00042D21"/>
    <w:rsid w:val="0004338A"/>
    <w:rsid w:val="00043B9F"/>
    <w:rsid w:val="00044162"/>
    <w:rsid w:val="00044463"/>
    <w:rsid w:val="00044580"/>
    <w:rsid w:val="00044929"/>
    <w:rsid w:val="000457FF"/>
    <w:rsid w:val="000463B5"/>
    <w:rsid w:val="0004674D"/>
    <w:rsid w:val="00047983"/>
    <w:rsid w:val="000504DA"/>
    <w:rsid w:val="00051888"/>
    <w:rsid w:val="00053590"/>
    <w:rsid w:val="00053912"/>
    <w:rsid w:val="00053E11"/>
    <w:rsid w:val="00054503"/>
    <w:rsid w:val="00054B64"/>
    <w:rsid w:val="00054C2B"/>
    <w:rsid w:val="0005507A"/>
    <w:rsid w:val="0005578B"/>
    <w:rsid w:val="000566A6"/>
    <w:rsid w:val="00056E3B"/>
    <w:rsid w:val="000578F1"/>
    <w:rsid w:val="00060780"/>
    <w:rsid w:val="000624D2"/>
    <w:rsid w:val="0006266F"/>
    <w:rsid w:val="00062AC0"/>
    <w:rsid w:val="00065340"/>
    <w:rsid w:val="000655A2"/>
    <w:rsid w:val="000661AA"/>
    <w:rsid w:val="000665F6"/>
    <w:rsid w:val="00070975"/>
    <w:rsid w:val="0007157B"/>
    <w:rsid w:val="00071D92"/>
    <w:rsid w:val="0007207F"/>
    <w:rsid w:val="00072084"/>
    <w:rsid w:val="000768DD"/>
    <w:rsid w:val="00076AD8"/>
    <w:rsid w:val="00080011"/>
    <w:rsid w:val="00080F56"/>
    <w:rsid w:val="00080F5B"/>
    <w:rsid w:val="000823DA"/>
    <w:rsid w:val="000826A2"/>
    <w:rsid w:val="000828A5"/>
    <w:rsid w:val="00084584"/>
    <w:rsid w:val="000845AC"/>
    <w:rsid w:val="000856F7"/>
    <w:rsid w:val="00085B34"/>
    <w:rsid w:val="00085F44"/>
    <w:rsid w:val="000872AB"/>
    <w:rsid w:val="00090B29"/>
    <w:rsid w:val="000910CD"/>
    <w:rsid w:val="000917A5"/>
    <w:rsid w:val="00091F86"/>
    <w:rsid w:val="00091FD5"/>
    <w:rsid w:val="00092B94"/>
    <w:rsid w:val="00092D6C"/>
    <w:rsid w:val="00092ED2"/>
    <w:rsid w:val="000938CE"/>
    <w:rsid w:val="0009416D"/>
    <w:rsid w:val="0009528D"/>
    <w:rsid w:val="000952EA"/>
    <w:rsid w:val="00095651"/>
    <w:rsid w:val="00095A5F"/>
    <w:rsid w:val="00095E27"/>
    <w:rsid w:val="000973DE"/>
    <w:rsid w:val="000977F1"/>
    <w:rsid w:val="00097BF3"/>
    <w:rsid w:val="00097F21"/>
    <w:rsid w:val="000A0A79"/>
    <w:rsid w:val="000A0C8D"/>
    <w:rsid w:val="000A1087"/>
    <w:rsid w:val="000A1BB6"/>
    <w:rsid w:val="000A2BDD"/>
    <w:rsid w:val="000A2C45"/>
    <w:rsid w:val="000A32F6"/>
    <w:rsid w:val="000A4900"/>
    <w:rsid w:val="000A4C97"/>
    <w:rsid w:val="000A4DF4"/>
    <w:rsid w:val="000A52B1"/>
    <w:rsid w:val="000A6502"/>
    <w:rsid w:val="000A6667"/>
    <w:rsid w:val="000A6A43"/>
    <w:rsid w:val="000B0F4A"/>
    <w:rsid w:val="000B1371"/>
    <w:rsid w:val="000B5CD9"/>
    <w:rsid w:val="000B64DE"/>
    <w:rsid w:val="000B7494"/>
    <w:rsid w:val="000B79D5"/>
    <w:rsid w:val="000C1AE5"/>
    <w:rsid w:val="000C2718"/>
    <w:rsid w:val="000C33CC"/>
    <w:rsid w:val="000C37C0"/>
    <w:rsid w:val="000C3DC8"/>
    <w:rsid w:val="000C4004"/>
    <w:rsid w:val="000C5B69"/>
    <w:rsid w:val="000C615C"/>
    <w:rsid w:val="000C687D"/>
    <w:rsid w:val="000C6D3F"/>
    <w:rsid w:val="000C7FBE"/>
    <w:rsid w:val="000D01D0"/>
    <w:rsid w:val="000D0FE4"/>
    <w:rsid w:val="000D447A"/>
    <w:rsid w:val="000D5082"/>
    <w:rsid w:val="000D5A26"/>
    <w:rsid w:val="000D709A"/>
    <w:rsid w:val="000D79D1"/>
    <w:rsid w:val="000D7C23"/>
    <w:rsid w:val="000E06E6"/>
    <w:rsid w:val="000E150C"/>
    <w:rsid w:val="000E33E7"/>
    <w:rsid w:val="000E4238"/>
    <w:rsid w:val="000E44C0"/>
    <w:rsid w:val="000E47B3"/>
    <w:rsid w:val="000E483E"/>
    <w:rsid w:val="000E4AB9"/>
    <w:rsid w:val="000E4D06"/>
    <w:rsid w:val="000E5786"/>
    <w:rsid w:val="000E5B2A"/>
    <w:rsid w:val="000E6320"/>
    <w:rsid w:val="000E643C"/>
    <w:rsid w:val="000F063D"/>
    <w:rsid w:val="000F2196"/>
    <w:rsid w:val="000F2F01"/>
    <w:rsid w:val="000F3029"/>
    <w:rsid w:val="000F31CE"/>
    <w:rsid w:val="000F392C"/>
    <w:rsid w:val="000F3BBF"/>
    <w:rsid w:val="000F515A"/>
    <w:rsid w:val="000F524B"/>
    <w:rsid w:val="000F5894"/>
    <w:rsid w:val="000F5AEB"/>
    <w:rsid w:val="000F5E9F"/>
    <w:rsid w:val="000F70E9"/>
    <w:rsid w:val="000F712D"/>
    <w:rsid w:val="00101285"/>
    <w:rsid w:val="001023C3"/>
    <w:rsid w:val="00102659"/>
    <w:rsid w:val="00102986"/>
    <w:rsid w:val="001031F3"/>
    <w:rsid w:val="001035CB"/>
    <w:rsid w:val="00103FE0"/>
    <w:rsid w:val="001043B7"/>
    <w:rsid w:val="0010517F"/>
    <w:rsid w:val="00105515"/>
    <w:rsid w:val="001055EE"/>
    <w:rsid w:val="001056A2"/>
    <w:rsid w:val="00106340"/>
    <w:rsid w:val="00106DC5"/>
    <w:rsid w:val="00107616"/>
    <w:rsid w:val="00107DBD"/>
    <w:rsid w:val="00111BC9"/>
    <w:rsid w:val="0011302F"/>
    <w:rsid w:val="001152BF"/>
    <w:rsid w:val="0011639D"/>
    <w:rsid w:val="00116A44"/>
    <w:rsid w:val="00116C83"/>
    <w:rsid w:val="001200BB"/>
    <w:rsid w:val="00121463"/>
    <w:rsid w:val="001217EA"/>
    <w:rsid w:val="00122ED3"/>
    <w:rsid w:val="0012336E"/>
    <w:rsid w:val="00124524"/>
    <w:rsid w:val="00124CC1"/>
    <w:rsid w:val="001273FE"/>
    <w:rsid w:val="00127C33"/>
    <w:rsid w:val="00131C34"/>
    <w:rsid w:val="00132C42"/>
    <w:rsid w:val="001330E1"/>
    <w:rsid w:val="00133281"/>
    <w:rsid w:val="00133F3B"/>
    <w:rsid w:val="00133F3F"/>
    <w:rsid w:val="00134E1B"/>
    <w:rsid w:val="0013698A"/>
    <w:rsid w:val="001377A1"/>
    <w:rsid w:val="00140284"/>
    <w:rsid w:val="001407ED"/>
    <w:rsid w:val="0014160E"/>
    <w:rsid w:val="00142F09"/>
    <w:rsid w:val="00143060"/>
    <w:rsid w:val="0014385E"/>
    <w:rsid w:val="001439BA"/>
    <w:rsid w:val="001441FA"/>
    <w:rsid w:val="0014461D"/>
    <w:rsid w:val="0014498D"/>
    <w:rsid w:val="00144F78"/>
    <w:rsid w:val="001451B3"/>
    <w:rsid w:val="001451C9"/>
    <w:rsid w:val="001452CA"/>
    <w:rsid w:val="00145D75"/>
    <w:rsid w:val="0014675B"/>
    <w:rsid w:val="00146F34"/>
    <w:rsid w:val="00147AD2"/>
    <w:rsid w:val="0015384D"/>
    <w:rsid w:val="00154813"/>
    <w:rsid w:val="00154A53"/>
    <w:rsid w:val="00154DBD"/>
    <w:rsid w:val="00154F24"/>
    <w:rsid w:val="00156248"/>
    <w:rsid w:val="00156611"/>
    <w:rsid w:val="00156A32"/>
    <w:rsid w:val="0015766A"/>
    <w:rsid w:val="0016010F"/>
    <w:rsid w:val="00160C0B"/>
    <w:rsid w:val="00160C6C"/>
    <w:rsid w:val="001611A9"/>
    <w:rsid w:val="001617FA"/>
    <w:rsid w:val="00161AA6"/>
    <w:rsid w:val="00162EEF"/>
    <w:rsid w:val="00163227"/>
    <w:rsid w:val="001633B6"/>
    <w:rsid w:val="00164D88"/>
    <w:rsid w:val="00164E6F"/>
    <w:rsid w:val="0016596C"/>
    <w:rsid w:val="00165CA4"/>
    <w:rsid w:val="0016652C"/>
    <w:rsid w:val="001678AA"/>
    <w:rsid w:val="00167C55"/>
    <w:rsid w:val="00167EC2"/>
    <w:rsid w:val="00170789"/>
    <w:rsid w:val="00170DD0"/>
    <w:rsid w:val="00170F8D"/>
    <w:rsid w:val="00171612"/>
    <w:rsid w:val="0017219C"/>
    <w:rsid w:val="00172607"/>
    <w:rsid w:val="00173384"/>
    <w:rsid w:val="00173B89"/>
    <w:rsid w:val="00174EB5"/>
    <w:rsid w:val="001751D9"/>
    <w:rsid w:val="00176170"/>
    <w:rsid w:val="00176B27"/>
    <w:rsid w:val="001773EB"/>
    <w:rsid w:val="001778BA"/>
    <w:rsid w:val="00177B3E"/>
    <w:rsid w:val="00180A43"/>
    <w:rsid w:val="00183ACA"/>
    <w:rsid w:val="00184892"/>
    <w:rsid w:val="00184DEE"/>
    <w:rsid w:val="00185080"/>
    <w:rsid w:val="00185941"/>
    <w:rsid w:val="00185BAB"/>
    <w:rsid w:val="001867D6"/>
    <w:rsid w:val="001868D7"/>
    <w:rsid w:val="00186A44"/>
    <w:rsid w:val="00187485"/>
    <w:rsid w:val="00190143"/>
    <w:rsid w:val="00190236"/>
    <w:rsid w:val="001915CB"/>
    <w:rsid w:val="00191A61"/>
    <w:rsid w:val="00192246"/>
    <w:rsid w:val="00196B7C"/>
    <w:rsid w:val="00196D64"/>
    <w:rsid w:val="001977CE"/>
    <w:rsid w:val="001A024C"/>
    <w:rsid w:val="001A10DC"/>
    <w:rsid w:val="001A1840"/>
    <w:rsid w:val="001A1D3D"/>
    <w:rsid w:val="001A2D3A"/>
    <w:rsid w:val="001A3C39"/>
    <w:rsid w:val="001A4F89"/>
    <w:rsid w:val="001A673A"/>
    <w:rsid w:val="001A76E9"/>
    <w:rsid w:val="001B228C"/>
    <w:rsid w:val="001B322D"/>
    <w:rsid w:val="001B3335"/>
    <w:rsid w:val="001B3ABB"/>
    <w:rsid w:val="001B3B93"/>
    <w:rsid w:val="001B4A67"/>
    <w:rsid w:val="001B4B0E"/>
    <w:rsid w:val="001B4EA3"/>
    <w:rsid w:val="001B575A"/>
    <w:rsid w:val="001B57B3"/>
    <w:rsid w:val="001B5D90"/>
    <w:rsid w:val="001C006E"/>
    <w:rsid w:val="001C008E"/>
    <w:rsid w:val="001C03DF"/>
    <w:rsid w:val="001C1008"/>
    <w:rsid w:val="001C1F02"/>
    <w:rsid w:val="001C40E9"/>
    <w:rsid w:val="001C4A0A"/>
    <w:rsid w:val="001C75FB"/>
    <w:rsid w:val="001D013D"/>
    <w:rsid w:val="001D129B"/>
    <w:rsid w:val="001D1DBB"/>
    <w:rsid w:val="001D2512"/>
    <w:rsid w:val="001D2812"/>
    <w:rsid w:val="001D2BF1"/>
    <w:rsid w:val="001D32C3"/>
    <w:rsid w:val="001D3527"/>
    <w:rsid w:val="001D66AD"/>
    <w:rsid w:val="001D6F3B"/>
    <w:rsid w:val="001D756B"/>
    <w:rsid w:val="001E24BF"/>
    <w:rsid w:val="001E2BEE"/>
    <w:rsid w:val="001E30C1"/>
    <w:rsid w:val="001E59E3"/>
    <w:rsid w:val="001E6567"/>
    <w:rsid w:val="001E6E9D"/>
    <w:rsid w:val="001E72C4"/>
    <w:rsid w:val="001E77CF"/>
    <w:rsid w:val="001F070D"/>
    <w:rsid w:val="001F09F5"/>
    <w:rsid w:val="001F113B"/>
    <w:rsid w:val="001F127A"/>
    <w:rsid w:val="001F2BAB"/>
    <w:rsid w:val="001F36AD"/>
    <w:rsid w:val="001F3AC0"/>
    <w:rsid w:val="001F3EB4"/>
    <w:rsid w:val="001F4095"/>
    <w:rsid w:val="001F52D4"/>
    <w:rsid w:val="001F5684"/>
    <w:rsid w:val="001F58C7"/>
    <w:rsid w:val="001F5C5A"/>
    <w:rsid w:val="001F68E8"/>
    <w:rsid w:val="001F6AD0"/>
    <w:rsid w:val="001F7FA5"/>
    <w:rsid w:val="0020019C"/>
    <w:rsid w:val="0020040A"/>
    <w:rsid w:val="00200477"/>
    <w:rsid w:val="00200839"/>
    <w:rsid w:val="00200919"/>
    <w:rsid w:val="00200E51"/>
    <w:rsid w:val="00202A5B"/>
    <w:rsid w:val="00202A7C"/>
    <w:rsid w:val="00203CD5"/>
    <w:rsid w:val="00206485"/>
    <w:rsid w:val="00207DE5"/>
    <w:rsid w:val="0021021A"/>
    <w:rsid w:val="00211C56"/>
    <w:rsid w:val="00213653"/>
    <w:rsid w:val="0021383C"/>
    <w:rsid w:val="002149FD"/>
    <w:rsid w:val="00215092"/>
    <w:rsid w:val="00215690"/>
    <w:rsid w:val="002173D0"/>
    <w:rsid w:val="002178B1"/>
    <w:rsid w:val="002225DC"/>
    <w:rsid w:val="00222EBB"/>
    <w:rsid w:val="0022312F"/>
    <w:rsid w:val="00224951"/>
    <w:rsid w:val="0022496F"/>
    <w:rsid w:val="00226545"/>
    <w:rsid w:val="002268BD"/>
    <w:rsid w:val="002268D7"/>
    <w:rsid w:val="00227030"/>
    <w:rsid w:val="002275F9"/>
    <w:rsid w:val="00227CD7"/>
    <w:rsid w:val="002307CA"/>
    <w:rsid w:val="00231AB9"/>
    <w:rsid w:val="00231CAE"/>
    <w:rsid w:val="00231F4F"/>
    <w:rsid w:val="00232C03"/>
    <w:rsid w:val="002332F2"/>
    <w:rsid w:val="0023355D"/>
    <w:rsid w:val="00233F81"/>
    <w:rsid w:val="002356C5"/>
    <w:rsid w:val="00235913"/>
    <w:rsid w:val="00235C78"/>
    <w:rsid w:val="002371B9"/>
    <w:rsid w:val="002374C8"/>
    <w:rsid w:val="0024027A"/>
    <w:rsid w:val="00240DB9"/>
    <w:rsid w:val="0024166E"/>
    <w:rsid w:val="002417A8"/>
    <w:rsid w:val="00242853"/>
    <w:rsid w:val="00243C5A"/>
    <w:rsid w:val="00244223"/>
    <w:rsid w:val="0024441A"/>
    <w:rsid w:val="00244513"/>
    <w:rsid w:val="00244E0B"/>
    <w:rsid w:val="00244E52"/>
    <w:rsid w:val="0024507A"/>
    <w:rsid w:val="00246FEC"/>
    <w:rsid w:val="00247693"/>
    <w:rsid w:val="0025029E"/>
    <w:rsid w:val="002517F8"/>
    <w:rsid w:val="00251ECF"/>
    <w:rsid w:val="00253137"/>
    <w:rsid w:val="0025390D"/>
    <w:rsid w:val="00255086"/>
    <w:rsid w:val="00255615"/>
    <w:rsid w:val="0025625F"/>
    <w:rsid w:val="00256F90"/>
    <w:rsid w:val="0025756A"/>
    <w:rsid w:val="00257AA3"/>
    <w:rsid w:val="00263518"/>
    <w:rsid w:val="0026408E"/>
    <w:rsid w:val="0026415F"/>
    <w:rsid w:val="00264555"/>
    <w:rsid w:val="002645A3"/>
    <w:rsid w:val="00264D48"/>
    <w:rsid w:val="002657D6"/>
    <w:rsid w:val="00265845"/>
    <w:rsid w:val="00266312"/>
    <w:rsid w:val="00267DC1"/>
    <w:rsid w:val="00272A25"/>
    <w:rsid w:val="00272B37"/>
    <w:rsid w:val="00273582"/>
    <w:rsid w:val="00274A8A"/>
    <w:rsid w:val="002825DD"/>
    <w:rsid w:val="00282C84"/>
    <w:rsid w:val="002838A0"/>
    <w:rsid w:val="00283A4B"/>
    <w:rsid w:val="002849DC"/>
    <w:rsid w:val="00284B83"/>
    <w:rsid w:val="00284D23"/>
    <w:rsid w:val="002866C9"/>
    <w:rsid w:val="00287BA2"/>
    <w:rsid w:val="00287FD4"/>
    <w:rsid w:val="00292279"/>
    <w:rsid w:val="00293F2A"/>
    <w:rsid w:val="00294003"/>
    <w:rsid w:val="002945E5"/>
    <w:rsid w:val="002960ED"/>
    <w:rsid w:val="00296736"/>
    <w:rsid w:val="002972C3"/>
    <w:rsid w:val="0029749C"/>
    <w:rsid w:val="00297535"/>
    <w:rsid w:val="00297FA1"/>
    <w:rsid w:val="002A003F"/>
    <w:rsid w:val="002A0C86"/>
    <w:rsid w:val="002A1FF3"/>
    <w:rsid w:val="002A49ED"/>
    <w:rsid w:val="002A4CA6"/>
    <w:rsid w:val="002A5921"/>
    <w:rsid w:val="002A62E6"/>
    <w:rsid w:val="002A79B1"/>
    <w:rsid w:val="002B00BE"/>
    <w:rsid w:val="002B0957"/>
    <w:rsid w:val="002B25C4"/>
    <w:rsid w:val="002B3D95"/>
    <w:rsid w:val="002B5C9F"/>
    <w:rsid w:val="002B7868"/>
    <w:rsid w:val="002B7F80"/>
    <w:rsid w:val="002C0679"/>
    <w:rsid w:val="002C19AA"/>
    <w:rsid w:val="002C34CA"/>
    <w:rsid w:val="002C3730"/>
    <w:rsid w:val="002C4612"/>
    <w:rsid w:val="002C4B06"/>
    <w:rsid w:val="002C5B17"/>
    <w:rsid w:val="002C6251"/>
    <w:rsid w:val="002C7FE0"/>
    <w:rsid w:val="002D3D8A"/>
    <w:rsid w:val="002D4475"/>
    <w:rsid w:val="002D466A"/>
    <w:rsid w:val="002D5045"/>
    <w:rsid w:val="002D524F"/>
    <w:rsid w:val="002D5656"/>
    <w:rsid w:val="002E1288"/>
    <w:rsid w:val="002E13CD"/>
    <w:rsid w:val="002E1674"/>
    <w:rsid w:val="002E1E86"/>
    <w:rsid w:val="002E337B"/>
    <w:rsid w:val="002E486E"/>
    <w:rsid w:val="002E4C10"/>
    <w:rsid w:val="002E52A9"/>
    <w:rsid w:val="002E66E1"/>
    <w:rsid w:val="002E69F4"/>
    <w:rsid w:val="002E6C23"/>
    <w:rsid w:val="002E74DD"/>
    <w:rsid w:val="002E7595"/>
    <w:rsid w:val="002E75BF"/>
    <w:rsid w:val="002E76E3"/>
    <w:rsid w:val="002E7BE6"/>
    <w:rsid w:val="002E7ED5"/>
    <w:rsid w:val="002F100D"/>
    <w:rsid w:val="002F15A4"/>
    <w:rsid w:val="002F1D2E"/>
    <w:rsid w:val="002F2E1E"/>
    <w:rsid w:val="002F3134"/>
    <w:rsid w:val="002F360C"/>
    <w:rsid w:val="002F461B"/>
    <w:rsid w:val="002F498A"/>
    <w:rsid w:val="002F527D"/>
    <w:rsid w:val="002F5379"/>
    <w:rsid w:val="002F5F88"/>
    <w:rsid w:val="002F7111"/>
    <w:rsid w:val="00301065"/>
    <w:rsid w:val="00302122"/>
    <w:rsid w:val="00304217"/>
    <w:rsid w:val="00305B80"/>
    <w:rsid w:val="00306120"/>
    <w:rsid w:val="00306631"/>
    <w:rsid w:val="0030694B"/>
    <w:rsid w:val="003072DE"/>
    <w:rsid w:val="00307A48"/>
    <w:rsid w:val="003110CA"/>
    <w:rsid w:val="00313952"/>
    <w:rsid w:val="00317F5F"/>
    <w:rsid w:val="00320945"/>
    <w:rsid w:val="00320A47"/>
    <w:rsid w:val="003212A5"/>
    <w:rsid w:val="0032155C"/>
    <w:rsid w:val="003216A9"/>
    <w:rsid w:val="003218A8"/>
    <w:rsid w:val="00322DB9"/>
    <w:rsid w:val="003239BF"/>
    <w:rsid w:val="00323A73"/>
    <w:rsid w:val="00324B08"/>
    <w:rsid w:val="00324BA0"/>
    <w:rsid w:val="003253AE"/>
    <w:rsid w:val="00325EAF"/>
    <w:rsid w:val="003269E2"/>
    <w:rsid w:val="00326FDC"/>
    <w:rsid w:val="003310F5"/>
    <w:rsid w:val="003311B2"/>
    <w:rsid w:val="003316B2"/>
    <w:rsid w:val="0033188D"/>
    <w:rsid w:val="0033261D"/>
    <w:rsid w:val="00332B3E"/>
    <w:rsid w:val="00333353"/>
    <w:rsid w:val="00333723"/>
    <w:rsid w:val="00334426"/>
    <w:rsid w:val="0033584E"/>
    <w:rsid w:val="00335BDB"/>
    <w:rsid w:val="003365AD"/>
    <w:rsid w:val="00337C49"/>
    <w:rsid w:val="00337D2B"/>
    <w:rsid w:val="00341028"/>
    <w:rsid w:val="00341804"/>
    <w:rsid w:val="00341CAB"/>
    <w:rsid w:val="00344232"/>
    <w:rsid w:val="00344ECA"/>
    <w:rsid w:val="00344F76"/>
    <w:rsid w:val="00345AAB"/>
    <w:rsid w:val="0034604D"/>
    <w:rsid w:val="003464C6"/>
    <w:rsid w:val="00347194"/>
    <w:rsid w:val="00347EDC"/>
    <w:rsid w:val="00351A98"/>
    <w:rsid w:val="00351AA9"/>
    <w:rsid w:val="00352576"/>
    <w:rsid w:val="00355463"/>
    <w:rsid w:val="0035548C"/>
    <w:rsid w:val="0035673A"/>
    <w:rsid w:val="0035702B"/>
    <w:rsid w:val="003574EA"/>
    <w:rsid w:val="00360C2C"/>
    <w:rsid w:val="003614A4"/>
    <w:rsid w:val="00361605"/>
    <w:rsid w:val="00363F69"/>
    <w:rsid w:val="003643AB"/>
    <w:rsid w:val="00364923"/>
    <w:rsid w:val="00364B1D"/>
    <w:rsid w:val="003651DF"/>
    <w:rsid w:val="003656B8"/>
    <w:rsid w:val="0036653C"/>
    <w:rsid w:val="00366D76"/>
    <w:rsid w:val="0036738E"/>
    <w:rsid w:val="00371083"/>
    <w:rsid w:val="00371805"/>
    <w:rsid w:val="003719F5"/>
    <w:rsid w:val="00371E7D"/>
    <w:rsid w:val="00372298"/>
    <w:rsid w:val="0037631D"/>
    <w:rsid w:val="003770FF"/>
    <w:rsid w:val="00377E48"/>
    <w:rsid w:val="00380084"/>
    <w:rsid w:val="003801A3"/>
    <w:rsid w:val="00380AB4"/>
    <w:rsid w:val="00381A6F"/>
    <w:rsid w:val="00382142"/>
    <w:rsid w:val="003827AD"/>
    <w:rsid w:val="00382CD8"/>
    <w:rsid w:val="00383AF7"/>
    <w:rsid w:val="003845F0"/>
    <w:rsid w:val="0038471F"/>
    <w:rsid w:val="00384BD0"/>
    <w:rsid w:val="00384DE4"/>
    <w:rsid w:val="003858B1"/>
    <w:rsid w:val="00385952"/>
    <w:rsid w:val="0038632A"/>
    <w:rsid w:val="00387F74"/>
    <w:rsid w:val="00390A55"/>
    <w:rsid w:val="0039179D"/>
    <w:rsid w:val="003917F0"/>
    <w:rsid w:val="00391C56"/>
    <w:rsid w:val="00392082"/>
    <w:rsid w:val="00392B20"/>
    <w:rsid w:val="00392BAC"/>
    <w:rsid w:val="00392CA3"/>
    <w:rsid w:val="00394184"/>
    <w:rsid w:val="00394665"/>
    <w:rsid w:val="0039584F"/>
    <w:rsid w:val="00396C68"/>
    <w:rsid w:val="003972AB"/>
    <w:rsid w:val="003A1004"/>
    <w:rsid w:val="003A1EFE"/>
    <w:rsid w:val="003A24ED"/>
    <w:rsid w:val="003A2BFE"/>
    <w:rsid w:val="003A4265"/>
    <w:rsid w:val="003A4C14"/>
    <w:rsid w:val="003A4FD3"/>
    <w:rsid w:val="003A68A1"/>
    <w:rsid w:val="003A7AA7"/>
    <w:rsid w:val="003A7E65"/>
    <w:rsid w:val="003B0573"/>
    <w:rsid w:val="003B0641"/>
    <w:rsid w:val="003B10D1"/>
    <w:rsid w:val="003B1725"/>
    <w:rsid w:val="003B29B2"/>
    <w:rsid w:val="003B3131"/>
    <w:rsid w:val="003B38CA"/>
    <w:rsid w:val="003B3CF2"/>
    <w:rsid w:val="003B3D0B"/>
    <w:rsid w:val="003B6F19"/>
    <w:rsid w:val="003B7406"/>
    <w:rsid w:val="003B795A"/>
    <w:rsid w:val="003C0F9E"/>
    <w:rsid w:val="003C12DB"/>
    <w:rsid w:val="003C1E38"/>
    <w:rsid w:val="003C2802"/>
    <w:rsid w:val="003C28D8"/>
    <w:rsid w:val="003C2BCE"/>
    <w:rsid w:val="003C37B4"/>
    <w:rsid w:val="003C4E57"/>
    <w:rsid w:val="003C5364"/>
    <w:rsid w:val="003C54C8"/>
    <w:rsid w:val="003C65A3"/>
    <w:rsid w:val="003C782E"/>
    <w:rsid w:val="003D0409"/>
    <w:rsid w:val="003D11EE"/>
    <w:rsid w:val="003D1AF2"/>
    <w:rsid w:val="003D1FFE"/>
    <w:rsid w:val="003D2A59"/>
    <w:rsid w:val="003D2B44"/>
    <w:rsid w:val="003D4295"/>
    <w:rsid w:val="003D4854"/>
    <w:rsid w:val="003D4A95"/>
    <w:rsid w:val="003D50FE"/>
    <w:rsid w:val="003D5C11"/>
    <w:rsid w:val="003D66BD"/>
    <w:rsid w:val="003D6E75"/>
    <w:rsid w:val="003E0225"/>
    <w:rsid w:val="003E0996"/>
    <w:rsid w:val="003E0D5D"/>
    <w:rsid w:val="003E28D5"/>
    <w:rsid w:val="003E31A2"/>
    <w:rsid w:val="003E3846"/>
    <w:rsid w:val="003E408B"/>
    <w:rsid w:val="003E41BA"/>
    <w:rsid w:val="003E42BA"/>
    <w:rsid w:val="003E5ED0"/>
    <w:rsid w:val="003E71C9"/>
    <w:rsid w:val="003E740E"/>
    <w:rsid w:val="003E7967"/>
    <w:rsid w:val="003E7E64"/>
    <w:rsid w:val="003F284A"/>
    <w:rsid w:val="003F33A0"/>
    <w:rsid w:val="003F3B34"/>
    <w:rsid w:val="003F493B"/>
    <w:rsid w:val="003F6583"/>
    <w:rsid w:val="003F672F"/>
    <w:rsid w:val="003F69DC"/>
    <w:rsid w:val="003F6A0B"/>
    <w:rsid w:val="003F7009"/>
    <w:rsid w:val="003F761C"/>
    <w:rsid w:val="003F77AC"/>
    <w:rsid w:val="003F7DEA"/>
    <w:rsid w:val="00401842"/>
    <w:rsid w:val="0040213B"/>
    <w:rsid w:val="00402F84"/>
    <w:rsid w:val="00403099"/>
    <w:rsid w:val="00403408"/>
    <w:rsid w:val="004043E5"/>
    <w:rsid w:val="004045AB"/>
    <w:rsid w:val="00405703"/>
    <w:rsid w:val="004061FB"/>
    <w:rsid w:val="0040650A"/>
    <w:rsid w:val="00407D60"/>
    <w:rsid w:val="004115BD"/>
    <w:rsid w:val="0041185C"/>
    <w:rsid w:val="00412EC9"/>
    <w:rsid w:val="00414105"/>
    <w:rsid w:val="00414E09"/>
    <w:rsid w:val="00414FA4"/>
    <w:rsid w:val="00415AFF"/>
    <w:rsid w:val="00415D08"/>
    <w:rsid w:val="00415D3A"/>
    <w:rsid w:val="00420F9B"/>
    <w:rsid w:val="00421032"/>
    <w:rsid w:val="00422820"/>
    <w:rsid w:val="0042302B"/>
    <w:rsid w:val="0042468B"/>
    <w:rsid w:val="00425BAB"/>
    <w:rsid w:val="00426ADD"/>
    <w:rsid w:val="004276B1"/>
    <w:rsid w:val="00427B50"/>
    <w:rsid w:val="004309AC"/>
    <w:rsid w:val="004325C0"/>
    <w:rsid w:val="004340F4"/>
    <w:rsid w:val="00435993"/>
    <w:rsid w:val="00435DE8"/>
    <w:rsid w:val="00436990"/>
    <w:rsid w:val="00440973"/>
    <w:rsid w:val="00442615"/>
    <w:rsid w:val="00442F76"/>
    <w:rsid w:val="00443782"/>
    <w:rsid w:val="00444305"/>
    <w:rsid w:val="00445B30"/>
    <w:rsid w:val="004461AE"/>
    <w:rsid w:val="00446A84"/>
    <w:rsid w:val="004500E7"/>
    <w:rsid w:val="004504B4"/>
    <w:rsid w:val="004508C1"/>
    <w:rsid w:val="00450F3A"/>
    <w:rsid w:val="00452750"/>
    <w:rsid w:val="004533F2"/>
    <w:rsid w:val="00455A2F"/>
    <w:rsid w:val="00463B54"/>
    <w:rsid w:val="00464547"/>
    <w:rsid w:val="004652C2"/>
    <w:rsid w:val="004653AA"/>
    <w:rsid w:val="0046668A"/>
    <w:rsid w:val="004675CD"/>
    <w:rsid w:val="00467884"/>
    <w:rsid w:val="0047091E"/>
    <w:rsid w:val="00472924"/>
    <w:rsid w:val="00473523"/>
    <w:rsid w:val="00473D36"/>
    <w:rsid w:val="00473F26"/>
    <w:rsid w:val="00475B8A"/>
    <w:rsid w:val="0047617F"/>
    <w:rsid w:val="0047635D"/>
    <w:rsid w:val="004764DC"/>
    <w:rsid w:val="00476A68"/>
    <w:rsid w:val="00476C2E"/>
    <w:rsid w:val="00477055"/>
    <w:rsid w:val="00480787"/>
    <w:rsid w:val="00480CBE"/>
    <w:rsid w:val="004810B8"/>
    <w:rsid w:val="004811E4"/>
    <w:rsid w:val="00481B16"/>
    <w:rsid w:val="00481FF1"/>
    <w:rsid w:val="00482A30"/>
    <w:rsid w:val="00483DE4"/>
    <w:rsid w:val="00484A84"/>
    <w:rsid w:val="004850CB"/>
    <w:rsid w:val="00485499"/>
    <w:rsid w:val="00485938"/>
    <w:rsid w:val="00485D46"/>
    <w:rsid w:val="00486B83"/>
    <w:rsid w:val="0049019C"/>
    <w:rsid w:val="00490B66"/>
    <w:rsid w:val="00490CBD"/>
    <w:rsid w:val="00491281"/>
    <w:rsid w:val="00491916"/>
    <w:rsid w:val="00492362"/>
    <w:rsid w:val="00492F49"/>
    <w:rsid w:val="004930C2"/>
    <w:rsid w:val="00493C90"/>
    <w:rsid w:val="00494F99"/>
    <w:rsid w:val="004A017B"/>
    <w:rsid w:val="004A09BD"/>
    <w:rsid w:val="004A131B"/>
    <w:rsid w:val="004A16AC"/>
    <w:rsid w:val="004A1875"/>
    <w:rsid w:val="004A218F"/>
    <w:rsid w:val="004A2BF9"/>
    <w:rsid w:val="004A36E5"/>
    <w:rsid w:val="004A40C7"/>
    <w:rsid w:val="004A5167"/>
    <w:rsid w:val="004A522D"/>
    <w:rsid w:val="004A625D"/>
    <w:rsid w:val="004B16F0"/>
    <w:rsid w:val="004B1752"/>
    <w:rsid w:val="004B186F"/>
    <w:rsid w:val="004B45C6"/>
    <w:rsid w:val="004B45D2"/>
    <w:rsid w:val="004B5EB0"/>
    <w:rsid w:val="004B71D3"/>
    <w:rsid w:val="004B79D0"/>
    <w:rsid w:val="004C0426"/>
    <w:rsid w:val="004C095A"/>
    <w:rsid w:val="004C09BF"/>
    <w:rsid w:val="004C0EE1"/>
    <w:rsid w:val="004C1857"/>
    <w:rsid w:val="004C191A"/>
    <w:rsid w:val="004C215F"/>
    <w:rsid w:val="004C2270"/>
    <w:rsid w:val="004C2686"/>
    <w:rsid w:val="004C2E93"/>
    <w:rsid w:val="004C420F"/>
    <w:rsid w:val="004C7D31"/>
    <w:rsid w:val="004C7DB4"/>
    <w:rsid w:val="004D02A3"/>
    <w:rsid w:val="004D04DD"/>
    <w:rsid w:val="004D12B7"/>
    <w:rsid w:val="004D18D5"/>
    <w:rsid w:val="004D1A35"/>
    <w:rsid w:val="004D2993"/>
    <w:rsid w:val="004D2F10"/>
    <w:rsid w:val="004D41D2"/>
    <w:rsid w:val="004D44F5"/>
    <w:rsid w:val="004D51F0"/>
    <w:rsid w:val="004D575C"/>
    <w:rsid w:val="004D6D1E"/>
    <w:rsid w:val="004E1A0A"/>
    <w:rsid w:val="004E1C94"/>
    <w:rsid w:val="004E1EAC"/>
    <w:rsid w:val="004E30B3"/>
    <w:rsid w:val="004E40F4"/>
    <w:rsid w:val="004E5B64"/>
    <w:rsid w:val="004E6C74"/>
    <w:rsid w:val="004E7396"/>
    <w:rsid w:val="004F0476"/>
    <w:rsid w:val="004F0D64"/>
    <w:rsid w:val="004F104B"/>
    <w:rsid w:val="004F1A8E"/>
    <w:rsid w:val="004F2333"/>
    <w:rsid w:val="004F3119"/>
    <w:rsid w:val="004F3121"/>
    <w:rsid w:val="004F544C"/>
    <w:rsid w:val="004F5BEF"/>
    <w:rsid w:val="004F6389"/>
    <w:rsid w:val="00501E75"/>
    <w:rsid w:val="005020E1"/>
    <w:rsid w:val="00502787"/>
    <w:rsid w:val="00502D4A"/>
    <w:rsid w:val="00503FAF"/>
    <w:rsid w:val="00504F51"/>
    <w:rsid w:val="0050596A"/>
    <w:rsid w:val="00505A7B"/>
    <w:rsid w:val="00506114"/>
    <w:rsid w:val="00506FEF"/>
    <w:rsid w:val="0050786B"/>
    <w:rsid w:val="005078AE"/>
    <w:rsid w:val="00507EA4"/>
    <w:rsid w:val="005103DE"/>
    <w:rsid w:val="005118A7"/>
    <w:rsid w:val="00511C6E"/>
    <w:rsid w:val="005122DE"/>
    <w:rsid w:val="0051339D"/>
    <w:rsid w:val="00514588"/>
    <w:rsid w:val="005156B9"/>
    <w:rsid w:val="00516BDC"/>
    <w:rsid w:val="00520F92"/>
    <w:rsid w:val="0052393D"/>
    <w:rsid w:val="00525AA9"/>
    <w:rsid w:val="00525D84"/>
    <w:rsid w:val="0052662F"/>
    <w:rsid w:val="0052754C"/>
    <w:rsid w:val="00527685"/>
    <w:rsid w:val="00527A1D"/>
    <w:rsid w:val="00530BB8"/>
    <w:rsid w:val="00532053"/>
    <w:rsid w:val="00532697"/>
    <w:rsid w:val="005326B0"/>
    <w:rsid w:val="00533234"/>
    <w:rsid w:val="00533B02"/>
    <w:rsid w:val="0053408F"/>
    <w:rsid w:val="00534237"/>
    <w:rsid w:val="00534332"/>
    <w:rsid w:val="00535290"/>
    <w:rsid w:val="00537C2A"/>
    <w:rsid w:val="00541DFE"/>
    <w:rsid w:val="00542135"/>
    <w:rsid w:val="005422D2"/>
    <w:rsid w:val="00546A93"/>
    <w:rsid w:val="0054734C"/>
    <w:rsid w:val="0054777D"/>
    <w:rsid w:val="00547CE9"/>
    <w:rsid w:val="005502C5"/>
    <w:rsid w:val="00550833"/>
    <w:rsid w:val="00550F94"/>
    <w:rsid w:val="0055147D"/>
    <w:rsid w:val="00552032"/>
    <w:rsid w:val="0055514E"/>
    <w:rsid w:val="0055554B"/>
    <w:rsid w:val="0055666A"/>
    <w:rsid w:val="00556992"/>
    <w:rsid w:val="00556A04"/>
    <w:rsid w:val="00557C31"/>
    <w:rsid w:val="0056079D"/>
    <w:rsid w:val="00561FC9"/>
    <w:rsid w:val="00562038"/>
    <w:rsid w:val="00564C04"/>
    <w:rsid w:val="0056629A"/>
    <w:rsid w:val="005663E5"/>
    <w:rsid w:val="00566F44"/>
    <w:rsid w:val="00566F58"/>
    <w:rsid w:val="00567154"/>
    <w:rsid w:val="00567F9D"/>
    <w:rsid w:val="00570BFA"/>
    <w:rsid w:val="00571925"/>
    <w:rsid w:val="00572168"/>
    <w:rsid w:val="00572844"/>
    <w:rsid w:val="0057295B"/>
    <w:rsid w:val="00572A6B"/>
    <w:rsid w:val="005734A6"/>
    <w:rsid w:val="0057375B"/>
    <w:rsid w:val="00573DE0"/>
    <w:rsid w:val="0057439E"/>
    <w:rsid w:val="00575775"/>
    <w:rsid w:val="005758C7"/>
    <w:rsid w:val="005770DB"/>
    <w:rsid w:val="00577B51"/>
    <w:rsid w:val="00581857"/>
    <w:rsid w:val="005827CE"/>
    <w:rsid w:val="00582BE1"/>
    <w:rsid w:val="00583541"/>
    <w:rsid w:val="005835D4"/>
    <w:rsid w:val="005836BE"/>
    <w:rsid w:val="00583AF3"/>
    <w:rsid w:val="00583E20"/>
    <w:rsid w:val="00585066"/>
    <w:rsid w:val="00586551"/>
    <w:rsid w:val="00586E8F"/>
    <w:rsid w:val="00587511"/>
    <w:rsid w:val="00587A6D"/>
    <w:rsid w:val="00590596"/>
    <w:rsid w:val="00590D4A"/>
    <w:rsid w:val="005912C8"/>
    <w:rsid w:val="005923E4"/>
    <w:rsid w:val="00592750"/>
    <w:rsid w:val="00592FBE"/>
    <w:rsid w:val="005953E1"/>
    <w:rsid w:val="00595C06"/>
    <w:rsid w:val="00595C67"/>
    <w:rsid w:val="00596151"/>
    <w:rsid w:val="005968E3"/>
    <w:rsid w:val="0059697B"/>
    <w:rsid w:val="005A0635"/>
    <w:rsid w:val="005A1E73"/>
    <w:rsid w:val="005A21E3"/>
    <w:rsid w:val="005A299E"/>
    <w:rsid w:val="005A2B5C"/>
    <w:rsid w:val="005A42D6"/>
    <w:rsid w:val="005A6550"/>
    <w:rsid w:val="005A659E"/>
    <w:rsid w:val="005A761F"/>
    <w:rsid w:val="005A77BE"/>
    <w:rsid w:val="005B0F77"/>
    <w:rsid w:val="005B107D"/>
    <w:rsid w:val="005B10F4"/>
    <w:rsid w:val="005B1A52"/>
    <w:rsid w:val="005B1E4D"/>
    <w:rsid w:val="005B362E"/>
    <w:rsid w:val="005B38E9"/>
    <w:rsid w:val="005B445C"/>
    <w:rsid w:val="005B4AD7"/>
    <w:rsid w:val="005B4F01"/>
    <w:rsid w:val="005B5EEB"/>
    <w:rsid w:val="005B6709"/>
    <w:rsid w:val="005B6E97"/>
    <w:rsid w:val="005B70FC"/>
    <w:rsid w:val="005B7759"/>
    <w:rsid w:val="005C122B"/>
    <w:rsid w:val="005C1893"/>
    <w:rsid w:val="005C5B0F"/>
    <w:rsid w:val="005C5F99"/>
    <w:rsid w:val="005C6735"/>
    <w:rsid w:val="005D0276"/>
    <w:rsid w:val="005D1166"/>
    <w:rsid w:val="005D187C"/>
    <w:rsid w:val="005D3882"/>
    <w:rsid w:val="005D5196"/>
    <w:rsid w:val="005D5815"/>
    <w:rsid w:val="005D58F9"/>
    <w:rsid w:val="005D627C"/>
    <w:rsid w:val="005D670E"/>
    <w:rsid w:val="005D775B"/>
    <w:rsid w:val="005E0019"/>
    <w:rsid w:val="005E025C"/>
    <w:rsid w:val="005E13E8"/>
    <w:rsid w:val="005E2920"/>
    <w:rsid w:val="005E32CB"/>
    <w:rsid w:val="005E39BE"/>
    <w:rsid w:val="005E3A0A"/>
    <w:rsid w:val="005E48D1"/>
    <w:rsid w:val="005E4C07"/>
    <w:rsid w:val="005E5CD7"/>
    <w:rsid w:val="005E6453"/>
    <w:rsid w:val="005E6B2C"/>
    <w:rsid w:val="005E746D"/>
    <w:rsid w:val="005E7986"/>
    <w:rsid w:val="005E7C85"/>
    <w:rsid w:val="005F002C"/>
    <w:rsid w:val="005F0DCA"/>
    <w:rsid w:val="005F148D"/>
    <w:rsid w:val="005F1895"/>
    <w:rsid w:val="005F22FF"/>
    <w:rsid w:val="005F233C"/>
    <w:rsid w:val="005F2798"/>
    <w:rsid w:val="005F2824"/>
    <w:rsid w:val="005F2BFF"/>
    <w:rsid w:val="005F46CA"/>
    <w:rsid w:val="005F4E50"/>
    <w:rsid w:val="005F688B"/>
    <w:rsid w:val="005F753E"/>
    <w:rsid w:val="005F7D17"/>
    <w:rsid w:val="00600598"/>
    <w:rsid w:val="006027E9"/>
    <w:rsid w:val="006040D4"/>
    <w:rsid w:val="00604645"/>
    <w:rsid w:val="0060493C"/>
    <w:rsid w:val="006052D6"/>
    <w:rsid w:val="00605BFC"/>
    <w:rsid w:val="00605E9D"/>
    <w:rsid w:val="006109D4"/>
    <w:rsid w:val="006118C9"/>
    <w:rsid w:val="00612111"/>
    <w:rsid w:val="00612355"/>
    <w:rsid w:val="00612B80"/>
    <w:rsid w:val="00612E44"/>
    <w:rsid w:val="0061445C"/>
    <w:rsid w:val="00614522"/>
    <w:rsid w:val="00614D12"/>
    <w:rsid w:val="0061592B"/>
    <w:rsid w:val="0061641C"/>
    <w:rsid w:val="006167C5"/>
    <w:rsid w:val="00616E2A"/>
    <w:rsid w:val="00617510"/>
    <w:rsid w:val="00617F3E"/>
    <w:rsid w:val="00620246"/>
    <w:rsid w:val="00621014"/>
    <w:rsid w:val="00622540"/>
    <w:rsid w:val="00622786"/>
    <w:rsid w:val="00622BF9"/>
    <w:rsid w:val="006233FF"/>
    <w:rsid w:val="00623D97"/>
    <w:rsid w:val="00625E5A"/>
    <w:rsid w:val="00626B4D"/>
    <w:rsid w:val="00626E3C"/>
    <w:rsid w:val="00630247"/>
    <w:rsid w:val="00631000"/>
    <w:rsid w:val="00634576"/>
    <w:rsid w:val="0063472E"/>
    <w:rsid w:val="0063676E"/>
    <w:rsid w:val="00636B58"/>
    <w:rsid w:val="00636CA3"/>
    <w:rsid w:val="006401B1"/>
    <w:rsid w:val="00640AFD"/>
    <w:rsid w:val="00642CFE"/>
    <w:rsid w:val="00642E53"/>
    <w:rsid w:val="00645589"/>
    <w:rsid w:val="00645C1A"/>
    <w:rsid w:val="006503CB"/>
    <w:rsid w:val="006504BB"/>
    <w:rsid w:val="00650607"/>
    <w:rsid w:val="00650A9B"/>
    <w:rsid w:val="006526C3"/>
    <w:rsid w:val="00654561"/>
    <w:rsid w:val="0065470B"/>
    <w:rsid w:val="00654BA1"/>
    <w:rsid w:val="00654E67"/>
    <w:rsid w:val="006557A7"/>
    <w:rsid w:val="00655DDC"/>
    <w:rsid w:val="006570CF"/>
    <w:rsid w:val="00660414"/>
    <w:rsid w:val="00661869"/>
    <w:rsid w:val="00661F58"/>
    <w:rsid w:val="00663B3C"/>
    <w:rsid w:val="00664CFA"/>
    <w:rsid w:val="00666403"/>
    <w:rsid w:val="00670264"/>
    <w:rsid w:val="0067029F"/>
    <w:rsid w:val="00671308"/>
    <w:rsid w:val="0067284D"/>
    <w:rsid w:val="00673340"/>
    <w:rsid w:val="006733F0"/>
    <w:rsid w:val="006739DC"/>
    <w:rsid w:val="00673D97"/>
    <w:rsid w:val="006740EB"/>
    <w:rsid w:val="00674C9A"/>
    <w:rsid w:val="00674E0A"/>
    <w:rsid w:val="00675F4D"/>
    <w:rsid w:val="00676768"/>
    <w:rsid w:val="00676D70"/>
    <w:rsid w:val="00677042"/>
    <w:rsid w:val="0067727B"/>
    <w:rsid w:val="006803A1"/>
    <w:rsid w:val="00681026"/>
    <w:rsid w:val="006818BE"/>
    <w:rsid w:val="00681B6B"/>
    <w:rsid w:val="00681B71"/>
    <w:rsid w:val="00681CE6"/>
    <w:rsid w:val="006824C2"/>
    <w:rsid w:val="00683756"/>
    <w:rsid w:val="00685E25"/>
    <w:rsid w:val="00686065"/>
    <w:rsid w:val="0068651E"/>
    <w:rsid w:val="006867FC"/>
    <w:rsid w:val="00687493"/>
    <w:rsid w:val="006877EC"/>
    <w:rsid w:val="00690A9A"/>
    <w:rsid w:val="00691650"/>
    <w:rsid w:val="0069200E"/>
    <w:rsid w:val="00693061"/>
    <w:rsid w:val="00693D9D"/>
    <w:rsid w:val="00694CA3"/>
    <w:rsid w:val="00694F40"/>
    <w:rsid w:val="006952F5"/>
    <w:rsid w:val="006954F4"/>
    <w:rsid w:val="006956FE"/>
    <w:rsid w:val="00696093"/>
    <w:rsid w:val="00697259"/>
    <w:rsid w:val="006A1457"/>
    <w:rsid w:val="006A2223"/>
    <w:rsid w:val="006A32E2"/>
    <w:rsid w:val="006A37A7"/>
    <w:rsid w:val="006A384E"/>
    <w:rsid w:val="006A4BC9"/>
    <w:rsid w:val="006A52D6"/>
    <w:rsid w:val="006A65C1"/>
    <w:rsid w:val="006A70CA"/>
    <w:rsid w:val="006B2CC4"/>
    <w:rsid w:val="006B32D7"/>
    <w:rsid w:val="006B364E"/>
    <w:rsid w:val="006B3CF7"/>
    <w:rsid w:val="006B474F"/>
    <w:rsid w:val="006B47DF"/>
    <w:rsid w:val="006B4B3A"/>
    <w:rsid w:val="006B4CF7"/>
    <w:rsid w:val="006B4FE1"/>
    <w:rsid w:val="006B5E11"/>
    <w:rsid w:val="006B65E8"/>
    <w:rsid w:val="006B68F9"/>
    <w:rsid w:val="006C0D0D"/>
    <w:rsid w:val="006C0D42"/>
    <w:rsid w:val="006C2739"/>
    <w:rsid w:val="006C413A"/>
    <w:rsid w:val="006C4E06"/>
    <w:rsid w:val="006C5736"/>
    <w:rsid w:val="006C57B2"/>
    <w:rsid w:val="006C7559"/>
    <w:rsid w:val="006C7BC6"/>
    <w:rsid w:val="006D0FF8"/>
    <w:rsid w:val="006D17B2"/>
    <w:rsid w:val="006D1CC5"/>
    <w:rsid w:val="006D1E96"/>
    <w:rsid w:val="006D32DD"/>
    <w:rsid w:val="006D4C93"/>
    <w:rsid w:val="006D56F9"/>
    <w:rsid w:val="006D6461"/>
    <w:rsid w:val="006E08B7"/>
    <w:rsid w:val="006E0CAC"/>
    <w:rsid w:val="006E2783"/>
    <w:rsid w:val="006E480A"/>
    <w:rsid w:val="006E5151"/>
    <w:rsid w:val="006E5D26"/>
    <w:rsid w:val="006E7B33"/>
    <w:rsid w:val="006F02ED"/>
    <w:rsid w:val="006F07C4"/>
    <w:rsid w:val="006F1D3A"/>
    <w:rsid w:val="006F48E8"/>
    <w:rsid w:val="006F5907"/>
    <w:rsid w:val="006F754C"/>
    <w:rsid w:val="006F77AA"/>
    <w:rsid w:val="007005BC"/>
    <w:rsid w:val="00701EFD"/>
    <w:rsid w:val="00702356"/>
    <w:rsid w:val="00702A4C"/>
    <w:rsid w:val="00702D25"/>
    <w:rsid w:val="007039EB"/>
    <w:rsid w:val="00704336"/>
    <w:rsid w:val="0070486F"/>
    <w:rsid w:val="0070569D"/>
    <w:rsid w:val="0070609E"/>
    <w:rsid w:val="00706CBB"/>
    <w:rsid w:val="0070714A"/>
    <w:rsid w:val="007072D2"/>
    <w:rsid w:val="00710F87"/>
    <w:rsid w:val="007118DC"/>
    <w:rsid w:val="007127C2"/>
    <w:rsid w:val="007138C0"/>
    <w:rsid w:val="00713989"/>
    <w:rsid w:val="00716053"/>
    <w:rsid w:val="0072108A"/>
    <w:rsid w:val="00721178"/>
    <w:rsid w:val="00721F32"/>
    <w:rsid w:val="007226E6"/>
    <w:rsid w:val="0072294B"/>
    <w:rsid w:val="0072471F"/>
    <w:rsid w:val="00725B7F"/>
    <w:rsid w:val="00725F09"/>
    <w:rsid w:val="0073121B"/>
    <w:rsid w:val="00732689"/>
    <w:rsid w:val="007342F5"/>
    <w:rsid w:val="00734A0C"/>
    <w:rsid w:val="007354E1"/>
    <w:rsid w:val="00735A53"/>
    <w:rsid w:val="007361CC"/>
    <w:rsid w:val="00736A9C"/>
    <w:rsid w:val="007371C3"/>
    <w:rsid w:val="00740C94"/>
    <w:rsid w:val="00741C75"/>
    <w:rsid w:val="00744A7B"/>
    <w:rsid w:val="007506AD"/>
    <w:rsid w:val="007513C2"/>
    <w:rsid w:val="00751CDC"/>
    <w:rsid w:val="007534F9"/>
    <w:rsid w:val="00754579"/>
    <w:rsid w:val="00754A20"/>
    <w:rsid w:val="00760479"/>
    <w:rsid w:val="0076207A"/>
    <w:rsid w:val="00762DF3"/>
    <w:rsid w:val="0076317F"/>
    <w:rsid w:val="007631A5"/>
    <w:rsid w:val="00763C50"/>
    <w:rsid w:val="00765887"/>
    <w:rsid w:val="007659F7"/>
    <w:rsid w:val="00767A6E"/>
    <w:rsid w:val="00767F4F"/>
    <w:rsid w:val="00770989"/>
    <w:rsid w:val="00770D87"/>
    <w:rsid w:val="0077134A"/>
    <w:rsid w:val="00771866"/>
    <w:rsid w:val="00771CEE"/>
    <w:rsid w:val="00772816"/>
    <w:rsid w:val="00772F89"/>
    <w:rsid w:val="007734FA"/>
    <w:rsid w:val="00773AE9"/>
    <w:rsid w:val="0077414E"/>
    <w:rsid w:val="0077420E"/>
    <w:rsid w:val="00774716"/>
    <w:rsid w:val="00775CE7"/>
    <w:rsid w:val="00777FC2"/>
    <w:rsid w:val="00780405"/>
    <w:rsid w:val="00782400"/>
    <w:rsid w:val="00782B23"/>
    <w:rsid w:val="00784753"/>
    <w:rsid w:val="00785E22"/>
    <w:rsid w:val="0078698F"/>
    <w:rsid w:val="00786C1A"/>
    <w:rsid w:val="007916CF"/>
    <w:rsid w:val="00793220"/>
    <w:rsid w:val="007936CA"/>
    <w:rsid w:val="0079400A"/>
    <w:rsid w:val="007956E1"/>
    <w:rsid w:val="0079657E"/>
    <w:rsid w:val="00796EED"/>
    <w:rsid w:val="00797269"/>
    <w:rsid w:val="00797762"/>
    <w:rsid w:val="007A0121"/>
    <w:rsid w:val="007A089F"/>
    <w:rsid w:val="007A0B8A"/>
    <w:rsid w:val="007A113D"/>
    <w:rsid w:val="007A28E4"/>
    <w:rsid w:val="007A2AA1"/>
    <w:rsid w:val="007A2E6B"/>
    <w:rsid w:val="007A32C9"/>
    <w:rsid w:val="007A3682"/>
    <w:rsid w:val="007A3AF0"/>
    <w:rsid w:val="007A48B5"/>
    <w:rsid w:val="007A5DF0"/>
    <w:rsid w:val="007A61C1"/>
    <w:rsid w:val="007A6935"/>
    <w:rsid w:val="007A71B8"/>
    <w:rsid w:val="007B0B3C"/>
    <w:rsid w:val="007B0D94"/>
    <w:rsid w:val="007B1993"/>
    <w:rsid w:val="007B3779"/>
    <w:rsid w:val="007B3801"/>
    <w:rsid w:val="007B3D2F"/>
    <w:rsid w:val="007B6B4B"/>
    <w:rsid w:val="007B6FF1"/>
    <w:rsid w:val="007B748A"/>
    <w:rsid w:val="007C006F"/>
    <w:rsid w:val="007C0899"/>
    <w:rsid w:val="007C0BE4"/>
    <w:rsid w:val="007C18FF"/>
    <w:rsid w:val="007C1E11"/>
    <w:rsid w:val="007C3AA4"/>
    <w:rsid w:val="007C3F00"/>
    <w:rsid w:val="007C594D"/>
    <w:rsid w:val="007C729D"/>
    <w:rsid w:val="007D0259"/>
    <w:rsid w:val="007D1062"/>
    <w:rsid w:val="007D280D"/>
    <w:rsid w:val="007D2F11"/>
    <w:rsid w:val="007D4101"/>
    <w:rsid w:val="007D5E72"/>
    <w:rsid w:val="007D61B8"/>
    <w:rsid w:val="007D6207"/>
    <w:rsid w:val="007D6EAB"/>
    <w:rsid w:val="007D7330"/>
    <w:rsid w:val="007D74CF"/>
    <w:rsid w:val="007E0CC4"/>
    <w:rsid w:val="007E2F46"/>
    <w:rsid w:val="007E3122"/>
    <w:rsid w:val="007E44B8"/>
    <w:rsid w:val="007E4CF2"/>
    <w:rsid w:val="007E4E76"/>
    <w:rsid w:val="007E549A"/>
    <w:rsid w:val="007E6653"/>
    <w:rsid w:val="007F0F26"/>
    <w:rsid w:val="007F144E"/>
    <w:rsid w:val="007F25B5"/>
    <w:rsid w:val="007F2B39"/>
    <w:rsid w:val="007F34DE"/>
    <w:rsid w:val="007F3711"/>
    <w:rsid w:val="007F3DC3"/>
    <w:rsid w:val="007F4235"/>
    <w:rsid w:val="007F4F69"/>
    <w:rsid w:val="007F5994"/>
    <w:rsid w:val="007F5FD9"/>
    <w:rsid w:val="007F684E"/>
    <w:rsid w:val="007F6C99"/>
    <w:rsid w:val="007F782B"/>
    <w:rsid w:val="007F7ABA"/>
    <w:rsid w:val="00800F06"/>
    <w:rsid w:val="00801EF5"/>
    <w:rsid w:val="00802350"/>
    <w:rsid w:val="00803BAD"/>
    <w:rsid w:val="00804F3E"/>
    <w:rsid w:val="008056DF"/>
    <w:rsid w:val="00805F86"/>
    <w:rsid w:val="00806606"/>
    <w:rsid w:val="00806850"/>
    <w:rsid w:val="008069B1"/>
    <w:rsid w:val="0080767E"/>
    <w:rsid w:val="00807A49"/>
    <w:rsid w:val="00807AE5"/>
    <w:rsid w:val="00810199"/>
    <w:rsid w:val="00811B86"/>
    <w:rsid w:val="00812D37"/>
    <w:rsid w:val="0081332B"/>
    <w:rsid w:val="00813578"/>
    <w:rsid w:val="0081398C"/>
    <w:rsid w:val="008142A3"/>
    <w:rsid w:val="00815289"/>
    <w:rsid w:val="008166F9"/>
    <w:rsid w:val="0081770F"/>
    <w:rsid w:val="00817B55"/>
    <w:rsid w:val="00817C61"/>
    <w:rsid w:val="008205AF"/>
    <w:rsid w:val="00820C8B"/>
    <w:rsid w:val="0082169E"/>
    <w:rsid w:val="00821D61"/>
    <w:rsid w:val="00822004"/>
    <w:rsid w:val="00822781"/>
    <w:rsid w:val="00822E47"/>
    <w:rsid w:val="00822E8C"/>
    <w:rsid w:val="00824500"/>
    <w:rsid w:val="008257AD"/>
    <w:rsid w:val="00825DC6"/>
    <w:rsid w:val="008271B5"/>
    <w:rsid w:val="008271D3"/>
    <w:rsid w:val="00827256"/>
    <w:rsid w:val="00827555"/>
    <w:rsid w:val="00827608"/>
    <w:rsid w:val="00830411"/>
    <w:rsid w:val="00830D42"/>
    <w:rsid w:val="00833A52"/>
    <w:rsid w:val="0083436B"/>
    <w:rsid w:val="0083712E"/>
    <w:rsid w:val="0084096B"/>
    <w:rsid w:val="00840B60"/>
    <w:rsid w:val="00840D41"/>
    <w:rsid w:val="008414C8"/>
    <w:rsid w:val="00841501"/>
    <w:rsid w:val="0084303E"/>
    <w:rsid w:val="008448A3"/>
    <w:rsid w:val="00845B53"/>
    <w:rsid w:val="008463AD"/>
    <w:rsid w:val="00846626"/>
    <w:rsid w:val="008506E5"/>
    <w:rsid w:val="00851920"/>
    <w:rsid w:val="008520DF"/>
    <w:rsid w:val="00853EB9"/>
    <w:rsid w:val="00854F5A"/>
    <w:rsid w:val="00855F7F"/>
    <w:rsid w:val="0085725B"/>
    <w:rsid w:val="008609B5"/>
    <w:rsid w:val="00860AB1"/>
    <w:rsid w:val="00860B6D"/>
    <w:rsid w:val="0086152E"/>
    <w:rsid w:val="00863886"/>
    <w:rsid w:val="00863A83"/>
    <w:rsid w:val="00863BDF"/>
    <w:rsid w:val="008652D5"/>
    <w:rsid w:val="008664CA"/>
    <w:rsid w:val="00866C0B"/>
    <w:rsid w:val="00867464"/>
    <w:rsid w:val="008675C2"/>
    <w:rsid w:val="0087015A"/>
    <w:rsid w:val="00870A5C"/>
    <w:rsid w:val="008716D5"/>
    <w:rsid w:val="00871A8C"/>
    <w:rsid w:val="00871B67"/>
    <w:rsid w:val="008738F3"/>
    <w:rsid w:val="008742A3"/>
    <w:rsid w:val="00874C61"/>
    <w:rsid w:val="00875095"/>
    <w:rsid w:val="0087550E"/>
    <w:rsid w:val="00875812"/>
    <w:rsid w:val="00875AEB"/>
    <w:rsid w:val="00876CE0"/>
    <w:rsid w:val="00881060"/>
    <w:rsid w:val="00881136"/>
    <w:rsid w:val="00881C90"/>
    <w:rsid w:val="008822F8"/>
    <w:rsid w:val="0088334D"/>
    <w:rsid w:val="0088413C"/>
    <w:rsid w:val="00884162"/>
    <w:rsid w:val="00884DCE"/>
    <w:rsid w:val="008853EC"/>
    <w:rsid w:val="00885599"/>
    <w:rsid w:val="008876D3"/>
    <w:rsid w:val="008877F1"/>
    <w:rsid w:val="00887DA1"/>
    <w:rsid w:val="00887EB2"/>
    <w:rsid w:val="008907E0"/>
    <w:rsid w:val="00890908"/>
    <w:rsid w:val="00892B72"/>
    <w:rsid w:val="008930B7"/>
    <w:rsid w:val="00893A03"/>
    <w:rsid w:val="00893BAA"/>
    <w:rsid w:val="00893EFD"/>
    <w:rsid w:val="008948FA"/>
    <w:rsid w:val="0089622D"/>
    <w:rsid w:val="00896F4D"/>
    <w:rsid w:val="00897290"/>
    <w:rsid w:val="008974E9"/>
    <w:rsid w:val="008A00B2"/>
    <w:rsid w:val="008A07C3"/>
    <w:rsid w:val="008A17F5"/>
    <w:rsid w:val="008A22B2"/>
    <w:rsid w:val="008A2B7B"/>
    <w:rsid w:val="008A2CB4"/>
    <w:rsid w:val="008A3B62"/>
    <w:rsid w:val="008A4CD1"/>
    <w:rsid w:val="008A5778"/>
    <w:rsid w:val="008A5F06"/>
    <w:rsid w:val="008A62CE"/>
    <w:rsid w:val="008A662D"/>
    <w:rsid w:val="008A7088"/>
    <w:rsid w:val="008A719C"/>
    <w:rsid w:val="008B0CAA"/>
    <w:rsid w:val="008B0F78"/>
    <w:rsid w:val="008B14A1"/>
    <w:rsid w:val="008B1838"/>
    <w:rsid w:val="008B2A6A"/>
    <w:rsid w:val="008B2F58"/>
    <w:rsid w:val="008B3189"/>
    <w:rsid w:val="008B3A13"/>
    <w:rsid w:val="008B4D04"/>
    <w:rsid w:val="008B5067"/>
    <w:rsid w:val="008B5113"/>
    <w:rsid w:val="008B65FE"/>
    <w:rsid w:val="008B6CCD"/>
    <w:rsid w:val="008B6DD0"/>
    <w:rsid w:val="008B7B2D"/>
    <w:rsid w:val="008B7D87"/>
    <w:rsid w:val="008C0DBF"/>
    <w:rsid w:val="008C1BB2"/>
    <w:rsid w:val="008C2FBB"/>
    <w:rsid w:val="008C3C71"/>
    <w:rsid w:val="008C4BF7"/>
    <w:rsid w:val="008C5F2A"/>
    <w:rsid w:val="008C7AFC"/>
    <w:rsid w:val="008C7C3B"/>
    <w:rsid w:val="008C7D91"/>
    <w:rsid w:val="008D11E2"/>
    <w:rsid w:val="008D3817"/>
    <w:rsid w:val="008D3DCE"/>
    <w:rsid w:val="008D49AD"/>
    <w:rsid w:val="008D57B6"/>
    <w:rsid w:val="008D598A"/>
    <w:rsid w:val="008D7751"/>
    <w:rsid w:val="008D7D5B"/>
    <w:rsid w:val="008E04A3"/>
    <w:rsid w:val="008E0C52"/>
    <w:rsid w:val="008E11D3"/>
    <w:rsid w:val="008E4996"/>
    <w:rsid w:val="008E5165"/>
    <w:rsid w:val="008E5528"/>
    <w:rsid w:val="008E57F3"/>
    <w:rsid w:val="008E5900"/>
    <w:rsid w:val="008E60DD"/>
    <w:rsid w:val="008E72F4"/>
    <w:rsid w:val="008E7AF6"/>
    <w:rsid w:val="008E7F0D"/>
    <w:rsid w:val="008F02A1"/>
    <w:rsid w:val="008F0813"/>
    <w:rsid w:val="008F2FE9"/>
    <w:rsid w:val="008F31F9"/>
    <w:rsid w:val="008F3C5C"/>
    <w:rsid w:val="008F4712"/>
    <w:rsid w:val="008F522E"/>
    <w:rsid w:val="008F5493"/>
    <w:rsid w:val="008F5EBD"/>
    <w:rsid w:val="008F5FE6"/>
    <w:rsid w:val="008F6EA7"/>
    <w:rsid w:val="008F6FF4"/>
    <w:rsid w:val="008F72F0"/>
    <w:rsid w:val="0090028F"/>
    <w:rsid w:val="00900833"/>
    <w:rsid w:val="009009DC"/>
    <w:rsid w:val="0090179C"/>
    <w:rsid w:val="00901FC1"/>
    <w:rsid w:val="00902A7B"/>
    <w:rsid w:val="00904F11"/>
    <w:rsid w:val="00905AAA"/>
    <w:rsid w:val="0090619B"/>
    <w:rsid w:val="00906B25"/>
    <w:rsid w:val="00907192"/>
    <w:rsid w:val="00910871"/>
    <w:rsid w:val="0091143B"/>
    <w:rsid w:val="0091173D"/>
    <w:rsid w:val="00911E63"/>
    <w:rsid w:val="009126E8"/>
    <w:rsid w:val="00912B7A"/>
    <w:rsid w:val="00914354"/>
    <w:rsid w:val="009158D0"/>
    <w:rsid w:val="00915F5D"/>
    <w:rsid w:val="009160ED"/>
    <w:rsid w:val="009220E3"/>
    <w:rsid w:val="0092313E"/>
    <w:rsid w:val="00924586"/>
    <w:rsid w:val="009245B3"/>
    <w:rsid w:val="0092484D"/>
    <w:rsid w:val="009253B9"/>
    <w:rsid w:val="00926F1A"/>
    <w:rsid w:val="00927196"/>
    <w:rsid w:val="00931A4B"/>
    <w:rsid w:val="00934540"/>
    <w:rsid w:val="00935905"/>
    <w:rsid w:val="00936446"/>
    <w:rsid w:val="0093695F"/>
    <w:rsid w:val="00936A8A"/>
    <w:rsid w:val="0094001B"/>
    <w:rsid w:val="0094023F"/>
    <w:rsid w:val="0094084C"/>
    <w:rsid w:val="00941E9C"/>
    <w:rsid w:val="00944942"/>
    <w:rsid w:val="00945D8B"/>
    <w:rsid w:val="00945E42"/>
    <w:rsid w:val="00946642"/>
    <w:rsid w:val="00946847"/>
    <w:rsid w:val="00946AE4"/>
    <w:rsid w:val="00946FC7"/>
    <w:rsid w:val="00951449"/>
    <w:rsid w:val="00951B1E"/>
    <w:rsid w:val="00952B52"/>
    <w:rsid w:val="00953EEA"/>
    <w:rsid w:val="00954445"/>
    <w:rsid w:val="0095586B"/>
    <w:rsid w:val="00955B35"/>
    <w:rsid w:val="00956675"/>
    <w:rsid w:val="00960732"/>
    <w:rsid w:val="00960EAD"/>
    <w:rsid w:val="009610D8"/>
    <w:rsid w:val="009613CE"/>
    <w:rsid w:val="0096202D"/>
    <w:rsid w:val="00962F2A"/>
    <w:rsid w:val="00963E18"/>
    <w:rsid w:val="00964C04"/>
    <w:rsid w:val="00965929"/>
    <w:rsid w:val="00966208"/>
    <w:rsid w:val="00966614"/>
    <w:rsid w:val="0096764A"/>
    <w:rsid w:val="00967AB9"/>
    <w:rsid w:val="0097116B"/>
    <w:rsid w:val="00971C7D"/>
    <w:rsid w:val="00971F55"/>
    <w:rsid w:val="0097233A"/>
    <w:rsid w:val="00974B3E"/>
    <w:rsid w:val="00975343"/>
    <w:rsid w:val="00975684"/>
    <w:rsid w:val="00975DED"/>
    <w:rsid w:val="009769F0"/>
    <w:rsid w:val="00976D25"/>
    <w:rsid w:val="00976EB2"/>
    <w:rsid w:val="00977126"/>
    <w:rsid w:val="009774BF"/>
    <w:rsid w:val="009815B7"/>
    <w:rsid w:val="009826D5"/>
    <w:rsid w:val="009829DD"/>
    <w:rsid w:val="00984BFF"/>
    <w:rsid w:val="00985320"/>
    <w:rsid w:val="00986064"/>
    <w:rsid w:val="0098712B"/>
    <w:rsid w:val="00990483"/>
    <w:rsid w:val="009907F3"/>
    <w:rsid w:val="00990C9A"/>
    <w:rsid w:val="0099177A"/>
    <w:rsid w:val="00991E70"/>
    <w:rsid w:val="009921B7"/>
    <w:rsid w:val="00992425"/>
    <w:rsid w:val="009928DB"/>
    <w:rsid w:val="00993AFE"/>
    <w:rsid w:val="00993F19"/>
    <w:rsid w:val="0099440A"/>
    <w:rsid w:val="00994509"/>
    <w:rsid w:val="0099484E"/>
    <w:rsid w:val="00994F6C"/>
    <w:rsid w:val="009960E8"/>
    <w:rsid w:val="009A261D"/>
    <w:rsid w:val="009A2941"/>
    <w:rsid w:val="009A2BE6"/>
    <w:rsid w:val="009A3B83"/>
    <w:rsid w:val="009A4BCD"/>
    <w:rsid w:val="009A5169"/>
    <w:rsid w:val="009A58A3"/>
    <w:rsid w:val="009A6C61"/>
    <w:rsid w:val="009B1695"/>
    <w:rsid w:val="009B3167"/>
    <w:rsid w:val="009B3367"/>
    <w:rsid w:val="009B3801"/>
    <w:rsid w:val="009B3BFA"/>
    <w:rsid w:val="009B3DEF"/>
    <w:rsid w:val="009B4638"/>
    <w:rsid w:val="009B540E"/>
    <w:rsid w:val="009C1683"/>
    <w:rsid w:val="009C2059"/>
    <w:rsid w:val="009C27DE"/>
    <w:rsid w:val="009C286B"/>
    <w:rsid w:val="009C4E33"/>
    <w:rsid w:val="009C4E85"/>
    <w:rsid w:val="009C52A1"/>
    <w:rsid w:val="009C56E7"/>
    <w:rsid w:val="009C56F5"/>
    <w:rsid w:val="009C5AF9"/>
    <w:rsid w:val="009C6350"/>
    <w:rsid w:val="009C6CAA"/>
    <w:rsid w:val="009C720A"/>
    <w:rsid w:val="009D03F9"/>
    <w:rsid w:val="009D21A4"/>
    <w:rsid w:val="009D3652"/>
    <w:rsid w:val="009D4E44"/>
    <w:rsid w:val="009D4E6E"/>
    <w:rsid w:val="009D5FEE"/>
    <w:rsid w:val="009D6704"/>
    <w:rsid w:val="009D6B18"/>
    <w:rsid w:val="009D7D19"/>
    <w:rsid w:val="009E0865"/>
    <w:rsid w:val="009E143C"/>
    <w:rsid w:val="009E1B17"/>
    <w:rsid w:val="009E23DE"/>
    <w:rsid w:val="009E4305"/>
    <w:rsid w:val="009E5078"/>
    <w:rsid w:val="009E51FC"/>
    <w:rsid w:val="009E6674"/>
    <w:rsid w:val="009E6AF8"/>
    <w:rsid w:val="009E7AD9"/>
    <w:rsid w:val="009F01EF"/>
    <w:rsid w:val="009F148F"/>
    <w:rsid w:val="009F21CB"/>
    <w:rsid w:val="009F248E"/>
    <w:rsid w:val="009F2A5A"/>
    <w:rsid w:val="009F3511"/>
    <w:rsid w:val="009F3DD4"/>
    <w:rsid w:val="009F4BCF"/>
    <w:rsid w:val="009F5195"/>
    <w:rsid w:val="009F7362"/>
    <w:rsid w:val="009F73E3"/>
    <w:rsid w:val="00A000F5"/>
    <w:rsid w:val="00A00267"/>
    <w:rsid w:val="00A00670"/>
    <w:rsid w:val="00A00994"/>
    <w:rsid w:val="00A00D18"/>
    <w:rsid w:val="00A0107C"/>
    <w:rsid w:val="00A023D0"/>
    <w:rsid w:val="00A024E9"/>
    <w:rsid w:val="00A04CD5"/>
    <w:rsid w:val="00A058D8"/>
    <w:rsid w:val="00A0608A"/>
    <w:rsid w:val="00A11892"/>
    <w:rsid w:val="00A120C7"/>
    <w:rsid w:val="00A12423"/>
    <w:rsid w:val="00A12BD3"/>
    <w:rsid w:val="00A13D03"/>
    <w:rsid w:val="00A14811"/>
    <w:rsid w:val="00A14E13"/>
    <w:rsid w:val="00A17137"/>
    <w:rsid w:val="00A172A3"/>
    <w:rsid w:val="00A2109F"/>
    <w:rsid w:val="00A21876"/>
    <w:rsid w:val="00A219BE"/>
    <w:rsid w:val="00A22791"/>
    <w:rsid w:val="00A22A3B"/>
    <w:rsid w:val="00A22D12"/>
    <w:rsid w:val="00A2388D"/>
    <w:rsid w:val="00A23F4F"/>
    <w:rsid w:val="00A24545"/>
    <w:rsid w:val="00A249DF"/>
    <w:rsid w:val="00A24A8A"/>
    <w:rsid w:val="00A25487"/>
    <w:rsid w:val="00A25BBF"/>
    <w:rsid w:val="00A2679E"/>
    <w:rsid w:val="00A272B6"/>
    <w:rsid w:val="00A278F9"/>
    <w:rsid w:val="00A302E5"/>
    <w:rsid w:val="00A31A92"/>
    <w:rsid w:val="00A32E75"/>
    <w:rsid w:val="00A33BD5"/>
    <w:rsid w:val="00A349B5"/>
    <w:rsid w:val="00A360AA"/>
    <w:rsid w:val="00A36502"/>
    <w:rsid w:val="00A3678F"/>
    <w:rsid w:val="00A377C3"/>
    <w:rsid w:val="00A40AD7"/>
    <w:rsid w:val="00A421C6"/>
    <w:rsid w:val="00A42B99"/>
    <w:rsid w:val="00A42C33"/>
    <w:rsid w:val="00A44228"/>
    <w:rsid w:val="00A44312"/>
    <w:rsid w:val="00A447CE"/>
    <w:rsid w:val="00A4576E"/>
    <w:rsid w:val="00A50672"/>
    <w:rsid w:val="00A51065"/>
    <w:rsid w:val="00A5110F"/>
    <w:rsid w:val="00A5286D"/>
    <w:rsid w:val="00A5288B"/>
    <w:rsid w:val="00A52A82"/>
    <w:rsid w:val="00A52EA7"/>
    <w:rsid w:val="00A52EB1"/>
    <w:rsid w:val="00A53C45"/>
    <w:rsid w:val="00A542E0"/>
    <w:rsid w:val="00A545C4"/>
    <w:rsid w:val="00A55172"/>
    <w:rsid w:val="00A5571A"/>
    <w:rsid w:val="00A56459"/>
    <w:rsid w:val="00A60D5B"/>
    <w:rsid w:val="00A61E5C"/>
    <w:rsid w:val="00A634AA"/>
    <w:rsid w:val="00A63778"/>
    <w:rsid w:val="00A6413A"/>
    <w:rsid w:val="00A64B0D"/>
    <w:rsid w:val="00A64FA9"/>
    <w:rsid w:val="00A650BD"/>
    <w:rsid w:val="00A66526"/>
    <w:rsid w:val="00A6675C"/>
    <w:rsid w:val="00A70DB0"/>
    <w:rsid w:val="00A71405"/>
    <w:rsid w:val="00A74D8D"/>
    <w:rsid w:val="00A77375"/>
    <w:rsid w:val="00A80922"/>
    <w:rsid w:val="00A81780"/>
    <w:rsid w:val="00A82243"/>
    <w:rsid w:val="00A832EA"/>
    <w:rsid w:val="00A83CD9"/>
    <w:rsid w:val="00A842FD"/>
    <w:rsid w:val="00A84CB4"/>
    <w:rsid w:val="00A850E2"/>
    <w:rsid w:val="00A87853"/>
    <w:rsid w:val="00A87D71"/>
    <w:rsid w:val="00A87F06"/>
    <w:rsid w:val="00A91995"/>
    <w:rsid w:val="00A91E19"/>
    <w:rsid w:val="00A93101"/>
    <w:rsid w:val="00A93631"/>
    <w:rsid w:val="00A936DB"/>
    <w:rsid w:val="00A9408C"/>
    <w:rsid w:val="00A95545"/>
    <w:rsid w:val="00A9676C"/>
    <w:rsid w:val="00A96E83"/>
    <w:rsid w:val="00A970C5"/>
    <w:rsid w:val="00A973B7"/>
    <w:rsid w:val="00A97470"/>
    <w:rsid w:val="00A97A31"/>
    <w:rsid w:val="00AA0631"/>
    <w:rsid w:val="00AA0A61"/>
    <w:rsid w:val="00AA10D6"/>
    <w:rsid w:val="00AA20CA"/>
    <w:rsid w:val="00AA238B"/>
    <w:rsid w:val="00AA326C"/>
    <w:rsid w:val="00AA43D6"/>
    <w:rsid w:val="00AA59FE"/>
    <w:rsid w:val="00AA5D6C"/>
    <w:rsid w:val="00AA6AD8"/>
    <w:rsid w:val="00AA7197"/>
    <w:rsid w:val="00AA746A"/>
    <w:rsid w:val="00AB025D"/>
    <w:rsid w:val="00AB04E9"/>
    <w:rsid w:val="00AB14F8"/>
    <w:rsid w:val="00AB1724"/>
    <w:rsid w:val="00AB2309"/>
    <w:rsid w:val="00AB3143"/>
    <w:rsid w:val="00AB33D1"/>
    <w:rsid w:val="00AB3CB0"/>
    <w:rsid w:val="00AB4A86"/>
    <w:rsid w:val="00AB4BE6"/>
    <w:rsid w:val="00AB53B2"/>
    <w:rsid w:val="00AB646B"/>
    <w:rsid w:val="00AB665A"/>
    <w:rsid w:val="00AB6D5A"/>
    <w:rsid w:val="00AC04D9"/>
    <w:rsid w:val="00AC1004"/>
    <w:rsid w:val="00AC1AC5"/>
    <w:rsid w:val="00AC1DA9"/>
    <w:rsid w:val="00AC1EBE"/>
    <w:rsid w:val="00AC2412"/>
    <w:rsid w:val="00AC2BA8"/>
    <w:rsid w:val="00AC42EC"/>
    <w:rsid w:val="00AC4971"/>
    <w:rsid w:val="00AC5CBF"/>
    <w:rsid w:val="00AD02E9"/>
    <w:rsid w:val="00AD0677"/>
    <w:rsid w:val="00AD08CB"/>
    <w:rsid w:val="00AD167D"/>
    <w:rsid w:val="00AD1B66"/>
    <w:rsid w:val="00AD2333"/>
    <w:rsid w:val="00AD2EF5"/>
    <w:rsid w:val="00AD4EAF"/>
    <w:rsid w:val="00AD589F"/>
    <w:rsid w:val="00AD61DE"/>
    <w:rsid w:val="00AD7719"/>
    <w:rsid w:val="00AE05F0"/>
    <w:rsid w:val="00AE0B58"/>
    <w:rsid w:val="00AE3302"/>
    <w:rsid w:val="00AE3686"/>
    <w:rsid w:val="00AE3689"/>
    <w:rsid w:val="00AE3C7E"/>
    <w:rsid w:val="00AE54D7"/>
    <w:rsid w:val="00AE59D7"/>
    <w:rsid w:val="00AE7983"/>
    <w:rsid w:val="00AF0F14"/>
    <w:rsid w:val="00AF0F75"/>
    <w:rsid w:val="00AF1362"/>
    <w:rsid w:val="00AF17FD"/>
    <w:rsid w:val="00AF2951"/>
    <w:rsid w:val="00AF29BD"/>
    <w:rsid w:val="00AF41D2"/>
    <w:rsid w:val="00AF4B9F"/>
    <w:rsid w:val="00AF4BC9"/>
    <w:rsid w:val="00AF580B"/>
    <w:rsid w:val="00AF680E"/>
    <w:rsid w:val="00AF770D"/>
    <w:rsid w:val="00AF7B0F"/>
    <w:rsid w:val="00AF7F15"/>
    <w:rsid w:val="00B0128A"/>
    <w:rsid w:val="00B015C9"/>
    <w:rsid w:val="00B03F0A"/>
    <w:rsid w:val="00B055BF"/>
    <w:rsid w:val="00B06140"/>
    <w:rsid w:val="00B062A9"/>
    <w:rsid w:val="00B06E53"/>
    <w:rsid w:val="00B070E9"/>
    <w:rsid w:val="00B108C1"/>
    <w:rsid w:val="00B11017"/>
    <w:rsid w:val="00B112C1"/>
    <w:rsid w:val="00B11FFD"/>
    <w:rsid w:val="00B12629"/>
    <w:rsid w:val="00B13F36"/>
    <w:rsid w:val="00B1486C"/>
    <w:rsid w:val="00B15352"/>
    <w:rsid w:val="00B154E1"/>
    <w:rsid w:val="00B2005B"/>
    <w:rsid w:val="00B2135D"/>
    <w:rsid w:val="00B227B0"/>
    <w:rsid w:val="00B227CF"/>
    <w:rsid w:val="00B22E5A"/>
    <w:rsid w:val="00B2323E"/>
    <w:rsid w:val="00B23322"/>
    <w:rsid w:val="00B23515"/>
    <w:rsid w:val="00B24FE8"/>
    <w:rsid w:val="00B2555D"/>
    <w:rsid w:val="00B25E66"/>
    <w:rsid w:val="00B26B4D"/>
    <w:rsid w:val="00B270CB"/>
    <w:rsid w:val="00B31443"/>
    <w:rsid w:val="00B33A39"/>
    <w:rsid w:val="00B33C3F"/>
    <w:rsid w:val="00B36424"/>
    <w:rsid w:val="00B36A74"/>
    <w:rsid w:val="00B3734F"/>
    <w:rsid w:val="00B37984"/>
    <w:rsid w:val="00B40B85"/>
    <w:rsid w:val="00B418E6"/>
    <w:rsid w:val="00B44312"/>
    <w:rsid w:val="00B443B8"/>
    <w:rsid w:val="00B502C3"/>
    <w:rsid w:val="00B51E5B"/>
    <w:rsid w:val="00B5200D"/>
    <w:rsid w:val="00B5283F"/>
    <w:rsid w:val="00B54DD8"/>
    <w:rsid w:val="00B554DD"/>
    <w:rsid w:val="00B577DF"/>
    <w:rsid w:val="00B6063F"/>
    <w:rsid w:val="00B61028"/>
    <w:rsid w:val="00B61191"/>
    <w:rsid w:val="00B6157D"/>
    <w:rsid w:val="00B62B55"/>
    <w:rsid w:val="00B640B0"/>
    <w:rsid w:val="00B64A8F"/>
    <w:rsid w:val="00B66096"/>
    <w:rsid w:val="00B66695"/>
    <w:rsid w:val="00B66DB1"/>
    <w:rsid w:val="00B70220"/>
    <w:rsid w:val="00B71349"/>
    <w:rsid w:val="00B71BAC"/>
    <w:rsid w:val="00B73CE1"/>
    <w:rsid w:val="00B740BC"/>
    <w:rsid w:val="00B74322"/>
    <w:rsid w:val="00B74377"/>
    <w:rsid w:val="00B74437"/>
    <w:rsid w:val="00B753C1"/>
    <w:rsid w:val="00B76AA8"/>
    <w:rsid w:val="00B77402"/>
    <w:rsid w:val="00B77FA7"/>
    <w:rsid w:val="00B805E0"/>
    <w:rsid w:val="00B81380"/>
    <w:rsid w:val="00B82F5E"/>
    <w:rsid w:val="00B85B6F"/>
    <w:rsid w:val="00B86AC0"/>
    <w:rsid w:val="00B87185"/>
    <w:rsid w:val="00B900E1"/>
    <w:rsid w:val="00B90C90"/>
    <w:rsid w:val="00B9176B"/>
    <w:rsid w:val="00B91BFB"/>
    <w:rsid w:val="00B92A30"/>
    <w:rsid w:val="00B932C7"/>
    <w:rsid w:val="00B93F62"/>
    <w:rsid w:val="00B941C7"/>
    <w:rsid w:val="00B95875"/>
    <w:rsid w:val="00B95A5B"/>
    <w:rsid w:val="00B95CDF"/>
    <w:rsid w:val="00B97679"/>
    <w:rsid w:val="00BA0E3E"/>
    <w:rsid w:val="00BA0EA2"/>
    <w:rsid w:val="00BA160B"/>
    <w:rsid w:val="00BA1B06"/>
    <w:rsid w:val="00BA1ED6"/>
    <w:rsid w:val="00BA31AD"/>
    <w:rsid w:val="00BA45F6"/>
    <w:rsid w:val="00BA64AF"/>
    <w:rsid w:val="00BA74D5"/>
    <w:rsid w:val="00BB03B6"/>
    <w:rsid w:val="00BB0A5E"/>
    <w:rsid w:val="00BB0C2C"/>
    <w:rsid w:val="00BB27C9"/>
    <w:rsid w:val="00BB33CA"/>
    <w:rsid w:val="00BB3B28"/>
    <w:rsid w:val="00BB63AE"/>
    <w:rsid w:val="00BB68AD"/>
    <w:rsid w:val="00BB7575"/>
    <w:rsid w:val="00BB7D56"/>
    <w:rsid w:val="00BB7F50"/>
    <w:rsid w:val="00BC013A"/>
    <w:rsid w:val="00BC0DE4"/>
    <w:rsid w:val="00BC4D62"/>
    <w:rsid w:val="00BC55E4"/>
    <w:rsid w:val="00BC6343"/>
    <w:rsid w:val="00BC6402"/>
    <w:rsid w:val="00BC7311"/>
    <w:rsid w:val="00BD0F2C"/>
    <w:rsid w:val="00BD19C5"/>
    <w:rsid w:val="00BD22F3"/>
    <w:rsid w:val="00BD23A3"/>
    <w:rsid w:val="00BD23D3"/>
    <w:rsid w:val="00BD2451"/>
    <w:rsid w:val="00BD24DF"/>
    <w:rsid w:val="00BD48FF"/>
    <w:rsid w:val="00BD4E11"/>
    <w:rsid w:val="00BD5131"/>
    <w:rsid w:val="00BD52BF"/>
    <w:rsid w:val="00BD5E51"/>
    <w:rsid w:val="00BD62D2"/>
    <w:rsid w:val="00BD6DF3"/>
    <w:rsid w:val="00BD7CCC"/>
    <w:rsid w:val="00BE0843"/>
    <w:rsid w:val="00BE0965"/>
    <w:rsid w:val="00BE0DD7"/>
    <w:rsid w:val="00BE0FA2"/>
    <w:rsid w:val="00BE1EC6"/>
    <w:rsid w:val="00BE2452"/>
    <w:rsid w:val="00BE2E47"/>
    <w:rsid w:val="00BE3E1D"/>
    <w:rsid w:val="00BE55AD"/>
    <w:rsid w:val="00BE5BC1"/>
    <w:rsid w:val="00BE6DCA"/>
    <w:rsid w:val="00BE7922"/>
    <w:rsid w:val="00BF07C3"/>
    <w:rsid w:val="00BF1C91"/>
    <w:rsid w:val="00BF2666"/>
    <w:rsid w:val="00BF3B06"/>
    <w:rsid w:val="00BF44CD"/>
    <w:rsid w:val="00BF4B74"/>
    <w:rsid w:val="00BF532B"/>
    <w:rsid w:val="00C02BE6"/>
    <w:rsid w:val="00C05175"/>
    <w:rsid w:val="00C06430"/>
    <w:rsid w:val="00C069B4"/>
    <w:rsid w:val="00C06B11"/>
    <w:rsid w:val="00C105B7"/>
    <w:rsid w:val="00C10D3B"/>
    <w:rsid w:val="00C1197E"/>
    <w:rsid w:val="00C144D1"/>
    <w:rsid w:val="00C20605"/>
    <w:rsid w:val="00C20942"/>
    <w:rsid w:val="00C20D37"/>
    <w:rsid w:val="00C22423"/>
    <w:rsid w:val="00C23ACA"/>
    <w:rsid w:val="00C24461"/>
    <w:rsid w:val="00C2457A"/>
    <w:rsid w:val="00C26CA5"/>
    <w:rsid w:val="00C274F9"/>
    <w:rsid w:val="00C27C6C"/>
    <w:rsid w:val="00C3097D"/>
    <w:rsid w:val="00C30BAD"/>
    <w:rsid w:val="00C30EBF"/>
    <w:rsid w:val="00C32784"/>
    <w:rsid w:val="00C32ACB"/>
    <w:rsid w:val="00C32F88"/>
    <w:rsid w:val="00C338D6"/>
    <w:rsid w:val="00C33C46"/>
    <w:rsid w:val="00C34DFA"/>
    <w:rsid w:val="00C3536E"/>
    <w:rsid w:val="00C35DC1"/>
    <w:rsid w:val="00C37F0D"/>
    <w:rsid w:val="00C42A80"/>
    <w:rsid w:val="00C43C94"/>
    <w:rsid w:val="00C44E19"/>
    <w:rsid w:val="00C454B7"/>
    <w:rsid w:val="00C46856"/>
    <w:rsid w:val="00C46DA5"/>
    <w:rsid w:val="00C476D8"/>
    <w:rsid w:val="00C47B9F"/>
    <w:rsid w:val="00C52965"/>
    <w:rsid w:val="00C53E2A"/>
    <w:rsid w:val="00C5471F"/>
    <w:rsid w:val="00C548FE"/>
    <w:rsid w:val="00C55C63"/>
    <w:rsid w:val="00C569B4"/>
    <w:rsid w:val="00C56C04"/>
    <w:rsid w:val="00C56DAE"/>
    <w:rsid w:val="00C56F21"/>
    <w:rsid w:val="00C623C2"/>
    <w:rsid w:val="00C63026"/>
    <w:rsid w:val="00C63875"/>
    <w:rsid w:val="00C63B28"/>
    <w:rsid w:val="00C63FB0"/>
    <w:rsid w:val="00C677D0"/>
    <w:rsid w:val="00C6799C"/>
    <w:rsid w:val="00C70B2A"/>
    <w:rsid w:val="00C71AEC"/>
    <w:rsid w:val="00C72BB9"/>
    <w:rsid w:val="00C72CEF"/>
    <w:rsid w:val="00C73475"/>
    <w:rsid w:val="00C74066"/>
    <w:rsid w:val="00C75225"/>
    <w:rsid w:val="00C754A3"/>
    <w:rsid w:val="00C75A95"/>
    <w:rsid w:val="00C762C3"/>
    <w:rsid w:val="00C767BB"/>
    <w:rsid w:val="00C77763"/>
    <w:rsid w:val="00C80D06"/>
    <w:rsid w:val="00C80E7B"/>
    <w:rsid w:val="00C82163"/>
    <w:rsid w:val="00C83384"/>
    <w:rsid w:val="00C835B0"/>
    <w:rsid w:val="00C85106"/>
    <w:rsid w:val="00C85DB5"/>
    <w:rsid w:val="00C86BA8"/>
    <w:rsid w:val="00C87119"/>
    <w:rsid w:val="00C8796E"/>
    <w:rsid w:val="00C90826"/>
    <w:rsid w:val="00C90E22"/>
    <w:rsid w:val="00C92400"/>
    <w:rsid w:val="00C924D3"/>
    <w:rsid w:val="00C926BD"/>
    <w:rsid w:val="00C92CE8"/>
    <w:rsid w:val="00C93735"/>
    <w:rsid w:val="00C93A64"/>
    <w:rsid w:val="00C93AA3"/>
    <w:rsid w:val="00C94148"/>
    <w:rsid w:val="00C95CDC"/>
    <w:rsid w:val="00C960E3"/>
    <w:rsid w:val="00C96E15"/>
    <w:rsid w:val="00C97A07"/>
    <w:rsid w:val="00CA1170"/>
    <w:rsid w:val="00CA21D6"/>
    <w:rsid w:val="00CA28A7"/>
    <w:rsid w:val="00CA2E21"/>
    <w:rsid w:val="00CA2EB4"/>
    <w:rsid w:val="00CA40EC"/>
    <w:rsid w:val="00CA4B31"/>
    <w:rsid w:val="00CA57BC"/>
    <w:rsid w:val="00CB021A"/>
    <w:rsid w:val="00CB1EC0"/>
    <w:rsid w:val="00CB2CD9"/>
    <w:rsid w:val="00CB2F82"/>
    <w:rsid w:val="00CB3937"/>
    <w:rsid w:val="00CB3A14"/>
    <w:rsid w:val="00CB3E85"/>
    <w:rsid w:val="00CB5044"/>
    <w:rsid w:val="00CB53F4"/>
    <w:rsid w:val="00CB6392"/>
    <w:rsid w:val="00CB79F5"/>
    <w:rsid w:val="00CB7D72"/>
    <w:rsid w:val="00CC026F"/>
    <w:rsid w:val="00CC0A6F"/>
    <w:rsid w:val="00CC0F2E"/>
    <w:rsid w:val="00CC3239"/>
    <w:rsid w:val="00CC3CB1"/>
    <w:rsid w:val="00CC416D"/>
    <w:rsid w:val="00CC4529"/>
    <w:rsid w:val="00CC4D12"/>
    <w:rsid w:val="00CC5D38"/>
    <w:rsid w:val="00CC60FF"/>
    <w:rsid w:val="00CC6D57"/>
    <w:rsid w:val="00CC7335"/>
    <w:rsid w:val="00CC74DD"/>
    <w:rsid w:val="00CC7963"/>
    <w:rsid w:val="00CC7BC9"/>
    <w:rsid w:val="00CD1E55"/>
    <w:rsid w:val="00CD21F3"/>
    <w:rsid w:val="00CD540D"/>
    <w:rsid w:val="00CD5C62"/>
    <w:rsid w:val="00CD5CDF"/>
    <w:rsid w:val="00CD6FD1"/>
    <w:rsid w:val="00CD718F"/>
    <w:rsid w:val="00CE0041"/>
    <w:rsid w:val="00CE1DEE"/>
    <w:rsid w:val="00CE2146"/>
    <w:rsid w:val="00CE445F"/>
    <w:rsid w:val="00CE52E5"/>
    <w:rsid w:val="00CE5794"/>
    <w:rsid w:val="00CE6ACC"/>
    <w:rsid w:val="00CE6C1A"/>
    <w:rsid w:val="00CE7D71"/>
    <w:rsid w:val="00CF2321"/>
    <w:rsid w:val="00CF33D7"/>
    <w:rsid w:val="00CF3423"/>
    <w:rsid w:val="00CF3981"/>
    <w:rsid w:val="00CF4071"/>
    <w:rsid w:val="00CF4373"/>
    <w:rsid w:val="00CF62B6"/>
    <w:rsid w:val="00CF65D9"/>
    <w:rsid w:val="00CF66B3"/>
    <w:rsid w:val="00D02CE5"/>
    <w:rsid w:val="00D032A6"/>
    <w:rsid w:val="00D03D29"/>
    <w:rsid w:val="00D05EC1"/>
    <w:rsid w:val="00D10629"/>
    <w:rsid w:val="00D107CD"/>
    <w:rsid w:val="00D12BA7"/>
    <w:rsid w:val="00D13682"/>
    <w:rsid w:val="00D14337"/>
    <w:rsid w:val="00D144EB"/>
    <w:rsid w:val="00D14B3E"/>
    <w:rsid w:val="00D14F47"/>
    <w:rsid w:val="00D15E38"/>
    <w:rsid w:val="00D1641C"/>
    <w:rsid w:val="00D209C2"/>
    <w:rsid w:val="00D2113E"/>
    <w:rsid w:val="00D221C6"/>
    <w:rsid w:val="00D224B9"/>
    <w:rsid w:val="00D238DE"/>
    <w:rsid w:val="00D24052"/>
    <w:rsid w:val="00D258F9"/>
    <w:rsid w:val="00D26018"/>
    <w:rsid w:val="00D261CA"/>
    <w:rsid w:val="00D26719"/>
    <w:rsid w:val="00D30797"/>
    <w:rsid w:val="00D3097E"/>
    <w:rsid w:val="00D30CF1"/>
    <w:rsid w:val="00D35301"/>
    <w:rsid w:val="00D35855"/>
    <w:rsid w:val="00D3680A"/>
    <w:rsid w:val="00D36D28"/>
    <w:rsid w:val="00D378D6"/>
    <w:rsid w:val="00D4083F"/>
    <w:rsid w:val="00D4272B"/>
    <w:rsid w:val="00D428DF"/>
    <w:rsid w:val="00D435A9"/>
    <w:rsid w:val="00D44520"/>
    <w:rsid w:val="00D44899"/>
    <w:rsid w:val="00D4558D"/>
    <w:rsid w:val="00D45CB6"/>
    <w:rsid w:val="00D47C75"/>
    <w:rsid w:val="00D47D71"/>
    <w:rsid w:val="00D51634"/>
    <w:rsid w:val="00D517D7"/>
    <w:rsid w:val="00D52C64"/>
    <w:rsid w:val="00D52DE8"/>
    <w:rsid w:val="00D5303E"/>
    <w:rsid w:val="00D53B41"/>
    <w:rsid w:val="00D53B56"/>
    <w:rsid w:val="00D53DB4"/>
    <w:rsid w:val="00D53E95"/>
    <w:rsid w:val="00D54624"/>
    <w:rsid w:val="00D54701"/>
    <w:rsid w:val="00D55403"/>
    <w:rsid w:val="00D556B6"/>
    <w:rsid w:val="00D56569"/>
    <w:rsid w:val="00D578A5"/>
    <w:rsid w:val="00D603A1"/>
    <w:rsid w:val="00D60EB5"/>
    <w:rsid w:val="00D616F8"/>
    <w:rsid w:val="00D61CDC"/>
    <w:rsid w:val="00D62041"/>
    <w:rsid w:val="00D62977"/>
    <w:rsid w:val="00D63335"/>
    <w:rsid w:val="00D63466"/>
    <w:rsid w:val="00D6357B"/>
    <w:rsid w:val="00D63E40"/>
    <w:rsid w:val="00D6458B"/>
    <w:rsid w:val="00D67003"/>
    <w:rsid w:val="00D67604"/>
    <w:rsid w:val="00D67F00"/>
    <w:rsid w:val="00D70830"/>
    <w:rsid w:val="00D708A6"/>
    <w:rsid w:val="00D70909"/>
    <w:rsid w:val="00D710F3"/>
    <w:rsid w:val="00D714BE"/>
    <w:rsid w:val="00D725C7"/>
    <w:rsid w:val="00D7291B"/>
    <w:rsid w:val="00D72BE3"/>
    <w:rsid w:val="00D732B3"/>
    <w:rsid w:val="00D750B7"/>
    <w:rsid w:val="00D751CA"/>
    <w:rsid w:val="00D761AB"/>
    <w:rsid w:val="00D7751E"/>
    <w:rsid w:val="00D77BFD"/>
    <w:rsid w:val="00D80741"/>
    <w:rsid w:val="00D81214"/>
    <w:rsid w:val="00D81EC9"/>
    <w:rsid w:val="00D81EF0"/>
    <w:rsid w:val="00D82687"/>
    <w:rsid w:val="00D82D65"/>
    <w:rsid w:val="00D83760"/>
    <w:rsid w:val="00D83A06"/>
    <w:rsid w:val="00D841C5"/>
    <w:rsid w:val="00D8581C"/>
    <w:rsid w:val="00D85EE6"/>
    <w:rsid w:val="00D85F4F"/>
    <w:rsid w:val="00D866EC"/>
    <w:rsid w:val="00D867EF"/>
    <w:rsid w:val="00D86B84"/>
    <w:rsid w:val="00D871BF"/>
    <w:rsid w:val="00D90AEE"/>
    <w:rsid w:val="00D90F5F"/>
    <w:rsid w:val="00D91474"/>
    <w:rsid w:val="00D91E8C"/>
    <w:rsid w:val="00D9298A"/>
    <w:rsid w:val="00D96E7E"/>
    <w:rsid w:val="00D96F76"/>
    <w:rsid w:val="00D97223"/>
    <w:rsid w:val="00D972DD"/>
    <w:rsid w:val="00D97CBC"/>
    <w:rsid w:val="00DA02D5"/>
    <w:rsid w:val="00DA15FB"/>
    <w:rsid w:val="00DA1A5B"/>
    <w:rsid w:val="00DA22E2"/>
    <w:rsid w:val="00DA440C"/>
    <w:rsid w:val="00DA4791"/>
    <w:rsid w:val="00DA5EB4"/>
    <w:rsid w:val="00DA62CE"/>
    <w:rsid w:val="00DA69D9"/>
    <w:rsid w:val="00DA6D26"/>
    <w:rsid w:val="00DA706D"/>
    <w:rsid w:val="00DA72F0"/>
    <w:rsid w:val="00DB0764"/>
    <w:rsid w:val="00DB07E5"/>
    <w:rsid w:val="00DB0953"/>
    <w:rsid w:val="00DB26DD"/>
    <w:rsid w:val="00DB444F"/>
    <w:rsid w:val="00DB4FAF"/>
    <w:rsid w:val="00DB515D"/>
    <w:rsid w:val="00DB51FB"/>
    <w:rsid w:val="00DB52BC"/>
    <w:rsid w:val="00DB547A"/>
    <w:rsid w:val="00DB69BF"/>
    <w:rsid w:val="00DB6A11"/>
    <w:rsid w:val="00DB6C77"/>
    <w:rsid w:val="00DB7840"/>
    <w:rsid w:val="00DB7F07"/>
    <w:rsid w:val="00DC02D2"/>
    <w:rsid w:val="00DC06EF"/>
    <w:rsid w:val="00DC1068"/>
    <w:rsid w:val="00DC10A0"/>
    <w:rsid w:val="00DC12E2"/>
    <w:rsid w:val="00DC166E"/>
    <w:rsid w:val="00DC1B84"/>
    <w:rsid w:val="00DC2939"/>
    <w:rsid w:val="00DC29D6"/>
    <w:rsid w:val="00DC2D44"/>
    <w:rsid w:val="00DC3B7C"/>
    <w:rsid w:val="00DC44CA"/>
    <w:rsid w:val="00DC4750"/>
    <w:rsid w:val="00DC4B4E"/>
    <w:rsid w:val="00DC4D7A"/>
    <w:rsid w:val="00DC4E89"/>
    <w:rsid w:val="00DC6802"/>
    <w:rsid w:val="00DC687E"/>
    <w:rsid w:val="00DC7410"/>
    <w:rsid w:val="00DC788F"/>
    <w:rsid w:val="00DC7F94"/>
    <w:rsid w:val="00DD031A"/>
    <w:rsid w:val="00DD0EBA"/>
    <w:rsid w:val="00DD124B"/>
    <w:rsid w:val="00DD1438"/>
    <w:rsid w:val="00DD1C67"/>
    <w:rsid w:val="00DD2EA6"/>
    <w:rsid w:val="00DD4058"/>
    <w:rsid w:val="00DD495E"/>
    <w:rsid w:val="00DD4C8A"/>
    <w:rsid w:val="00DD4D41"/>
    <w:rsid w:val="00DD53EE"/>
    <w:rsid w:val="00DD5623"/>
    <w:rsid w:val="00DD5BDF"/>
    <w:rsid w:val="00DD6974"/>
    <w:rsid w:val="00DD6AF7"/>
    <w:rsid w:val="00DD7AC7"/>
    <w:rsid w:val="00DE1A37"/>
    <w:rsid w:val="00DE1E33"/>
    <w:rsid w:val="00DE27E1"/>
    <w:rsid w:val="00DE35A1"/>
    <w:rsid w:val="00DE3681"/>
    <w:rsid w:val="00DE41B3"/>
    <w:rsid w:val="00DE7F39"/>
    <w:rsid w:val="00DF033F"/>
    <w:rsid w:val="00DF082B"/>
    <w:rsid w:val="00DF1627"/>
    <w:rsid w:val="00DF1B06"/>
    <w:rsid w:val="00DF4E62"/>
    <w:rsid w:val="00DF5052"/>
    <w:rsid w:val="00DF69CE"/>
    <w:rsid w:val="00E0009D"/>
    <w:rsid w:val="00E0056E"/>
    <w:rsid w:val="00E009F4"/>
    <w:rsid w:val="00E02001"/>
    <w:rsid w:val="00E026CF"/>
    <w:rsid w:val="00E02818"/>
    <w:rsid w:val="00E050ED"/>
    <w:rsid w:val="00E05FAA"/>
    <w:rsid w:val="00E064CF"/>
    <w:rsid w:val="00E06770"/>
    <w:rsid w:val="00E06DEB"/>
    <w:rsid w:val="00E06F3E"/>
    <w:rsid w:val="00E07029"/>
    <w:rsid w:val="00E10F43"/>
    <w:rsid w:val="00E116BD"/>
    <w:rsid w:val="00E11DD0"/>
    <w:rsid w:val="00E121FB"/>
    <w:rsid w:val="00E12201"/>
    <w:rsid w:val="00E124DF"/>
    <w:rsid w:val="00E12E77"/>
    <w:rsid w:val="00E14946"/>
    <w:rsid w:val="00E14D84"/>
    <w:rsid w:val="00E15481"/>
    <w:rsid w:val="00E15BB2"/>
    <w:rsid w:val="00E15C42"/>
    <w:rsid w:val="00E16AE4"/>
    <w:rsid w:val="00E20A45"/>
    <w:rsid w:val="00E20A7B"/>
    <w:rsid w:val="00E22C22"/>
    <w:rsid w:val="00E22F39"/>
    <w:rsid w:val="00E243BB"/>
    <w:rsid w:val="00E25206"/>
    <w:rsid w:val="00E25BAE"/>
    <w:rsid w:val="00E25C53"/>
    <w:rsid w:val="00E26283"/>
    <w:rsid w:val="00E27AC7"/>
    <w:rsid w:val="00E27DC8"/>
    <w:rsid w:val="00E30AA9"/>
    <w:rsid w:val="00E30CDB"/>
    <w:rsid w:val="00E32365"/>
    <w:rsid w:val="00E371AA"/>
    <w:rsid w:val="00E37E7D"/>
    <w:rsid w:val="00E40447"/>
    <w:rsid w:val="00E406A2"/>
    <w:rsid w:val="00E4107D"/>
    <w:rsid w:val="00E415FD"/>
    <w:rsid w:val="00E43E77"/>
    <w:rsid w:val="00E4401E"/>
    <w:rsid w:val="00E44D0B"/>
    <w:rsid w:val="00E450B2"/>
    <w:rsid w:val="00E45A02"/>
    <w:rsid w:val="00E45D6A"/>
    <w:rsid w:val="00E46796"/>
    <w:rsid w:val="00E46B46"/>
    <w:rsid w:val="00E46D7F"/>
    <w:rsid w:val="00E5097C"/>
    <w:rsid w:val="00E50B13"/>
    <w:rsid w:val="00E50CAE"/>
    <w:rsid w:val="00E50D15"/>
    <w:rsid w:val="00E5105F"/>
    <w:rsid w:val="00E52DAC"/>
    <w:rsid w:val="00E53C77"/>
    <w:rsid w:val="00E542FE"/>
    <w:rsid w:val="00E554C0"/>
    <w:rsid w:val="00E56CFF"/>
    <w:rsid w:val="00E56D19"/>
    <w:rsid w:val="00E57B49"/>
    <w:rsid w:val="00E57FDD"/>
    <w:rsid w:val="00E60E71"/>
    <w:rsid w:val="00E61493"/>
    <w:rsid w:val="00E62365"/>
    <w:rsid w:val="00E6367C"/>
    <w:rsid w:val="00E63A1E"/>
    <w:rsid w:val="00E65552"/>
    <w:rsid w:val="00E66CDC"/>
    <w:rsid w:val="00E67D1E"/>
    <w:rsid w:val="00E67DE3"/>
    <w:rsid w:val="00E71481"/>
    <w:rsid w:val="00E72139"/>
    <w:rsid w:val="00E726C0"/>
    <w:rsid w:val="00E73214"/>
    <w:rsid w:val="00E74385"/>
    <w:rsid w:val="00E746BA"/>
    <w:rsid w:val="00E74C3C"/>
    <w:rsid w:val="00E75929"/>
    <w:rsid w:val="00E75C1B"/>
    <w:rsid w:val="00E774F8"/>
    <w:rsid w:val="00E779DE"/>
    <w:rsid w:val="00E80063"/>
    <w:rsid w:val="00E80336"/>
    <w:rsid w:val="00E80CA2"/>
    <w:rsid w:val="00E81101"/>
    <w:rsid w:val="00E8165A"/>
    <w:rsid w:val="00E82772"/>
    <w:rsid w:val="00E82823"/>
    <w:rsid w:val="00E8284D"/>
    <w:rsid w:val="00E82F8F"/>
    <w:rsid w:val="00E83B10"/>
    <w:rsid w:val="00E85791"/>
    <w:rsid w:val="00E86048"/>
    <w:rsid w:val="00E86221"/>
    <w:rsid w:val="00E86836"/>
    <w:rsid w:val="00E9086B"/>
    <w:rsid w:val="00E90D38"/>
    <w:rsid w:val="00E91533"/>
    <w:rsid w:val="00E91601"/>
    <w:rsid w:val="00E917E2"/>
    <w:rsid w:val="00E919A7"/>
    <w:rsid w:val="00E94190"/>
    <w:rsid w:val="00E94C4C"/>
    <w:rsid w:val="00E955E6"/>
    <w:rsid w:val="00E96C90"/>
    <w:rsid w:val="00EA0603"/>
    <w:rsid w:val="00EA1269"/>
    <w:rsid w:val="00EA1BC1"/>
    <w:rsid w:val="00EA434A"/>
    <w:rsid w:val="00EA51D8"/>
    <w:rsid w:val="00EA5D37"/>
    <w:rsid w:val="00EA5D4E"/>
    <w:rsid w:val="00EA5FD3"/>
    <w:rsid w:val="00EA66CF"/>
    <w:rsid w:val="00EB008A"/>
    <w:rsid w:val="00EB0144"/>
    <w:rsid w:val="00EB07C8"/>
    <w:rsid w:val="00EB0CF8"/>
    <w:rsid w:val="00EB154A"/>
    <w:rsid w:val="00EB1EB9"/>
    <w:rsid w:val="00EB21AE"/>
    <w:rsid w:val="00EB3396"/>
    <w:rsid w:val="00EB3D98"/>
    <w:rsid w:val="00EB4534"/>
    <w:rsid w:val="00EB4A04"/>
    <w:rsid w:val="00EB5635"/>
    <w:rsid w:val="00EB7205"/>
    <w:rsid w:val="00EB78DB"/>
    <w:rsid w:val="00EB7F87"/>
    <w:rsid w:val="00EC0F4D"/>
    <w:rsid w:val="00EC1563"/>
    <w:rsid w:val="00EC342A"/>
    <w:rsid w:val="00EC4EDD"/>
    <w:rsid w:val="00EC5D12"/>
    <w:rsid w:val="00EC6496"/>
    <w:rsid w:val="00ED052D"/>
    <w:rsid w:val="00ED1A67"/>
    <w:rsid w:val="00ED1EF4"/>
    <w:rsid w:val="00ED21D9"/>
    <w:rsid w:val="00ED2320"/>
    <w:rsid w:val="00ED235F"/>
    <w:rsid w:val="00ED3F99"/>
    <w:rsid w:val="00ED431B"/>
    <w:rsid w:val="00ED4AAF"/>
    <w:rsid w:val="00ED509A"/>
    <w:rsid w:val="00ED5A82"/>
    <w:rsid w:val="00ED5ACD"/>
    <w:rsid w:val="00ED6800"/>
    <w:rsid w:val="00ED68E2"/>
    <w:rsid w:val="00ED697C"/>
    <w:rsid w:val="00ED725B"/>
    <w:rsid w:val="00ED72FF"/>
    <w:rsid w:val="00EE00DC"/>
    <w:rsid w:val="00EE0756"/>
    <w:rsid w:val="00EE075C"/>
    <w:rsid w:val="00EE0A18"/>
    <w:rsid w:val="00EE18BD"/>
    <w:rsid w:val="00EE548A"/>
    <w:rsid w:val="00EE5CA1"/>
    <w:rsid w:val="00EE60EF"/>
    <w:rsid w:val="00EE6342"/>
    <w:rsid w:val="00EE7B15"/>
    <w:rsid w:val="00EF2E97"/>
    <w:rsid w:val="00EF317B"/>
    <w:rsid w:val="00EF376B"/>
    <w:rsid w:val="00EF4231"/>
    <w:rsid w:val="00EF51A6"/>
    <w:rsid w:val="00EF6F55"/>
    <w:rsid w:val="00EF7CD8"/>
    <w:rsid w:val="00F00214"/>
    <w:rsid w:val="00F00276"/>
    <w:rsid w:val="00F00BA7"/>
    <w:rsid w:val="00F00BB8"/>
    <w:rsid w:val="00F01DD9"/>
    <w:rsid w:val="00F02900"/>
    <w:rsid w:val="00F03932"/>
    <w:rsid w:val="00F03C2A"/>
    <w:rsid w:val="00F0472A"/>
    <w:rsid w:val="00F05D70"/>
    <w:rsid w:val="00F06EFE"/>
    <w:rsid w:val="00F0730B"/>
    <w:rsid w:val="00F07891"/>
    <w:rsid w:val="00F07920"/>
    <w:rsid w:val="00F10408"/>
    <w:rsid w:val="00F10868"/>
    <w:rsid w:val="00F10E04"/>
    <w:rsid w:val="00F11A8A"/>
    <w:rsid w:val="00F135C6"/>
    <w:rsid w:val="00F137CB"/>
    <w:rsid w:val="00F14F42"/>
    <w:rsid w:val="00F15C54"/>
    <w:rsid w:val="00F16A1E"/>
    <w:rsid w:val="00F16AAE"/>
    <w:rsid w:val="00F16C5D"/>
    <w:rsid w:val="00F16FF7"/>
    <w:rsid w:val="00F17033"/>
    <w:rsid w:val="00F17E0F"/>
    <w:rsid w:val="00F212C0"/>
    <w:rsid w:val="00F23011"/>
    <w:rsid w:val="00F23EE9"/>
    <w:rsid w:val="00F2459D"/>
    <w:rsid w:val="00F24F6C"/>
    <w:rsid w:val="00F253E1"/>
    <w:rsid w:val="00F25622"/>
    <w:rsid w:val="00F269EF"/>
    <w:rsid w:val="00F30632"/>
    <w:rsid w:val="00F316B6"/>
    <w:rsid w:val="00F31E69"/>
    <w:rsid w:val="00F31F20"/>
    <w:rsid w:val="00F32F43"/>
    <w:rsid w:val="00F34D53"/>
    <w:rsid w:val="00F34EDD"/>
    <w:rsid w:val="00F359C6"/>
    <w:rsid w:val="00F35D9E"/>
    <w:rsid w:val="00F35DB9"/>
    <w:rsid w:val="00F36229"/>
    <w:rsid w:val="00F40442"/>
    <w:rsid w:val="00F40471"/>
    <w:rsid w:val="00F42231"/>
    <w:rsid w:val="00F42FF5"/>
    <w:rsid w:val="00F43CB4"/>
    <w:rsid w:val="00F44DE5"/>
    <w:rsid w:val="00F468FD"/>
    <w:rsid w:val="00F478E3"/>
    <w:rsid w:val="00F506FB"/>
    <w:rsid w:val="00F519AA"/>
    <w:rsid w:val="00F51A1F"/>
    <w:rsid w:val="00F5209A"/>
    <w:rsid w:val="00F52D53"/>
    <w:rsid w:val="00F53CDF"/>
    <w:rsid w:val="00F5415B"/>
    <w:rsid w:val="00F54F27"/>
    <w:rsid w:val="00F5571C"/>
    <w:rsid w:val="00F55B8D"/>
    <w:rsid w:val="00F57062"/>
    <w:rsid w:val="00F57771"/>
    <w:rsid w:val="00F60EE5"/>
    <w:rsid w:val="00F611C1"/>
    <w:rsid w:val="00F61C3A"/>
    <w:rsid w:val="00F644FB"/>
    <w:rsid w:val="00F64AD1"/>
    <w:rsid w:val="00F64EB4"/>
    <w:rsid w:val="00F65259"/>
    <w:rsid w:val="00F65541"/>
    <w:rsid w:val="00F6591B"/>
    <w:rsid w:val="00F65A3F"/>
    <w:rsid w:val="00F66F5D"/>
    <w:rsid w:val="00F6732D"/>
    <w:rsid w:val="00F70184"/>
    <w:rsid w:val="00F7098D"/>
    <w:rsid w:val="00F70B2C"/>
    <w:rsid w:val="00F70C1F"/>
    <w:rsid w:val="00F70FB6"/>
    <w:rsid w:val="00F71947"/>
    <w:rsid w:val="00F721A5"/>
    <w:rsid w:val="00F72706"/>
    <w:rsid w:val="00F72EFC"/>
    <w:rsid w:val="00F73C47"/>
    <w:rsid w:val="00F74FAD"/>
    <w:rsid w:val="00F75647"/>
    <w:rsid w:val="00F75677"/>
    <w:rsid w:val="00F758D6"/>
    <w:rsid w:val="00F75912"/>
    <w:rsid w:val="00F75D9B"/>
    <w:rsid w:val="00F763CE"/>
    <w:rsid w:val="00F77840"/>
    <w:rsid w:val="00F80972"/>
    <w:rsid w:val="00F815D1"/>
    <w:rsid w:val="00F8164B"/>
    <w:rsid w:val="00F81683"/>
    <w:rsid w:val="00F8251A"/>
    <w:rsid w:val="00F8260D"/>
    <w:rsid w:val="00F83BB6"/>
    <w:rsid w:val="00F8435D"/>
    <w:rsid w:val="00F8548A"/>
    <w:rsid w:val="00F85875"/>
    <w:rsid w:val="00F87F8D"/>
    <w:rsid w:val="00F90A6C"/>
    <w:rsid w:val="00F916C1"/>
    <w:rsid w:val="00F91BEE"/>
    <w:rsid w:val="00F91FB1"/>
    <w:rsid w:val="00F92D1E"/>
    <w:rsid w:val="00F93149"/>
    <w:rsid w:val="00F94892"/>
    <w:rsid w:val="00F94FCD"/>
    <w:rsid w:val="00F973D1"/>
    <w:rsid w:val="00F975F0"/>
    <w:rsid w:val="00FA1969"/>
    <w:rsid w:val="00FA2098"/>
    <w:rsid w:val="00FA20C2"/>
    <w:rsid w:val="00FA2F57"/>
    <w:rsid w:val="00FA40E8"/>
    <w:rsid w:val="00FA44E3"/>
    <w:rsid w:val="00FA5B48"/>
    <w:rsid w:val="00FA6DEB"/>
    <w:rsid w:val="00FA7A7B"/>
    <w:rsid w:val="00FA7F7C"/>
    <w:rsid w:val="00FB08C5"/>
    <w:rsid w:val="00FB09A6"/>
    <w:rsid w:val="00FB14E7"/>
    <w:rsid w:val="00FB17D7"/>
    <w:rsid w:val="00FB3E18"/>
    <w:rsid w:val="00FB5DCA"/>
    <w:rsid w:val="00FB6423"/>
    <w:rsid w:val="00FC0986"/>
    <w:rsid w:val="00FC204D"/>
    <w:rsid w:val="00FC2D76"/>
    <w:rsid w:val="00FC3C1E"/>
    <w:rsid w:val="00FC4A96"/>
    <w:rsid w:val="00FC4DB7"/>
    <w:rsid w:val="00FC73A9"/>
    <w:rsid w:val="00FC774E"/>
    <w:rsid w:val="00FD0277"/>
    <w:rsid w:val="00FD0636"/>
    <w:rsid w:val="00FD0714"/>
    <w:rsid w:val="00FD0CA8"/>
    <w:rsid w:val="00FD1125"/>
    <w:rsid w:val="00FD3B6A"/>
    <w:rsid w:val="00FD5BE6"/>
    <w:rsid w:val="00FD6C46"/>
    <w:rsid w:val="00FE2710"/>
    <w:rsid w:val="00FE45C9"/>
    <w:rsid w:val="00FE4BF6"/>
    <w:rsid w:val="00FE5344"/>
    <w:rsid w:val="00FE5B0D"/>
    <w:rsid w:val="00FE5C5E"/>
    <w:rsid w:val="00FE5F01"/>
    <w:rsid w:val="00FE616E"/>
    <w:rsid w:val="00FF1561"/>
    <w:rsid w:val="00FF295F"/>
    <w:rsid w:val="00FF320E"/>
    <w:rsid w:val="00FF3D4F"/>
    <w:rsid w:val="00FF4897"/>
    <w:rsid w:val="00FF58A0"/>
    <w:rsid w:val="00FF6229"/>
    <w:rsid w:val="00FF6B29"/>
    <w:rsid w:val="01226A52"/>
    <w:rsid w:val="015D74A7"/>
    <w:rsid w:val="017F620B"/>
    <w:rsid w:val="01917B1A"/>
    <w:rsid w:val="020E4545"/>
    <w:rsid w:val="02EC0E79"/>
    <w:rsid w:val="032F515E"/>
    <w:rsid w:val="03E05C76"/>
    <w:rsid w:val="03FA4C38"/>
    <w:rsid w:val="04CF6A19"/>
    <w:rsid w:val="04F16077"/>
    <w:rsid w:val="052B68E2"/>
    <w:rsid w:val="06A74829"/>
    <w:rsid w:val="06BC017A"/>
    <w:rsid w:val="06EE5D38"/>
    <w:rsid w:val="070729B8"/>
    <w:rsid w:val="071A63D1"/>
    <w:rsid w:val="077219C6"/>
    <w:rsid w:val="07D01B5E"/>
    <w:rsid w:val="07ED0962"/>
    <w:rsid w:val="08283748"/>
    <w:rsid w:val="08380E1D"/>
    <w:rsid w:val="083F292D"/>
    <w:rsid w:val="084A5DB4"/>
    <w:rsid w:val="084D75EE"/>
    <w:rsid w:val="08BB4E14"/>
    <w:rsid w:val="08D81C1B"/>
    <w:rsid w:val="08F50484"/>
    <w:rsid w:val="09095BCF"/>
    <w:rsid w:val="09600354"/>
    <w:rsid w:val="096369A0"/>
    <w:rsid w:val="099866AB"/>
    <w:rsid w:val="09E3201C"/>
    <w:rsid w:val="09F77876"/>
    <w:rsid w:val="0A020CC0"/>
    <w:rsid w:val="0A7721F4"/>
    <w:rsid w:val="0AAD7241"/>
    <w:rsid w:val="0AE54A6A"/>
    <w:rsid w:val="0AFD710E"/>
    <w:rsid w:val="0B6E5AB1"/>
    <w:rsid w:val="0B702BAB"/>
    <w:rsid w:val="0BFF75EA"/>
    <w:rsid w:val="0C0F616A"/>
    <w:rsid w:val="0C811679"/>
    <w:rsid w:val="0C8650AD"/>
    <w:rsid w:val="0CCE1F45"/>
    <w:rsid w:val="0D0D6A51"/>
    <w:rsid w:val="0DD203CF"/>
    <w:rsid w:val="0DDC549C"/>
    <w:rsid w:val="0E3B2399"/>
    <w:rsid w:val="0E431840"/>
    <w:rsid w:val="0ECC5CA1"/>
    <w:rsid w:val="0FD46BE4"/>
    <w:rsid w:val="101303CD"/>
    <w:rsid w:val="107412F0"/>
    <w:rsid w:val="10EA5A3E"/>
    <w:rsid w:val="110E7E7D"/>
    <w:rsid w:val="111451B1"/>
    <w:rsid w:val="118931E8"/>
    <w:rsid w:val="11932953"/>
    <w:rsid w:val="11A958FA"/>
    <w:rsid w:val="12416B0D"/>
    <w:rsid w:val="1259447E"/>
    <w:rsid w:val="12EC296B"/>
    <w:rsid w:val="130B2047"/>
    <w:rsid w:val="133F12C4"/>
    <w:rsid w:val="1393427B"/>
    <w:rsid w:val="13A1610A"/>
    <w:rsid w:val="13AC4ED0"/>
    <w:rsid w:val="13CF5EB8"/>
    <w:rsid w:val="13E93A34"/>
    <w:rsid w:val="14385243"/>
    <w:rsid w:val="14440113"/>
    <w:rsid w:val="14965A3A"/>
    <w:rsid w:val="14EF5D19"/>
    <w:rsid w:val="15407B4E"/>
    <w:rsid w:val="15E8422B"/>
    <w:rsid w:val="16541D8D"/>
    <w:rsid w:val="16602195"/>
    <w:rsid w:val="173739A8"/>
    <w:rsid w:val="1788408B"/>
    <w:rsid w:val="17FF4CF1"/>
    <w:rsid w:val="180F07EA"/>
    <w:rsid w:val="182E143F"/>
    <w:rsid w:val="1A4D5A24"/>
    <w:rsid w:val="1A55661F"/>
    <w:rsid w:val="1A692698"/>
    <w:rsid w:val="1AA121DA"/>
    <w:rsid w:val="1B2F06B2"/>
    <w:rsid w:val="1B935F98"/>
    <w:rsid w:val="1BAB6920"/>
    <w:rsid w:val="1BDF46F6"/>
    <w:rsid w:val="1C284DA9"/>
    <w:rsid w:val="1C4543C8"/>
    <w:rsid w:val="1D230EF7"/>
    <w:rsid w:val="1D951E7B"/>
    <w:rsid w:val="1D9660B0"/>
    <w:rsid w:val="1DC51436"/>
    <w:rsid w:val="1DDB7E4E"/>
    <w:rsid w:val="1E1657D0"/>
    <w:rsid w:val="1E4C1AE7"/>
    <w:rsid w:val="1E5A3207"/>
    <w:rsid w:val="1ECA3B9F"/>
    <w:rsid w:val="1F047CBC"/>
    <w:rsid w:val="1F5F51A1"/>
    <w:rsid w:val="1F6D61B8"/>
    <w:rsid w:val="1FAF4A23"/>
    <w:rsid w:val="1FFF51C2"/>
    <w:rsid w:val="20575B50"/>
    <w:rsid w:val="20796DDF"/>
    <w:rsid w:val="20D928B9"/>
    <w:rsid w:val="2115671A"/>
    <w:rsid w:val="2200500C"/>
    <w:rsid w:val="220646A2"/>
    <w:rsid w:val="22407A6C"/>
    <w:rsid w:val="22437F3A"/>
    <w:rsid w:val="22CD67F0"/>
    <w:rsid w:val="23051F2B"/>
    <w:rsid w:val="24302528"/>
    <w:rsid w:val="24464BDB"/>
    <w:rsid w:val="247D183B"/>
    <w:rsid w:val="24850E12"/>
    <w:rsid w:val="24AE4129"/>
    <w:rsid w:val="25A4045A"/>
    <w:rsid w:val="25F807A6"/>
    <w:rsid w:val="263A32B7"/>
    <w:rsid w:val="2656156A"/>
    <w:rsid w:val="269E134D"/>
    <w:rsid w:val="26AA5F44"/>
    <w:rsid w:val="274D7D6D"/>
    <w:rsid w:val="286F1155"/>
    <w:rsid w:val="28D9666D"/>
    <w:rsid w:val="29B855DE"/>
    <w:rsid w:val="2A557212"/>
    <w:rsid w:val="2A6F54DA"/>
    <w:rsid w:val="2A846AAC"/>
    <w:rsid w:val="2A871915"/>
    <w:rsid w:val="2AC140C0"/>
    <w:rsid w:val="2B964353"/>
    <w:rsid w:val="2C3F4F83"/>
    <w:rsid w:val="2D1E240B"/>
    <w:rsid w:val="2D832085"/>
    <w:rsid w:val="2D9B2143"/>
    <w:rsid w:val="2E820938"/>
    <w:rsid w:val="2EB47D7C"/>
    <w:rsid w:val="2F6107D2"/>
    <w:rsid w:val="2FC242FE"/>
    <w:rsid w:val="301E1780"/>
    <w:rsid w:val="304F3196"/>
    <w:rsid w:val="30967D99"/>
    <w:rsid w:val="311B38ED"/>
    <w:rsid w:val="314516A4"/>
    <w:rsid w:val="31B61C41"/>
    <w:rsid w:val="31E110F6"/>
    <w:rsid w:val="31F953BA"/>
    <w:rsid w:val="32480BF5"/>
    <w:rsid w:val="324C39D2"/>
    <w:rsid w:val="32C27287"/>
    <w:rsid w:val="33B0446E"/>
    <w:rsid w:val="343926B5"/>
    <w:rsid w:val="34771336"/>
    <w:rsid w:val="35935DF5"/>
    <w:rsid w:val="35A5088F"/>
    <w:rsid w:val="35EF127D"/>
    <w:rsid w:val="35F93710"/>
    <w:rsid w:val="36161F1F"/>
    <w:rsid w:val="367D6CAB"/>
    <w:rsid w:val="36802F3F"/>
    <w:rsid w:val="36B64C37"/>
    <w:rsid w:val="36FC3068"/>
    <w:rsid w:val="379540A7"/>
    <w:rsid w:val="37D95D86"/>
    <w:rsid w:val="380B4369"/>
    <w:rsid w:val="387F4D72"/>
    <w:rsid w:val="38BB5D8F"/>
    <w:rsid w:val="38CF183A"/>
    <w:rsid w:val="390F1A9A"/>
    <w:rsid w:val="398A31B2"/>
    <w:rsid w:val="399B34CA"/>
    <w:rsid w:val="39D46D7C"/>
    <w:rsid w:val="39D80975"/>
    <w:rsid w:val="39FB11BF"/>
    <w:rsid w:val="3A0245A8"/>
    <w:rsid w:val="3A333C8C"/>
    <w:rsid w:val="3ADF516D"/>
    <w:rsid w:val="3BA42BB3"/>
    <w:rsid w:val="3C37434D"/>
    <w:rsid w:val="3CA67D65"/>
    <w:rsid w:val="3CBB6575"/>
    <w:rsid w:val="3D385C00"/>
    <w:rsid w:val="3D62170A"/>
    <w:rsid w:val="3DDB3CF0"/>
    <w:rsid w:val="3E0D0AC4"/>
    <w:rsid w:val="3E463B65"/>
    <w:rsid w:val="3E624969"/>
    <w:rsid w:val="3E636548"/>
    <w:rsid w:val="3EE677FB"/>
    <w:rsid w:val="3EFA2289"/>
    <w:rsid w:val="3F363AA2"/>
    <w:rsid w:val="3F4C2ECB"/>
    <w:rsid w:val="3F7647BE"/>
    <w:rsid w:val="3F775DA7"/>
    <w:rsid w:val="3F8277C7"/>
    <w:rsid w:val="3F9D1541"/>
    <w:rsid w:val="3FFD0837"/>
    <w:rsid w:val="400A5EEE"/>
    <w:rsid w:val="403D3337"/>
    <w:rsid w:val="40556AC9"/>
    <w:rsid w:val="40771A00"/>
    <w:rsid w:val="407E4430"/>
    <w:rsid w:val="40A9471F"/>
    <w:rsid w:val="40FB4811"/>
    <w:rsid w:val="41085E46"/>
    <w:rsid w:val="41847666"/>
    <w:rsid w:val="420B31B9"/>
    <w:rsid w:val="425960B7"/>
    <w:rsid w:val="429B4937"/>
    <w:rsid w:val="42AD6748"/>
    <w:rsid w:val="42AF1CC4"/>
    <w:rsid w:val="42B71375"/>
    <w:rsid w:val="43064574"/>
    <w:rsid w:val="43742D7F"/>
    <w:rsid w:val="44A10960"/>
    <w:rsid w:val="44A136A1"/>
    <w:rsid w:val="44E3658C"/>
    <w:rsid w:val="45015430"/>
    <w:rsid w:val="45903E27"/>
    <w:rsid w:val="461046E0"/>
    <w:rsid w:val="466F1F67"/>
    <w:rsid w:val="46C5354F"/>
    <w:rsid w:val="470E18C4"/>
    <w:rsid w:val="471C5C4A"/>
    <w:rsid w:val="47A25BB7"/>
    <w:rsid w:val="485A15E8"/>
    <w:rsid w:val="48F867EE"/>
    <w:rsid w:val="491C0E0E"/>
    <w:rsid w:val="49BD080D"/>
    <w:rsid w:val="49C003AA"/>
    <w:rsid w:val="49CF674B"/>
    <w:rsid w:val="49DC3DB7"/>
    <w:rsid w:val="4AAB7B07"/>
    <w:rsid w:val="4AF96DA6"/>
    <w:rsid w:val="4B8B6D84"/>
    <w:rsid w:val="4BB02434"/>
    <w:rsid w:val="4BB46D99"/>
    <w:rsid w:val="4BBA5C24"/>
    <w:rsid w:val="4C386633"/>
    <w:rsid w:val="4C687F75"/>
    <w:rsid w:val="4CF02BC0"/>
    <w:rsid w:val="4DA95D9A"/>
    <w:rsid w:val="4DAB40A0"/>
    <w:rsid w:val="4E34533B"/>
    <w:rsid w:val="4E5C1003"/>
    <w:rsid w:val="4EA8761A"/>
    <w:rsid w:val="4EB25691"/>
    <w:rsid w:val="4ED72330"/>
    <w:rsid w:val="4FC6709B"/>
    <w:rsid w:val="505C02B1"/>
    <w:rsid w:val="50A5279D"/>
    <w:rsid w:val="51786173"/>
    <w:rsid w:val="51AA511B"/>
    <w:rsid w:val="51C53485"/>
    <w:rsid w:val="520E1CCF"/>
    <w:rsid w:val="525C2520"/>
    <w:rsid w:val="526368E1"/>
    <w:rsid w:val="52846D9A"/>
    <w:rsid w:val="536E5BF5"/>
    <w:rsid w:val="53702848"/>
    <w:rsid w:val="53F65A8A"/>
    <w:rsid w:val="54927B08"/>
    <w:rsid w:val="55CC02DF"/>
    <w:rsid w:val="55F10BEA"/>
    <w:rsid w:val="56211A07"/>
    <w:rsid w:val="564822F4"/>
    <w:rsid w:val="56F52014"/>
    <w:rsid w:val="5705494D"/>
    <w:rsid w:val="574B7E2C"/>
    <w:rsid w:val="57590F5F"/>
    <w:rsid w:val="576B77EF"/>
    <w:rsid w:val="57E338C6"/>
    <w:rsid w:val="58D11441"/>
    <w:rsid w:val="58E32A6C"/>
    <w:rsid w:val="58F652A7"/>
    <w:rsid w:val="59864C30"/>
    <w:rsid w:val="59C277BF"/>
    <w:rsid w:val="5A0A4674"/>
    <w:rsid w:val="5A1524A8"/>
    <w:rsid w:val="5A1B6236"/>
    <w:rsid w:val="5A5C3D11"/>
    <w:rsid w:val="5A640B7E"/>
    <w:rsid w:val="5A97086B"/>
    <w:rsid w:val="5AB311E3"/>
    <w:rsid w:val="5B4D68C3"/>
    <w:rsid w:val="5B6D158C"/>
    <w:rsid w:val="5B7D4734"/>
    <w:rsid w:val="5C523826"/>
    <w:rsid w:val="5C696167"/>
    <w:rsid w:val="5CEE7C31"/>
    <w:rsid w:val="5D641054"/>
    <w:rsid w:val="5D844AE2"/>
    <w:rsid w:val="5D95077A"/>
    <w:rsid w:val="5D9E51B4"/>
    <w:rsid w:val="5E05534C"/>
    <w:rsid w:val="5E575F98"/>
    <w:rsid w:val="5E7340B5"/>
    <w:rsid w:val="5F155949"/>
    <w:rsid w:val="5F952F3D"/>
    <w:rsid w:val="5FBB0234"/>
    <w:rsid w:val="5FBC5DC5"/>
    <w:rsid w:val="604E1113"/>
    <w:rsid w:val="60681AA9"/>
    <w:rsid w:val="60C03693"/>
    <w:rsid w:val="61081FB3"/>
    <w:rsid w:val="61FA530C"/>
    <w:rsid w:val="62950475"/>
    <w:rsid w:val="62FC777E"/>
    <w:rsid w:val="6311334E"/>
    <w:rsid w:val="63273E9D"/>
    <w:rsid w:val="633155E7"/>
    <w:rsid w:val="633B34A5"/>
    <w:rsid w:val="635B6D84"/>
    <w:rsid w:val="636B5241"/>
    <w:rsid w:val="63791C11"/>
    <w:rsid w:val="63833F89"/>
    <w:rsid w:val="63EB6B53"/>
    <w:rsid w:val="63F5164E"/>
    <w:rsid w:val="64252AEB"/>
    <w:rsid w:val="642D7291"/>
    <w:rsid w:val="647917CB"/>
    <w:rsid w:val="64CD637E"/>
    <w:rsid w:val="65636B32"/>
    <w:rsid w:val="661B78FF"/>
    <w:rsid w:val="661E50E3"/>
    <w:rsid w:val="665147AF"/>
    <w:rsid w:val="66BB6DD6"/>
    <w:rsid w:val="66CF63DE"/>
    <w:rsid w:val="66E942F4"/>
    <w:rsid w:val="66F85A89"/>
    <w:rsid w:val="673A0F5D"/>
    <w:rsid w:val="67713939"/>
    <w:rsid w:val="67777EDC"/>
    <w:rsid w:val="67954634"/>
    <w:rsid w:val="67D065D6"/>
    <w:rsid w:val="67DD1352"/>
    <w:rsid w:val="6871523E"/>
    <w:rsid w:val="687775B9"/>
    <w:rsid w:val="68A96F77"/>
    <w:rsid w:val="68C55F71"/>
    <w:rsid w:val="692E4942"/>
    <w:rsid w:val="69354A1B"/>
    <w:rsid w:val="696A750B"/>
    <w:rsid w:val="697F058F"/>
    <w:rsid w:val="69BF54BD"/>
    <w:rsid w:val="6A753740"/>
    <w:rsid w:val="6B6235CB"/>
    <w:rsid w:val="6B6D2669"/>
    <w:rsid w:val="6B9D16B4"/>
    <w:rsid w:val="6BAC07F9"/>
    <w:rsid w:val="6C125ACF"/>
    <w:rsid w:val="6C1D22E3"/>
    <w:rsid w:val="6C774CD6"/>
    <w:rsid w:val="6D2F5E28"/>
    <w:rsid w:val="6DB4784D"/>
    <w:rsid w:val="6DB47FE2"/>
    <w:rsid w:val="6DF0691A"/>
    <w:rsid w:val="6E016BE2"/>
    <w:rsid w:val="6E097F2E"/>
    <w:rsid w:val="6E4A488A"/>
    <w:rsid w:val="6F112DC6"/>
    <w:rsid w:val="6F9B53AE"/>
    <w:rsid w:val="6FD51E2E"/>
    <w:rsid w:val="70640355"/>
    <w:rsid w:val="706C2C8A"/>
    <w:rsid w:val="70787882"/>
    <w:rsid w:val="70F938A5"/>
    <w:rsid w:val="71351220"/>
    <w:rsid w:val="713B033C"/>
    <w:rsid w:val="71AA1F21"/>
    <w:rsid w:val="71CC1D17"/>
    <w:rsid w:val="731C34F7"/>
    <w:rsid w:val="735D134C"/>
    <w:rsid w:val="73601405"/>
    <w:rsid w:val="737226B2"/>
    <w:rsid w:val="73CB04E9"/>
    <w:rsid w:val="73E01C2A"/>
    <w:rsid w:val="74292DFA"/>
    <w:rsid w:val="749A3101"/>
    <w:rsid w:val="74D168BD"/>
    <w:rsid w:val="74D46FD7"/>
    <w:rsid w:val="750161E9"/>
    <w:rsid w:val="751229A2"/>
    <w:rsid w:val="759A04FF"/>
    <w:rsid w:val="759B0128"/>
    <w:rsid w:val="76271B70"/>
    <w:rsid w:val="763F656D"/>
    <w:rsid w:val="775F555C"/>
    <w:rsid w:val="776E0C15"/>
    <w:rsid w:val="77E87FBF"/>
    <w:rsid w:val="77FF6BF6"/>
    <w:rsid w:val="78C41512"/>
    <w:rsid w:val="798968C0"/>
    <w:rsid w:val="79D0629D"/>
    <w:rsid w:val="7A0B0B7A"/>
    <w:rsid w:val="7A3B3DFE"/>
    <w:rsid w:val="7AC5601E"/>
    <w:rsid w:val="7ADE7B6A"/>
    <w:rsid w:val="7AF40C35"/>
    <w:rsid w:val="7B702515"/>
    <w:rsid w:val="7B941E3B"/>
    <w:rsid w:val="7BEB68CB"/>
    <w:rsid w:val="7C0948B9"/>
    <w:rsid w:val="7C762DBD"/>
    <w:rsid w:val="7CE22975"/>
    <w:rsid w:val="7D2C7C8E"/>
    <w:rsid w:val="7D366D5F"/>
    <w:rsid w:val="7D45652E"/>
    <w:rsid w:val="7D7A4E9D"/>
    <w:rsid w:val="7D9E3E51"/>
    <w:rsid w:val="7DC85A72"/>
    <w:rsid w:val="7E1F06B6"/>
    <w:rsid w:val="7E290F20"/>
    <w:rsid w:val="7E4034E2"/>
    <w:rsid w:val="7EC54D8B"/>
    <w:rsid w:val="7EE30820"/>
    <w:rsid w:val="7FE52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keepLines/>
      <w:tabs>
        <w:tab w:val="left" w:pos="1440"/>
      </w:tabs>
      <w:spacing w:line="240" w:lineRule="auto"/>
      <w:ind w:left="0" w:firstLine="0"/>
      <w:jc w:val="center"/>
      <w:outlineLvl w:val="0"/>
    </w:pPr>
    <w:rPr>
      <w:rFonts w:ascii="Times New Roman" w:hAnsi="Times New Roman" w:eastAsia="宋体"/>
      <w:b/>
      <w:bCs/>
      <w:kern w:val="44"/>
      <w:sz w:val="44"/>
      <w:szCs w:val="44"/>
    </w:rPr>
  </w:style>
  <w:style w:type="paragraph" w:styleId="5">
    <w:name w:val="heading 2"/>
    <w:basedOn w:val="1"/>
    <w:next w:val="1"/>
    <w:link w:val="7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8"/>
    <w:qFormat/>
    <w:uiPriority w:val="0"/>
    <w:pPr>
      <w:keepNext/>
      <w:keepLines/>
      <w:spacing w:before="260" w:after="260" w:line="416" w:lineRule="auto"/>
      <w:outlineLvl w:val="2"/>
    </w:pPr>
    <w:rPr>
      <w:b/>
      <w:bCs/>
      <w:sz w:val="32"/>
      <w:szCs w:val="32"/>
    </w:rPr>
  </w:style>
  <w:style w:type="paragraph" w:styleId="7">
    <w:name w:val="heading 4"/>
    <w:basedOn w:val="1"/>
    <w:next w:val="1"/>
    <w:link w:val="79"/>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0"/>
    <w:qFormat/>
    <w:uiPriority w:val="0"/>
    <w:pPr>
      <w:keepNext/>
      <w:keepLines/>
      <w:tabs>
        <w:tab w:val="left" w:pos="1008"/>
      </w:tabs>
      <w:spacing w:before="280" w:after="290" w:line="372" w:lineRule="auto"/>
      <w:ind w:left="1008" w:hanging="1008"/>
      <w:outlineLvl w:val="4"/>
    </w:pPr>
    <w:rPr>
      <w:b/>
      <w:bCs/>
      <w:sz w:val="28"/>
      <w:szCs w:val="28"/>
    </w:rPr>
  </w:style>
  <w:style w:type="paragraph" w:styleId="9">
    <w:name w:val="heading 6"/>
    <w:basedOn w:val="1"/>
    <w:next w:val="1"/>
    <w:link w:val="81"/>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82"/>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8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84"/>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56">
    <w:name w:val="Default Paragraph Font"/>
    <w:unhideWhenUsed/>
    <w:qFormat/>
    <w:uiPriority w:val="1"/>
  </w:style>
  <w:style w:type="table" w:default="1" w:styleId="5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Plain Text"/>
    <w:basedOn w:val="1"/>
    <w:link w:val="93"/>
    <w:qFormat/>
    <w:uiPriority w:val="0"/>
    <w:rPr>
      <w:rFonts w:ascii="宋体" w:hAnsi="Courier New"/>
      <w:szCs w:val="20"/>
    </w:rPr>
  </w:style>
  <w:style w:type="paragraph" w:styleId="13">
    <w:name w:val="toc 7"/>
    <w:basedOn w:val="1"/>
    <w:next w:val="1"/>
    <w:qFormat/>
    <w:uiPriority w:val="0"/>
    <w:pPr>
      <w:ind w:left="1260"/>
      <w:jc w:val="left"/>
    </w:pPr>
    <w:rPr>
      <w:sz w:val="18"/>
      <w:szCs w:val="18"/>
    </w:rPr>
  </w:style>
  <w:style w:type="paragraph" w:styleId="14">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5">
    <w:name w:val="index 8"/>
    <w:basedOn w:val="1"/>
    <w:next w:val="1"/>
    <w:unhideWhenUsed/>
    <w:qFormat/>
    <w:uiPriority w:val="99"/>
    <w:pPr>
      <w:ind w:left="1400" w:leftChars="1400"/>
    </w:pPr>
  </w:style>
  <w:style w:type="paragraph" w:styleId="16">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7">
    <w:name w:val="Normal Indent"/>
    <w:basedOn w:val="1"/>
    <w:link w:val="85"/>
    <w:qFormat/>
    <w:uiPriority w:val="0"/>
    <w:pPr>
      <w:autoSpaceDE w:val="0"/>
      <w:autoSpaceDN w:val="0"/>
      <w:adjustRightInd w:val="0"/>
      <w:ind w:firstLine="420"/>
      <w:jc w:val="left"/>
    </w:pPr>
    <w:rPr>
      <w:rFonts w:ascii="宋体"/>
      <w:kern w:val="0"/>
      <w:sz w:val="24"/>
      <w:szCs w:val="20"/>
    </w:rPr>
  </w:style>
  <w:style w:type="paragraph" w:styleId="18">
    <w:name w:val="caption"/>
    <w:basedOn w:val="1"/>
    <w:next w:val="1"/>
    <w:link w:val="86"/>
    <w:qFormat/>
    <w:uiPriority w:val="0"/>
    <w:pPr>
      <w:ind w:firstLine="6290" w:firstLineChars="2282"/>
    </w:pPr>
    <w:rPr>
      <w:b/>
      <w:bCs/>
      <w:color w:val="000080"/>
      <w:sz w:val="28"/>
    </w:rPr>
  </w:style>
  <w:style w:type="paragraph" w:styleId="19">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0">
    <w:name w:val="Document Map"/>
    <w:basedOn w:val="1"/>
    <w:link w:val="87"/>
    <w:unhideWhenUsed/>
    <w:qFormat/>
    <w:uiPriority w:val="99"/>
    <w:rPr>
      <w:rFonts w:ascii="宋体"/>
      <w:sz w:val="18"/>
      <w:szCs w:val="18"/>
    </w:rPr>
  </w:style>
  <w:style w:type="paragraph" w:styleId="21">
    <w:name w:val="annotation text"/>
    <w:basedOn w:val="1"/>
    <w:link w:val="88"/>
    <w:qFormat/>
    <w:uiPriority w:val="99"/>
    <w:pPr>
      <w:jc w:val="left"/>
    </w:pPr>
    <w:rPr>
      <w:kern w:val="0"/>
      <w:sz w:val="20"/>
    </w:rPr>
  </w:style>
  <w:style w:type="paragraph" w:styleId="22">
    <w:name w:val="Salutation"/>
    <w:basedOn w:val="1"/>
    <w:next w:val="1"/>
    <w:link w:val="89"/>
    <w:qFormat/>
    <w:uiPriority w:val="0"/>
    <w:rPr>
      <w:rFonts w:ascii="宋体" w:hAnsi="宋体"/>
      <w:sz w:val="24"/>
      <w:szCs w:val="20"/>
    </w:rPr>
  </w:style>
  <w:style w:type="paragraph" w:styleId="23">
    <w:name w:val="Body Text 3"/>
    <w:basedOn w:val="1"/>
    <w:link w:val="90"/>
    <w:qFormat/>
    <w:uiPriority w:val="0"/>
    <w:pPr>
      <w:spacing w:line="600" w:lineRule="exact"/>
      <w:ind w:firstLine="200" w:firstLineChars="200"/>
    </w:pPr>
    <w:rPr>
      <w:rFonts w:ascii="Calibri"/>
      <w:kern w:val="0"/>
      <w:sz w:val="24"/>
      <w:szCs w:val="20"/>
    </w:rPr>
  </w:style>
  <w:style w:type="paragraph" w:styleId="24">
    <w:name w:val="List Bullet 3"/>
    <w:basedOn w:val="1"/>
    <w:qFormat/>
    <w:uiPriority w:val="0"/>
    <w:pPr>
      <w:tabs>
        <w:tab w:val="left" w:pos="775"/>
      </w:tabs>
      <w:spacing w:line="360" w:lineRule="auto"/>
      <w:ind w:left="775" w:hanging="360"/>
    </w:pPr>
    <w:rPr>
      <w:kern w:val="0"/>
    </w:rPr>
  </w:style>
  <w:style w:type="paragraph" w:styleId="25">
    <w:name w:val="Body Text"/>
    <w:basedOn w:val="1"/>
    <w:next w:val="2"/>
    <w:link w:val="91"/>
    <w:qFormat/>
    <w:uiPriority w:val="0"/>
    <w:pPr>
      <w:spacing w:line="360" w:lineRule="auto"/>
    </w:pPr>
  </w:style>
  <w:style w:type="paragraph" w:styleId="26">
    <w:name w:val="Body Text Indent"/>
    <w:basedOn w:val="1"/>
    <w:next w:val="27"/>
    <w:qFormat/>
    <w:uiPriority w:val="0"/>
    <w:pPr>
      <w:widowControl/>
      <w:ind w:left="360"/>
      <w:jc w:val="left"/>
    </w:pPr>
    <w:rPr>
      <w:kern w:val="0"/>
      <w:sz w:val="28"/>
      <w:szCs w:val="20"/>
    </w:rPr>
  </w:style>
  <w:style w:type="paragraph" w:styleId="27">
    <w:name w:val="envelope return"/>
    <w:basedOn w:val="1"/>
    <w:qFormat/>
    <w:uiPriority w:val="0"/>
    <w:pPr>
      <w:snapToGrid w:val="0"/>
    </w:pPr>
    <w:rPr>
      <w:rFonts w:ascii="Arial" w:hAnsi="Arial"/>
    </w:rPr>
  </w:style>
  <w:style w:type="paragraph" w:styleId="28">
    <w:name w:val="List 2"/>
    <w:basedOn w:val="1"/>
    <w:qFormat/>
    <w:uiPriority w:val="0"/>
    <w:pPr>
      <w:ind w:left="100" w:leftChars="200" w:hanging="200" w:hangingChars="200"/>
    </w:pPr>
    <w:rPr>
      <w:szCs w:val="24"/>
    </w:rPr>
  </w:style>
  <w:style w:type="paragraph" w:styleId="29">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0">
    <w:name w:val="toc 5"/>
    <w:basedOn w:val="1"/>
    <w:next w:val="1"/>
    <w:qFormat/>
    <w:uiPriority w:val="0"/>
    <w:pPr>
      <w:ind w:left="840"/>
      <w:jc w:val="left"/>
    </w:pPr>
    <w:rPr>
      <w:sz w:val="18"/>
      <w:szCs w:val="18"/>
    </w:rPr>
  </w:style>
  <w:style w:type="paragraph" w:styleId="31">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32">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33">
    <w:name w:val="toc 8"/>
    <w:basedOn w:val="1"/>
    <w:next w:val="1"/>
    <w:qFormat/>
    <w:uiPriority w:val="0"/>
    <w:pPr>
      <w:ind w:left="1470"/>
      <w:jc w:val="left"/>
    </w:pPr>
    <w:rPr>
      <w:sz w:val="18"/>
      <w:szCs w:val="18"/>
    </w:rPr>
  </w:style>
  <w:style w:type="paragraph" w:styleId="34">
    <w:name w:val="Date"/>
    <w:basedOn w:val="1"/>
    <w:next w:val="1"/>
    <w:link w:val="94"/>
    <w:unhideWhenUsed/>
    <w:qFormat/>
    <w:uiPriority w:val="99"/>
    <w:pPr>
      <w:ind w:left="100" w:leftChars="2500"/>
    </w:pPr>
  </w:style>
  <w:style w:type="paragraph" w:styleId="35">
    <w:name w:val="Body Text Indent 2"/>
    <w:basedOn w:val="1"/>
    <w:qFormat/>
    <w:uiPriority w:val="0"/>
    <w:pPr>
      <w:ind w:firstLine="480" w:firstLineChars="200"/>
    </w:pPr>
    <w:rPr>
      <w:rFonts w:ascii="仿宋_GB2312" w:eastAsia="仿宋_GB2312"/>
      <w:sz w:val="24"/>
    </w:rPr>
  </w:style>
  <w:style w:type="paragraph" w:styleId="36">
    <w:name w:val="endnote text"/>
    <w:basedOn w:val="1"/>
    <w:link w:val="95"/>
    <w:qFormat/>
    <w:uiPriority w:val="0"/>
    <w:pPr>
      <w:snapToGrid w:val="0"/>
      <w:spacing w:line="500" w:lineRule="exact"/>
      <w:jc w:val="left"/>
    </w:pPr>
    <w:rPr>
      <w:kern w:val="0"/>
    </w:rPr>
  </w:style>
  <w:style w:type="paragraph" w:styleId="37">
    <w:name w:val="Balloon Text"/>
    <w:basedOn w:val="1"/>
    <w:link w:val="96"/>
    <w:unhideWhenUsed/>
    <w:qFormat/>
    <w:uiPriority w:val="99"/>
    <w:rPr>
      <w:sz w:val="18"/>
      <w:szCs w:val="18"/>
    </w:rPr>
  </w:style>
  <w:style w:type="paragraph" w:styleId="38">
    <w:name w:val="footer"/>
    <w:basedOn w:val="1"/>
    <w:next w:val="39"/>
    <w:link w:val="97"/>
    <w:qFormat/>
    <w:uiPriority w:val="99"/>
    <w:pPr>
      <w:tabs>
        <w:tab w:val="center" w:pos="4153"/>
        <w:tab w:val="right" w:pos="8306"/>
      </w:tabs>
      <w:snapToGrid w:val="0"/>
      <w:jc w:val="left"/>
    </w:pPr>
    <w:rPr>
      <w:sz w:val="18"/>
      <w:szCs w:val="18"/>
    </w:rPr>
  </w:style>
  <w:style w:type="paragraph" w:styleId="39">
    <w:name w:val="header"/>
    <w:basedOn w:val="1"/>
    <w:next w:val="40"/>
    <w:link w:val="98"/>
    <w:qFormat/>
    <w:uiPriority w:val="99"/>
    <w:pPr>
      <w:pBdr>
        <w:bottom w:val="single" w:color="auto" w:sz="6" w:space="1"/>
      </w:pBdr>
      <w:tabs>
        <w:tab w:val="center" w:pos="4153"/>
        <w:tab w:val="right" w:pos="8306"/>
      </w:tabs>
      <w:snapToGrid w:val="0"/>
      <w:jc w:val="center"/>
    </w:pPr>
    <w:rPr>
      <w:sz w:val="18"/>
      <w:szCs w:val="18"/>
    </w:rPr>
  </w:style>
  <w:style w:type="paragraph" w:styleId="40">
    <w:name w:val="toc 2"/>
    <w:basedOn w:val="1"/>
    <w:next w:val="1"/>
    <w:qFormat/>
    <w:uiPriority w:val="39"/>
    <w:pPr>
      <w:tabs>
        <w:tab w:val="right" w:leader="dot" w:pos="8778"/>
      </w:tabs>
      <w:ind w:left="23" w:leftChars="9" w:hanging="4" w:hangingChars="2"/>
      <w:jc w:val="left"/>
    </w:pPr>
    <w:rPr>
      <w:smallCaps/>
      <w:sz w:val="20"/>
      <w:szCs w:val="20"/>
    </w:rPr>
  </w:style>
  <w:style w:type="paragraph" w:styleId="41">
    <w:name w:val="toc 1"/>
    <w:basedOn w:val="1"/>
    <w:next w:val="1"/>
    <w:qFormat/>
    <w:uiPriority w:val="39"/>
    <w:pPr>
      <w:tabs>
        <w:tab w:val="right" w:leader="dot" w:pos="8778"/>
      </w:tabs>
      <w:snapToGrid w:val="0"/>
      <w:spacing w:line="360" w:lineRule="auto"/>
      <w:jc w:val="center"/>
    </w:pPr>
    <w:rPr>
      <w:rFonts w:ascii="Times New Roman" w:hAnsi="Times New Roman" w:eastAsia="宋体"/>
      <w:b/>
      <w:bCs/>
      <w:iCs/>
      <w:caps/>
      <w:kern w:val="0"/>
      <w:sz w:val="21"/>
      <w:szCs w:val="36"/>
    </w:rPr>
  </w:style>
  <w:style w:type="paragraph" w:styleId="42">
    <w:name w:val="toc 4"/>
    <w:basedOn w:val="1"/>
    <w:next w:val="1"/>
    <w:qFormat/>
    <w:uiPriority w:val="0"/>
    <w:pPr>
      <w:ind w:left="630"/>
      <w:jc w:val="left"/>
    </w:pPr>
    <w:rPr>
      <w:sz w:val="18"/>
      <w:szCs w:val="18"/>
    </w:rPr>
  </w:style>
  <w:style w:type="paragraph" w:styleId="43">
    <w:name w:val="footnote text"/>
    <w:basedOn w:val="1"/>
    <w:link w:val="99"/>
    <w:qFormat/>
    <w:uiPriority w:val="0"/>
    <w:pPr>
      <w:adjustRightInd w:val="0"/>
      <w:spacing w:line="312" w:lineRule="atLeast"/>
      <w:jc w:val="left"/>
      <w:textAlignment w:val="baseline"/>
    </w:pPr>
    <w:rPr>
      <w:kern w:val="0"/>
      <w:sz w:val="18"/>
      <w:szCs w:val="20"/>
    </w:rPr>
  </w:style>
  <w:style w:type="paragraph" w:styleId="44">
    <w:name w:val="toc 6"/>
    <w:basedOn w:val="1"/>
    <w:next w:val="1"/>
    <w:qFormat/>
    <w:uiPriority w:val="0"/>
    <w:pPr>
      <w:ind w:left="1050"/>
      <w:jc w:val="left"/>
    </w:pPr>
    <w:rPr>
      <w:sz w:val="18"/>
      <w:szCs w:val="18"/>
    </w:rPr>
  </w:style>
  <w:style w:type="paragraph" w:styleId="45">
    <w:name w:val="toc 9"/>
    <w:basedOn w:val="1"/>
    <w:next w:val="1"/>
    <w:qFormat/>
    <w:uiPriority w:val="0"/>
    <w:pPr>
      <w:ind w:left="1680"/>
      <w:jc w:val="left"/>
    </w:pPr>
    <w:rPr>
      <w:sz w:val="18"/>
      <w:szCs w:val="18"/>
    </w:rPr>
  </w:style>
  <w:style w:type="paragraph" w:styleId="46">
    <w:name w:val="Body Text 2"/>
    <w:basedOn w:val="1"/>
    <w:next w:val="1"/>
    <w:qFormat/>
    <w:uiPriority w:val="0"/>
    <w:pPr>
      <w:jc w:val="center"/>
      <w:outlineLvl w:val="0"/>
    </w:pPr>
    <w:rPr>
      <w:rFonts w:ascii="楷体_GB2312" w:eastAsia="仿宋_GB2312"/>
      <w:kern w:val="2"/>
      <w:sz w:val="30"/>
    </w:rPr>
  </w:style>
  <w:style w:type="paragraph" w:styleId="4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9">
    <w:name w:val="Title"/>
    <w:basedOn w:val="1"/>
    <w:next w:val="1"/>
    <w:link w:val="100"/>
    <w:qFormat/>
    <w:uiPriority w:val="0"/>
    <w:pPr>
      <w:widowControl/>
      <w:spacing w:before="240" w:after="60"/>
      <w:jc w:val="center"/>
      <w:outlineLvl w:val="0"/>
    </w:pPr>
    <w:rPr>
      <w:rFonts w:ascii="Arial" w:hAnsi="Arial" w:eastAsia="楷体_GB2312"/>
      <w:b/>
      <w:kern w:val="0"/>
      <w:sz w:val="32"/>
      <w:szCs w:val="20"/>
    </w:rPr>
  </w:style>
  <w:style w:type="paragraph" w:styleId="50">
    <w:name w:val="annotation subject"/>
    <w:basedOn w:val="21"/>
    <w:next w:val="21"/>
    <w:link w:val="101"/>
    <w:unhideWhenUsed/>
    <w:qFormat/>
    <w:uiPriority w:val="99"/>
    <w:rPr>
      <w:b/>
      <w:bCs/>
      <w:kern w:val="2"/>
      <w:sz w:val="21"/>
    </w:rPr>
  </w:style>
  <w:style w:type="paragraph" w:styleId="51">
    <w:name w:val="Body Text First Indent"/>
    <w:basedOn w:val="25"/>
    <w:next w:val="1"/>
    <w:link w:val="92"/>
    <w:unhideWhenUsed/>
    <w:qFormat/>
    <w:uiPriority w:val="99"/>
    <w:pPr>
      <w:spacing w:after="120" w:line="240" w:lineRule="auto"/>
      <w:ind w:firstLine="420" w:firstLineChars="100"/>
    </w:pPr>
  </w:style>
  <w:style w:type="paragraph" w:styleId="52">
    <w:name w:val="Body Text First Indent 2"/>
    <w:basedOn w:val="26"/>
    <w:next w:val="53"/>
    <w:unhideWhenUsed/>
    <w:qFormat/>
    <w:uiPriority w:val="0"/>
    <w:pPr>
      <w:tabs>
        <w:tab w:val="left" w:pos="945"/>
        <w:tab w:val="left" w:pos="1155"/>
      </w:tabs>
      <w:spacing w:after="120" w:afterLines="0"/>
      <w:ind w:left="420" w:leftChars="200" w:firstLine="420" w:firstLineChars="200"/>
    </w:pPr>
    <w:rPr>
      <w:rFonts w:hint="eastAsia" w:ascii="Times New Roman"/>
      <w:sz w:val="24"/>
    </w:rPr>
  </w:style>
  <w:style w:type="paragraph" w:customStyle="1" w:styleId="53">
    <w:name w:val="样式 正文首行缩进 2 + Arial"/>
    <w:basedOn w:val="1"/>
    <w:next w:val="1"/>
    <w:qFormat/>
    <w:uiPriority w:val="0"/>
    <w:pPr>
      <w:spacing w:after="120" w:line="320" w:lineRule="atLeast"/>
    </w:pPr>
    <w:rPr>
      <w:rFonts w:ascii="Arial" w:hAnsi="Arial"/>
      <w:kern w:val="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000000"/>
      <w:sz w:val="14"/>
      <w:szCs w:val="14"/>
      <w:u w:val="none"/>
    </w:rPr>
  </w:style>
  <w:style w:type="character" w:styleId="61">
    <w:name w:val="HTML Definition"/>
    <w:unhideWhenUsed/>
    <w:qFormat/>
    <w:uiPriority w:val="99"/>
  </w:style>
  <w:style w:type="character" w:styleId="62">
    <w:name w:val="HTML Typewriter"/>
    <w:unhideWhenUsed/>
    <w:qFormat/>
    <w:uiPriority w:val="99"/>
    <w:rPr>
      <w:rFonts w:hint="default" w:ascii="monospace" w:hAnsi="monospace" w:eastAsia="monospace" w:cs="monospace"/>
      <w:sz w:val="20"/>
    </w:rPr>
  </w:style>
  <w:style w:type="character" w:styleId="63">
    <w:name w:val="HTML Acronym"/>
    <w:unhideWhenUsed/>
    <w:qFormat/>
    <w:uiPriority w:val="99"/>
  </w:style>
  <w:style w:type="character" w:styleId="64">
    <w:name w:val="HTML Variable"/>
    <w:unhideWhenUsed/>
    <w:qFormat/>
    <w:uiPriority w:val="99"/>
  </w:style>
  <w:style w:type="character" w:styleId="65">
    <w:name w:val="Hyperlink"/>
    <w:qFormat/>
    <w:uiPriority w:val="99"/>
    <w:rPr>
      <w:color w:val="000000"/>
      <w:sz w:val="14"/>
      <w:szCs w:val="14"/>
      <w:u w:val="none"/>
    </w:rPr>
  </w:style>
  <w:style w:type="character" w:styleId="66">
    <w:name w:val="HTML Code"/>
    <w:unhideWhenUsed/>
    <w:qFormat/>
    <w:uiPriority w:val="99"/>
    <w:rPr>
      <w:rFonts w:ascii="monospace" w:hAnsi="monospace" w:eastAsia="monospace" w:cs="monospace"/>
      <w:sz w:val="20"/>
    </w:rPr>
  </w:style>
  <w:style w:type="character" w:styleId="67">
    <w:name w:val="annotation reference"/>
    <w:unhideWhenUsed/>
    <w:qFormat/>
    <w:uiPriority w:val="99"/>
    <w:rPr>
      <w:sz w:val="21"/>
      <w:szCs w:val="21"/>
    </w:rPr>
  </w:style>
  <w:style w:type="character" w:styleId="68">
    <w:name w:val="HTML Cite"/>
    <w:unhideWhenUsed/>
    <w:qFormat/>
    <w:uiPriority w:val="99"/>
  </w:style>
  <w:style w:type="character" w:styleId="69">
    <w:name w:val="footnote reference"/>
    <w:qFormat/>
    <w:uiPriority w:val="0"/>
    <w:rPr>
      <w:vertAlign w:val="superscript"/>
    </w:rPr>
  </w:style>
  <w:style w:type="character" w:styleId="70">
    <w:name w:val="HTML Keyboard"/>
    <w:unhideWhenUsed/>
    <w:qFormat/>
    <w:uiPriority w:val="99"/>
    <w:rPr>
      <w:rFonts w:hint="default" w:ascii="monospace" w:hAnsi="monospace" w:eastAsia="monospace" w:cs="monospace"/>
      <w:sz w:val="20"/>
    </w:rPr>
  </w:style>
  <w:style w:type="character" w:styleId="71">
    <w:name w:val="HTML Sample"/>
    <w:unhideWhenUsed/>
    <w:qFormat/>
    <w:uiPriority w:val="99"/>
    <w:rPr>
      <w:rFonts w:hint="default" w:ascii="monospace" w:hAnsi="monospace" w:eastAsia="monospace" w:cs="monospace"/>
    </w:rPr>
  </w:style>
  <w:style w:type="paragraph" w:customStyle="1" w:styleId="72">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73">
    <w:name w:val="style4"/>
    <w:basedOn w:val="74"/>
    <w:next w:val="75"/>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74">
    <w:name w:val="Normal"/>
    <w:next w:val="51"/>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5">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2 Char"/>
    <w:link w:val="5"/>
    <w:semiHidden/>
    <w:qFormat/>
    <w:uiPriority w:val="0"/>
    <w:rPr>
      <w:rFonts w:ascii="Arial" w:hAnsi="Arial" w:eastAsia="黑体"/>
      <w:b/>
      <w:bCs/>
      <w:kern w:val="2"/>
      <w:sz w:val="32"/>
      <w:szCs w:val="32"/>
    </w:rPr>
  </w:style>
  <w:style w:type="character" w:customStyle="1" w:styleId="77">
    <w:name w:val="标题 1 Char"/>
    <w:link w:val="4"/>
    <w:semiHidden/>
    <w:qFormat/>
    <w:uiPriority w:val="0"/>
    <w:rPr>
      <w:rFonts w:ascii="Times New Roman" w:hAnsi="Times New Roman" w:eastAsia="宋体"/>
      <w:b/>
      <w:bCs/>
      <w:kern w:val="44"/>
      <w:sz w:val="44"/>
      <w:szCs w:val="44"/>
    </w:rPr>
  </w:style>
  <w:style w:type="character" w:customStyle="1" w:styleId="78">
    <w:name w:val="标题 3 Char"/>
    <w:link w:val="6"/>
    <w:semiHidden/>
    <w:qFormat/>
    <w:uiPriority w:val="0"/>
    <w:rPr>
      <w:rFonts w:ascii="Times New Roman" w:hAnsi="Times New Roman"/>
      <w:b/>
      <w:bCs/>
      <w:kern w:val="2"/>
      <w:sz w:val="32"/>
      <w:szCs w:val="32"/>
    </w:rPr>
  </w:style>
  <w:style w:type="character" w:customStyle="1" w:styleId="79">
    <w:name w:val="标题 4 Char"/>
    <w:link w:val="7"/>
    <w:semiHidden/>
    <w:qFormat/>
    <w:uiPriority w:val="0"/>
    <w:rPr>
      <w:rFonts w:ascii="Cambria" w:hAnsi="Cambria" w:eastAsia="宋体" w:cs="Times New Roman"/>
      <w:b/>
      <w:bCs/>
      <w:kern w:val="2"/>
      <w:sz w:val="28"/>
      <w:szCs w:val="28"/>
    </w:rPr>
  </w:style>
  <w:style w:type="character" w:customStyle="1" w:styleId="80">
    <w:name w:val="标题 5 Char"/>
    <w:link w:val="8"/>
    <w:semiHidden/>
    <w:qFormat/>
    <w:uiPriority w:val="0"/>
    <w:rPr>
      <w:rFonts w:ascii="Times New Roman" w:hAnsi="Times New Roman"/>
      <w:b/>
      <w:bCs/>
      <w:kern w:val="2"/>
      <w:sz w:val="28"/>
      <w:szCs w:val="28"/>
    </w:rPr>
  </w:style>
  <w:style w:type="character" w:customStyle="1" w:styleId="81">
    <w:name w:val="标题 6 Char"/>
    <w:link w:val="9"/>
    <w:semiHidden/>
    <w:qFormat/>
    <w:uiPriority w:val="0"/>
    <w:rPr>
      <w:rFonts w:ascii="Arial" w:hAnsi="Arial" w:eastAsia="黑体"/>
      <w:b/>
      <w:kern w:val="2"/>
      <w:sz w:val="24"/>
    </w:rPr>
  </w:style>
  <w:style w:type="character" w:customStyle="1" w:styleId="82">
    <w:name w:val="标题 7 Char"/>
    <w:link w:val="10"/>
    <w:semiHidden/>
    <w:qFormat/>
    <w:uiPriority w:val="0"/>
    <w:rPr>
      <w:rFonts w:ascii="Times New Roman" w:hAnsi="Times New Roman"/>
      <w:b/>
      <w:kern w:val="2"/>
      <w:sz w:val="24"/>
    </w:rPr>
  </w:style>
  <w:style w:type="character" w:customStyle="1" w:styleId="83">
    <w:name w:val="标题 8 Char"/>
    <w:link w:val="11"/>
    <w:semiHidden/>
    <w:qFormat/>
    <w:uiPriority w:val="0"/>
    <w:rPr>
      <w:rFonts w:ascii="Arial" w:hAnsi="Arial" w:eastAsia="黑体"/>
      <w:kern w:val="2"/>
      <w:sz w:val="24"/>
    </w:rPr>
  </w:style>
  <w:style w:type="character" w:customStyle="1" w:styleId="84">
    <w:name w:val="标题 9 Char"/>
    <w:link w:val="12"/>
    <w:semiHidden/>
    <w:qFormat/>
    <w:uiPriority w:val="0"/>
    <w:rPr>
      <w:rFonts w:ascii="Arial" w:hAnsi="Arial" w:eastAsia="黑体"/>
      <w:kern w:val="2"/>
      <w:sz w:val="21"/>
    </w:rPr>
  </w:style>
  <w:style w:type="character" w:customStyle="1" w:styleId="85">
    <w:name w:val="正文缩进 Char1"/>
    <w:link w:val="17"/>
    <w:qFormat/>
    <w:uiPriority w:val="0"/>
    <w:rPr>
      <w:rFonts w:ascii="宋体"/>
      <w:sz w:val="24"/>
    </w:rPr>
  </w:style>
  <w:style w:type="character" w:customStyle="1" w:styleId="86">
    <w:name w:val="题注 Char"/>
    <w:link w:val="18"/>
    <w:semiHidden/>
    <w:qFormat/>
    <w:uiPriority w:val="0"/>
    <w:rPr>
      <w:rFonts w:ascii="Times New Roman" w:hAnsi="Times New Roman"/>
      <w:b/>
      <w:bCs/>
      <w:color w:val="000080"/>
      <w:kern w:val="2"/>
      <w:sz w:val="28"/>
      <w:szCs w:val="24"/>
    </w:rPr>
  </w:style>
  <w:style w:type="character" w:customStyle="1" w:styleId="87">
    <w:name w:val="文档结构图 Char1"/>
    <w:link w:val="20"/>
    <w:semiHidden/>
    <w:qFormat/>
    <w:uiPriority w:val="99"/>
    <w:rPr>
      <w:rFonts w:ascii="宋体"/>
      <w:kern w:val="2"/>
      <w:sz w:val="18"/>
      <w:szCs w:val="18"/>
    </w:rPr>
  </w:style>
  <w:style w:type="character" w:customStyle="1" w:styleId="88">
    <w:name w:val="批注文字 Char"/>
    <w:link w:val="21"/>
    <w:qFormat/>
    <w:uiPriority w:val="99"/>
    <w:rPr>
      <w:rFonts w:ascii="Times New Roman" w:hAnsi="Times New Roman" w:eastAsia="宋体" w:cs="Times New Roman"/>
      <w:szCs w:val="24"/>
    </w:rPr>
  </w:style>
  <w:style w:type="character" w:customStyle="1" w:styleId="89">
    <w:name w:val="称呼 Char1"/>
    <w:link w:val="22"/>
    <w:qFormat/>
    <w:uiPriority w:val="0"/>
    <w:rPr>
      <w:rFonts w:ascii="宋体" w:hAnsi="宋体"/>
      <w:kern w:val="2"/>
      <w:sz w:val="24"/>
    </w:rPr>
  </w:style>
  <w:style w:type="character" w:customStyle="1" w:styleId="90">
    <w:name w:val="正文文本 3 Char1"/>
    <w:link w:val="23"/>
    <w:qFormat/>
    <w:uiPriority w:val="0"/>
    <w:rPr>
      <w:rFonts w:ascii="Calibri"/>
      <w:sz w:val="24"/>
    </w:rPr>
  </w:style>
  <w:style w:type="character" w:customStyle="1" w:styleId="91">
    <w:name w:val="正文文本 Char"/>
    <w:link w:val="25"/>
    <w:qFormat/>
    <w:uiPriority w:val="0"/>
    <w:rPr>
      <w:rFonts w:ascii="Times New Roman" w:hAnsi="Times New Roman"/>
      <w:kern w:val="2"/>
      <w:sz w:val="21"/>
      <w:szCs w:val="24"/>
    </w:rPr>
  </w:style>
  <w:style w:type="character" w:customStyle="1" w:styleId="92">
    <w:name w:val="正文首行缩进 Char1"/>
    <w:link w:val="51"/>
    <w:semiHidden/>
    <w:qFormat/>
    <w:uiPriority w:val="99"/>
  </w:style>
  <w:style w:type="character" w:customStyle="1" w:styleId="93">
    <w:name w:val="纯文本 Char1"/>
    <w:link w:val="3"/>
    <w:qFormat/>
    <w:uiPriority w:val="0"/>
    <w:rPr>
      <w:rFonts w:ascii="宋体" w:hAnsi="Courier New"/>
      <w:kern w:val="2"/>
      <w:sz w:val="21"/>
    </w:rPr>
  </w:style>
  <w:style w:type="character" w:customStyle="1" w:styleId="94">
    <w:name w:val="日期 Char2"/>
    <w:link w:val="34"/>
    <w:semiHidden/>
    <w:qFormat/>
    <w:uiPriority w:val="99"/>
    <w:rPr>
      <w:kern w:val="2"/>
      <w:sz w:val="21"/>
      <w:szCs w:val="24"/>
    </w:rPr>
  </w:style>
  <w:style w:type="character" w:customStyle="1" w:styleId="95">
    <w:name w:val="尾注文本 Char"/>
    <w:link w:val="36"/>
    <w:semiHidden/>
    <w:qFormat/>
    <w:uiPriority w:val="0"/>
    <w:rPr>
      <w:rFonts w:ascii="Times New Roman" w:hAnsi="Times New Roman"/>
      <w:sz w:val="21"/>
      <w:szCs w:val="24"/>
    </w:rPr>
  </w:style>
  <w:style w:type="character" w:customStyle="1" w:styleId="96">
    <w:name w:val="批注框文本 Char"/>
    <w:link w:val="37"/>
    <w:semiHidden/>
    <w:qFormat/>
    <w:uiPriority w:val="99"/>
    <w:rPr>
      <w:kern w:val="2"/>
      <w:sz w:val="18"/>
      <w:szCs w:val="18"/>
    </w:rPr>
  </w:style>
  <w:style w:type="character" w:customStyle="1" w:styleId="97">
    <w:name w:val="页脚 Char1"/>
    <w:link w:val="38"/>
    <w:qFormat/>
    <w:uiPriority w:val="99"/>
    <w:rPr>
      <w:rFonts w:ascii="Times New Roman" w:hAnsi="Times New Roman"/>
      <w:kern w:val="2"/>
      <w:sz w:val="18"/>
      <w:szCs w:val="18"/>
    </w:rPr>
  </w:style>
  <w:style w:type="character" w:customStyle="1" w:styleId="98">
    <w:name w:val="页眉 Char"/>
    <w:link w:val="39"/>
    <w:qFormat/>
    <w:uiPriority w:val="99"/>
    <w:rPr>
      <w:rFonts w:ascii="Times New Roman" w:hAnsi="Times New Roman"/>
      <w:kern w:val="2"/>
      <w:sz w:val="18"/>
      <w:szCs w:val="18"/>
    </w:rPr>
  </w:style>
  <w:style w:type="character" w:customStyle="1" w:styleId="99">
    <w:name w:val="脚注文本 Char"/>
    <w:link w:val="43"/>
    <w:semiHidden/>
    <w:qFormat/>
    <w:uiPriority w:val="0"/>
    <w:rPr>
      <w:rFonts w:ascii="Times New Roman" w:hAnsi="Times New Roman"/>
      <w:sz w:val="18"/>
    </w:rPr>
  </w:style>
  <w:style w:type="character" w:customStyle="1" w:styleId="100">
    <w:name w:val="标题 Char"/>
    <w:link w:val="49"/>
    <w:semiHidden/>
    <w:qFormat/>
    <w:uiPriority w:val="0"/>
    <w:rPr>
      <w:rFonts w:ascii="Arial" w:hAnsi="Arial" w:eastAsia="楷体_GB2312"/>
      <w:b/>
      <w:sz w:val="32"/>
    </w:rPr>
  </w:style>
  <w:style w:type="character" w:customStyle="1" w:styleId="101">
    <w:name w:val="批注主题 Char1"/>
    <w:link w:val="50"/>
    <w:semiHidden/>
    <w:qFormat/>
    <w:uiPriority w:val="99"/>
    <w:rPr>
      <w:rFonts w:ascii="Times New Roman" w:hAnsi="Times New Roman" w:eastAsia="宋体" w:cs="Times New Roman"/>
      <w:b/>
      <w:bCs/>
      <w:kern w:val="2"/>
      <w:sz w:val="21"/>
      <w:szCs w:val="24"/>
    </w:rPr>
  </w:style>
  <w:style w:type="paragraph" w:customStyle="1" w:styleId="102">
    <w:name w:val="样式1"/>
    <w:basedOn w:val="39"/>
    <w:next w:val="1"/>
    <w:qFormat/>
    <w:uiPriority w:val="0"/>
    <w:pPr>
      <w:jc w:val="left"/>
    </w:pPr>
  </w:style>
  <w:style w:type="paragraph" w:customStyle="1" w:styleId="103">
    <w:name w:val="样式2"/>
    <w:basedOn w:val="1"/>
    <w:qFormat/>
    <w:uiPriority w:val="0"/>
    <w:pPr>
      <w:adjustRightInd w:val="0"/>
      <w:spacing w:before="120" w:after="120" w:line="312" w:lineRule="atLeast"/>
      <w:jc w:val="center"/>
      <w:textAlignment w:val="baseline"/>
    </w:pPr>
    <w:rPr>
      <w:kern w:val="0"/>
      <w:sz w:val="24"/>
      <w:szCs w:val="20"/>
    </w:rPr>
  </w:style>
  <w:style w:type="character" w:customStyle="1" w:styleId="104">
    <w:name w:val="selected"/>
    <w:qFormat/>
    <w:uiPriority w:val="0"/>
    <w:rPr>
      <w:shd w:val="clear" w:color="auto" w:fill="B00006"/>
    </w:rPr>
  </w:style>
  <w:style w:type="character" w:customStyle="1" w:styleId="105">
    <w:name w:val="表格文字 BJ8 Char Char"/>
    <w:link w:val="106"/>
    <w:semiHidden/>
    <w:qFormat/>
    <w:uiPriority w:val="0"/>
    <w:rPr>
      <w:rFonts w:ascii="Times New Roman" w:hAnsi="Times New Roman"/>
      <w:kern w:val="2"/>
      <w:sz w:val="21"/>
      <w:szCs w:val="21"/>
    </w:rPr>
  </w:style>
  <w:style w:type="paragraph" w:customStyle="1" w:styleId="106">
    <w:name w:val="表格文字 BJ8"/>
    <w:basedOn w:val="1"/>
    <w:link w:val="105"/>
    <w:qFormat/>
    <w:uiPriority w:val="0"/>
    <w:pPr>
      <w:adjustRightInd w:val="0"/>
      <w:snapToGrid w:val="0"/>
      <w:spacing w:line="400" w:lineRule="exact"/>
      <w:ind w:firstLine="200" w:firstLineChars="200"/>
      <w:jc w:val="center"/>
    </w:pPr>
    <w:rPr>
      <w:szCs w:val="21"/>
    </w:rPr>
  </w:style>
  <w:style w:type="character" w:customStyle="1" w:styleId="107">
    <w:name w:val="font01"/>
    <w:qFormat/>
    <w:uiPriority w:val="0"/>
    <w:rPr>
      <w:rFonts w:hint="eastAsia" w:ascii="宋体" w:hAnsi="宋体" w:eastAsia="宋体" w:cs="宋体"/>
      <w:color w:val="000000"/>
      <w:sz w:val="22"/>
      <w:szCs w:val="22"/>
      <w:u w:val="none"/>
    </w:rPr>
  </w:style>
  <w:style w:type="character" w:customStyle="1" w:styleId="108">
    <w:name w:val="gpa"/>
    <w:qFormat/>
    <w:uiPriority w:val="0"/>
    <w:rPr>
      <w:rFonts w:ascii="Arial" w:hAnsi="Arial" w:cs="Arial"/>
      <w:sz w:val="12"/>
      <w:szCs w:val="12"/>
    </w:rPr>
  </w:style>
  <w:style w:type="character" w:customStyle="1" w:styleId="109">
    <w:name w:val="font31"/>
    <w:qFormat/>
    <w:uiPriority w:val="0"/>
    <w:rPr>
      <w:rFonts w:hint="eastAsia" w:ascii="宋体" w:hAnsi="宋体" w:eastAsia="宋体" w:cs="宋体"/>
      <w:color w:val="000000"/>
      <w:sz w:val="21"/>
      <w:szCs w:val="21"/>
      <w:u w:val="none"/>
    </w:rPr>
  </w:style>
  <w:style w:type="character" w:customStyle="1" w:styleId="110">
    <w:name w:val="正文文本缩进 2 Char"/>
    <w:link w:val="111"/>
    <w:semiHidden/>
    <w:qFormat/>
    <w:uiPriority w:val="0"/>
    <w:rPr>
      <w:rFonts w:ascii="Times New Roman" w:hAnsi="Times New Roman"/>
      <w:kern w:val="2"/>
      <w:sz w:val="21"/>
    </w:rPr>
  </w:style>
  <w:style w:type="paragraph" w:customStyle="1" w:styleId="111">
    <w:name w:val="正文文本缩进 21"/>
    <w:basedOn w:val="1"/>
    <w:link w:val="110"/>
    <w:qFormat/>
    <w:uiPriority w:val="0"/>
    <w:pPr>
      <w:spacing w:after="120" w:line="480" w:lineRule="auto"/>
      <w:ind w:left="420" w:leftChars="200"/>
    </w:pPr>
    <w:rPr>
      <w:szCs w:val="20"/>
    </w:rPr>
  </w:style>
  <w:style w:type="character" w:customStyle="1" w:styleId="112">
    <w:name w:val="正文段落格式 Char Char Char"/>
    <w:link w:val="113"/>
    <w:semiHidden/>
    <w:qFormat/>
    <w:uiPriority w:val="0"/>
    <w:rPr>
      <w:rFonts w:ascii="Times New Roman" w:hAnsi="Times New Roman"/>
      <w:color w:val="7030A0"/>
      <w:kern w:val="2"/>
      <w:sz w:val="24"/>
    </w:rPr>
  </w:style>
  <w:style w:type="paragraph" w:customStyle="1" w:styleId="113">
    <w:name w:val="正文段落格式"/>
    <w:basedOn w:val="114"/>
    <w:link w:val="112"/>
    <w:qFormat/>
    <w:uiPriority w:val="0"/>
    <w:pPr>
      <w:spacing w:afterLines="50" w:line="336" w:lineRule="auto"/>
    </w:pPr>
  </w:style>
  <w:style w:type="paragraph" w:customStyle="1" w:styleId="114">
    <w:name w:val="样式 首行缩进:  2 字符"/>
    <w:basedOn w:val="1"/>
    <w:link w:val="115"/>
    <w:qFormat/>
    <w:uiPriority w:val="0"/>
    <w:pPr>
      <w:spacing w:line="480" w:lineRule="exact"/>
      <w:ind w:firstLine="480" w:firstLineChars="200"/>
      <w:jc w:val="left"/>
    </w:pPr>
    <w:rPr>
      <w:color w:val="7030A0"/>
      <w:sz w:val="24"/>
      <w:szCs w:val="20"/>
    </w:rPr>
  </w:style>
  <w:style w:type="character" w:customStyle="1" w:styleId="115">
    <w:name w:val="样式 首行缩进:  2 字符 Char1"/>
    <w:link w:val="114"/>
    <w:semiHidden/>
    <w:qFormat/>
    <w:uiPriority w:val="0"/>
    <w:rPr>
      <w:rFonts w:ascii="Times New Roman" w:hAnsi="Times New Roman"/>
      <w:color w:val="7030A0"/>
      <w:kern w:val="2"/>
      <w:sz w:val="24"/>
    </w:rPr>
  </w:style>
  <w:style w:type="character" w:customStyle="1" w:styleId="116">
    <w:name w:val="(1) Char Char"/>
    <w:link w:val="117"/>
    <w:semiHidden/>
    <w:qFormat/>
    <w:uiPriority w:val="0"/>
    <w:rPr>
      <w:rFonts w:ascii="宋体" w:hAnsi="宋体"/>
      <w:kern w:val="2"/>
      <w:sz w:val="24"/>
      <w:szCs w:val="24"/>
    </w:rPr>
  </w:style>
  <w:style w:type="paragraph" w:customStyle="1" w:styleId="117">
    <w:name w:val="(1)"/>
    <w:basedOn w:val="1"/>
    <w:next w:val="1"/>
    <w:link w:val="116"/>
    <w:qFormat/>
    <w:uiPriority w:val="0"/>
    <w:pPr>
      <w:tabs>
        <w:tab w:val="left" w:pos="813"/>
      </w:tabs>
      <w:spacing w:line="360" w:lineRule="auto"/>
      <w:ind w:left="813" w:hanging="567"/>
    </w:pPr>
    <w:rPr>
      <w:rFonts w:ascii="宋体" w:hAnsi="宋体"/>
      <w:sz w:val="24"/>
    </w:rPr>
  </w:style>
  <w:style w:type="character" w:customStyle="1" w:styleId="118">
    <w:name w:val="表格文字图表文字 Char Char Char"/>
    <w:link w:val="119"/>
    <w:semiHidden/>
    <w:qFormat/>
    <w:uiPriority w:val="0"/>
    <w:rPr>
      <w:rFonts w:ascii="Times New Roman" w:hAnsi="Times New Roman"/>
      <w:color w:val="7030A0"/>
      <w:kern w:val="2"/>
      <w:sz w:val="21"/>
    </w:rPr>
  </w:style>
  <w:style w:type="paragraph" w:customStyle="1" w:styleId="119">
    <w:name w:val="表格文字图表文字"/>
    <w:basedOn w:val="1"/>
    <w:link w:val="118"/>
    <w:qFormat/>
    <w:uiPriority w:val="0"/>
    <w:pPr>
      <w:snapToGrid w:val="0"/>
      <w:ind w:firstLine="200" w:firstLineChars="200"/>
      <w:jc w:val="center"/>
    </w:pPr>
    <w:rPr>
      <w:color w:val="7030A0"/>
      <w:szCs w:val="20"/>
    </w:rPr>
  </w:style>
  <w:style w:type="character" w:customStyle="1" w:styleId="120">
    <w:name w:val="信息标题 Char"/>
    <w:link w:val="121"/>
    <w:semiHidden/>
    <w:qFormat/>
    <w:uiPriority w:val="0"/>
    <w:rPr>
      <w:rFonts w:ascii="Arial" w:hAnsi="Arial" w:cs="Arial"/>
      <w:color w:val="7030A0"/>
      <w:kern w:val="2"/>
      <w:sz w:val="24"/>
      <w:szCs w:val="24"/>
      <w:shd w:val="pct20" w:color="auto" w:fill="auto"/>
    </w:rPr>
  </w:style>
  <w:style w:type="paragraph" w:customStyle="1" w:styleId="121">
    <w:name w:val="信息标题1"/>
    <w:basedOn w:val="1"/>
    <w:link w:val="12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 w:val="24"/>
      <w:shd w:val="pct20" w:color="auto" w:fill="auto"/>
    </w:rPr>
  </w:style>
  <w:style w:type="character" w:customStyle="1" w:styleId="122">
    <w:name w:val="称呼 Char"/>
    <w:link w:val="123"/>
    <w:semiHidden/>
    <w:qFormat/>
    <w:uiPriority w:val="0"/>
    <w:rPr>
      <w:rFonts w:ascii="Times New Roman" w:hAnsi="Times New Roman"/>
      <w:kern w:val="2"/>
      <w:sz w:val="24"/>
    </w:rPr>
  </w:style>
  <w:style w:type="paragraph" w:customStyle="1" w:styleId="123">
    <w:name w:val="称呼1"/>
    <w:basedOn w:val="1"/>
    <w:next w:val="1"/>
    <w:link w:val="122"/>
    <w:qFormat/>
    <w:uiPriority w:val="0"/>
    <w:rPr>
      <w:sz w:val="24"/>
      <w:szCs w:val="20"/>
    </w:rPr>
  </w:style>
  <w:style w:type="character" w:customStyle="1" w:styleId="124">
    <w:name w:val="占位符文本1"/>
    <w:qFormat/>
    <w:uiPriority w:val="0"/>
    <w:rPr>
      <w:color w:val="808080"/>
    </w:rPr>
  </w:style>
  <w:style w:type="character" w:customStyle="1" w:styleId="125">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6">
    <w:name w:val="页脚 Char"/>
    <w:qFormat/>
    <w:uiPriority w:val="0"/>
    <w:rPr>
      <w:rFonts w:ascii="Times New Roman" w:hAnsi="Times New Roman"/>
      <w:kern w:val="2"/>
      <w:sz w:val="18"/>
      <w:szCs w:val="18"/>
    </w:rPr>
  </w:style>
  <w:style w:type="character" w:customStyle="1" w:styleId="127">
    <w:name w:val="displayarti"/>
    <w:qFormat/>
    <w:uiPriority w:val="0"/>
    <w:rPr>
      <w:color w:val="FFFFFF"/>
      <w:shd w:val="clear" w:color="auto" w:fill="A00000"/>
    </w:rPr>
  </w:style>
  <w:style w:type="character" w:customStyle="1" w:styleId="128">
    <w:name w:val="标题 5 Char1"/>
    <w:semiHidden/>
    <w:qFormat/>
    <w:uiPriority w:val="0"/>
    <w:rPr>
      <w:rFonts w:ascii="Times New Roman" w:hAnsi="Times New Roman"/>
      <w:b/>
      <w:kern w:val="2"/>
      <w:sz w:val="28"/>
    </w:rPr>
  </w:style>
  <w:style w:type="character" w:customStyle="1" w:styleId="129">
    <w:name w:val="正文 BJ8 Char Char"/>
    <w:link w:val="130"/>
    <w:semiHidden/>
    <w:qFormat/>
    <w:uiPriority w:val="0"/>
    <w:rPr>
      <w:rFonts w:ascii="Times New Roman" w:hAnsi="Times New Roman"/>
      <w:color w:val="7030A0"/>
      <w:kern w:val="2"/>
      <w:sz w:val="24"/>
      <w:szCs w:val="24"/>
    </w:rPr>
  </w:style>
  <w:style w:type="paragraph" w:customStyle="1" w:styleId="130">
    <w:name w:val="正文 BJ8"/>
    <w:basedOn w:val="1"/>
    <w:link w:val="129"/>
    <w:qFormat/>
    <w:uiPriority w:val="0"/>
    <w:pPr>
      <w:adjustRightInd w:val="0"/>
      <w:snapToGrid w:val="0"/>
      <w:spacing w:line="360" w:lineRule="auto"/>
      <w:ind w:firstLine="200" w:firstLineChars="200"/>
      <w:jc w:val="left"/>
    </w:pPr>
    <w:rPr>
      <w:color w:val="7030A0"/>
      <w:sz w:val="24"/>
    </w:rPr>
  </w:style>
  <w:style w:type="character" w:customStyle="1" w:styleId="131">
    <w:name w:val="Char Char8"/>
    <w:qFormat/>
    <w:uiPriority w:val="0"/>
    <w:rPr>
      <w:rFonts w:eastAsia="宋体"/>
      <w:kern w:val="2"/>
      <w:sz w:val="21"/>
      <w:lang w:val="en-US" w:eastAsia="zh-CN" w:bidi="ar-SA"/>
    </w:rPr>
  </w:style>
  <w:style w:type="character" w:customStyle="1" w:styleId="132">
    <w:name w:val="四级标题格式 Char Char"/>
    <w:link w:val="133"/>
    <w:semiHidden/>
    <w:qFormat/>
    <w:uiPriority w:val="0"/>
    <w:rPr>
      <w:rFonts w:ascii="Times New Roman" w:hAnsi="Times New Roman" w:eastAsia="黑体"/>
      <w:bCs/>
      <w:kern w:val="2"/>
      <w:sz w:val="28"/>
      <w:szCs w:val="28"/>
    </w:rPr>
  </w:style>
  <w:style w:type="paragraph" w:customStyle="1" w:styleId="133">
    <w:name w:val="四级标题格式"/>
    <w:basedOn w:val="7"/>
    <w:link w:val="132"/>
    <w:qFormat/>
    <w:uiPriority w:val="0"/>
    <w:pPr>
      <w:spacing w:before="0" w:afterLines="100" w:line="240" w:lineRule="auto"/>
      <w:jc w:val="left"/>
    </w:pPr>
    <w:rPr>
      <w:rFonts w:ascii="Times New Roman" w:hAnsi="Times New Roman" w:eastAsia="黑体"/>
      <w:b w:val="0"/>
    </w:rPr>
  </w:style>
  <w:style w:type="character" w:customStyle="1" w:styleId="134">
    <w:name w:val="b Char"/>
    <w:qFormat/>
    <w:uiPriority w:val="0"/>
    <w:rPr>
      <w:rFonts w:eastAsia="宋体"/>
      <w:b/>
      <w:bCs/>
      <w:kern w:val="2"/>
      <w:sz w:val="28"/>
      <w:szCs w:val="28"/>
      <w:lang w:val="en-US" w:eastAsia="zh-CN" w:bidi="ar-SA"/>
    </w:rPr>
  </w:style>
  <w:style w:type="character" w:customStyle="1" w:styleId="135">
    <w:name w:val="正文1 Char Char"/>
    <w:link w:val="136"/>
    <w:semiHidden/>
    <w:qFormat/>
    <w:uiPriority w:val="0"/>
    <w:rPr>
      <w:rFonts w:ascii="宋体" w:hAnsi="宋体"/>
      <w:kern w:val="10"/>
      <w:sz w:val="21"/>
      <w:szCs w:val="24"/>
    </w:rPr>
  </w:style>
  <w:style w:type="paragraph" w:customStyle="1" w:styleId="136">
    <w:name w:val="正文1"/>
    <w:basedOn w:val="1"/>
    <w:link w:val="135"/>
    <w:qFormat/>
    <w:uiPriority w:val="0"/>
    <w:pPr>
      <w:tabs>
        <w:tab w:val="left" w:pos="720"/>
        <w:tab w:val="right" w:pos="1191"/>
      </w:tabs>
      <w:spacing w:line="360" w:lineRule="auto"/>
      <w:ind w:left="720" w:hanging="360"/>
    </w:pPr>
    <w:rPr>
      <w:rFonts w:ascii="宋体" w:hAnsi="宋体"/>
      <w:kern w:val="10"/>
    </w:rPr>
  </w:style>
  <w:style w:type="character" w:customStyle="1" w:styleId="137">
    <w:name w:val="普通文字 Char Char"/>
    <w:qFormat/>
    <w:uiPriority w:val="0"/>
    <w:rPr>
      <w:rFonts w:ascii="宋体" w:hAnsi="Courier New" w:eastAsia="宋体"/>
      <w:kern w:val="2"/>
      <w:sz w:val="21"/>
      <w:lang w:val="en-US" w:eastAsia="zh-CN" w:bidi="ar-SA"/>
    </w:rPr>
  </w:style>
  <w:style w:type="character" w:customStyle="1" w:styleId="138">
    <w:name w:val="正文首行缩进 Char"/>
    <w:link w:val="139"/>
    <w:semiHidden/>
    <w:qFormat/>
    <w:uiPriority w:val="0"/>
    <w:rPr>
      <w:rFonts w:ascii="Times New Roman" w:hAnsi="Times New Roman"/>
      <w:color w:val="7030A0"/>
      <w:kern w:val="2"/>
      <w:sz w:val="21"/>
      <w:szCs w:val="24"/>
    </w:rPr>
  </w:style>
  <w:style w:type="paragraph" w:customStyle="1" w:styleId="139">
    <w:name w:val="正文首行缩进1"/>
    <w:basedOn w:val="1"/>
    <w:link w:val="138"/>
    <w:qFormat/>
    <w:uiPriority w:val="0"/>
    <w:pPr>
      <w:tabs>
        <w:tab w:val="left" w:pos="360"/>
      </w:tabs>
      <w:spacing w:line="220" w:lineRule="exact"/>
      <w:ind w:left="360" w:hanging="360" w:firstLineChars="200"/>
      <w:jc w:val="left"/>
    </w:pPr>
    <w:rPr>
      <w:color w:val="7030A0"/>
    </w:rPr>
  </w:style>
  <w:style w:type="character" w:customStyle="1" w:styleId="140">
    <w:name w:val="纯文本 Char Char"/>
    <w:qFormat/>
    <w:uiPriority w:val="0"/>
    <w:rPr>
      <w:rFonts w:ascii="宋体" w:hAnsi="Courier New" w:eastAsia="宋体" w:cs="Century"/>
      <w:kern w:val="2"/>
      <w:sz w:val="21"/>
      <w:szCs w:val="21"/>
      <w:lang w:val="en-US" w:eastAsia="zh-CN" w:bidi="ar-SA"/>
    </w:rPr>
  </w:style>
  <w:style w:type="character" w:customStyle="1" w:styleId="141">
    <w:name w:val="图表标题 BJ8 Char Char"/>
    <w:link w:val="142"/>
    <w:semiHidden/>
    <w:qFormat/>
    <w:uiPriority w:val="0"/>
    <w:rPr>
      <w:rFonts w:ascii="Times New Roman" w:hAnsi="Times New Roman" w:eastAsia="黑体"/>
      <w:kern w:val="2"/>
      <w:sz w:val="24"/>
    </w:rPr>
  </w:style>
  <w:style w:type="paragraph" w:customStyle="1" w:styleId="142">
    <w:name w:val="图表标题 BJ8"/>
    <w:basedOn w:val="1"/>
    <w:link w:val="141"/>
    <w:qFormat/>
    <w:uiPriority w:val="0"/>
    <w:pPr>
      <w:adjustRightInd w:val="0"/>
      <w:snapToGrid w:val="0"/>
      <w:ind w:firstLine="200" w:firstLineChars="200"/>
      <w:jc w:val="center"/>
    </w:pPr>
    <w:rPr>
      <w:rFonts w:eastAsia="黑体"/>
      <w:sz w:val="24"/>
      <w:szCs w:val="20"/>
    </w:rPr>
  </w:style>
  <w:style w:type="character" w:customStyle="1" w:styleId="143">
    <w:name w:val="列表框1 Char Char"/>
    <w:qFormat/>
    <w:uiPriority w:val="0"/>
    <w:rPr>
      <w:rFonts w:ascii="Arial" w:hAnsi="Arial" w:eastAsia="楷体_GB2312" w:cs="Arial"/>
      <w:spacing w:val="10"/>
      <w:sz w:val="21"/>
      <w:lang w:val="en-US" w:eastAsia="zh-CN" w:bidi="ar-SA"/>
    </w:rPr>
  </w:style>
  <w:style w:type="character" w:customStyle="1" w:styleId="144">
    <w:name w:val="font41"/>
    <w:qFormat/>
    <w:uiPriority w:val="0"/>
    <w:rPr>
      <w:rFonts w:hint="eastAsia" w:ascii="宋体" w:hAnsi="宋体" w:eastAsia="宋体" w:cs="宋体"/>
      <w:color w:val="000000"/>
      <w:sz w:val="22"/>
      <w:szCs w:val="22"/>
      <w:u w:val="none"/>
    </w:rPr>
  </w:style>
  <w:style w:type="character" w:customStyle="1" w:styleId="145">
    <w:name w:val="正文首行缩进 2 Char"/>
    <w:link w:val="146"/>
    <w:semiHidden/>
    <w:qFormat/>
    <w:uiPriority w:val="0"/>
    <w:rPr>
      <w:rFonts w:ascii="宋体" w:hAnsi="宋体"/>
      <w:kern w:val="2"/>
      <w:sz w:val="21"/>
      <w:szCs w:val="24"/>
    </w:rPr>
  </w:style>
  <w:style w:type="paragraph" w:customStyle="1" w:styleId="146">
    <w:name w:val="正文首行缩进 21"/>
    <w:basedOn w:val="147"/>
    <w:link w:val="145"/>
    <w:qFormat/>
    <w:uiPriority w:val="0"/>
    <w:pPr>
      <w:spacing w:after="120" w:line="240" w:lineRule="auto"/>
      <w:ind w:left="420" w:leftChars="200" w:firstLine="200" w:firstLineChars="200"/>
      <w:jc w:val="left"/>
    </w:pPr>
    <w:rPr>
      <w:rFonts w:hAnsi="宋体"/>
      <w:szCs w:val="24"/>
    </w:rPr>
  </w:style>
  <w:style w:type="paragraph" w:customStyle="1" w:styleId="147">
    <w:name w:val="正文文本缩进1"/>
    <w:basedOn w:val="1"/>
    <w:link w:val="148"/>
    <w:qFormat/>
    <w:uiPriority w:val="0"/>
    <w:pPr>
      <w:spacing w:line="360" w:lineRule="auto"/>
    </w:pPr>
    <w:rPr>
      <w:rFonts w:ascii="宋体"/>
      <w:szCs w:val="20"/>
    </w:rPr>
  </w:style>
  <w:style w:type="character" w:customStyle="1" w:styleId="148">
    <w:name w:val="正文文本缩进 Char1"/>
    <w:link w:val="147"/>
    <w:semiHidden/>
    <w:qFormat/>
    <w:uiPriority w:val="0"/>
    <w:rPr>
      <w:rFonts w:ascii="宋体" w:hAnsi="Times New Roman"/>
      <w:kern w:val="2"/>
      <w:sz w:val="21"/>
    </w:rPr>
  </w:style>
  <w:style w:type="character" w:customStyle="1" w:styleId="149">
    <w:name w:val="正文文本缩进 3 Char"/>
    <w:link w:val="150"/>
    <w:semiHidden/>
    <w:qFormat/>
    <w:uiPriority w:val="0"/>
    <w:rPr>
      <w:rFonts w:ascii="Times New Roman" w:hAnsi="Times New Roman"/>
      <w:kern w:val="2"/>
      <w:sz w:val="21"/>
    </w:rPr>
  </w:style>
  <w:style w:type="paragraph" w:customStyle="1" w:styleId="150">
    <w:name w:val="正文文本缩进 31"/>
    <w:basedOn w:val="1"/>
    <w:link w:val="149"/>
    <w:qFormat/>
    <w:uiPriority w:val="0"/>
    <w:pPr>
      <w:ind w:left="1260" w:leftChars="600"/>
    </w:pPr>
    <w:rPr>
      <w:szCs w:val="20"/>
    </w:rPr>
  </w:style>
  <w:style w:type="character" w:customStyle="1" w:styleId="151">
    <w:name w:val="日期 Char"/>
    <w:link w:val="152"/>
    <w:semiHidden/>
    <w:qFormat/>
    <w:uiPriority w:val="0"/>
    <w:rPr>
      <w:rFonts w:eastAsia="楷体_GB2312"/>
      <w:kern w:val="2"/>
      <w:sz w:val="30"/>
    </w:rPr>
  </w:style>
  <w:style w:type="paragraph" w:customStyle="1" w:styleId="152">
    <w:name w:val="日期1"/>
    <w:basedOn w:val="1"/>
    <w:next w:val="1"/>
    <w:link w:val="151"/>
    <w:qFormat/>
    <w:uiPriority w:val="0"/>
    <w:pPr>
      <w:autoSpaceDE w:val="0"/>
      <w:autoSpaceDN w:val="0"/>
      <w:adjustRightInd w:val="0"/>
      <w:textAlignment w:val="baseline"/>
    </w:pPr>
    <w:rPr>
      <w:rFonts w:eastAsia="楷体_GB2312"/>
      <w:sz w:val="30"/>
      <w:szCs w:val="20"/>
    </w:rPr>
  </w:style>
  <w:style w:type="character" w:customStyle="1" w:styleId="153">
    <w:name w:val="正文文本 3 Char"/>
    <w:link w:val="154"/>
    <w:semiHidden/>
    <w:qFormat/>
    <w:uiPriority w:val="0"/>
    <w:rPr>
      <w:rFonts w:ascii="Times New Roman" w:hAnsi="Times New Roman"/>
      <w:kern w:val="2"/>
      <w:sz w:val="16"/>
      <w:szCs w:val="16"/>
    </w:rPr>
  </w:style>
  <w:style w:type="paragraph" w:customStyle="1" w:styleId="154">
    <w:name w:val="正文文本 31"/>
    <w:basedOn w:val="1"/>
    <w:link w:val="153"/>
    <w:qFormat/>
    <w:uiPriority w:val="0"/>
    <w:pPr>
      <w:spacing w:after="120"/>
    </w:pPr>
    <w:rPr>
      <w:sz w:val="16"/>
      <w:szCs w:val="16"/>
    </w:rPr>
  </w:style>
  <w:style w:type="character" w:customStyle="1" w:styleId="155">
    <w:name w:val="正文缩进 Char"/>
    <w:link w:val="156"/>
    <w:semiHidden/>
    <w:qFormat/>
    <w:uiPriority w:val="0"/>
    <w:rPr>
      <w:rFonts w:ascii="宋体" w:hAnsi="Times New Roman"/>
      <w:sz w:val="24"/>
    </w:rPr>
  </w:style>
  <w:style w:type="paragraph" w:customStyle="1" w:styleId="156">
    <w:name w:val="正文缩进1"/>
    <w:basedOn w:val="1"/>
    <w:link w:val="155"/>
    <w:qFormat/>
    <w:uiPriority w:val="0"/>
    <w:pPr>
      <w:autoSpaceDE w:val="0"/>
      <w:autoSpaceDN w:val="0"/>
      <w:adjustRightInd w:val="0"/>
      <w:spacing w:line="360" w:lineRule="atLeast"/>
      <w:ind w:firstLine="420"/>
      <w:textAlignment w:val="baseline"/>
    </w:pPr>
    <w:rPr>
      <w:rFonts w:ascii="宋体"/>
      <w:kern w:val="0"/>
      <w:sz w:val="24"/>
      <w:szCs w:val="20"/>
    </w:rPr>
  </w:style>
  <w:style w:type="character" w:customStyle="1" w:styleId="157">
    <w:name w:val="表图名称 Char Char"/>
    <w:link w:val="158"/>
    <w:qFormat/>
    <w:uiPriority w:val="0"/>
    <w:rPr>
      <w:rFonts w:ascii="黑体" w:hAnsi="宋体" w:eastAsia="黑体"/>
      <w:kern w:val="2"/>
      <w:sz w:val="24"/>
      <w:szCs w:val="24"/>
      <w:lang w:val="en-US" w:eastAsia="zh-CN" w:bidi="ar-SA"/>
    </w:rPr>
  </w:style>
  <w:style w:type="paragraph" w:customStyle="1" w:styleId="158">
    <w:name w:val="表图名称"/>
    <w:link w:val="157"/>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59">
    <w:name w:val="样式 标题 31.1条标题1.1.1二级节名h3Heading 3 - oldheading 3H3H31H3... Char Char Char"/>
    <w:link w:val="160"/>
    <w:semiHidden/>
    <w:qFormat/>
    <w:uiPriority w:val="0"/>
    <w:rPr>
      <w:rFonts w:ascii="宋体" w:hAnsi="宋体" w:eastAsia="黑体"/>
      <w:kern w:val="2"/>
      <w:sz w:val="24"/>
      <w:szCs w:val="21"/>
    </w:rPr>
  </w:style>
  <w:style w:type="paragraph" w:customStyle="1" w:styleId="160">
    <w:name w:val="样式 标题 31.1条标题1.1.1二级节名h3Heading 3 - oldheading 3H3H31H3..."/>
    <w:basedOn w:val="6"/>
    <w:link w:val="159"/>
    <w:qFormat/>
    <w:uiPriority w:val="0"/>
    <w:pPr>
      <w:spacing w:before="240" w:after="120" w:line="480" w:lineRule="exact"/>
      <w:jc w:val="left"/>
    </w:pPr>
    <w:rPr>
      <w:rFonts w:ascii="宋体" w:hAnsi="宋体" w:eastAsia="黑体"/>
      <w:b w:val="0"/>
      <w:bCs w:val="0"/>
      <w:sz w:val="24"/>
      <w:szCs w:val="21"/>
    </w:rPr>
  </w:style>
  <w:style w:type="character" w:customStyle="1" w:styleId="161">
    <w:name w:val="无编号正文 Char Char"/>
    <w:link w:val="162"/>
    <w:semiHidden/>
    <w:qFormat/>
    <w:uiPriority w:val="0"/>
    <w:rPr>
      <w:rFonts w:ascii="宋体" w:hAnsi="宋体"/>
      <w:sz w:val="24"/>
      <w:szCs w:val="24"/>
    </w:rPr>
  </w:style>
  <w:style w:type="paragraph" w:customStyle="1" w:styleId="162">
    <w:name w:val="无编号正文"/>
    <w:basedOn w:val="25"/>
    <w:next w:val="1"/>
    <w:link w:val="161"/>
    <w:qFormat/>
    <w:uiPriority w:val="0"/>
    <w:pPr>
      <w:ind w:left="200" w:leftChars="200" w:firstLine="200" w:firstLineChars="200"/>
    </w:pPr>
    <w:rPr>
      <w:rFonts w:ascii="宋体" w:hAnsi="宋体"/>
      <w:kern w:val="0"/>
      <w:sz w:val="24"/>
    </w:rPr>
  </w:style>
  <w:style w:type="character" w:customStyle="1" w:styleId="163">
    <w:name w:val="样式 Char Char"/>
    <w:link w:val="164"/>
    <w:qFormat/>
    <w:uiPriority w:val="0"/>
    <w:rPr>
      <w:rFonts w:ascii="宋体" w:hAnsi="宋体" w:cs="宋体"/>
      <w:sz w:val="24"/>
      <w:szCs w:val="24"/>
      <w:lang w:val="en-US" w:eastAsia="zh-CN" w:bidi="ar-SA"/>
    </w:rPr>
  </w:style>
  <w:style w:type="paragraph" w:customStyle="1" w:styleId="164">
    <w:name w:val="样式"/>
    <w:link w:val="16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5">
    <w:name w:val="标题3 Char Char"/>
    <w:link w:val="166"/>
    <w:semiHidden/>
    <w:qFormat/>
    <w:uiPriority w:val="0"/>
    <w:rPr>
      <w:rFonts w:ascii="宋体" w:hAnsi="宋体"/>
      <w:b/>
      <w:bCs/>
      <w:color w:val="92D050"/>
      <w:kern w:val="44"/>
      <w:sz w:val="24"/>
      <w:szCs w:val="21"/>
    </w:rPr>
  </w:style>
  <w:style w:type="paragraph" w:customStyle="1" w:styleId="166">
    <w:name w:val="标题3"/>
    <w:basedOn w:val="6"/>
    <w:link w:val="165"/>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167">
    <w:name w:val="正文文本 Char1"/>
    <w:qFormat/>
    <w:uiPriority w:val="0"/>
    <w:rPr>
      <w:rFonts w:ascii="Times New Roman" w:hAnsi="Times New Roman"/>
      <w:kern w:val="2"/>
      <w:sz w:val="24"/>
    </w:rPr>
  </w:style>
  <w:style w:type="character" w:customStyle="1" w:styleId="168">
    <w:name w:val="1.1 Char Char"/>
    <w:qFormat/>
    <w:uiPriority w:val="0"/>
    <w:rPr>
      <w:rFonts w:ascii="宋体" w:eastAsia="宋体"/>
      <w:b/>
      <w:bCs/>
      <w:kern w:val="2"/>
      <w:sz w:val="24"/>
      <w:szCs w:val="32"/>
      <w:lang w:val="en-US" w:eastAsia="zh-CN" w:bidi="ar-SA"/>
    </w:rPr>
  </w:style>
  <w:style w:type="character" w:customStyle="1" w:styleId="169">
    <w:name w:val="正文缩进 Char Char"/>
    <w:link w:val="170"/>
    <w:semiHidden/>
    <w:qFormat/>
    <w:uiPriority w:val="0"/>
    <w:rPr>
      <w:kern w:val="2"/>
      <w:sz w:val="21"/>
      <w:szCs w:val="24"/>
    </w:rPr>
  </w:style>
  <w:style w:type="paragraph" w:customStyle="1" w:styleId="170">
    <w:name w:val="正文缩进11"/>
    <w:basedOn w:val="1"/>
    <w:link w:val="169"/>
    <w:qFormat/>
    <w:uiPriority w:val="0"/>
    <w:pPr>
      <w:spacing w:line="360" w:lineRule="auto"/>
      <w:ind w:firstLine="420"/>
    </w:pPr>
  </w:style>
  <w:style w:type="character" w:customStyle="1" w:styleId="171">
    <w:name w:val="正文－zlb Char Char"/>
    <w:link w:val="172"/>
    <w:semiHidden/>
    <w:qFormat/>
    <w:uiPriority w:val="0"/>
    <w:rPr>
      <w:rFonts w:ascii="宋体" w:cs="宋体"/>
      <w:kern w:val="2"/>
      <w:sz w:val="24"/>
      <w:szCs w:val="24"/>
    </w:rPr>
  </w:style>
  <w:style w:type="paragraph" w:customStyle="1" w:styleId="172">
    <w:name w:val="正文－zlb"/>
    <w:basedOn w:val="1"/>
    <w:link w:val="171"/>
    <w:qFormat/>
    <w:uiPriority w:val="0"/>
    <w:pPr>
      <w:adjustRightInd w:val="0"/>
      <w:snapToGrid w:val="0"/>
      <w:spacing w:line="360" w:lineRule="auto"/>
      <w:ind w:firstLine="420"/>
    </w:pPr>
    <w:rPr>
      <w:rFonts w:ascii="宋体"/>
      <w:sz w:val="24"/>
    </w:rPr>
  </w:style>
  <w:style w:type="character" w:customStyle="1" w:styleId="173">
    <w:name w:val="Char Char111"/>
    <w:qFormat/>
    <w:uiPriority w:val="0"/>
    <w:rPr>
      <w:rFonts w:eastAsia="宋体"/>
      <w:b/>
      <w:bCs/>
      <w:kern w:val="2"/>
      <w:sz w:val="24"/>
      <w:szCs w:val="24"/>
      <w:lang w:val="en-US" w:eastAsia="zh-CN" w:bidi="ar-SA"/>
    </w:rPr>
  </w:style>
  <w:style w:type="character" w:customStyle="1" w:styleId="174">
    <w:name w:val="正文 BJ15 Char Char"/>
    <w:link w:val="175"/>
    <w:semiHidden/>
    <w:qFormat/>
    <w:uiPriority w:val="0"/>
    <w:rPr>
      <w:rFonts w:ascii="Times New Roman" w:hAnsi="Times New Roman"/>
      <w:kern w:val="2"/>
      <w:sz w:val="24"/>
      <w:szCs w:val="24"/>
    </w:rPr>
  </w:style>
  <w:style w:type="paragraph" w:customStyle="1" w:styleId="175">
    <w:name w:val="正文 BJ15"/>
    <w:basedOn w:val="1"/>
    <w:link w:val="174"/>
    <w:qFormat/>
    <w:uiPriority w:val="0"/>
    <w:pPr>
      <w:adjustRightInd w:val="0"/>
      <w:snapToGrid w:val="0"/>
      <w:spacing w:line="360" w:lineRule="auto"/>
      <w:ind w:firstLine="200" w:firstLineChars="200"/>
      <w:jc w:val="left"/>
    </w:pPr>
    <w:rPr>
      <w:sz w:val="24"/>
    </w:rPr>
  </w:style>
  <w:style w:type="character" w:customStyle="1" w:styleId="176">
    <w:name w:val="font21"/>
    <w:qFormat/>
    <w:uiPriority w:val="0"/>
    <w:rPr>
      <w:rFonts w:hint="eastAsia" w:ascii="宋体" w:hAnsi="宋体" w:eastAsia="宋体" w:cs="宋体"/>
      <w:color w:val="000000"/>
      <w:sz w:val="22"/>
      <w:szCs w:val="22"/>
      <w:u w:val="none"/>
    </w:rPr>
  </w:style>
  <w:style w:type="character" w:customStyle="1" w:styleId="177">
    <w:name w:val="样式 标题 31.1条标题1.1.1二级节名h3Heading 3 - oldheading 3H3H31H3... Char Char"/>
    <w:qFormat/>
    <w:uiPriority w:val="0"/>
    <w:rPr>
      <w:rFonts w:ascii="宋体" w:hAnsi="宋体" w:eastAsia="黑体"/>
      <w:kern w:val="2"/>
      <w:sz w:val="24"/>
      <w:szCs w:val="21"/>
    </w:rPr>
  </w:style>
  <w:style w:type="character" w:customStyle="1" w:styleId="178">
    <w:name w:val="正文文本缩进 Char"/>
    <w:semiHidden/>
    <w:qFormat/>
    <w:uiPriority w:val="0"/>
    <w:rPr>
      <w:rFonts w:ascii="Times New Roman" w:hAnsi="Times New Roman"/>
      <w:kern w:val="2"/>
      <w:sz w:val="21"/>
      <w:szCs w:val="24"/>
    </w:rPr>
  </w:style>
  <w:style w:type="character" w:customStyle="1" w:styleId="179">
    <w:name w:val="页码1"/>
    <w:qFormat/>
    <w:uiPriority w:val="0"/>
  </w:style>
  <w:style w:type="character" w:customStyle="1" w:styleId="180">
    <w:name w:val="sub-dash Char"/>
    <w:qFormat/>
    <w:uiPriority w:val="0"/>
    <w:rPr>
      <w:rFonts w:ascii="Arial" w:hAnsi="Arial" w:eastAsia="黑体"/>
      <w:b/>
      <w:bCs/>
      <w:kern w:val="2"/>
      <w:sz w:val="24"/>
      <w:szCs w:val="24"/>
      <w:lang w:val="en-US" w:eastAsia="zh-CN" w:bidi="ar-SA"/>
    </w:rPr>
  </w:style>
  <w:style w:type="character" w:customStyle="1" w:styleId="181">
    <w:name w:val="Char Char2"/>
    <w:qFormat/>
    <w:uiPriority w:val="0"/>
    <w:rPr>
      <w:rFonts w:eastAsia="仿宋_GB2312"/>
      <w:kern w:val="2"/>
      <w:sz w:val="28"/>
      <w:lang w:val="en-US" w:eastAsia="zh-CN" w:bidi="ar-SA"/>
    </w:rPr>
  </w:style>
  <w:style w:type="character" w:customStyle="1" w:styleId="182">
    <w:name w:val="宏文本 Char"/>
    <w:link w:val="183"/>
    <w:qFormat/>
    <w:uiPriority w:val="0"/>
    <w:rPr>
      <w:rFonts w:ascii="Courier New" w:hAnsi="Courier New" w:cs="Courier New"/>
      <w:kern w:val="2"/>
      <w:sz w:val="24"/>
      <w:szCs w:val="24"/>
      <w:lang w:val="en-US" w:eastAsia="zh-CN" w:bidi="ar-SA"/>
    </w:rPr>
  </w:style>
  <w:style w:type="paragraph" w:customStyle="1" w:styleId="183">
    <w:name w:val="宏文本1"/>
    <w:link w:val="1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84">
    <w:name w:val="正文－wjnew Char Char"/>
    <w:link w:val="185"/>
    <w:semiHidden/>
    <w:qFormat/>
    <w:uiPriority w:val="0"/>
    <w:rPr>
      <w:rFonts w:ascii="宋体" w:cs="宋体"/>
      <w:kern w:val="2"/>
      <w:sz w:val="21"/>
      <w:szCs w:val="21"/>
    </w:rPr>
  </w:style>
  <w:style w:type="paragraph" w:customStyle="1" w:styleId="185">
    <w:name w:val="正文－wjnew"/>
    <w:basedOn w:val="1"/>
    <w:link w:val="184"/>
    <w:qFormat/>
    <w:uiPriority w:val="0"/>
    <w:pPr>
      <w:adjustRightInd w:val="0"/>
      <w:snapToGrid w:val="0"/>
      <w:spacing w:line="360" w:lineRule="auto"/>
      <w:ind w:firstLine="420"/>
    </w:pPr>
    <w:rPr>
      <w:rFonts w:ascii="宋体"/>
      <w:szCs w:val="21"/>
    </w:rPr>
  </w:style>
  <w:style w:type="character" w:customStyle="1" w:styleId="186">
    <w:name w:val="应答文本 Char Char"/>
    <w:qFormat/>
    <w:uiPriority w:val="0"/>
    <w:rPr>
      <w:rFonts w:ascii="Arial" w:hAnsi="Arial" w:eastAsia="楷体_GB2312" w:cs="宋体"/>
      <w:spacing w:val="10"/>
      <w:sz w:val="21"/>
      <w:lang w:val="en-US" w:eastAsia="zh-CN" w:bidi="ar-SA"/>
    </w:rPr>
  </w:style>
  <w:style w:type="character" w:customStyle="1" w:styleId="187">
    <w:name w:val="正文 QD3 Char Char"/>
    <w:link w:val="188"/>
    <w:semiHidden/>
    <w:qFormat/>
    <w:uiPriority w:val="0"/>
    <w:rPr>
      <w:rFonts w:ascii="Times New Roman" w:hAnsi="Times New Roman"/>
      <w:kern w:val="2"/>
      <w:sz w:val="24"/>
      <w:szCs w:val="24"/>
    </w:rPr>
  </w:style>
  <w:style w:type="paragraph" w:customStyle="1" w:styleId="188">
    <w:name w:val="正文 QD3"/>
    <w:basedOn w:val="1"/>
    <w:link w:val="187"/>
    <w:qFormat/>
    <w:uiPriority w:val="0"/>
    <w:pPr>
      <w:adjustRightInd w:val="0"/>
      <w:snapToGrid w:val="0"/>
      <w:spacing w:line="360" w:lineRule="auto"/>
      <w:ind w:firstLine="200" w:firstLineChars="200"/>
      <w:jc w:val="left"/>
    </w:pPr>
    <w:rPr>
      <w:sz w:val="24"/>
    </w:rPr>
  </w:style>
  <w:style w:type="character" w:customStyle="1" w:styleId="189">
    <w:name w:val="样式 二号 红色 边框:: (单实线 自动设置  0.5 磅 行宽)"/>
    <w:qFormat/>
    <w:uiPriority w:val="0"/>
    <w:rPr>
      <w:rFonts w:eastAsia="宋体"/>
      <w:color w:val="0000FF"/>
      <w:sz w:val="44"/>
      <w:bdr w:val="single" w:color="0000FF" w:sz="4" w:space="0"/>
    </w:rPr>
  </w:style>
  <w:style w:type="character" w:customStyle="1" w:styleId="190">
    <w:name w:val="文档结构图 Char"/>
    <w:link w:val="191"/>
    <w:semiHidden/>
    <w:qFormat/>
    <w:uiPriority w:val="0"/>
    <w:rPr>
      <w:rFonts w:ascii="宋体" w:hAnsi="Times New Roman" w:eastAsia="宋体" w:cs="Times New Roman"/>
      <w:sz w:val="18"/>
      <w:szCs w:val="18"/>
    </w:rPr>
  </w:style>
  <w:style w:type="paragraph" w:customStyle="1" w:styleId="191">
    <w:name w:val="文档结构图1"/>
    <w:basedOn w:val="1"/>
    <w:link w:val="190"/>
    <w:qFormat/>
    <w:uiPriority w:val="0"/>
    <w:rPr>
      <w:rFonts w:ascii="宋体"/>
      <w:kern w:val="0"/>
      <w:sz w:val="18"/>
      <w:szCs w:val="18"/>
    </w:rPr>
  </w:style>
  <w:style w:type="character" w:customStyle="1" w:styleId="192">
    <w:name w:val="樣式 標題 3 + (中文) MS Gothic 10.5 點 Char Char Char Char Char Char Char Char"/>
    <w:qFormat/>
    <w:uiPriority w:val="0"/>
    <w:rPr>
      <w:rFonts w:hAnsi="PMingLiU" w:eastAsia="MS Gothic"/>
      <w:snapToGrid/>
      <w:kern w:val="2"/>
      <w:sz w:val="24"/>
      <w:lang w:eastAsia="zh-TW"/>
    </w:rPr>
  </w:style>
  <w:style w:type="character" w:customStyle="1" w:styleId="193">
    <w:name w:val="Char Char11"/>
    <w:qFormat/>
    <w:uiPriority w:val="0"/>
    <w:rPr>
      <w:rFonts w:eastAsia="宋体"/>
      <w:b/>
      <w:bCs/>
      <w:kern w:val="2"/>
      <w:sz w:val="24"/>
      <w:szCs w:val="24"/>
      <w:lang w:val="en-US" w:eastAsia="zh-CN" w:bidi="ar-SA"/>
    </w:rPr>
  </w:style>
  <w:style w:type="character" w:customStyle="1" w:styleId="194">
    <w:name w:val="正文（首行缩进两字） Char"/>
    <w:qFormat/>
    <w:uiPriority w:val="0"/>
    <w:rPr>
      <w:rFonts w:eastAsia="宋体"/>
      <w:sz w:val="32"/>
      <w:lang w:val="en-US" w:eastAsia="zh-CN" w:bidi="ar-SA"/>
    </w:rPr>
  </w:style>
  <w:style w:type="character" w:customStyle="1" w:styleId="195">
    <w:name w:val="书籍标题1"/>
    <w:qFormat/>
    <w:uiPriority w:val="0"/>
    <w:rPr>
      <w:b/>
      <w:bCs/>
      <w:smallCaps/>
      <w:spacing w:val="5"/>
    </w:rPr>
  </w:style>
  <w:style w:type="character" w:customStyle="1" w:styleId="196">
    <w:name w:val="HTML 预设格式 Char"/>
    <w:link w:val="197"/>
    <w:semiHidden/>
    <w:qFormat/>
    <w:uiPriority w:val="0"/>
    <w:rPr>
      <w:rFonts w:ascii="Arial" w:hAnsi="Arial"/>
      <w:sz w:val="21"/>
      <w:szCs w:val="21"/>
    </w:rPr>
  </w:style>
  <w:style w:type="paragraph" w:customStyle="1" w:styleId="197">
    <w:name w:val="HTML 预设格式1"/>
    <w:basedOn w:val="1"/>
    <w:link w:val="1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character" w:customStyle="1" w:styleId="198">
    <w:name w:val="五级标题格式 Char Char"/>
    <w:link w:val="199"/>
    <w:semiHidden/>
    <w:qFormat/>
    <w:uiPriority w:val="0"/>
    <w:rPr>
      <w:rFonts w:ascii="Times New Roman" w:hAnsi="Times New Roman"/>
      <w:b/>
      <w:bCs/>
      <w:kern w:val="2"/>
      <w:sz w:val="24"/>
      <w:szCs w:val="28"/>
    </w:rPr>
  </w:style>
  <w:style w:type="paragraph" w:customStyle="1" w:styleId="199">
    <w:name w:val="五级标题格式"/>
    <w:basedOn w:val="8"/>
    <w:link w:val="198"/>
    <w:qFormat/>
    <w:uiPriority w:val="0"/>
    <w:pPr>
      <w:tabs>
        <w:tab w:val="clear" w:pos="1008"/>
      </w:tabs>
      <w:spacing w:before="0" w:afterLines="50" w:line="240" w:lineRule="auto"/>
      <w:ind w:left="0" w:firstLine="0"/>
      <w:jc w:val="left"/>
    </w:pPr>
    <w:rPr>
      <w:sz w:val="24"/>
    </w:rPr>
  </w:style>
  <w:style w:type="character" w:customStyle="1" w:styleId="200">
    <w:name w:val="2 headline Char Char"/>
    <w:qFormat/>
    <w:uiPriority w:val="0"/>
    <w:rPr>
      <w:rFonts w:eastAsia="黑体"/>
      <w:bCs/>
      <w:kern w:val="2"/>
      <w:sz w:val="28"/>
      <w:szCs w:val="28"/>
      <w:lang w:val="en-US" w:eastAsia="zh-CN" w:bidi="ar-SA"/>
    </w:rPr>
  </w:style>
  <w:style w:type="character" w:customStyle="1" w:styleId="201">
    <w:name w:val="正文文本 2 Char"/>
    <w:link w:val="202"/>
    <w:semiHidden/>
    <w:qFormat/>
    <w:uiPriority w:val="0"/>
    <w:rPr>
      <w:rFonts w:ascii="Times New Roman" w:hAnsi="Times New Roman"/>
      <w:kern w:val="2"/>
      <w:sz w:val="21"/>
    </w:rPr>
  </w:style>
  <w:style w:type="paragraph" w:customStyle="1" w:styleId="202">
    <w:name w:val="正文文本 21"/>
    <w:basedOn w:val="1"/>
    <w:link w:val="201"/>
    <w:qFormat/>
    <w:uiPriority w:val="0"/>
    <w:pPr>
      <w:spacing w:after="120" w:line="480" w:lineRule="auto"/>
    </w:pPr>
    <w:rPr>
      <w:szCs w:val="20"/>
    </w:rPr>
  </w:style>
  <w:style w:type="character" w:customStyle="1" w:styleId="203">
    <w:name w:val="纯文本 Char"/>
    <w:link w:val="204"/>
    <w:qFormat/>
    <w:uiPriority w:val="99"/>
    <w:rPr>
      <w:rFonts w:ascii="宋体" w:hAnsi="Courier New" w:cs="Courier New"/>
      <w:kern w:val="2"/>
      <w:sz w:val="21"/>
      <w:szCs w:val="21"/>
    </w:rPr>
  </w:style>
  <w:style w:type="paragraph" w:customStyle="1" w:styleId="204">
    <w:name w:val="纯文本1"/>
    <w:basedOn w:val="1"/>
    <w:link w:val="203"/>
    <w:qFormat/>
    <w:uiPriority w:val="99"/>
    <w:rPr>
      <w:rFonts w:ascii="宋体" w:hAnsi="Courier New"/>
      <w:szCs w:val="21"/>
    </w:rPr>
  </w:style>
  <w:style w:type="character" w:customStyle="1" w:styleId="205">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206">
    <w:name w:val="表格文字图表文字 Char Char"/>
    <w:qFormat/>
    <w:uiPriority w:val="0"/>
    <w:rPr>
      <w:color w:val="7030A0"/>
      <w:kern w:val="2"/>
      <w:sz w:val="21"/>
    </w:rPr>
  </w:style>
  <w:style w:type="character" w:customStyle="1" w:styleId="207">
    <w:name w:val="font71"/>
    <w:qFormat/>
    <w:uiPriority w:val="0"/>
    <w:rPr>
      <w:rFonts w:hint="default" w:ascii="Times New Roman" w:hAnsi="Times New Roman" w:cs="Times New Roman"/>
      <w:color w:val="000000"/>
      <w:sz w:val="22"/>
      <w:szCs w:val="22"/>
      <w:u w:val="none"/>
    </w:rPr>
  </w:style>
  <w:style w:type="character" w:customStyle="1" w:styleId="208">
    <w:name w:val="HTML 打字机1"/>
    <w:qFormat/>
    <w:uiPriority w:val="0"/>
    <w:rPr>
      <w:rFonts w:ascii="黑体" w:hAnsi="Courier New" w:eastAsia="黑体" w:cs="Courier New"/>
      <w:sz w:val="20"/>
      <w:szCs w:val="20"/>
    </w:rPr>
  </w:style>
  <w:style w:type="character" w:customStyle="1" w:styleId="209">
    <w:name w:val="批注框文本 Char Char Char Char"/>
    <w:link w:val="210"/>
    <w:semiHidden/>
    <w:qFormat/>
    <w:uiPriority w:val="0"/>
    <w:rPr>
      <w:rFonts w:ascii="Times New Roman" w:hAnsi="Times New Roman" w:eastAsia="宋体" w:cs="Times New Roman"/>
      <w:sz w:val="18"/>
      <w:szCs w:val="18"/>
    </w:rPr>
  </w:style>
  <w:style w:type="paragraph" w:customStyle="1" w:styleId="210">
    <w:name w:val="批注框文本 Char Char"/>
    <w:basedOn w:val="1"/>
    <w:link w:val="209"/>
    <w:qFormat/>
    <w:uiPriority w:val="0"/>
    <w:rPr>
      <w:kern w:val="0"/>
      <w:sz w:val="18"/>
      <w:szCs w:val="18"/>
    </w:rPr>
  </w:style>
  <w:style w:type="character" w:customStyle="1" w:styleId="211">
    <w:name w:val="标题 4 Char1"/>
    <w:qFormat/>
    <w:uiPriority w:val="0"/>
    <w:rPr>
      <w:rFonts w:ascii="宋体" w:hAnsi="宋体"/>
      <w:b/>
      <w:bCs/>
      <w:kern w:val="2"/>
      <w:sz w:val="21"/>
    </w:rPr>
  </w:style>
  <w:style w:type="character" w:customStyle="1" w:styleId="212">
    <w:name w:val="列表框2 Char Char"/>
    <w:link w:val="213"/>
    <w:semiHidden/>
    <w:qFormat/>
    <w:uiPriority w:val="0"/>
    <w:rPr>
      <w:color w:val="7030A0"/>
      <w:spacing w:val="10"/>
      <w:sz w:val="24"/>
      <w:szCs w:val="24"/>
    </w:rPr>
  </w:style>
  <w:style w:type="paragraph" w:customStyle="1" w:styleId="213">
    <w:name w:val="列表框2"/>
    <w:basedOn w:val="1"/>
    <w:link w:val="212"/>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kern w:val="0"/>
      <w:sz w:val="24"/>
    </w:rPr>
  </w:style>
  <w:style w:type="character" w:customStyle="1" w:styleId="214">
    <w:name w:val="批注文字 Char1"/>
    <w:qFormat/>
    <w:uiPriority w:val="0"/>
    <w:rPr>
      <w:kern w:val="2"/>
      <w:sz w:val="24"/>
      <w:szCs w:val="24"/>
    </w:rPr>
  </w:style>
  <w:style w:type="character" w:customStyle="1" w:styleId="215">
    <w:name w:val="日期 Char1"/>
    <w:qFormat/>
    <w:uiPriority w:val="0"/>
    <w:rPr>
      <w:rFonts w:ascii="Times New Roman" w:hAnsi="Times New Roman"/>
      <w:kern w:val="2"/>
      <w:sz w:val="21"/>
      <w:szCs w:val="24"/>
    </w:rPr>
  </w:style>
  <w:style w:type="character" w:customStyle="1" w:styleId="216">
    <w:name w:val="标题2 Char Char"/>
    <w:link w:val="217"/>
    <w:semiHidden/>
    <w:qFormat/>
    <w:uiPriority w:val="0"/>
    <w:rPr>
      <w:rFonts w:ascii="宋体" w:hAnsi="Times New Roman"/>
      <w:b/>
      <w:color w:val="92D050"/>
      <w:kern w:val="44"/>
      <w:sz w:val="30"/>
    </w:rPr>
  </w:style>
  <w:style w:type="paragraph" w:customStyle="1" w:styleId="217">
    <w:name w:val="标题2"/>
    <w:basedOn w:val="4"/>
    <w:link w:val="216"/>
    <w:qFormat/>
    <w:uiPriority w:val="0"/>
    <w:pPr>
      <w:spacing w:before="0" w:after="0" w:line="312" w:lineRule="auto"/>
      <w:ind w:left="0" w:firstLine="0"/>
      <w:jc w:val="center"/>
    </w:pPr>
    <w:rPr>
      <w:rFonts w:ascii="宋体"/>
      <w:bCs w:val="0"/>
      <w:color w:val="92D050"/>
      <w:sz w:val="30"/>
      <w:szCs w:val="20"/>
    </w:rPr>
  </w:style>
  <w:style w:type="character" w:customStyle="1" w:styleId="218">
    <w:name w:val="批注引用1"/>
    <w:qFormat/>
    <w:uiPriority w:val="0"/>
    <w:rPr>
      <w:sz w:val="21"/>
      <w:szCs w:val="21"/>
    </w:rPr>
  </w:style>
  <w:style w:type="character" w:customStyle="1" w:styleId="219">
    <w:name w:val="样式 宋体 行距: 固定值 24 磅 Char Char"/>
    <w:link w:val="220"/>
    <w:semiHidden/>
    <w:qFormat/>
    <w:uiPriority w:val="0"/>
    <w:rPr>
      <w:rFonts w:ascii="宋体" w:cs="宋体"/>
      <w:color w:val="7030A0"/>
      <w:kern w:val="2"/>
      <w:sz w:val="28"/>
    </w:rPr>
  </w:style>
  <w:style w:type="paragraph" w:customStyle="1" w:styleId="220">
    <w:name w:val="样式 宋体 行距: 固定值 24 磅"/>
    <w:basedOn w:val="1"/>
    <w:link w:val="219"/>
    <w:qFormat/>
    <w:uiPriority w:val="0"/>
    <w:pPr>
      <w:spacing w:line="480" w:lineRule="exact"/>
      <w:ind w:firstLine="585" w:firstLineChars="200"/>
      <w:jc w:val="left"/>
    </w:pPr>
    <w:rPr>
      <w:rFonts w:ascii="宋体"/>
      <w:color w:val="7030A0"/>
      <w:sz w:val="28"/>
      <w:szCs w:val="20"/>
    </w:rPr>
  </w:style>
  <w:style w:type="character" w:customStyle="1" w:styleId="221">
    <w:name w:val="批注主题 Char"/>
    <w:link w:val="222"/>
    <w:semiHidden/>
    <w:qFormat/>
    <w:uiPriority w:val="0"/>
    <w:rPr>
      <w:rFonts w:ascii="Times New Roman" w:hAnsi="Times New Roman" w:eastAsia="宋体" w:cs="Times New Roman"/>
      <w:b/>
      <w:bCs/>
      <w:kern w:val="2"/>
      <w:sz w:val="21"/>
      <w:szCs w:val="24"/>
    </w:rPr>
  </w:style>
  <w:style w:type="paragraph" w:customStyle="1" w:styleId="222">
    <w:name w:val="批注主题1"/>
    <w:basedOn w:val="21"/>
    <w:next w:val="21"/>
    <w:link w:val="221"/>
    <w:qFormat/>
    <w:uiPriority w:val="0"/>
    <w:rPr>
      <w:b/>
      <w:bCs/>
      <w:kern w:val="2"/>
      <w:sz w:val="21"/>
    </w:rPr>
  </w:style>
  <w:style w:type="character" w:customStyle="1" w:styleId="223">
    <w:name w:val="正文段落格式 Char Char"/>
    <w:qFormat/>
    <w:uiPriority w:val="0"/>
    <w:rPr>
      <w:rFonts w:cs="宋体"/>
      <w:color w:val="7030A0"/>
      <w:kern w:val="2"/>
      <w:sz w:val="24"/>
    </w:rPr>
  </w:style>
  <w:style w:type="character" w:customStyle="1" w:styleId="224">
    <w:name w:val="dash6b63_6587__char1"/>
    <w:qFormat/>
    <w:uiPriority w:val="0"/>
    <w:rPr>
      <w:rFonts w:hint="default" w:ascii="Calibri" w:hAnsi="Calibri" w:cs="Calibri"/>
      <w:sz w:val="20"/>
      <w:szCs w:val="20"/>
    </w:rPr>
  </w:style>
  <w:style w:type="paragraph" w:customStyle="1" w:styleId="225">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227">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8">
    <w:name w:val="级别3"/>
    <w:basedOn w:val="229"/>
    <w:qFormat/>
    <w:uiPriority w:val="0"/>
    <w:pPr>
      <w:tabs>
        <w:tab w:val="left" w:pos="0"/>
      </w:tabs>
      <w:ind w:firstLine="425"/>
      <w:outlineLvl w:val="2"/>
    </w:pPr>
    <w:rPr>
      <w:b w:val="0"/>
    </w:rPr>
  </w:style>
  <w:style w:type="paragraph" w:customStyle="1" w:styleId="229">
    <w:name w:val="级别2"/>
    <w:basedOn w:val="4"/>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30">
    <w:name w:val="Char1 Char Char1 Char Char Char Char Char Char"/>
    <w:basedOn w:val="1"/>
    <w:qFormat/>
    <w:uiPriority w:val="0"/>
  </w:style>
  <w:style w:type="paragraph" w:customStyle="1" w:styleId="231">
    <w:name w:val="Report Level 4"/>
    <w:basedOn w:val="232"/>
    <w:next w:val="234"/>
    <w:qFormat/>
    <w:uiPriority w:val="0"/>
    <w:pPr>
      <w:tabs>
        <w:tab w:val="left" w:pos="720"/>
        <w:tab w:val="left" w:pos="1080"/>
        <w:tab w:val="left" w:pos="1889"/>
        <w:tab w:val="left" w:pos="2309"/>
      </w:tabs>
      <w:ind w:left="720" w:hanging="720"/>
      <w:outlineLvl w:val="3"/>
    </w:pPr>
    <w:rPr>
      <w:rFonts w:ascii="Times New Roman" w:hAnsi="Times New Roman"/>
    </w:rPr>
  </w:style>
  <w:style w:type="paragraph" w:customStyle="1" w:styleId="232">
    <w:name w:val="Report Level 3"/>
    <w:basedOn w:val="233"/>
    <w:next w:val="234"/>
    <w:qFormat/>
    <w:uiPriority w:val="0"/>
    <w:pPr>
      <w:tabs>
        <w:tab w:val="left" w:pos="1080"/>
        <w:tab w:val="left" w:pos="1889"/>
      </w:tabs>
      <w:spacing w:before="120"/>
      <w:ind w:left="1889" w:hanging="420"/>
      <w:outlineLvl w:val="2"/>
    </w:pPr>
    <w:rPr>
      <w:caps w:val="0"/>
      <w:sz w:val="20"/>
    </w:rPr>
  </w:style>
  <w:style w:type="paragraph" w:customStyle="1" w:styleId="233">
    <w:name w:val="Report Level 1"/>
    <w:basedOn w:val="1"/>
    <w:next w:val="234"/>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4">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35">
    <w:name w:val="样式 样式 样式 宋体 小四 左侧:  1.85 厘米 段前: 11.15 磅 段后: 11.15 磅 + 图案: 清除 (白色..."/>
    <w:basedOn w:val="236"/>
    <w:qFormat/>
    <w:uiPriority w:val="0"/>
    <w:pPr>
      <w:spacing w:beforeLines="50" w:afterLines="50"/>
      <w:ind w:left="318"/>
    </w:pPr>
    <w:rPr>
      <w:szCs w:val="20"/>
    </w:rPr>
  </w:style>
  <w:style w:type="paragraph" w:customStyle="1" w:styleId="236">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37">
    <w:name w:val="Table Paragraph"/>
    <w:basedOn w:val="1"/>
    <w:qFormat/>
    <w:uiPriority w:val="1"/>
    <w:pPr>
      <w:autoSpaceDE w:val="0"/>
      <w:autoSpaceDN w:val="0"/>
      <w:adjustRightInd w:val="0"/>
      <w:jc w:val="left"/>
    </w:pPr>
    <w:rPr>
      <w:kern w:val="0"/>
      <w:sz w:val="24"/>
    </w:rPr>
  </w:style>
  <w:style w:type="paragraph" w:customStyle="1" w:styleId="238">
    <w:name w:val="青岛正文"/>
    <w:basedOn w:val="1"/>
    <w:qFormat/>
    <w:uiPriority w:val="0"/>
    <w:pPr>
      <w:spacing w:line="360" w:lineRule="auto"/>
    </w:pPr>
    <w:rPr>
      <w:sz w:val="28"/>
    </w:rPr>
  </w:style>
  <w:style w:type="paragraph" w:customStyle="1" w:styleId="239">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240">
    <w:name w:val="样式 目录 1 + 左侧:  3 字符"/>
    <w:basedOn w:val="41"/>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41">
    <w:name w:val="列表1"/>
    <w:basedOn w:val="1"/>
    <w:qFormat/>
    <w:uiPriority w:val="0"/>
    <w:pPr>
      <w:ind w:left="200" w:hanging="200" w:hangingChars="200"/>
    </w:pPr>
    <w:rPr>
      <w:szCs w:val="20"/>
    </w:rPr>
  </w:style>
  <w:style w:type="paragraph" w:customStyle="1" w:styleId="242">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3">
    <w:name w:val="二级条标题"/>
    <w:basedOn w:val="244"/>
    <w:next w:val="1"/>
    <w:qFormat/>
    <w:uiPriority w:val="0"/>
    <w:pPr>
      <w:tabs>
        <w:tab w:val="left" w:pos="425"/>
        <w:tab w:val="left" w:pos="525"/>
      </w:tabs>
      <w:ind w:firstLine="0" w:firstLineChars="0"/>
      <w:outlineLvl w:val="3"/>
    </w:pPr>
  </w:style>
  <w:style w:type="paragraph" w:customStyle="1" w:styleId="244">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245">
    <w:name w:val="xl28"/>
    <w:basedOn w:val="1"/>
    <w:qFormat/>
    <w:uiPriority w:val="0"/>
    <w:pPr>
      <w:widowControl/>
      <w:spacing w:before="100" w:beforeAutospacing="1" w:after="100" w:afterAutospacing="1"/>
      <w:jc w:val="center"/>
    </w:pPr>
    <w:rPr>
      <w:kern w:val="0"/>
      <w:sz w:val="24"/>
    </w:rPr>
  </w:style>
  <w:style w:type="paragraph" w:customStyle="1" w:styleId="246">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7">
    <w:name w:val="xl32"/>
    <w:basedOn w:val="1"/>
    <w:qFormat/>
    <w:uiPriority w:val="0"/>
    <w:pPr>
      <w:widowControl/>
      <w:spacing w:before="100" w:beforeAutospacing="1" w:after="100" w:afterAutospacing="1"/>
      <w:jc w:val="center"/>
    </w:pPr>
    <w:rPr>
      <w:b/>
      <w:bCs/>
      <w:kern w:val="0"/>
      <w:sz w:val="24"/>
      <w:u w:val="single"/>
    </w:rPr>
  </w:style>
  <w:style w:type="paragraph" w:customStyle="1" w:styleId="248">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249">
    <w:name w:val="Footer First"/>
    <w:basedOn w:val="3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50">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1">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25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4">
    <w:name w:val="四级条标题"/>
    <w:basedOn w:val="255"/>
    <w:next w:val="1"/>
    <w:qFormat/>
    <w:uiPriority w:val="0"/>
    <w:pPr>
      <w:tabs>
        <w:tab w:val="left" w:pos="425"/>
        <w:tab w:val="left" w:pos="525"/>
      </w:tabs>
      <w:outlineLvl w:val="5"/>
    </w:pPr>
  </w:style>
  <w:style w:type="paragraph" w:customStyle="1" w:styleId="255">
    <w:name w:val="三级条标题"/>
    <w:basedOn w:val="243"/>
    <w:next w:val="1"/>
    <w:qFormat/>
    <w:uiPriority w:val="0"/>
    <w:pPr>
      <w:outlineLvl w:val="4"/>
    </w:pPr>
  </w:style>
  <w:style w:type="paragraph" w:customStyle="1" w:styleId="2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57">
    <w:name w:val="样式 宋体 行距: 1.5 倍行距"/>
    <w:basedOn w:val="1"/>
    <w:qFormat/>
    <w:uiPriority w:val="0"/>
    <w:pPr>
      <w:ind w:firstLine="200" w:firstLineChars="200"/>
      <w:jc w:val="left"/>
    </w:pPr>
    <w:rPr>
      <w:rFonts w:ascii="宋体" w:hAnsi="宋体"/>
      <w:color w:val="7030A0"/>
      <w:szCs w:val="20"/>
    </w:rPr>
  </w:style>
  <w:style w:type="paragraph" w:customStyle="1" w:styleId="258">
    <w:name w:val="[基本段落]"/>
    <w:basedOn w:val="1"/>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lang w:val="zh-CN"/>
    </w:rPr>
  </w:style>
  <w:style w:type="paragraph" w:customStyle="1" w:styleId="259">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260">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261">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2">
    <w:name w:val="三级标题格式"/>
    <w:basedOn w:val="6"/>
    <w:qFormat/>
    <w:uiPriority w:val="0"/>
    <w:pPr>
      <w:spacing w:before="0" w:afterLines="100" w:line="240" w:lineRule="auto"/>
      <w:jc w:val="left"/>
    </w:pPr>
    <w:rPr>
      <w:rFonts w:eastAsia="黑体"/>
      <w:b w:val="0"/>
      <w:sz w:val="28"/>
      <w:szCs w:val="28"/>
    </w:rPr>
  </w:style>
  <w:style w:type="paragraph" w:customStyle="1" w:styleId="263">
    <w:name w:val="表格文字格式"/>
    <w:basedOn w:val="1"/>
    <w:qFormat/>
    <w:uiPriority w:val="0"/>
    <w:pPr>
      <w:snapToGrid w:val="0"/>
      <w:jc w:val="center"/>
    </w:pPr>
    <w:rPr>
      <w:rFonts w:cs="宋体"/>
      <w:szCs w:val="20"/>
    </w:rPr>
  </w:style>
  <w:style w:type="paragraph" w:customStyle="1" w:styleId="264">
    <w:name w:val="样式 标题 3列表编号33 bulletb23 bullet1b1213 bullet2b2223 bul...2"/>
    <w:basedOn w:val="1"/>
    <w:qFormat/>
    <w:uiPriority w:val="0"/>
    <w:pPr>
      <w:ind w:left="1320" w:hanging="420" w:firstLineChars="200"/>
      <w:jc w:val="left"/>
    </w:pPr>
    <w:rPr>
      <w:color w:val="7030A0"/>
    </w:rPr>
  </w:style>
  <w:style w:type="paragraph" w:customStyle="1" w:styleId="265">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7">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8">
    <w:name w:val="样式 标题 5 + 右侧:  -0.18 字符"/>
    <w:basedOn w:val="1"/>
    <w:qFormat/>
    <w:uiPriority w:val="0"/>
    <w:pPr>
      <w:tabs>
        <w:tab w:val="left" w:pos="1008"/>
      </w:tabs>
      <w:ind w:left="1134" w:hanging="1134"/>
    </w:pPr>
  </w:style>
  <w:style w:type="paragraph" w:customStyle="1" w:styleId="269">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70">
    <w:name w:val="列表接续1"/>
    <w:basedOn w:val="1"/>
    <w:qFormat/>
    <w:uiPriority w:val="0"/>
    <w:pPr>
      <w:widowControl/>
      <w:spacing w:after="120"/>
      <w:ind w:left="420"/>
      <w:jc w:val="left"/>
    </w:pPr>
    <w:rPr>
      <w:rFonts w:ascii="宋体"/>
      <w:kern w:val="0"/>
      <w:sz w:val="22"/>
      <w:szCs w:val="20"/>
    </w:rPr>
  </w:style>
  <w:style w:type="paragraph" w:customStyle="1" w:styleId="271">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272">
    <w:name w:val="正文样式"/>
    <w:basedOn w:val="1"/>
    <w:qFormat/>
    <w:uiPriority w:val="99"/>
    <w:pPr>
      <w:ind w:firstLine="480" w:firstLineChars="200"/>
    </w:pPr>
    <w:rPr>
      <w:rFonts w:ascii="Times New Roman" w:hAnsi="Times New Roman"/>
      <w:sz w:val="30"/>
      <w:lang w:val="zh-CN"/>
    </w:rPr>
  </w:style>
  <w:style w:type="paragraph" w:customStyle="1" w:styleId="273">
    <w:name w:val="Body"/>
    <w:basedOn w:val="1"/>
    <w:qFormat/>
    <w:uiPriority w:val="0"/>
    <w:pPr>
      <w:widowControl/>
      <w:tabs>
        <w:tab w:val="left" w:pos="1620"/>
      </w:tabs>
      <w:spacing w:before="80" w:after="80" w:line="288" w:lineRule="auto"/>
    </w:pPr>
    <w:rPr>
      <w:kern w:val="0"/>
      <w:szCs w:val="20"/>
      <w:lang w:eastAsia="en-US"/>
    </w:rPr>
  </w:style>
  <w:style w:type="paragraph" w:styleId="274">
    <w:name w:val="List Paragraph"/>
    <w:basedOn w:val="1"/>
    <w:qFormat/>
    <w:uiPriority w:val="34"/>
    <w:pPr>
      <w:ind w:left="720"/>
      <w:contextualSpacing/>
    </w:pPr>
  </w:style>
  <w:style w:type="paragraph" w:customStyle="1" w:styleId="275">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6">
    <w:name w:val="註解方塊文字"/>
    <w:basedOn w:val="1"/>
    <w:qFormat/>
    <w:uiPriority w:val="0"/>
    <w:pPr>
      <w:widowControl/>
      <w:jc w:val="left"/>
    </w:pPr>
    <w:rPr>
      <w:rFonts w:ascii="Arial" w:hAnsi="Arial" w:eastAsia="PMingLiU"/>
      <w:kern w:val="0"/>
      <w:sz w:val="18"/>
      <w:szCs w:val="18"/>
    </w:rPr>
  </w:style>
  <w:style w:type="paragraph" w:customStyle="1" w:styleId="277">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0">
    <w:name w:val="标题四"/>
    <w:basedOn w:val="281"/>
    <w:qFormat/>
    <w:uiPriority w:val="0"/>
    <w:pPr>
      <w:tabs>
        <w:tab w:val="left" w:pos="0"/>
      </w:tabs>
      <w:spacing w:line="360" w:lineRule="auto"/>
      <w:ind w:left="0"/>
    </w:pPr>
    <w:rPr>
      <w:rFonts w:ascii="Tahoma" w:hAnsi="Tahoma"/>
      <w:sz w:val="24"/>
      <w:szCs w:val="24"/>
    </w:rPr>
  </w:style>
  <w:style w:type="paragraph" w:customStyle="1" w:styleId="281">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2">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283">
    <w:name w:val="列出段落2"/>
    <w:basedOn w:val="1"/>
    <w:qFormat/>
    <w:uiPriority w:val="99"/>
    <w:pPr>
      <w:ind w:firstLine="420" w:firstLineChars="200"/>
    </w:pPr>
  </w:style>
  <w:style w:type="paragraph" w:customStyle="1" w:styleId="284">
    <w:name w:val="样式 标题 2标题 1.1编号标题2head:2#2 headlinehheadlineS&amp;R2ERMH2He..."/>
    <w:basedOn w:val="5"/>
    <w:qFormat/>
    <w:uiPriority w:val="0"/>
    <w:pPr>
      <w:spacing w:before="120" w:after="120" w:line="500" w:lineRule="exact"/>
      <w:jc w:val="left"/>
    </w:pPr>
    <w:rPr>
      <w:rFonts w:cs="宋体"/>
      <w:color w:val="C00000"/>
      <w:kern w:val="44"/>
      <w:sz w:val="28"/>
      <w:szCs w:val="20"/>
    </w:rPr>
  </w:style>
  <w:style w:type="paragraph" w:customStyle="1" w:styleId="285">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86">
    <w:name w:val="章节标题 BJ8"/>
    <w:basedOn w:val="130"/>
    <w:next w:val="130"/>
    <w:qFormat/>
    <w:uiPriority w:val="0"/>
    <w:pPr>
      <w:ind w:firstLine="0" w:firstLineChars="0"/>
      <w:jc w:val="center"/>
    </w:pPr>
    <w:rPr>
      <w:rFonts w:eastAsia="黑体"/>
      <w:b/>
      <w:sz w:val="44"/>
      <w:szCs w:val="84"/>
    </w:rPr>
  </w:style>
  <w:style w:type="paragraph" w:customStyle="1" w:styleId="287">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8">
    <w:name w:val="列出段落1"/>
    <w:basedOn w:val="1"/>
    <w:qFormat/>
    <w:uiPriority w:val="34"/>
    <w:pPr>
      <w:ind w:firstLine="420" w:firstLineChars="200"/>
    </w:pPr>
    <w:rPr>
      <w:szCs w:val="20"/>
    </w:rPr>
  </w:style>
  <w:style w:type="paragraph" w:customStyle="1" w:styleId="289">
    <w:name w:val="_Style 2"/>
    <w:basedOn w:val="1"/>
    <w:qFormat/>
    <w:uiPriority w:val="0"/>
    <w:pPr>
      <w:ind w:firstLine="420" w:firstLineChars="200"/>
    </w:pPr>
    <w:rPr>
      <w:rFonts w:ascii="Calibri" w:hAnsi="Calibri"/>
      <w:szCs w:val="22"/>
    </w:rPr>
  </w:style>
  <w:style w:type="paragraph" w:customStyle="1" w:styleId="290">
    <w:name w:val="样式 列表框 Char Char Char Char Char + 段后: 0.5 行"/>
    <w:basedOn w:val="291"/>
    <w:qFormat/>
    <w:uiPriority w:val="0"/>
    <w:pPr>
      <w:tabs>
        <w:tab w:val="left" w:pos="420"/>
      </w:tabs>
      <w:spacing w:after="156"/>
    </w:pPr>
    <w:rPr>
      <w:szCs w:val="20"/>
    </w:rPr>
  </w:style>
  <w:style w:type="paragraph" w:customStyle="1" w:styleId="291">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92">
    <w:name w:val="*"/>
    <w:basedOn w:val="1"/>
    <w:qFormat/>
    <w:uiPriority w:val="0"/>
    <w:pPr>
      <w:spacing w:line="360" w:lineRule="auto"/>
    </w:pPr>
    <w:rPr>
      <w:rFonts w:ascii="宋体" w:hAnsi="宋体"/>
      <w:kern w:val="0"/>
      <w:sz w:val="24"/>
    </w:rPr>
  </w:style>
  <w:style w:type="paragraph" w:customStyle="1" w:styleId="293">
    <w:name w:val="样式 样式 列表框 Char Char Char Char Char + 段后: 0.5 行 + 左侧:  6 字符 首行缩进..."/>
    <w:basedOn w:val="290"/>
    <w:qFormat/>
    <w:uiPriority w:val="0"/>
    <w:pPr>
      <w:tabs>
        <w:tab w:val="left" w:pos="2297"/>
      </w:tabs>
      <w:ind w:left="2297" w:leftChars="0" w:hanging="420" w:firstLineChars="0"/>
    </w:pPr>
  </w:style>
  <w:style w:type="paragraph" w:customStyle="1" w:styleId="294">
    <w:name w:val="附图 BJ15"/>
    <w:basedOn w:val="1"/>
    <w:qFormat/>
    <w:uiPriority w:val="0"/>
    <w:pPr>
      <w:adjustRightInd w:val="0"/>
      <w:snapToGrid w:val="0"/>
      <w:ind w:firstLine="200" w:firstLineChars="200"/>
      <w:jc w:val="center"/>
    </w:pPr>
    <w:rPr>
      <w:rFonts w:hAnsi="Arial"/>
      <w:color w:val="7030A0"/>
      <w:kern w:val="0"/>
    </w:rPr>
  </w:style>
  <w:style w:type="paragraph" w:customStyle="1" w:styleId="2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6">
    <w:name w:val="Numbered List"/>
    <w:basedOn w:val="3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97">
    <w:name w:val="表格标题"/>
    <w:basedOn w:val="8"/>
    <w:qFormat/>
    <w:uiPriority w:val="0"/>
    <w:pPr>
      <w:tabs>
        <w:tab w:val="clear" w:pos="1008"/>
      </w:tabs>
      <w:spacing w:before="0" w:after="0" w:line="240" w:lineRule="auto"/>
      <w:ind w:left="0" w:firstLine="0"/>
      <w:jc w:val="center"/>
      <w:outlineLvl w:val="8"/>
    </w:pPr>
    <w:rPr>
      <w:b w:val="0"/>
      <w:sz w:val="21"/>
      <w:lang w:val="zh-CN"/>
    </w:rPr>
  </w:style>
  <w:style w:type="paragraph" w:customStyle="1" w:styleId="298">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299">
    <w:name w:val="List Paragraph1"/>
    <w:basedOn w:val="1"/>
    <w:next w:val="1"/>
    <w:qFormat/>
    <w:uiPriority w:val="0"/>
    <w:pPr>
      <w:ind w:firstLine="420" w:firstLineChars="200"/>
    </w:pPr>
    <w:rPr>
      <w:rFonts w:ascii="Calibri" w:hAnsi="Calibri"/>
      <w:szCs w:val="22"/>
    </w:rPr>
  </w:style>
  <w:style w:type="paragraph" w:customStyle="1" w:styleId="300">
    <w:name w:val="招标文件》"/>
    <w:basedOn w:val="301"/>
    <w:qFormat/>
    <w:uiPriority w:val="0"/>
    <w:pPr>
      <w:tabs>
        <w:tab w:val="left" w:pos="560"/>
      </w:tabs>
      <w:ind w:left="200" w:firstLine="0" w:firstLineChars="0"/>
    </w:pPr>
  </w:style>
  <w:style w:type="paragraph" w:customStyle="1" w:styleId="301">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02">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03">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4">
    <w:name w:val="样式 标题 1标题 1 1编号标题1标题1 + 宋体 加粗"/>
    <w:basedOn w:val="4"/>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305">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06">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07">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8">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09">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0">
    <w:name w:val="顺序编号-zlb"/>
    <w:basedOn w:val="311"/>
    <w:qFormat/>
    <w:uiPriority w:val="0"/>
    <w:pPr>
      <w:tabs>
        <w:tab w:val="left" w:pos="0"/>
      </w:tabs>
      <w:ind w:firstLine="425"/>
      <w:outlineLvl w:val="8"/>
    </w:pPr>
  </w:style>
  <w:style w:type="paragraph" w:customStyle="1" w:styleId="311">
    <w:name w:val="级别4"/>
    <w:basedOn w:val="229"/>
    <w:qFormat/>
    <w:uiPriority w:val="0"/>
    <w:pPr>
      <w:outlineLvl w:val="3"/>
    </w:pPr>
    <w:rPr>
      <w:b w:val="0"/>
      <w:kern w:val="0"/>
    </w:rPr>
  </w:style>
  <w:style w:type="paragraph" w:customStyle="1" w:styleId="312">
    <w:name w:val="二级标题格式"/>
    <w:basedOn w:val="5"/>
    <w:qFormat/>
    <w:uiPriority w:val="0"/>
    <w:pPr>
      <w:spacing w:before="0" w:afterLines="100" w:line="240" w:lineRule="auto"/>
      <w:jc w:val="left"/>
    </w:pPr>
    <w:rPr>
      <w:rFonts w:ascii="Times New Roman" w:hAnsi="Times New Roman"/>
      <w:b w:val="0"/>
      <w:color w:val="C00000"/>
      <w:sz w:val="28"/>
      <w:szCs w:val="28"/>
    </w:rPr>
  </w:style>
  <w:style w:type="paragraph" w:customStyle="1" w:styleId="313">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314">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15">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31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7">
    <w:name w:val="专用"/>
    <w:basedOn w:val="1"/>
    <w:qFormat/>
    <w:uiPriority w:val="0"/>
    <w:pPr>
      <w:spacing w:afterLines="100"/>
      <w:ind w:left="838" w:hanging="838" w:hangingChars="262"/>
    </w:pPr>
    <w:rPr>
      <w:rFonts w:ascii="宋体"/>
      <w:b/>
      <w:color w:val="000000"/>
      <w:sz w:val="32"/>
      <w:szCs w:val="20"/>
    </w:rPr>
  </w:style>
  <w:style w:type="paragraph" w:customStyle="1" w:styleId="318">
    <w:name w:val="Char1 Char Char Char"/>
    <w:basedOn w:val="1"/>
    <w:qFormat/>
    <w:uiPriority w:val="0"/>
  </w:style>
  <w:style w:type="paragraph" w:customStyle="1" w:styleId="3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0">
    <w:name w:val="xl72"/>
    <w:basedOn w:val="1"/>
    <w:next w:val="3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21">
    <w:name w:val="标准"/>
    <w:basedOn w:val="1"/>
    <w:qFormat/>
    <w:uiPriority w:val="0"/>
    <w:pPr>
      <w:adjustRightInd w:val="0"/>
      <w:spacing w:line="312" w:lineRule="atLeast"/>
      <w:jc w:val="center"/>
      <w:textAlignment w:val="baseline"/>
    </w:pPr>
    <w:rPr>
      <w:kern w:val="24"/>
      <w:sz w:val="24"/>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323">
    <w:name w:val="样式 列表框 Char Char Char Char Char + 右侧:  -0.05 字符 段后: 0.5 行"/>
    <w:basedOn w:val="324"/>
    <w:qFormat/>
    <w:uiPriority w:val="0"/>
    <w:pPr>
      <w:tabs>
        <w:tab w:val="left" w:pos="375"/>
        <w:tab w:val="left" w:pos="450"/>
        <w:tab w:val="left" w:pos="874"/>
      </w:tabs>
      <w:ind w:left="0" w:firstLine="0"/>
    </w:pPr>
    <w:rPr>
      <w:szCs w:val="20"/>
    </w:rPr>
  </w:style>
  <w:style w:type="paragraph" w:customStyle="1" w:styleId="324">
    <w:name w:val="列表框 Char Char Char Char Char"/>
    <w:basedOn w:val="291"/>
    <w:next w:val="291"/>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325">
    <w:name w:val="表格正文"/>
    <w:basedOn w:val="1"/>
    <w:next w:val="1"/>
    <w:qFormat/>
    <w:uiPriority w:val="0"/>
    <w:pPr>
      <w:adjustRightInd w:val="0"/>
      <w:snapToGrid w:val="0"/>
      <w:jc w:val="center"/>
    </w:pPr>
    <w:rPr>
      <w:color w:val="548DD4"/>
    </w:rPr>
  </w:style>
  <w:style w:type="paragraph" w:customStyle="1" w:styleId="326">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7">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28">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329">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30">
    <w:name w:val="五级"/>
    <w:basedOn w:val="5"/>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31">
    <w:name w:val="样式 左侧:  2 字符 段前: 0.5 行"/>
    <w:basedOn w:val="1"/>
    <w:qFormat/>
    <w:uiPriority w:val="0"/>
    <w:pPr>
      <w:spacing w:beforeLines="50"/>
      <w:ind w:firstLine="200" w:firstLineChars="200"/>
    </w:pPr>
    <w:rPr>
      <w:rFonts w:ascii="宋体" w:cs="宋体"/>
      <w:sz w:val="24"/>
      <w:szCs w:val="20"/>
    </w:rPr>
  </w:style>
  <w:style w:type="paragraph" w:customStyle="1" w:styleId="332">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3">
    <w:name w:val="Char Char Char Char Char"/>
    <w:basedOn w:val="1"/>
    <w:qFormat/>
    <w:uiPriority w:val="0"/>
    <w:pPr>
      <w:ind w:firstLine="200" w:firstLineChars="200"/>
      <w:jc w:val="left"/>
    </w:pPr>
    <w:rPr>
      <w:rFonts w:ascii="Tahoma" w:hAnsi="Tahoma"/>
      <w:color w:val="7030A0"/>
      <w:sz w:val="24"/>
      <w:szCs w:val="20"/>
    </w:rPr>
  </w:style>
  <w:style w:type="paragraph" w:customStyle="1" w:styleId="334">
    <w:name w:val="默认段落字体 Para Char Char Char Char"/>
    <w:basedOn w:val="1"/>
    <w:qFormat/>
    <w:uiPriority w:val="0"/>
    <w:rPr>
      <w:szCs w:val="20"/>
    </w:rPr>
  </w:style>
  <w:style w:type="paragraph" w:customStyle="1" w:styleId="335">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36">
    <w:name w:val="索引 11"/>
    <w:basedOn w:val="1"/>
    <w:next w:val="1"/>
    <w:qFormat/>
    <w:uiPriority w:val="0"/>
    <w:pPr>
      <w:spacing w:line="360" w:lineRule="auto"/>
      <w:ind w:left="1149" w:leftChars="547"/>
    </w:pPr>
    <w:rPr>
      <w:szCs w:val="20"/>
    </w:rPr>
  </w:style>
  <w:style w:type="paragraph" w:customStyle="1" w:styleId="337">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338">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9">
    <w:name w:val="Sprechblasentext"/>
    <w:basedOn w:val="1"/>
    <w:qFormat/>
    <w:uiPriority w:val="0"/>
    <w:pPr>
      <w:spacing w:line="300" w:lineRule="atLeast"/>
      <w:ind w:firstLine="709"/>
    </w:pPr>
    <w:rPr>
      <w:rFonts w:ascii="Tahoma" w:hAnsi="Tahoma" w:cs="Tahoma"/>
      <w:sz w:val="16"/>
      <w:szCs w:val="16"/>
    </w:rPr>
  </w:style>
  <w:style w:type="paragraph" w:customStyle="1" w:styleId="340">
    <w:name w:val="表格文字"/>
    <w:basedOn w:val="119"/>
    <w:qFormat/>
    <w:uiPriority w:val="0"/>
  </w:style>
  <w:style w:type="paragraph" w:customStyle="1" w:styleId="341">
    <w:name w:val="font5"/>
    <w:basedOn w:val="1"/>
    <w:qFormat/>
    <w:uiPriority w:val="0"/>
    <w:pPr>
      <w:widowControl/>
      <w:spacing w:before="100" w:beforeAutospacing="1" w:after="100" w:afterAutospacing="1"/>
      <w:jc w:val="left"/>
    </w:pPr>
    <w:rPr>
      <w:b/>
      <w:bCs/>
      <w:kern w:val="0"/>
      <w:sz w:val="22"/>
      <w:szCs w:val="22"/>
    </w:rPr>
  </w:style>
  <w:style w:type="paragraph" w:customStyle="1" w:styleId="342">
    <w:name w:val="註解方塊文字2"/>
    <w:basedOn w:val="1"/>
    <w:qFormat/>
    <w:uiPriority w:val="0"/>
    <w:rPr>
      <w:rFonts w:ascii="Arial" w:hAnsi="Arial" w:eastAsia="PMingLiU"/>
      <w:color w:val="7030A0"/>
      <w:sz w:val="18"/>
      <w:szCs w:val="18"/>
    </w:rPr>
  </w:style>
  <w:style w:type="paragraph" w:customStyle="1" w:styleId="34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索引 21"/>
    <w:basedOn w:val="1"/>
    <w:next w:val="1"/>
    <w:qFormat/>
    <w:uiPriority w:val="0"/>
    <w:pPr>
      <w:spacing w:line="480" w:lineRule="exact"/>
      <w:ind w:left="200" w:leftChars="200" w:firstLine="200" w:firstLineChars="200"/>
      <w:jc w:val="left"/>
    </w:pPr>
    <w:rPr>
      <w:color w:val="7030A0"/>
      <w:sz w:val="24"/>
    </w:rPr>
  </w:style>
  <w:style w:type="paragraph" w:customStyle="1" w:styleId="3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6">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47">
    <w:name w:val="招标正文"/>
    <w:basedOn w:val="1"/>
    <w:qFormat/>
    <w:uiPriority w:val="0"/>
    <w:pPr>
      <w:spacing w:line="360" w:lineRule="auto"/>
      <w:ind w:firstLine="480"/>
    </w:pPr>
    <w:rPr>
      <w:rFonts w:ascii="宋体" w:hAnsi="宋体"/>
      <w:sz w:val="24"/>
      <w:szCs w:val="24"/>
    </w:rPr>
  </w:style>
  <w:style w:type="paragraph" w:customStyle="1" w:styleId="348">
    <w:name w:val="Char"/>
    <w:basedOn w:val="1"/>
    <w:qFormat/>
    <w:uiPriority w:val="0"/>
    <w:rPr>
      <w:rFonts w:ascii="仿宋_GB2312" w:eastAsia="仿宋_GB2312"/>
      <w:b/>
      <w:sz w:val="32"/>
      <w:szCs w:val="32"/>
    </w:rPr>
  </w:style>
  <w:style w:type="paragraph" w:customStyle="1" w:styleId="349">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50">
    <w:name w:val="列表 21"/>
    <w:basedOn w:val="1"/>
    <w:qFormat/>
    <w:uiPriority w:val="0"/>
    <w:pPr>
      <w:widowControl/>
      <w:ind w:left="840" w:hanging="420"/>
      <w:jc w:val="left"/>
    </w:pPr>
    <w:rPr>
      <w:rFonts w:ascii="宋体"/>
      <w:kern w:val="0"/>
      <w:sz w:val="22"/>
      <w:szCs w:val="20"/>
    </w:rPr>
  </w:style>
  <w:style w:type="paragraph" w:customStyle="1" w:styleId="35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2">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53">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4">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5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58">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359">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0">
    <w:name w:val="通用"/>
    <w:basedOn w:val="1"/>
    <w:qFormat/>
    <w:uiPriority w:val="0"/>
    <w:pPr>
      <w:spacing w:line="360" w:lineRule="auto"/>
      <w:ind w:left="840" w:leftChars="400"/>
    </w:pPr>
    <w:rPr>
      <w:rFonts w:ascii="宋体" w:hAnsi="宋体"/>
      <w:szCs w:val="20"/>
    </w:rPr>
  </w:style>
  <w:style w:type="paragraph" w:customStyle="1" w:styleId="361">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62">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363">
    <w:name w:val="合同书"/>
    <w:basedOn w:val="1"/>
    <w:qFormat/>
    <w:uiPriority w:val="0"/>
    <w:pPr>
      <w:spacing w:afterLines="100"/>
      <w:jc w:val="center"/>
    </w:pPr>
    <w:rPr>
      <w:rFonts w:hAnsi="宋体"/>
      <w:b/>
      <w:color w:val="000000"/>
      <w:sz w:val="44"/>
      <w:szCs w:val="44"/>
    </w:rPr>
  </w:style>
  <w:style w:type="paragraph" w:customStyle="1" w:styleId="364">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5">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6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367">
    <w:name w:val="正文文本缩进 31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6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69">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70">
    <w:name w:val="级别5"/>
    <w:basedOn w:val="311"/>
    <w:qFormat/>
    <w:uiPriority w:val="0"/>
    <w:pPr>
      <w:outlineLvl w:val="4"/>
    </w:pPr>
  </w:style>
  <w:style w:type="paragraph" w:customStyle="1" w:styleId="3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2">
    <w:name w:val="xiao b"/>
    <w:basedOn w:val="1"/>
    <w:qFormat/>
    <w:uiPriority w:val="0"/>
    <w:pPr>
      <w:ind w:firstLine="200" w:firstLineChars="200"/>
      <w:jc w:val="center"/>
    </w:pPr>
    <w:rPr>
      <w:rFonts w:eastAsia="黑体"/>
      <w:color w:val="7030A0"/>
      <w:sz w:val="24"/>
      <w:szCs w:val="20"/>
    </w:rPr>
  </w:style>
  <w:style w:type="paragraph" w:customStyle="1" w:styleId="373">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5">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76">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377">
    <w:name w:val="样式 样式 列表框 Char Char Char Char Char + 右侧:  -0.05 字符 段后: 0.5 行 + 右..."/>
    <w:basedOn w:val="323"/>
    <w:qFormat/>
    <w:uiPriority w:val="0"/>
    <w:pPr>
      <w:tabs>
        <w:tab w:val="left" w:pos="630"/>
      </w:tabs>
    </w:pPr>
  </w:style>
  <w:style w:type="paragraph" w:customStyle="1" w:styleId="378">
    <w:name w:val="正文文本缩进 21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379">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0">
    <w:name w:val="样式 标题 2 + Times New Roman 四号 非加粗 段前: 5 磅 段后: 0 磅 行距: 固定值 20..."/>
    <w:basedOn w:val="5"/>
    <w:qFormat/>
    <w:uiPriority w:val="0"/>
    <w:pPr>
      <w:spacing w:before="100" w:line="400" w:lineRule="exact"/>
      <w:ind w:firstLine="200" w:firstLineChars="200"/>
    </w:pPr>
    <w:rPr>
      <w:rFonts w:ascii="Times New Roman" w:hAnsi="Times New Roman" w:cs="宋体"/>
      <w:b w:val="0"/>
      <w:sz w:val="28"/>
      <w:szCs w:val="20"/>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4">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385">
    <w:name w:val="No Spacing"/>
    <w:qFormat/>
    <w:uiPriority w:val="1"/>
    <w:pPr>
      <w:widowControl w:val="0"/>
      <w:spacing w:line="400" w:lineRule="exact"/>
      <w:jc w:val="both"/>
    </w:pPr>
    <w:rPr>
      <w:rFonts w:ascii="Times New Roman" w:hAnsi="Times New Roman" w:eastAsia="宋体" w:cs="Times New Roman"/>
      <w:kern w:val="2"/>
      <w:sz w:val="24"/>
      <w:lang w:val="en-US" w:eastAsia="zh-CN" w:bidi="ar-SA"/>
    </w:rPr>
  </w:style>
  <w:style w:type="paragraph" w:customStyle="1" w:styleId="386">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387">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3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8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90">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391">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92">
    <w:name w:val="索引标题1"/>
    <w:basedOn w:val="1"/>
    <w:next w:val="336"/>
    <w:qFormat/>
    <w:uiPriority w:val="0"/>
  </w:style>
  <w:style w:type="paragraph" w:customStyle="1" w:styleId="393">
    <w:name w:val="列表框1"/>
    <w:basedOn w:val="307"/>
    <w:next w:val="307"/>
    <w:qFormat/>
    <w:uiPriority w:val="0"/>
    <w:pPr>
      <w:tabs>
        <w:tab w:val="left" w:pos="960"/>
        <w:tab w:val="left" w:pos="1314"/>
      </w:tabs>
      <w:snapToGrid w:val="0"/>
      <w:ind w:left="1328" w:leftChars="397" w:hanging="375" w:hangingChars="163"/>
    </w:pPr>
    <w:rPr>
      <w:rFonts w:cs="Arial"/>
    </w:rPr>
  </w:style>
  <w:style w:type="paragraph" w:customStyle="1" w:styleId="39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表格"/>
    <w:basedOn w:val="1"/>
    <w:qFormat/>
    <w:uiPriority w:val="0"/>
    <w:pPr>
      <w:widowControl/>
      <w:snapToGrid w:val="0"/>
      <w:spacing w:before="60" w:after="60"/>
      <w:jc w:val="left"/>
    </w:pPr>
    <w:rPr>
      <w:rFonts w:ascii="宋体"/>
      <w:sz w:val="20"/>
      <w:szCs w:val="20"/>
    </w:rPr>
  </w:style>
  <w:style w:type="paragraph" w:customStyle="1" w:styleId="396">
    <w:name w:val="*正文"/>
    <w:basedOn w:val="1"/>
    <w:next w:val="1"/>
    <w:qFormat/>
    <w:uiPriority w:val="0"/>
    <w:pPr>
      <w:widowControl/>
      <w:ind w:firstLine="482"/>
    </w:pPr>
    <w:rPr>
      <w:rFonts w:ascii="微软雅黑" w:hAnsi="微软雅黑" w:eastAsia="微软雅黑"/>
      <w:sz w:val="21"/>
    </w:rPr>
  </w:style>
  <w:style w:type="paragraph" w:customStyle="1" w:styleId="397">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98">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99">
    <w:name w:val="图文"/>
    <w:basedOn w:val="1"/>
    <w:qFormat/>
    <w:uiPriority w:val="0"/>
    <w:pPr>
      <w:adjustRightInd w:val="0"/>
      <w:snapToGrid w:val="0"/>
      <w:spacing w:after="50" w:line="360" w:lineRule="auto"/>
    </w:pPr>
    <w:rPr>
      <w:sz w:val="24"/>
    </w:rPr>
  </w:style>
  <w:style w:type="paragraph" w:customStyle="1" w:styleId="4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1">
    <w:name w:val="文本块1"/>
    <w:basedOn w:val="1"/>
    <w:qFormat/>
    <w:uiPriority w:val="0"/>
    <w:pPr>
      <w:tabs>
        <w:tab w:val="left" w:pos="8364"/>
      </w:tabs>
      <w:ind w:left="840" w:right="-57" w:hanging="300"/>
    </w:pPr>
    <w:rPr>
      <w:rFonts w:ascii="宋体"/>
      <w:szCs w:val="20"/>
    </w:rPr>
  </w:style>
  <w:style w:type="paragraph" w:customStyle="1" w:styleId="40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40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0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405">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406">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407">
    <w:name w:val="修订1"/>
    <w:qFormat/>
    <w:uiPriority w:val="0"/>
    <w:rPr>
      <w:rFonts w:ascii="Times New Roman" w:hAnsi="Times New Roman" w:eastAsia="宋体" w:cs="Times New Roman"/>
      <w:kern w:val="2"/>
      <w:sz w:val="21"/>
      <w:lang w:val="en-US" w:eastAsia="zh-CN" w:bidi="ar-SA"/>
    </w:rPr>
  </w:style>
  <w:style w:type="paragraph" w:customStyle="1" w:styleId="408">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9">
    <w:name w:val="小标题一"/>
    <w:basedOn w:val="1"/>
    <w:next w:val="1"/>
    <w:qFormat/>
    <w:uiPriority w:val="0"/>
    <w:pPr>
      <w:tabs>
        <w:tab w:val="left" w:pos="1080"/>
      </w:tabs>
      <w:spacing w:line="500" w:lineRule="exact"/>
      <w:ind w:left="1080" w:hanging="1080"/>
    </w:pPr>
    <w:rPr>
      <w:sz w:val="28"/>
      <w:szCs w:val="20"/>
    </w:rPr>
  </w:style>
  <w:style w:type="paragraph" w:customStyle="1" w:styleId="410">
    <w:name w:val="一"/>
    <w:basedOn w:val="4"/>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411">
    <w:name w:val="批注框文本1"/>
    <w:basedOn w:val="1"/>
    <w:qFormat/>
    <w:uiPriority w:val="0"/>
    <w:rPr>
      <w:sz w:val="16"/>
      <w:szCs w:val="16"/>
    </w:rPr>
  </w:style>
  <w:style w:type="paragraph" w:customStyle="1" w:styleId="412">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13">
    <w:name w:val="xl87"/>
    <w:basedOn w:val="1"/>
    <w:next w:val="320"/>
    <w:qFormat/>
    <w:uiPriority w:val="0"/>
    <w:pPr>
      <w:widowControl/>
      <w:shd w:val="clear" w:color="FFFFFF" w:fill="FFFFFF"/>
      <w:spacing w:before="280" w:after="280"/>
      <w:jc w:val="right"/>
    </w:pPr>
    <w:rPr>
      <w:rFonts w:ascii="宋体"/>
      <w:kern w:val="0"/>
      <w:sz w:val="24"/>
    </w:rPr>
  </w:style>
  <w:style w:type="paragraph" w:customStyle="1" w:styleId="414">
    <w:name w:val="正文文本 21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6">
    <w:name w:val="Char Char10 Char Char Char Char"/>
    <w:basedOn w:val="1"/>
    <w:next w:val="413"/>
    <w:qFormat/>
    <w:uiPriority w:val="0"/>
    <w:rPr>
      <w:rFonts w:ascii="Calibri" w:hAnsi="Calibri"/>
      <w:kern w:val="0"/>
    </w:rPr>
  </w:style>
  <w:style w:type="paragraph" w:customStyle="1" w:styleId="417">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418">
    <w:name w:val="xl24"/>
    <w:basedOn w:val="1"/>
    <w:qFormat/>
    <w:uiPriority w:val="0"/>
    <w:pPr>
      <w:widowControl/>
      <w:spacing w:before="100" w:beforeAutospacing="1" w:after="100" w:afterAutospacing="1"/>
      <w:jc w:val="left"/>
    </w:pPr>
    <w:rPr>
      <w:kern w:val="0"/>
      <w:sz w:val="24"/>
    </w:rPr>
  </w:style>
  <w:style w:type="paragraph" w:customStyle="1" w:styleId="419">
    <w:name w:val="Char Char Char Char"/>
    <w:basedOn w:val="191"/>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420">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21">
    <w:name w:val="五级条标题"/>
    <w:basedOn w:val="254"/>
    <w:next w:val="1"/>
    <w:qFormat/>
    <w:uiPriority w:val="0"/>
    <w:pPr>
      <w:outlineLvl w:val="6"/>
    </w:pPr>
  </w:style>
  <w:style w:type="paragraph" w:customStyle="1" w:styleId="422">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42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424">
    <w:name w:val="p0"/>
    <w:basedOn w:val="1"/>
    <w:qFormat/>
    <w:uiPriority w:val="0"/>
    <w:pPr>
      <w:widowControl/>
    </w:pPr>
    <w:rPr>
      <w:kern w:val="0"/>
      <w:szCs w:val="21"/>
    </w:rPr>
  </w:style>
  <w:style w:type="paragraph" w:customStyle="1" w:styleId="425">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426">
    <w:name w:val="样式 标题 3 + (中文) 黑体 小四 非加粗 段前: 7.8 磅 段后: 0 磅 行距: 固定值 20 磅"/>
    <w:basedOn w:val="6"/>
    <w:qFormat/>
    <w:uiPriority w:val="0"/>
    <w:pPr>
      <w:spacing w:line="400" w:lineRule="exact"/>
      <w:ind w:firstLine="200" w:firstLineChars="200"/>
    </w:pPr>
    <w:rPr>
      <w:rFonts w:eastAsia="黑体" w:cs="宋体"/>
      <w:b w:val="0"/>
      <w:szCs w:val="20"/>
    </w:rPr>
  </w:style>
  <w:style w:type="paragraph" w:customStyle="1" w:styleId="427">
    <w:name w:val="级别6"/>
    <w:basedOn w:val="370"/>
    <w:qFormat/>
    <w:uiPriority w:val="0"/>
    <w:pPr>
      <w:tabs>
        <w:tab w:val="left" w:pos="405"/>
      </w:tabs>
      <w:ind w:left="409" w:hanging="23"/>
      <w:outlineLvl w:val="5"/>
    </w:pPr>
  </w:style>
  <w:style w:type="paragraph" w:customStyle="1" w:styleId="428">
    <w:name w:val="样式 标题2 + 字距调整8 磅"/>
    <w:qFormat/>
    <w:uiPriority w:val="0"/>
    <w:rPr>
      <w:rFonts w:ascii="Times New Roman" w:hAnsi="Times New Roman" w:eastAsia="宋体" w:cs="Times New Roman"/>
      <w:kern w:val="16"/>
      <w:lang w:val="en-US" w:eastAsia="zh-CN" w:bidi="ar-SA"/>
    </w:rPr>
  </w:style>
  <w:style w:type="paragraph" w:customStyle="1" w:styleId="429">
    <w:name w:val="章节标题 QD3"/>
    <w:basedOn w:val="188"/>
    <w:next w:val="188"/>
    <w:qFormat/>
    <w:uiPriority w:val="0"/>
    <w:pPr>
      <w:ind w:firstLine="0" w:firstLineChars="0"/>
      <w:jc w:val="center"/>
    </w:pPr>
    <w:rPr>
      <w:rFonts w:eastAsia="黑体"/>
      <w:b/>
      <w:sz w:val="44"/>
      <w:szCs w:val="84"/>
    </w:rPr>
  </w:style>
  <w:style w:type="paragraph" w:customStyle="1" w:styleId="430">
    <w:name w:val="样式 目录 1"/>
    <w:basedOn w:val="41"/>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431">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32">
    <w:name w:val="表格内文字"/>
    <w:basedOn w:val="1"/>
    <w:qFormat/>
    <w:uiPriority w:val="0"/>
    <w:pPr>
      <w:widowControl/>
      <w:tabs>
        <w:tab w:val="left" w:pos="780"/>
      </w:tabs>
      <w:spacing w:line="360" w:lineRule="auto"/>
      <w:ind w:left="768" w:hanging="360"/>
    </w:pPr>
    <w:rPr>
      <w:sz w:val="18"/>
      <w:szCs w:val="20"/>
    </w:rPr>
  </w:style>
  <w:style w:type="paragraph" w:customStyle="1" w:styleId="4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34">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35">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436">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7">
    <w:name w:val="文档正文"/>
    <w:basedOn w:val="1"/>
    <w:qFormat/>
    <w:uiPriority w:val="0"/>
    <w:pPr>
      <w:spacing w:line="360" w:lineRule="auto"/>
      <w:ind w:firstLine="200" w:firstLineChars="200"/>
    </w:pPr>
    <w:rPr>
      <w:rFonts w:ascii="宋体" w:hAnsi="宋体"/>
      <w:sz w:val="24"/>
    </w:rPr>
  </w:style>
  <w:style w:type="paragraph" w:customStyle="1" w:styleId="438">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4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4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441">
    <w:name w:val="1"/>
    <w:basedOn w:val="1"/>
    <w:next w:val="202"/>
    <w:qFormat/>
    <w:uiPriority w:val="0"/>
    <w:pPr>
      <w:spacing w:after="120" w:line="480" w:lineRule="auto"/>
      <w:ind w:firstLine="200" w:firstLineChars="200"/>
      <w:jc w:val="left"/>
    </w:pPr>
    <w:rPr>
      <w:color w:val="7030A0"/>
    </w:rPr>
  </w:style>
  <w:style w:type="paragraph" w:customStyle="1" w:styleId="442">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443">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44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45">
    <w:name w:val="样式 标题 4 + 加粗"/>
    <w:basedOn w:val="7"/>
    <w:qFormat/>
    <w:uiPriority w:val="0"/>
    <w:pPr>
      <w:spacing w:before="120" w:after="0" w:line="240" w:lineRule="auto"/>
      <w:jc w:val="left"/>
    </w:pPr>
    <w:rPr>
      <w:rFonts w:ascii="Times New Roman" w:hAnsi="Times New Roman"/>
      <w:b w:val="0"/>
      <w:color w:val="00B050"/>
      <w:sz w:val="24"/>
    </w:rPr>
  </w:style>
  <w:style w:type="paragraph" w:customStyle="1" w:styleId="446">
    <w:name w:val="Char Char Char Char Char Char1 Char Char Char Char"/>
    <w:basedOn w:val="1"/>
    <w:qFormat/>
    <w:uiPriority w:val="0"/>
    <w:rPr>
      <w:rFonts w:ascii="仿宋_GB2312" w:eastAsia="仿宋_GB2312"/>
      <w:b/>
      <w:sz w:val="32"/>
      <w:szCs w:val="32"/>
    </w:rPr>
  </w:style>
  <w:style w:type="paragraph" w:customStyle="1" w:styleId="447">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448">
    <w:name w:val="Sub title 1"/>
    <w:basedOn w:val="351"/>
    <w:qFormat/>
    <w:uiPriority w:val="0"/>
    <w:pPr>
      <w:tabs>
        <w:tab w:val="left" w:pos="1304"/>
      </w:tabs>
      <w:ind w:left="1304" w:hanging="170"/>
    </w:pPr>
    <w:rPr>
      <w:color w:val="auto"/>
    </w:rPr>
  </w:style>
  <w:style w:type="paragraph" w:customStyle="1" w:styleId="449">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45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451">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52">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53">
    <w:name w:val="八级正文格式"/>
    <w:basedOn w:val="113"/>
    <w:qFormat/>
    <w:uiPriority w:val="0"/>
    <w:pPr>
      <w:spacing w:after="120"/>
      <w:ind w:firstLine="0" w:firstLineChars="0"/>
    </w:pPr>
  </w:style>
  <w:style w:type="paragraph" w:customStyle="1" w:styleId="454">
    <w:name w:val="文档结构图1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55">
    <w:name w:val="三点段 Char"/>
    <w:basedOn w:val="1"/>
    <w:qFormat/>
    <w:uiPriority w:val="0"/>
    <w:pPr>
      <w:spacing w:line="360" w:lineRule="auto"/>
      <w:ind w:left="1200" w:hanging="1200" w:hangingChars="500"/>
    </w:pPr>
    <w:rPr>
      <w:rFonts w:hint="eastAsia" w:ascii="宋体"/>
      <w:sz w:val="24"/>
    </w:rPr>
  </w:style>
  <w:style w:type="paragraph" w:customStyle="1" w:styleId="456">
    <w:name w:val="引文目录标题1"/>
    <w:basedOn w:val="1"/>
    <w:next w:val="1"/>
    <w:qFormat/>
    <w:uiPriority w:val="0"/>
    <w:pPr>
      <w:spacing w:before="120"/>
    </w:pPr>
    <w:rPr>
      <w:rFonts w:ascii="Arial" w:hAnsi="Arial" w:cs="Arial"/>
      <w:sz w:val="24"/>
    </w:rPr>
  </w:style>
  <w:style w:type="paragraph" w:customStyle="1" w:styleId="457">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458">
    <w:name w:val="1.1"/>
    <w:basedOn w:val="5"/>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4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460">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461">
    <w:name w:val="级别1"/>
    <w:basedOn w:val="4"/>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462">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63">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46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65">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466">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67">
    <w:name w:val="正缩2字符"/>
    <w:basedOn w:val="1"/>
    <w:qFormat/>
    <w:uiPriority w:val="0"/>
    <w:pPr>
      <w:spacing w:line="480" w:lineRule="exact"/>
      <w:ind w:firstLine="200" w:firstLineChars="200"/>
    </w:pPr>
    <w:rPr>
      <w:sz w:val="24"/>
    </w:rPr>
  </w:style>
  <w:style w:type="paragraph" w:customStyle="1" w:styleId="46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469">
    <w:name w:val="Report Level 2"/>
    <w:basedOn w:val="233"/>
    <w:next w:val="234"/>
    <w:qFormat/>
    <w:uiPriority w:val="0"/>
    <w:pPr>
      <w:tabs>
        <w:tab w:val="left" w:pos="1500"/>
        <w:tab w:val="clear" w:pos="1080"/>
      </w:tabs>
      <w:ind w:left="1500"/>
      <w:outlineLvl w:val="1"/>
    </w:pPr>
    <w:rPr>
      <w:caps w:val="0"/>
    </w:rPr>
  </w:style>
  <w:style w:type="paragraph" w:customStyle="1" w:styleId="470">
    <w:name w:val="默认段落字体 Para Char Char Char Char Char Char Char"/>
    <w:basedOn w:val="1"/>
    <w:qFormat/>
    <w:uiPriority w:val="0"/>
    <w:pPr>
      <w:tabs>
        <w:tab w:val="left" w:pos="4665"/>
        <w:tab w:val="left" w:pos="8970"/>
      </w:tabs>
      <w:ind w:firstLine="400"/>
    </w:pPr>
    <w:rPr>
      <w:szCs w:val="20"/>
    </w:rPr>
  </w:style>
  <w:style w:type="paragraph" w:customStyle="1" w:styleId="471">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472">
    <w:name w:val="正文2"/>
    <w:basedOn w:val="25"/>
    <w:qFormat/>
    <w:uiPriority w:val="0"/>
    <w:pPr>
      <w:ind w:firstLine="480" w:firstLineChars="200"/>
      <w:jc w:val="left"/>
    </w:pPr>
    <w:rPr>
      <w:rFonts w:ascii="宋体"/>
      <w:color w:val="7030A0"/>
    </w:rPr>
  </w:style>
  <w:style w:type="paragraph" w:customStyle="1" w:styleId="473">
    <w:name w:val="附图 BJ8"/>
    <w:basedOn w:val="1"/>
    <w:qFormat/>
    <w:uiPriority w:val="0"/>
    <w:pPr>
      <w:adjustRightInd w:val="0"/>
      <w:snapToGrid w:val="0"/>
      <w:ind w:firstLine="200" w:firstLineChars="200"/>
      <w:jc w:val="center"/>
    </w:pPr>
    <w:rPr>
      <w:rFonts w:hAnsi="Arial"/>
      <w:color w:val="7030A0"/>
      <w:kern w:val="0"/>
    </w:rPr>
  </w:style>
  <w:style w:type="paragraph" w:customStyle="1" w:styleId="474">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475">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476">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477">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478">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79">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480">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8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table" w:customStyle="1" w:styleId="482">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83">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character" w:customStyle="1" w:styleId="48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10106</Words>
  <Characters>11368</Characters>
  <Lines>199</Lines>
  <Paragraphs>56</Paragraphs>
  <TotalTime>110</TotalTime>
  <ScaleCrop>false</ScaleCrop>
  <LinksUpToDate>false</LinksUpToDate>
  <CharactersWithSpaces>11741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2022-10-16T12:05:00Z</dcterms:created>
  <dc:creator>wmq</dc:creator>
  <cp:lastModifiedBy>阳@野</cp:lastModifiedBy>
  <cp:lastPrinted>2022-06-27T01:18:00Z</cp:lastPrinted>
  <dcterms:modified xsi:type="dcterms:W3CDTF">2024-11-05T11:36:52Z</dcterms:modified>
  <dc:title>适用一般货物采购/非建筑设备货物采购含安装等伴随服务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05EE406A7690413B87C48186F6D77F4C_13</vt:lpwstr>
  </property>
</Properties>
</file>