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jc w:val="center"/>
        <w:rPr>
          <w:rFonts w:ascii="微软雅黑" w:hAnsi="微软雅黑" w:eastAsia="微软雅黑" w:cs="微软雅黑"/>
          <w:b/>
          <w:bCs/>
          <w:sz w:val="52"/>
          <w:szCs w:val="52"/>
          <w:highlight w:val="none"/>
        </w:rPr>
      </w:pPr>
      <w:r>
        <w:rPr>
          <w:rFonts w:hint="eastAsia" w:ascii="微软雅黑" w:hAnsi="微软雅黑" w:eastAsia="微软雅黑" w:cs="微软雅黑"/>
          <w:b/>
          <w:bCs/>
          <w:sz w:val="52"/>
          <w:szCs w:val="52"/>
          <w:highlight w:val="none"/>
        </w:rPr>
        <w:t>荥阳市卫生健康委员会荥阳市紧密型医共体信息化建设项目</w:t>
      </w:r>
    </w:p>
    <w:p>
      <w:pPr>
        <w:pStyle w:val="51"/>
        <w:rPr>
          <w:highlight w:val="none"/>
        </w:rPr>
      </w:pPr>
    </w:p>
    <w:p>
      <w:pPr>
        <w:pStyle w:val="51"/>
        <w:rPr>
          <w:highlight w:val="none"/>
        </w:rPr>
      </w:pPr>
    </w:p>
    <w:p>
      <w:pPr>
        <w:pStyle w:val="51"/>
        <w:rPr>
          <w:highlight w:val="none"/>
        </w:rPr>
      </w:pPr>
    </w:p>
    <w:p>
      <w:pPr>
        <w:spacing w:line="360" w:lineRule="auto"/>
        <w:jc w:val="center"/>
        <w:rPr>
          <w:rFonts w:ascii="宋体" w:hAnsi="宋体" w:cs="宋体"/>
          <w:b/>
          <w:bCs/>
          <w:spacing w:val="20"/>
          <w:sz w:val="96"/>
          <w:szCs w:val="96"/>
          <w:highlight w:val="none"/>
        </w:rPr>
      </w:pPr>
      <w:r>
        <w:rPr>
          <w:rFonts w:hint="eastAsia" w:ascii="宋体" w:hAnsi="宋体" w:cs="宋体"/>
          <w:b/>
          <w:bCs/>
          <w:spacing w:val="20"/>
          <w:sz w:val="96"/>
          <w:szCs w:val="96"/>
          <w:highlight w:val="none"/>
        </w:rPr>
        <w:t>招 标 文 件</w:t>
      </w:r>
    </w:p>
    <w:p>
      <w:pPr>
        <w:pStyle w:val="51"/>
        <w:rPr>
          <w:highlight w:val="none"/>
        </w:rPr>
      </w:pPr>
    </w:p>
    <w:p>
      <w:pPr>
        <w:spacing w:line="360" w:lineRule="auto"/>
        <w:jc w:val="center"/>
        <w:rPr>
          <w:rFonts w:ascii="宋体" w:hAnsi="宋体" w:cs="宋体"/>
          <w:bCs/>
          <w:sz w:val="32"/>
          <w:szCs w:val="32"/>
          <w:highlight w:val="none"/>
        </w:rPr>
      </w:pPr>
      <w:r>
        <w:rPr>
          <w:rFonts w:hint="eastAsia"/>
          <w:b/>
          <w:bCs/>
          <w:sz w:val="24"/>
          <w:highlight w:val="none"/>
        </w:rPr>
        <w:t xml:space="preserve"> </w:t>
      </w:r>
      <w:r>
        <w:rPr>
          <w:rFonts w:hint="eastAsia"/>
          <w:b/>
          <w:bCs/>
          <w:sz w:val="24"/>
          <w:highlight w:val="none"/>
          <w:lang w:val="en-US" w:eastAsia="zh-CN"/>
        </w:rPr>
        <w:t xml:space="preserve">       </w:t>
      </w:r>
      <w:r>
        <w:rPr>
          <w:rFonts w:hint="eastAsia"/>
          <w:b/>
          <w:bCs/>
          <w:sz w:val="24"/>
          <w:highlight w:val="none"/>
        </w:rPr>
        <w:t>项目编号：荥财公开-2024-18</w:t>
      </w:r>
    </w:p>
    <w:p>
      <w:pPr>
        <w:spacing w:line="360" w:lineRule="auto"/>
        <w:ind w:firstLine="3886" w:firstLineChars="1300"/>
        <w:rPr>
          <w:rFonts w:ascii="宋体" w:hAnsi="宋体" w:cs="宋体"/>
          <w:b/>
          <w:bCs/>
          <w:spacing w:val="29"/>
          <w:sz w:val="24"/>
          <w:highlight w:val="none"/>
        </w:rPr>
      </w:pPr>
      <w:r>
        <w:rPr>
          <w:rFonts w:hint="eastAsia" w:ascii="宋体" w:hAnsi="宋体" w:cs="宋体"/>
          <w:b/>
          <w:bCs/>
          <w:spacing w:val="29"/>
          <w:sz w:val="24"/>
          <w:highlight w:val="none"/>
        </w:rPr>
        <w:t>标</w:t>
      </w:r>
      <w:r>
        <w:rPr>
          <w:rFonts w:hint="eastAsia" w:ascii="宋体" w:hAnsi="宋体" w:cs="宋体"/>
          <w:b/>
          <w:bCs/>
          <w:spacing w:val="29"/>
          <w:sz w:val="24"/>
          <w:highlight w:val="none"/>
          <w:lang w:val="en-US" w:eastAsia="zh-CN"/>
        </w:rPr>
        <w:t xml:space="preserve"> </w:t>
      </w:r>
      <w:r>
        <w:rPr>
          <w:rFonts w:hint="eastAsia" w:ascii="宋体" w:hAnsi="宋体" w:cs="宋体"/>
          <w:b/>
          <w:bCs/>
          <w:spacing w:val="29"/>
          <w:sz w:val="24"/>
          <w:highlight w:val="none"/>
        </w:rPr>
        <w:t>段：一标段</w:t>
      </w:r>
    </w:p>
    <w:p>
      <w:pPr>
        <w:pStyle w:val="19"/>
        <w:jc w:val="center"/>
        <w:rPr>
          <w:b/>
          <w:bCs/>
          <w:sz w:val="24"/>
          <w:highlight w:val="none"/>
        </w:rPr>
      </w:pPr>
      <w:r>
        <w:rPr>
          <w:rFonts w:hint="eastAsia"/>
          <w:b/>
          <w:bCs/>
          <w:sz w:val="24"/>
          <w:highlight w:val="none"/>
        </w:rPr>
        <w:t xml:space="preserve"> </w:t>
      </w:r>
    </w:p>
    <w:p>
      <w:pPr>
        <w:spacing w:line="360" w:lineRule="auto"/>
        <w:rPr>
          <w:rFonts w:ascii="宋体" w:hAnsi="宋体" w:cs="宋体"/>
          <w:b/>
          <w:bCs/>
          <w:spacing w:val="29"/>
          <w:sz w:val="32"/>
          <w:szCs w:val="32"/>
          <w:highlight w:val="none"/>
        </w:rPr>
      </w:pPr>
      <w:r>
        <w:rPr>
          <w:rFonts w:hint="eastAsia" w:ascii="宋体" w:hAnsi="宋体" w:cs="宋体"/>
          <w:w w:val="125"/>
          <w:sz w:val="28"/>
          <w:highlight w:val="none"/>
        </w:rPr>
        <w:drawing>
          <wp:anchor distT="0" distB="0" distL="114300" distR="114300" simplePos="0" relativeHeight="251659264" behindDoc="0" locked="0" layoutInCell="1" allowOverlap="1">
            <wp:simplePos x="0" y="0"/>
            <wp:positionH relativeFrom="column">
              <wp:posOffset>1542415</wp:posOffset>
            </wp:positionH>
            <wp:positionV relativeFrom="paragraph">
              <wp:posOffset>33020</wp:posOffset>
            </wp:positionV>
            <wp:extent cx="2814320" cy="1933575"/>
            <wp:effectExtent l="0" t="0" r="5080" b="9525"/>
            <wp:wrapSquare wrapText="bothSides"/>
            <wp:docPr id="1"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标志"/>
                    <pic:cNvPicPr>
                      <a:picLocks noChangeAspect="1"/>
                    </pic:cNvPicPr>
                  </pic:nvPicPr>
                  <pic:blipFill>
                    <a:blip r:embed="rId18"/>
                    <a:stretch>
                      <a:fillRect/>
                    </a:stretch>
                  </pic:blipFill>
                  <pic:spPr>
                    <a:xfrm>
                      <a:off x="0" y="0"/>
                      <a:ext cx="2814320" cy="1933575"/>
                    </a:xfrm>
                    <a:prstGeom prst="rect">
                      <a:avLst/>
                    </a:prstGeom>
                    <a:noFill/>
                    <a:ln>
                      <a:noFill/>
                    </a:ln>
                  </pic:spPr>
                </pic:pic>
              </a:graphicData>
            </a:graphic>
          </wp:anchor>
        </w:drawing>
      </w:r>
    </w:p>
    <w:p>
      <w:pPr>
        <w:spacing w:line="360" w:lineRule="auto"/>
        <w:ind w:left="2100" w:leftChars="1000"/>
        <w:rPr>
          <w:rFonts w:ascii="宋体" w:hAnsi="宋体" w:cs="宋体"/>
          <w:b/>
          <w:bCs/>
          <w:spacing w:val="29"/>
          <w:sz w:val="32"/>
          <w:szCs w:val="32"/>
          <w:highlight w:val="none"/>
        </w:rPr>
      </w:pP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w:t>
      </w:r>
    </w:p>
    <w:p>
      <w:pPr>
        <w:pStyle w:val="2"/>
        <w:rPr>
          <w:highlight w:val="none"/>
        </w:rPr>
      </w:pPr>
    </w:p>
    <w:p>
      <w:pPr>
        <w:snapToGrid w:val="0"/>
        <w:spacing w:line="360" w:lineRule="auto"/>
        <w:rPr>
          <w:rFonts w:ascii="宋体" w:hAnsi="宋体" w:cs="宋体"/>
          <w:b/>
          <w:bCs/>
          <w:sz w:val="32"/>
          <w:szCs w:val="32"/>
          <w:highlight w:val="none"/>
        </w:rPr>
      </w:pPr>
    </w:p>
    <w:p>
      <w:pPr>
        <w:snapToGrid w:val="0"/>
        <w:spacing w:line="360" w:lineRule="auto"/>
        <w:ind w:firstLine="1928" w:firstLineChars="600"/>
        <w:rPr>
          <w:rFonts w:ascii="宋体" w:hAnsi="宋体" w:cs="宋体"/>
          <w:b/>
          <w:bCs/>
          <w:sz w:val="32"/>
          <w:szCs w:val="32"/>
          <w:highlight w:val="none"/>
        </w:rPr>
      </w:pPr>
      <w:r>
        <w:rPr>
          <w:rFonts w:hint="eastAsia" w:ascii="宋体" w:hAnsi="宋体" w:cs="宋体"/>
          <w:b/>
          <w:bCs/>
          <w:sz w:val="32"/>
          <w:szCs w:val="32"/>
          <w:highlight w:val="none"/>
        </w:rPr>
        <w:t xml:space="preserve">采 购 人：荥阳市卫生健康委员会 </w:t>
      </w:r>
    </w:p>
    <w:p>
      <w:pPr>
        <w:snapToGrid w:val="0"/>
        <w:spacing w:line="360" w:lineRule="auto"/>
        <w:ind w:firstLine="1928" w:firstLineChars="600"/>
        <w:rPr>
          <w:rFonts w:ascii="宋体" w:hAnsi="宋体" w:cs="宋体"/>
          <w:b/>
          <w:bCs/>
          <w:sz w:val="32"/>
          <w:szCs w:val="32"/>
          <w:highlight w:val="none"/>
        </w:rPr>
      </w:pPr>
      <w:r>
        <w:rPr>
          <w:rFonts w:hint="eastAsia" w:ascii="宋体" w:hAnsi="宋体" w:cs="宋体"/>
          <w:b/>
          <w:bCs/>
          <w:sz w:val="32"/>
          <w:szCs w:val="32"/>
          <w:highlight w:val="none"/>
        </w:rPr>
        <w:t>采购代理机构：中弘天合工程咨询有限公司</w:t>
      </w:r>
    </w:p>
    <w:p>
      <w:pPr>
        <w:snapToGrid w:val="0"/>
        <w:spacing w:line="360" w:lineRule="auto"/>
        <w:ind w:firstLine="1928" w:firstLineChars="600"/>
        <w:rPr>
          <w:rFonts w:ascii="宋体" w:hAnsi="宋体" w:cs="宋体"/>
          <w:b/>
          <w:bCs/>
          <w:sz w:val="32"/>
          <w:szCs w:val="32"/>
          <w:highlight w:val="none"/>
        </w:rPr>
      </w:pPr>
      <w:r>
        <w:rPr>
          <w:rFonts w:hint="eastAsia" w:ascii="宋体" w:hAnsi="宋体" w:cs="宋体"/>
          <w:b/>
          <w:bCs/>
          <w:sz w:val="32"/>
          <w:szCs w:val="32"/>
          <w:highlight w:val="none"/>
        </w:rPr>
        <w:t>编 制 日 期：2024年</w:t>
      </w:r>
      <w:r>
        <w:rPr>
          <w:rFonts w:hint="eastAsia" w:ascii="宋体" w:hAnsi="宋体" w:cs="宋体"/>
          <w:b/>
          <w:bCs/>
          <w:sz w:val="32"/>
          <w:szCs w:val="32"/>
          <w:highlight w:val="none"/>
          <w:lang w:val="en-US" w:eastAsia="zh-CN"/>
        </w:rPr>
        <w:t>6</w:t>
      </w:r>
      <w:r>
        <w:rPr>
          <w:rFonts w:hint="eastAsia" w:ascii="宋体" w:hAnsi="宋体" w:cs="宋体"/>
          <w:b/>
          <w:bCs/>
          <w:sz w:val="32"/>
          <w:szCs w:val="32"/>
          <w:highlight w:val="none"/>
        </w:rPr>
        <w:t>月</w:t>
      </w:r>
    </w:p>
    <w:p>
      <w:pPr>
        <w:spacing w:line="360" w:lineRule="auto"/>
        <w:ind w:firstLine="3145" w:firstLineChars="979"/>
        <w:rPr>
          <w:rFonts w:ascii="宋体" w:hAnsi="宋体" w:cs="宋体"/>
          <w:b/>
          <w:bCs/>
          <w:sz w:val="32"/>
          <w:szCs w:val="32"/>
          <w:highlight w:val="none"/>
        </w:rPr>
        <w:sectPr>
          <w:headerReference r:id="rId4" w:type="first"/>
          <w:headerReference r:id="rId3" w:type="default"/>
          <w:footerReference r:id="rId5" w:type="default"/>
          <w:footerReference r:id="rId6" w:type="even"/>
          <w:pgSz w:w="11906" w:h="16838"/>
          <w:pgMar w:top="1440" w:right="1418" w:bottom="1440" w:left="1134" w:header="851" w:footer="992" w:gutter="0"/>
          <w:pgNumType w:start="0"/>
          <w:cols w:space="720" w:num="1"/>
          <w:titlePg/>
          <w:docGrid w:type="lines" w:linePitch="312" w:charSpace="0"/>
        </w:sect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目  录</w:t>
      </w:r>
    </w:p>
    <w:p>
      <w:pPr>
        <w:pStyle w:val="23"/>
        <w:tabs>
          <w:tab w:val="right" w:leader="dot" w:pos="9354"/>
        </w:tabs>
        <w:rPr>
          <w:highlight w:val="none"/>
        </w:rPr>
      </w:pPr>
      <w:bookmarkStart w:id="0" w:name="_Toc193440911"/>
      <w:r>
        <w:rPr>
          <w:rFonts w:hint="eastAsia" w:ascii="宋体" w:hAnsi="宋体" w:cs="宋体"/>
          <w:b/>
          <w:bCs/>
          <w:spacing w:val="138"/>
          <w:kern w:val="0"/>
          <w:sz w:val="32"/>
          <w:szCs w:val="32"/>
          <w:highlight w:val="none"/>
        </w:rPr>
        <w:fldChar w:fldCharType="begin"/>
      </w:r>
      <w:r>
        <w:rPr>
          <w:rFonts w:hint="eastAsia" w:ascii="宋体" w:hAnsi="宋体" w:cs="宋体"/>
          <w:b/>
          <w:bCs/>
          <w:spacing w:val="138"/>
          <w:kern w:val="0"/>
          <w:sz w:val="32"/>
          <w:szCs w:val="32"/>
          <w:highlight w:val="none"/>
        </w:rPr>
        <w:instrText xml:space="preserve"> TOC \o "1-4" \h \z \u </w:instrText>
      </w:r>
      <w:r>
        <w:rPr>
          <w:rFonts w:hint="eastAsia" w:ascii="宋体" w:hAnsi="宋体" w:cs="宋体"/>
          <w:b/>
          <w:bCs/>
          <w:spacing w:val="138"/>
          <w:kern w:val="0"/>
          <w:sz w:val="32"/>
          <w:szCs w:val="32"/>
          <w:highlight w:val="none"/>
        </w:rPr>
        <w:fldChar w:fldCharType="separate"/>
      </w:r>
      <w:r>
        <w:rPr>
          <w:highlight w:val="none"/>
        </w:rPr>
        <w:fldChar w:fldCharType="begin"/>
      </w:r>
      <w:r>
        <w:rPr>
          <w:highlight w:val="none"/>
        </w:rPr>
        <w:instrText xml:space="preserve"> HYPERLINK \l "_Toc24017" </w:instrText>
      </w:r>
      <w:r>
        <w:rPr>
          <w:highlight w:val="none"/>
        </w:rPr>
        <w:fldChar w:fldCharType="separate"/>
      </w:r>
      <w:r>
        <w:rPr>
          <w:rFonts w:hint="eastAsia" w:asciiTheme="majorEastAsia" w:hAnsiTheme="majorEastAsia" w:eastAsiaTheme="majorEastAsia" w:cstheme="majorEastAsia"/>
          <w:kern w:val="0"/>
          <w:szCs w:val="32"/>
          <w:highlight w:val="none"/>
        </w:rPr>
        <w:t>第一章  招标公告</w:t>
      </w:r>
      <w:r>
        <w:rPr>
          <w:highlight w:val="none"/>
        </w:rPr>
        <w:tab/>
      </w:r>
      <w:r>
        <w:rPr>
          <w:highlight w:val="none"/>
        </w:rPr>
        <w:fldChar w:fldCharType="begin"/>
      </w:r>
      <w:r>
        <w:rPr>
          <w:highlight w:val="none"/>
        </w:rPr>
        <w:instrText xml:space="preserve"> PAGEREF _Toc24017 \h </w:instrText>
      </w:r>
      <w:r>
        <w:rPr>
          <w:highlight w:val="none"/>
        </w:rPr>
        <w:fldChar w:fldCharType="separate"/>
      </w:r>
      <w:r>
        <w:rPr>
          <w:highlight w:val="none"/>
        </w:rPr>
        <w:t>3</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"_Toc2100" </w:instrText>
      </w:r>
      <w:r>
        <w:rPr>
          <w:highlight w:val="none"/>
        </w:rPr>
        <w:fldChar w:fldCharType="separate"/>
      </w:r>
      <w:r>
        <w:rPr>
          <w:rFonts w:hint="eastAsia" w:ascii="宋体" w:hAnsi="宋体" w:cs="宋体"/>
          <w:szCs w:val="32"/>
          <w:highlight w:val="none"/>
        </w:rPr>
        <w:t>第二章 投标人须知</w:t>
      </w:r>
      <w:r>
        <w:rPr>
          <w:highlight w:val="none"/>
        </w:rPr>
        <w:tab/>
      </w:r>
      <w:r>
        <w:rPr>
          <w:highlight w:val="none"/>
        </w:rPr>
        <w:fldChar w:fldCharType="begin"/>
      </w:r>
      <w:r>
        <w:rPr>
          <w:highlight w:val="none"/>
        </w:rPr>
        <w:instrText xml:space="preserve"> PAGEREF _Toc2100 \h </w:instrText>
      </w:r>
      <w:r>
        <w:rPr>
          <w:highlight w:val="none"/>
        </w:rPr>
        <w:fldChar w:fldCharType="separate"/>
      </w:r>
      <w:r>
        <w:rPr>
          <w:highlight w:val="none"/>
        </w:rPr>
        <w:t>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"_Toc19318" </w:instrText>
      </w:r>
      <w:r>
        <w:rPr>
          <w:highlight w:val="none"/>
        </w:rPr>
        <w:fldChar w:fldCharType="separate"/>
      </w:r>
      <w:r>
        <w:rPr>
          <w:rFonts w:hint="eastAsia" w:ascii="宋体" w:hAnsi="宋体" w:cs="宋体"/>
          <w:szCs w:val="21"/>
          <w:highlight w:val="none"/>
        </w:rPr>
        <w:t>1.总则</w:t>
      </w:r>
      <w:r>
        <w:rPr>
          <w:highlight w:val="none"/>
        </w:rPr>
        <w:tab/>
      </w:r>
      <w:r>
        <w:rPr>
          <w:highlight w:val="none"/>
        </w:rPr>
        <w:fldChar w:fldCharType="begin"/>
      </w:r>
      <w:r>
        <w:rPr>
          <w:highlight w:val="none"/>
        </w:rPr>
        <w:instrText xml:space="preserve"> PAGEREF _Toc19318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"_Toc31905" </w:instrText>
      </w:r>
      <w:r>
        <w:rPr>
          <w:highlight w:val="none"/>
        </w:rPr>
        <w:fldChar w:fldCharType="separate"/>
      </w:r>
      <w:r>
        <w:rPr>
          <w:rFonts w:hint="eastAsia" w:ascii="宋体" w:hAnsi="宋体" w:cs="宋体"/>
          <w:szCs w:val="21"/>
          <w:highlight w:val="none"/>
        </w:rPr>
        <w:t>1.1 项目概况</w:t>
      </w:r>
      <w:r>
        <w:rPr>
          <w:highlight w:val="none"/>
        </w:rPr>
        <w:tab/>
      </w:r>
      <w:r>
        <w:rPr>
          <w:highlight w:val="none"/>
        </w:rPr>
        <w:fldChar w:fldCharType="begin"/>
      </w:r>
      <w:r>
        <w:rPr>
          <w:highlight w:val="none"/>
        </w:rPr>
        <w:instrText xml:space="preserve"> PAGEREF _Toc31905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"_Toc29120" </w:instrText>
      </w:r>
      <w:r>
        <w:rPr>
          <w:highlight w:val="none"/>
        </w:rPr>
        <w:fldChar w:fldCharType="separate"/>
      </w:r>
      <w:r>
        <w:rPr>
          <w:rFonts w:hint="eastAsia" w:ascii="宋体" w:hAnsi="宋体" w:cs="宋体"/>
          <w:szCs w:val="21"/>
          <w:highlight w:val="none"/>
        </w:rPr>
        <w:t>1.2 资金来源和落实情况</w:t>
      </w:r>
      <w:r>
        <w:rPr>
          <w:highlight w:val="none"/>
        </w:rPr>
        <w:tab/>
      </w:r>
      <w:r>
        <w:rPr>
          <w:highlight w:val="none"/>
        </w:rPr>
        <w:fldChar w:fldCharType="begin"/>
      </w:r>
      <w:r>
        <w:rPr>
          <w:highlight w:val="none"/>
        </w:rPr>
        <w:instrText xml:space="preserve"> PAGEREF _Toc29120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"_Toc19504" </w:instrText>
      </w:r>
      <w:r>
        <w:rPr>
          <w:highlight w:val="none"/>
        </w:rPr>
        <w:fldChar w:fldCharType="separate"/>
      </w:r>
      <w:r>
        <w:rPr>
          <w:rFonts w:hint="eastAsia" w:ascii="宋体" w:hAnsi="宋体" w:cs="宋体"/>
          <w:szCs w:val="21"/>
          <w:highlight w:val="none"/>
        </w:rPr>
        <w:t>1.3 招标范围和标段划分、</w:t>
      </w:r>
      <w:r>
        <w:rPr>
          <w:rFonts w:hint="eastAsia" w:ascii="宋体" w:hAnsi="宋体" w:cs="宋体"/>
          <w:szCs w:val="21"/>
          <w:highlight w:val="none"/>
          <w:lang w:eastAsia="zh-CN"/>
        </w:rPr>
        <w:t>计划工期</w:t>
      </w:r>
      <w:r>
        <w:rPr>
          <w:rFonts w:hint="eastAsia" w:ascii="宋体" w:hAnsi="宋体" w:cs="宋体"/>
          <w:szCs w:val="21"/>
          <w:highlight w:val="none"/>
        </w:rPr>
        <w:t>和质量要求</w:t>
      </w:r>
      <w:r>
        <w:rPr>
          <w:highlight w:val="none"/>
        </w:rPr>
        <w:tab/>
      </w:r>
      <w:r>
        <w:rPr>
          <w:highlight w:val="none"/>
        </w:rPr>
        <w:fldChar w:fldCharType="begin"/>
      </w:r>
      <w:r>
        <w:rPr>
          <w:highlight w:val="none"/>
        </w:rPr>
        <w:instrText xml:space="preserve"> PAGEREF _Toc19504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"_Toc21609" </w:instrText>
      </w:r>
      <w:r>
        <w:rPr>
          <w:highlight w:val="none"/>
        </w:rPr>
        <w:fldChar w:fldCharType="separate"/>
      </w:r>
      <w:r>
        <w:rPr>
          <w:rFonts w:hint="eastAsia" w:ascii="宋体" w:hAnsi="宋体" w:cs="宋体"/>
          <w:szCs w:val="21"/>
          <w:highlight w:val="none"/>
        </w:rPr>
        <w:t>1.4 投标人资格要求</w:t>
      </w:r>
      <w:r>
        <w:rPr>
          <w:highlight w:val="none"/>
        </w:rPr>
        <w:tab/>
      </w:r>
      <w:r>
        <w:rPr>
          <w:highlight w:val="none"/>
        </w:rPr>
        <w:fldChar w:fldCharType="begin"/>
      </w:r>
      <w:r>
        <w:rPr>
          <w:highlight w:val="none"/>
        </w:rPr>
        <w:instrText xml:space="preserve"> PAGEREF _Toc21609 \h </w:instrText>
      </w:r>
      <w:r>
        <w:rPr>
          <w:highlight w:val="none"/>
        </w:rPr>
        <w:fldChar w:fldCharType="separate"/>
      </w:r>
      <w:r>
        <w:rPr>
          <w:highlight w:val="none"/>
        </w:rPr>
        <w:t>19</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"_Toc26190" </w:instrText>
      </w:r>
      <w:r>
        <w:rPr>
          <w:highlight w:val="none"/>
        </w:rPr>
        <w:fldChar w:fldCharType="separate"/>
      </w:r>
      <w:r>
        <w:rPr>
          <w:rFonts w:hint="eastAsia" w:ascii="宋体" w:hAnsi="宋体" w:cs="宋体"/>
          <w:szCs w:val="21"/>
          <w:highlight w:val="none"/>
        </w:rPr>
        <w:t>1.5 费用承担</w:t>
      </w:r>
      <w:r>
        <w:rPr>
          <w:highlight w:val="none"/>
        </w:rPr>
        <w:tab/>
      </w:r>
      <w:r>
        <w:rPr>
          <w:highlight w:val="none"/>
        </w:rPr>
        <w:fldChar w:fldCharType="begin"/>
      </w:r>
      <w:r>
        <w:rPr>
          <w:highlight w:val="none"/>
        </w:rPr>
        <w:instrText xml:space="preserve"> PAGEREF _Toc26190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"_Toc7520" </w:instrText>
      </w:r>
      <w:r>
        <w:rPr>
          <w:highlight w:val="none"/>
        </w:rPr>
        <w:fldChar w:fldCharType="separate"/>
      </w:r>
      <w:r>
        <w:rPr>
          <w:rFonts w:hint="eastAsia" w:ascii="宋体" w:hAnsi="宋体" w:cs="宋体"/>
          <w:szCs w:val="21"/>
          <w:highlight w:val="none"/>
        </w:rPr>
        <w:t>1.6 保密</w:t>
      </w:r>
      <w:r>
        <w:rPr>
          <w:highlight w:val="none"/>
        </w:rPr>
        <w:tab/>
      </w:r>
      <w:r>
        <w:rPr>
          <w:highlight w:val="none"/>
        </w:rPr>
        <w:fldChar w:fldCharType="begin"/>
      </w:r>
      <w:r>
        <w:rPr>
          <w:highlight w:val="none"/>
        </w:rPr>
        <w:instrText xml:space="preserve"> PAGEREF _Toc7520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"_Toc11422" </w:instrText>
      </w:r>
      <w:r>
        <w:rPr>
          <w:highlight w:val="none"/>
        </w:rPr>
        <w:fldChar w:fldCharType="separate"/>
      </w:r>
      <w:r>
        <w:rPr>
          <w:rFonts w:hint="eastAsia" w:ascii="宋体" w:hAnsi="宋体" w:cs="宋体"/>
          <w:szCs w:val="21"/>
          <w:highlight w:val="none"/>
        </w:rPr>
        <w:t>1.7 语言文字</w:t>
      </w:r>
      <w:r>
        <w:rPr>
          <w:highlight w:val="none"/>
        </w:rPr>
        <w:tab/>
      </w:r>
      <w:r>
        <w:rPr>
          <w:highlight w:val="none"/>
        </w:rPr>
        <w:fldChar w:fldCharType="begin"/>
      </w:r>
      <w:r>
        <w:rPr>
          <w:highlight w:val="none"/>
        </w:rPr>
        <w:instrText xml:space="preserve"> PAGEREF _Toc11422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"_Toc12665" </w:instrText>
      </w:r>
      <w:r>
        <w:rPr>
          <w:highlight w:val="none"/>
        </w:rPr>
        <w:fldChar w:fldCharType="separate"/>
      </w:r>
      <w:r>
        <w:rPr>
          <w:rFonts w:hint="eastAsia" w:ascii="宋体" w:hAnsi="宋体" w:cs="宋体"/>
          <w:szCs w:val="21"/>
          <w:highlight w:val="none"/>
        </w:rPr>
        <w:t>1.8 计量单位</w:t>
      </w:r>
      <w:r>
        <w:rPr>
          <w:highlight w:val="none"/>
        </w:rPr>
        <w:tab/>
      </w:r>
      <w:r>
        <w:rPr>
          <w:highlight w:val="none"/>
        </w:rPr>
        <w:fldChar w:fldCharType="begin"/>
      </w:r>
      <w:r>
        <w:rPr>
          <w:highlight w:val="none"/>
        </w:rPr>
        <w:instrText xml:space="preserve"> PAGEREF _Toc12665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"_Toc23380" </w:instrText>
      </w:r>
      <w:r>
        <w:rPr>
          <w:highlight w:val="none"/>
        </w:rPr>
        <w:fldChar w:fldCharType="separate"/>
      </w:r>
      <w:r>
        <w:rPr>
          <w:rFonts w:hint="eastAsia" w:ascii="宋体" w:hAnsi="宋体" w:cs="宋体"/>
          <w:szCs w:val="21"/>
          <w:highlight w:val="none"/>
        </w:rPr>
        <w:t>1.9 踏勘现场（不组织）</w:t>
      </w:r>
      <w:r>
        <w:rPr>
          <w:highlight w:val="none"/>
        </w:rPr>
        <w:tab/>
      </w:r>
      <w:r>
        <w:rPr>
          <w:highlight w:val="none"/>
        </w:rPr>
        <w:fldChar w:fldCharType="begin"/>
      </w:r>
      <w:r>
        <w:rPr>
          <w:highlight w:val="none"/>
        </w:rPr>
        <w:instrText xml:space="preserve"> PAGEREF _Toc23380 \h </w:instrText>
      </w:r>
      <w:r>
        <w:rPr>
          <w:highlight w:val="none"/>
        </w:rPr>
        <w:fldChar w:fldCharType="separate"/>
      </w:r>
      <w:r>
        <w:rPr>
          <w:highlight w:val="none"/>
        </w:rPr>
        <w:t>20</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"_Toc1006" </w:instrText>
      </w:r>
      <w:r>
        <w:rPr>
          <w:highlight w:val="none"/>
        </w:rPr>
        <w:fldChar w:fldCharType="separate"/>
      </w:r>
      <w:r>
        <w:rPr>
          <w:rFonts w:hint="eastAsia" w:ascii="宋体" w:hAnsi="宋体" w:cs="宋体"/>
          <w:szCs w:val="21"/>
          <w:highlight w:val="none"/>
        </w:rPr>
        <w:t>1.10 投标预备会</w:t>
      </w:r>
      <w:r>
        <w:rPr>
          <w:highlight w:val="none"/>
        </w:rPr>
        <w:tab/>
      </w:r>
      <w:r>
        <w:rPr>
          <w:highlight w:val="none"/>
        </w:rPr>
        <w:fldChar w:fldCharType="begin"/>
      </w:r>
      <w:r>
        <w:rPr>
          <w:highlight w:val="none"/>
        </w:rPr>
        <w:instrText xml:space="preserve"> PAGEREF _Toc1006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"_Toc26966" </w:instrText>
      </w:r>
      <w:r>
        <w:rPr>
          <w:highlight w:val="none"/>
        </w:rPr>
        <w:fldChar w:fldCharType="separate"/>
      </w:r>
      <w:r>
        <w:rPr>
          <w:rFonts w:hint="eastAsia" w:ascii="宋体" w:hAnsi="宋体" w:cs="宋体"/>
          <w:szCs w:val="21"/>
          <w:highlight w:val="none"/>
        </w:rPr>
        <w:t>1.11 分包</w:t>
      </w:r>
      <w:r>
        <w:rPr>
          <w:highlight w:val="none"/>
        </w:rPr>
        <w:tab/>
      </w:r>
      <w:r>
        <w:rPr>
          <w:highlight w:val="none"/>
        </w:rPr>
        <w:fldChar w:fldCharType="begin"/>
      </w:r>
      <w:r>
        <w:rPr>
          <w:highlight w:val="none"/>
        </w:rPr>
        <w:instrText xml:space="preserve"> PAGEREF _Toc26966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"_Toc26220" </w:instrText>
      </w:r>
      <w:r>
        <w:rPr>
          <w:highlight w:val="none"/>
        </w:rPr>
        <w:fldChar w:fldCharType="separate"/>
      </w:r>
      <w:r>
        <w:rPr>
          <w:rFonts w:hint="eastAsia" w:ascii="宋体" w:hAnsi="宋体" w:cs="宋体"/>
          <w:szCs w:val="21"/>
          <w:highlight w:val="none"/>
        </w:rPr>
        <w:t>1.12 偏离</w:t>
      </w:r>
      <w:r>
        <w:rPr>
          <w:highlight w:val="none"/>
        </w:rPr>
        <w:tab/>
      </w:r>
      <w:r>
        <w:rPr>
          <w:highlight w:val="none"/>
        </w:rPr>
        <w:fldChar w:fldCharType="begin"/>
      </w:r>
      <w:r>
        <w:rPr>
          <w:highlight w:val="none"/>
        </w:rPr>
        <w:instrText xml:space="preserve"> PAGEREF _Toc26220 \h </w:instrText>
      </w:r>
      <w:r>
        <w:rPr>
          <w:highlight w:val="none"/>
        </w:rPr>
        <w:fldChar w:fldCharType="separate"/>
      </w:r>
      <w:r>
        <w:rPr>
          <w:highlight w:val="none"/>
        </w:rPr>
        <w:t>21</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"_Toc18031" </w:instrText>
      </w:r>
      <w:r>
        <w:rPr>
          <w:highlight w:val="none"/>
        </w:rPr>
        <w:fldChar w:fldCharType="separate"/>
      </w:r>
      <w:r>
        <w:rPr>
          <w:rFonts w:hint="eastAsia" w:ascii="宋体" w:hAnsi="宋体" w:cs="宋体"/>
          <w:szCs w:val="21"/>
          <w:highlight w:val="none"/>
        </w:rPr>
        <w:t>2．招标文件</w:t>
      </w:r>
      <w:r>
        <w:rPr>
          <w:highlight w:val="none"/>
        </w:rPr>
        <w:tab/>
      </w:r>
      <w:r>
        <w:rPr>
          <w:highlight w:val="none"/>
        </w:rPr>
        <w:fldChar w:fldCharType="begin"/>
      </w:r>
      <w:r>
        <w:rPr>
          <w:highlight w:val="none"/>
        </w:rPr>
        <w:instrText xml:space="preserve"> PAGEREF _Toc18031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"_Toc17154" </w:instrText>
      </w:r>
      <w:r>
        <w:rPr>
          <w:highlight w:val="none"/>
        </w:rPr>
        <w:fldChar w:fldCharType="separate"/>
      </w:r>
      <w:r>
        <w:rPr>
          <w:rFonts w:hint="eastAsia" w:ascii="宋体" w:hAnsi="宋体" w:cs="宋体"/>
          <w:szCs w:val="21"/>
          <w:highlight w:val="none"/>
        </w:rPr>
        <w:t>2.1 招标文件的组成</w:t>
      </w:r>
      <w:r>
        <w:rPr>
          <w:highlight w:val="none"/>
        </w:rPr>
        <w:tab/>
      </w:r>
      <w:r>
        <w:rPr>
          <w:highlight w:val="none"/>
        </w:rPr>
        <w:fldChar w:fldCharType="begin"/>
      </w:r>
      <w:r>
        <w:rPr>
          <w:highlight w:val="none"/>
        </w:rPr>
        <w:instrText xml:space="preserve"> PAGEREF _Toc17154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"_Toc20511" </w:instrText>
      </w:r>
      <w:r>
        <w:rPr>
          <w:highlight w:val="none"/>
        </w:rPr>
        <w:fldChar w:fldCharType="separate"/>
      </w:r>
      <w:r>
        <w:rPr>
          <w:rFonts w:hint="eastAsia" w:ascii="宋体" w:hAnsi="宋体" w:cs="宋体"/>
          <w:szCs w:val="21"/>
          <w:highlight w:val="none"/>
        </w:rPr>
        <w:t>2.2 招标文件的澄清</w:t>
      </w:r>
      <w:r>
        <w:rPr>
          <w:highlight w:val="none"/>
        </w:rPr>
        <w:tab/>
      </w:r>
      <w:r>
        <w:rPr>
          <w:highlight w:val="none"/>
        </w:rPr>
        <w:fldChar w:fldCharType="begin"/>
      </w:r>
      <w:r>
        <w:rPr>
          <w:highlight w:val="none"/>
        </w:rPr>
        <w:instrText xml:space="preserve"> PAGEREF _Toc20511 \h </w:instrText>
      </w:r>
      <w:r>
        <w:rPr>
          <w:highlight w:val="none"/>
        </w:rPr>
        <w:fldChar w:fldCharType="separate"/>
      </w:r>
      <w:r>
        <w:rPr>
          <w:highlight w:val="none"/>
        </w:rPr>
        <w:t>21</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hAnsi="宋体" w:cs="宋体"/>
          <w:szCs w:val="21"/>
          <w:highlight w:val="none"/>
        </w:rPr>
        <w:t>2.3 招标文件的修改</w:t>
      </w:r>
      <w:r>
        <w:rPr>
          <w:highlight w:val="none"/>
        </w:rPr>
        <w:tab/>
      </w:r>
      <w:r>
        <w:rPr>
          <w:highlight w:val="none"/>
        </w:rPr>
        <w:fldChar w:fldCharType="begin"/>
      </w:r>
      <w:r>
        <w:rPr>
          <w:highlight w:val="none"/>
        </w:rPr>
        <w:instrText xml:space="preserve"> PAGEREF _Toc22076 \h </w:instrText>
      </w:r>
      <w:r>
        <w:rPr>
          <w:highlight w:val="none"/>
        </w:rPr>
        <w:fldChar w:fldCharType="separate"/>
      </w:r>
      <w:r>
        <w:rPr>
          <w:highlight w:val="none"/>
        </w:rPr>
        <w:t>22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"_Toc22975" </w:instrText>
      </w:r>
      <w:r>
        <w:rPr>
          <w:highlight w:val="none"/>
        </w:rPr>
        <w:fldChar w:fldCharType="separate"/>
      </w:r>
      <w:r>
        <w:rPr>
          <w:rFonts w:hint="eastAsia" w:ascii="宋体" w:hAnsi="宋体" w:cs="宋体"/>
          <w:szCs w:val="21"/>
          <w:highlight w:val="none"/>
        </w:rPr>
        <w:t>3．投标文件</w:t>
      </w:r>
      <w:r>
        <w:rPr>
          <w:highlight w:val="none"/>
        </w:rPr>
        <w:tab/>
      </w:r>
      <w:r>
        <w:rPr>
          <w:highlight w:val="none"/>
        </w:rPr>
        <w:fldChar w:fldCharType="begin"/>
      </w:r>
      <w:r>
        <w:rPr>
          <w:highlight w:val="none"/>
        </w:rPr>
        <w:instrText xml:space="preserve"> PAGEREF _Toc22975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"_Toc29461" </w:instrText>
      </w:r>
      <w:r>
        <w:rPr>
          <w:highlight w:val="none"/>
        </w:rPr>
        <w:fldChar w:fldCharType="separate"/>
      </w:r>
      <w:r>
        <w:rPr>
          <w:rFonts w:hint="eastAsia" w:ascii="宋体" w:hAnsi="宋体" w:cs="宋体"/>
          <w:szCs w:val="21"/>
          <w:highlight w:val="none"/>
        </w:rPr>
        <w:t>3.1 投标文件的组成</w:t>
      </w:r>
      <w:r>
        <w:rPr>
          <w:highlight w:val="none"/>
        </w:rPr>
        <w:tab/>
      </w:r>
      <w:r>
        <w:rPr>
          <w:highlight w:val="none"/>
        </w:rPr>
        <w:fldChar w:fldCharType="begin"/>
      </w:r>
      <w:r>
        <w:rPr>
          <w:highlight w:val="none"/>
        </w:rPr>
        <w:instrText xml:space="preserve"> PAGEREF _Toc29461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"_Toc19234" </w:instrText>
      </w:r>
      <w:r>
        <w:rPr>
          <w:highlight w:val="none"/>
        </w:rPr>
        <w:fldChar w:fldCharType="separate"/>
      </w:r>
      <w:r>
        <w:rPr>
          <w:rFonts w:hint="eastAsia" w:ascii="宋体" w:hAnsi="宋体" w:cs="宋体"/>
          <w:szCs w:val="21"/>
          <w:highlight w:val="none"/>
        </w:rPr>
        <w:t>3.2 投标报价</w:t>
      </w:r>
      <w:r>
        <w:rPr>
          <w:highlight w:val="none"/>
        </w:rPr>
        <w:tab/>
      </w:r>
      <w:r>
        <w:rPr>
          <w:highlight w:val="none"/>
        </w:rPr>
        <w:fldChar w:fldCharType="begin"/>
      </w:r>
      <w:r>
        <w:rPr>
          <w:highlight w:val="none"/>
        </w:rPr>
        <w:instrText xml:space="preserve"> PAGEREF _Toc19234 \h </w:instrText>
      </w:r>
      <w:r>
        <w:rPr>
          <w:highlight w:val="none"/>
        </w:rPr>
        <w:fldChar w:fldCharType="separate"/>
      </w:r>
      <w:r>
        <w:rPr>
          <w:highlight w:val="none"/>
        </w:rPr>
        <w:t>22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"_Toc26558" </w:instrText>
      </w:r>
      <w:r>
        <w:rPr>
          <w:highlight w:val="none"/>
        </w:rPr>
        <w:fldChar w:fldCharType="separate"/>
      </w:r>
      <w:r>
        <w:rPr>
          <w:rFonts w:hint="eastAsia" w:ascii="宋体" w:hAnsi="宋体" w:cs="宋体"/>
          <w:szCs w:val="21"/>
          <w:highlight w:val="none"/>
        </w:rPr>
        <w:t>3.3 投标有效期</w:t>
      </w:r>
      <w:r>
        <w:rPr>
          <w:highlight w:val="none"/>
        </w:rPr>
        <w:tab/>
      </w:r>
      <w:r>
        <w:rPr>
          <w:highlight w:val="none"/>
        </w:rPr>
        <w:fldChar w:fldCharType="begin"/>
      </w:r>
      <w:r>
        <w:rPr>
          <w:highlight w:val="none"/>
        </w:rPr>
        <w:instrText xml:space="preserve"> PAGEREF _Toc26558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"_Toc12500" </w:instrText>
      </w:r>
      <w:r>
        <w:rPr>
          <w:highlight w:val="none"/>
        </w:rPr>
        <w:fldChar w:fldCharType="separate"/>
      </w:r>
      <w:r>
        <w:rPr>
          <w:rFonts w:hint="eastAsia" w:ascii="宋体" w:hAnsi="宋体" w:cs="宋体"/>
          <w:szCs w:val="21"/>
          <w:highlight w:val="none"/>
        </w:rPr>
        <w:t>3.4 投标保证金（不适用）</w:t>
      </w:r>
      <w:r>
        <w:rPr>
          <w:highlight w:val="none"/>
        </w:rPr>
        <w:tab/>
      </w:r>
      <w:r>
        <w:rPr>
          <w:highlight w:val="none"/>
        </w:rPr>
        <w:fldChar w:fldCharType="begin"/>
      </w:r>
      <w:r>
        <w:rPr>
          <w:highlight w:val="none"/>
        </w:rPr>
        <w:instrText xml:space="preserve"> PAGEREF _Toc12500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"_Toc4417" </w:instrText>
      </w:r>
      <w:r>
        <w:rPr>
          <w:highlight w:val="none"/>
        </w:rPr>
        <w:fldChar w:fldCharType="separate"/>
      </w:r>
      <w:r>
        <w:rPr>
          <w:rFonts w:hint="eastAsia" w:ascii="宋体" w:hAnsi="宋体" w:cs="宋体"/>
          <w:szCs w:val="21"/>
          <w:highlight w:val="none"/>
        </w:rPr>
        <w:t>3.5 资格审查资料</w:t>
      </w:r>
      <w:r>
        <w:rPr>
          <w:highlight w:val="none"/>
        </w:rPr>
        <w:tab/>
      </w:r>
      <w:r>
        <w:rPr>
          <w:highlight w:val="none"/>
        </w:rPr>
        <w:fldChar w:fldCharType="begin"/>
      </w:r>
      <w:r>
        <w:rPr>
          <w:highlight w:val="none"/>
        </w:rPr>
        <w:instrText xml:space="preserve"> PAGEREF _Toc4417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"_Toc13214" </w:instrText>
      </w:r>
      <w:r>
        <w:rPr>
          <w:highlight w:val="none"/>
        </w:rPr>
        <w:fldChar w:fldCharType="separate"/>
      </w:r>
      <w:r>
        <w:rPr>
          <w:rFonts w:hint="eastAsia" w:ascii="宋体" w:hAnsi="宋体" w:cs="宋体"/>
          <w:szCs w:val="21"/>
          <w:highlight w:val="none"/>
        </w:rPr>
        <w:t>3.6 备选投标方案（不允许）</w:t>
      </w:r>
      <w:r>
        <w:rPr>
          <w:highlight w:val="none"/>
        </w:rPr>
        <w:tab/>
      </w:r>
      <w:r>
        <w:rPr>
          <w:highlight w:val="none"/>
        </w:rPr>
        <w:fldChar w:fldCharType="begin"/>
      </w:r>
      <w:r>
        <w:rPr>
          <w:highlight w:val="none"/>
        </w:rPr>
        <w:instrText xml:space="preserve"> PAGEREF _Toc13214 \h </w:instrText>
      </w:r>
      <w:r>
        <w:rPr>
          <w:highlight w:val="none"/>
        </w:rPr>
        <w:fldChar w:fldCharType="separate"/>
      </w:r>
      <w:r>
        <w:rPr>
          <w:highlight w:val="none"/>
        </w:rPr>
        <w:t>23</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"_Toc23941" </w:instrText>
      </w:r>
      <w:r>
        <w:rPr>
          <w:highlight w:val="none"/>
        </w:rPr>
        <w:fldChar w:fldCharType="separate"/>
      </w:r>
      <w:r>
        <w:rPr>
          <w:rFonts w:hint="eastAsia" w:ascii="宋体" w:hAnsi="宋体" w:cs="宋体"/>
          <w:szCs w:val="21"/>
          <w:highlight w:val="none"/>
        </w:rPr>
        <w:t>3.7 投标文件的编制</w:t>
      </w:r>
      <w:r>
        <w:rPr>
          <w:highlight w:val="none"/>
        </w:rPr>
        <w:tab/>
      </w:r>
      <w:r>
        <w:rPr>
          <w:highlight w:val="none"/>
        </w:rPr>
        <w:fldChar w:fldCharType="begin"/>
      </w:r>
      <w:r>
        <w:rPr>
          <w:highlight w:val="none"/>
        </w:rPr>
        <w:instrText xml:space="preserve"> PAGEREF _Toc23941 \h </w:instrText>
      </w:r>
      <w:r>
        <w:rPr>
          <w:highlight w:val="none"/>
        </w:rPr>
        <w:fldChar w:fldCharType="separate"/>
      </w:r>
      <w:r>
        <w:rPr>
          <w:highlight w:val="none"/>
        </w:rPr>
        <w:t>23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"_Toc22792" </w:instrText>
      </w:r>
      <w:r>
        <w:rPr>
          <w:highlight w:val="none"/>
        </w:rPr>
        <w:fldChar w:fldCharType="separate"/>
      </w:r>
      <w:r>
        <w:rPr>
          <w:rFonts w:hint="eastAsia" w:ascii="宋体" w:hAnsi="宋体" w:cs="宋体"/>
          <w:szCs w:val="21"/>
          <w:highlight w:val="none"/>
        </w:rPr>
        <w:t>4．投标</w:t>
      </w:r>
      <w:r>
        <w:rPr>
          <w:highlight w:val="none"/>
        </w:rPr>
        <w:tab/>
      </w:r>
      <w:r>
        <w:rPr>
          <w:highlight w:val="none"/>
        </w:rPr>
        <w:fldChar w:fldCharType="begin"/>
      </w:r>
      <w:r>
        <w:rPr>
          <w:highlight w:val="none"/>
        </w:rPr>
        <w:instrText xml:space="preserve"> PAGEREF _Toc22792 \h </w:instrText>
      </w:r>
      <w:r>
        <w:rPr>
          <w:highlight w:val="none"/>
        </w:rPr>
        <w:fldChar w:fldCharType="separate"/>
      </w:r>
      <w:r>
        <w:rPr>
          <w:highlight w:val="none"/>
        </w:rPr>
        <w:t>24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"_Toc13897" </w:instrText>
      </w:r>
      <w:r>
        <w:rPr>
          <w:highlight w:val="none"/>
        </w:rPr>
        <w:fldChar w:fldCharType="separate"/>
      </w:r>
      <w:r>
        <w:rPr>
          <w:rFonts w:hint="eastAsia" w:ascii="宋体" w:hAnsi="宋体" w:cs="宋体"/>
          <w:szCs w:val="21"/>
          <w:highlight w:val="none"/>
        </w:rPr>
        <w:t>4.1 投标文件的密封和标记</w:t>
      </w:r>
      <w:r>
        <w:rPr>
          <w:highlight w:val="none"/>
        </w:rPr>
        <w:tab/>
      </w:r>
      <w:r>
        <w:rPr>
          <w:highlight w:val="none"/>
        </w:rPr>
        <w:fldChar w:fldCharType="begin"/>
      </w:r>
      <w:r>
        <w:rPr>
          <w:highlight w:val="none"/>
        </w:rPr>
        <w:instrText xml:space="preserve"> PAGEREF _Toc13897 \h </w:instrText>
      </w:r>
      <w:r>
        <w:rPr>
          <w:highlight w:val="none"/>
        </w:rPr>
        <w:fldChar w:fldCharType="separate"/>
      </w:r>
      <w:r>
        <w:rPr>
          <w:highlight w:val="none"/>
        </w:rPr>
        <w:t>24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"_Toc15582" </w:instrText>
      </w:r>
      <w:r>
        <w:rPr>
          <w:highlight w:val="none"/>
        </w:rPr>
        <w:fldChar w:fldCharType="separate"/>
      </w:r>
      <w:r>
        <w:rPr>
          <w:rFonts w:hint="eastAsia" w:ascii="宋体" w:hAnsi="宋体" w:cs="宋体"/>
          <w:szCs w:val="21"/>
          <w:highlight w:val="none"/>
        </w:rPr>
        <w:t>4.2 投标文件的递交</w:t>
      </w:r>
      <w:r>
        <w:rPr>
          <w:highlight w:val="none"/>
        </w:rPr>
        <w:tab/>
      </w:r>
      <w:r>
        <w:rPr>
          <w:highlight w:val="none"/>
        </w:rPr>
        <w:fldChar w:fldCharType="begin"/>
      </w:r>
      <w:r>
        <w:rPr>
          <w:highlight w:val="none"/>
        </w:rPr>
        <w:instrText xml:space="preserve"> PAGEREF _Toc15582 \h </w:instrText>
      </w:r>
      <w:r>
        <w:rPr>
          <w:highlight w:val="none"/>
        </w:rPr>
        <w:fldChar w:fldCharType="separate"/>
      </w:r>
      <w:r>
        <w:rPr>
          <w:highlight w:val="none"/>
        </w:rPr>
        <w:t>24</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"_Toc25861" </w:instrText>
      </w:r>
      <w:r>
        <w:rPr>
          <w:highlight w:val="none"/>
        </w:rPr>
        <w:fldChar w:fldCharType="separate"/>
      </w:r>
      <w:r>
        <w:rPr>
          <w:rFonts w:hint="eastAsia" w:ascii="宋体" w:hAnsi="宋体" w:cs="宋体"/>
          <w:szCs w:val="21"/>
          <w:highlight w:val="none"/>
        </w:rPr>
        <w:t>4.3 投标文件的修改与撤回</w:t>
      </w:r>
      <w:r>
        <w:rPr>
          <w:highlight w:val="none"/>
        </w:rPr>
        <w:tab/>
      </w:r>
      <w:r>
        <w:rPr>
          <w:highlight w:val="none"/>
        </w:rPr>
        <w:fldChar w:fldCharType="begin"/>
      </w:r>
      <w:r>
        <w:rPr>
          <w:highlight w:val="none"/>
        </w:rPr>
        <w:instrText xml:space="preserve"> PAGEREF _Toc25861 \h </w:instrText>
      </w:r>
      <w:r>
        <w:rPr>
          <w:highlight w:val="none"/>
        </w:rPr>
        <w:fldChar w:fldCharType="separate"/>
      </w:r>
      <w:r>
        <w:rPr>
          <w:highlight w:val="none"/>
        </w:rPr>
        <w:t>24</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"_Toc13329" </w:instrText>
      </w:r>
      <w:r>
        <w:rPr>
          <w:highlight w:val="none"/>
        </w:rPr>
        <w:fldChar w:fldCharType="separate"/>
      </w:r>
      <w:r>
        <w:rPr>
          <w:rFonts w:hint="eastAsia" w:ascii="宋体" w:hAnsi="宋体" w:cs="宋体"/>
          <w:szCs w:val="21"/>
          <w:highlight w:val="none"/>
        </w:rPr>
        <w:t>5．开标</w:t>
      </w:r>
      <w:r>
        <w:rPr>
          <w:highlight w:val="none"/>
        </w:rPr>
        <w:tab/>
      </w:r>
      <w:r>
        <w:rPr>
          <w:highlight w:val="none"/>
        </w:rPr>
        <w:fldChar w:fldCharType="begin"/>
      </w:r>
      <w:r>
        <w:rPr>
          <w:highlight w:val="none"/>
        </w:rPr>
        <w:instrText xml:space="preserve"> PAGEREF _Toc13329 \h </w:instrText>
      </w:r>
      <w:r>
        <w:rPr>
          <w:highlight w:val="none"/>
        </w:rPr>
        <w:fldChar w:fldCharType="separate"/>
      </w:r>
      <w:r>
        <w:rPr>
          <w:highlight w:val="none"/>
        </w:rPr>
        <w:t>25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"_Toc16089" </w:instrText>
      </w:r>
      <w:r>
        <w:rPr>
          <w:highlight w:val="none"/>
        </w:rPr>
        <w:fldChar w:fldCharType="separate"/>
      </w:r>
      <w:r>
        <w:rPr>
          <w:rFonts w:hint="eastAsia" w:ascii="宋体" w:hAnsi="宋体" w:cs="宋体"/>
          <w:szCs w:val="21"/>
          <w:highlight w:val="none"/>
        </w:rPr>
        <w:t>5.1 开标时间和地点</w:t>
      </w:r>
      <w:r>
        <w:rPr>
          <w:highlight w:val="none"/>
        </w:rPr>
        <w:tab/>
      </w:r>
      <w:r>
        <w:rPr>
          <w:highlight w:val="none"/>
        </w:rPr>
        <w:fldChar w:fldCharType="begin"/>
      </w:r>
      <w:r>
        <w:rPr>
          <w:highlight w:val="none"/>
        </w:rPr>
        <w:instrText xml:space="preserve"> PAGEREF _Toc16089 \h </w:instrText>
      </w:r>
      <w:r>
        <w:rPr>
          <w:highlight w:val="none"/>
        </w:rPr>
        <w:fldChar w:fldCharType="separate"/>
      </w:r>
      <w:r>
        <w:rPr>
          <w:highlight w:val="none"/>
        </w:rPr>
        <w:t>25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"_Toc2920" </w:instrText>
      </w:r>
      <w:r>
        <w:rPr>
          <w:highlight w:val="none"/>
        </w:rPr>
        <w:fldChar w:fldCharType="separate"/>
      </w:r>
      <w:r>
        <w:rPr>
          <w:rFonts w:hint="eastAsia" w:ascii="宋体" w:hAnsi="宋体" w:cs="宋体"/>
          <w:szCs w:val="21"/>
          <w:highlight w:val="none"/>
        </w:rPr>
        <w:t>5.2 开标程序</w:t>
      </w:r>
      <w:r>
        <w:rPr>
          <w:highlight w:val="none"/>
        </w:rPr>
        <w:tab/>
      </w:r>
      <w:r>
        <w:rPr>
          <w:highlight w:val="none"/>
        </w:rPr>
        <w:fldChar w:fldCharType="begin"/>
      </w:r>
      <w:r>
        <w:rPr>
          <w:highlight w:val="none"/>
        </w:rPr>
        <w:instrText xml:space="preserve"> PAGEREF _Toc2920 \h </w:instrText>
      </w:r>
      <w:r>
        <w:rPr>
          <w:highlight w:val="none"/>
        </w:rPr>
        <w:fldChar w:fldCharType="separate"/>
      </w:r>
      <w:r>
        <w:rPr>
          <w:highlight w:val="none"/>
        </w:rPr>
        <w:t>25</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"_Toc8436" </w:instrText>
      </w:r>
      <w:r>
        <w:rPr>
          <w:highlight w:val="none"/>
        </w:rPr>
        <w:fldChar w:fldCharType="separate"/>
      </w:r>
      <w:r>
        <w:rPr>
          <w:rFonts w:hint="eastAsia" w:ascii="宋体" w:hAnsi="宋体" w:cs="宋体"/>
          <w:szCs w:val="21"/>
          <w:highlight w:val="none"/>
        </w:rPr>
        <w:t>6．评标</w:t>
      </w:r>
      <w:r>
        <w:rPr>
          <w:highlight w:val="none"/>
        </w:rPr>
        <w:tab/>
      </w:r>
      <w:r>
        <w:rPr>
          <w:highlight w:val="none"/>
        </w:rPr>
        <w:fldChar w:fldCharType="begin"/>
      </w:r>
      <w:r>
        <w:rPr>
          <w:highlight w:val="none"/>
        </w:rPr>
        <w:instrText xml:space="preserve"> PAGEREF _Toc8436 \h </w:instrText>
      </w:r>
      <w:r>
        <w:rPr>
          <w:highlight w:val="none"/>
        </w:rPr>
        <w:fldChar w:fldCharType="separate"/>
      </w:r>
      <w:r>
        <w:rPr>
          <w:highlight w:val="none"/>
        </w:rPr>
        <w:t>25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"_Toc26838" </w:instrText>
      </w:r>
      <w:r>
        <w:rPr>
          <w:highlight w:val="none"/>
        </w:rPr>
        <w:fldChar w:fldCharType="separate"/>
      </w:r>
      <w:r>
        <w:rPr>
          <w:rFonts w:hint="eastAsia" w:ascii="宋体" w:hAnsi="宋体" w:cs="宋体"/>
          <w:szCs w:val="21"/>
          <w:highlight w:val="none"/>
        </w:rPr>
        <w:t>6.1 评标委员会</w:t>
      </w:r>
      <w:r>
        <w:rPr>
          <w:highlight w:val="none"/>
        </w:rPr>
        <w:tab/>
      </w:r>
      <w:r>
        <w:rPr>
          <w:highlight w:val="none"/>
        </w:rPr>
        <w:fldChar w:fldCharType="begin"/>
      </w:r>
      <w:r>
        <w:rPr>
          <w:highlight w:val="none"/>
        </w:rPr>
        <w:instrText xml:space="preserve"> PAGEREF _Toc26838 \h </w:instrText>
      </w:r>
      <w:r>
        <w:rPr>
          <w:highlight w:val="none"/>
        </w:rPr>
        <w:fldChar w:fldCharType="separate"/>
      </w:r>
      <w:r>
        <w:rPr>
          <w:highlight w:val="none"/>
        </w:rPr>
        <w:t>25</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"_Toc18703" </w:instrText>
      </w:r>
      <w:r>
        <w:rPr>
          <w:highlight w:val="none"/>
        </w:rPr>
        <w:fldChar w:fldCharType="separate"/>
      </w:r>
      <w:r>
        <w:rPr>
          <w:rFonts w:hint="eastAsia" w:ascii="宋体" w:hAnsi="宋体" w:cs="宋体"/>
          <w:szCs w:val="21"/>
          <w:highlight w:val="none"/>
        </w:rPr>
        <w:t>6.2 评标原则</w:t>
      </w:r>
      <w:r>
        <w:rPr>
          <w:highlight w:val="none"/>
        </w:rPr>
        <w:tab/>
      </w:r>
      <w:r>
        <w:rPr>
          <w:highlight w:val="none"/>
        </w:rPr>
        <w:fldChar w:fldCharType="begin"/>
      </w:r>
      <w:r>
        <w:rPr>
          <w:highlight w:val="none"/>
        </w:rPr>
        <w:instrText xml:space="preserve"> PAGEREF _Toc18703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"_Toc19576" </w:instrText>
      </w:r>
      <w:r>
        <w:rPr>
          <w:highlight w:val="none"/>
        </w:rPr>
        <w:fldChar w:fldCharType="separate"/>
      </w:r>
      <w:r>
        <w:rPr>
          <w:rFonts w:hint="eastAsia" w:ascii="宋体" w:hAnsi="宋体" w:cs="宋体"/>
          <w:szCs w:val="21"/>
          <w:highlight w:val="none"/>
        </w:rPr>
        <w:t>6.3 评标</w:t>
      </w:r>
      <w:r>
        <w:rPr>
          <w:highlight w:val="none"/>
        </w:rPr>
        <w:tab/>
      </w:r>
      <w:r>
        <w:rPr>
          <w:highlight w:val="none"/>
        </w:rPr>
        <w:fldChar w:fldCharType="begin"/>
      </w:r>
      <w:r>
        <w:rPr>
          <w:highlight w:val="none"/>
        </w:rPr>
        <w:instrText xml:space="preserve"> PAGEREF _Toc19576 \h </w:instrText>
      </w:r>
      <w:r>
        <w:rPr>
          <w:highlight w:val="none"/>
        </w:rPr>
        <w:fldChar w:fldCharType="separate"/>
      </w:r>
      <w:r>
        <w:rPr>
          <w:highlight w:val="none"/>
        </w:rPr>
        <w:t>26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"_Toc13046" </w:instrText>
      </w:r>
      <w:r>
        <w:rPr>
          <w:highlight w:val="none"/>
        </w:rPr>
        <w:fldChar w:fldCharType="separate"/>
      </w:r>
      <w:r>
        <w:rPr>
          <w:rFonts w:hint="eastAsia" w:ascii="宋体" w:hAnsi="宋体" w:cs="宋体"/>
          <w:szCs w:val="21"/>
          <w:highlight w:val="none"/>
        </w:rPr>
        <w:t>7．合同授予</w:t>
      </w:r>
      <w:r>
        <w:rPr>
          <w:highlight w:val="none"/>
        </w:rPr>
        <w:tab/>
      </w:r>
      <w:r>
        <w:rPr>
          <w:highlight w:val="none"/>
        </w:rPr>
        <w:fldChar w:fldCharType="begin"/>
      </w:r>
      <w:r>
        <w:rPr>
          <w:highlight w:val="none"/>
        </w:rPr>
        <w:instrText xml:space="preserve"> PAGEREF _Toc13046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"_Toc22146" </w:instrText>
      </w:r>
      <w:r>
        <w:rPr>
          <w:highlight w:val="none"/>
        </w:rPr>
        <w:fldChar w:fldCharType="separate"/>
      </w:r>
      <w:r>
        <w:rPr>
          <w:rFonts w:hint="eastAsia" w:ascii="宋体" w:hAnsi="宋体" w:cs="宋体"/>
          <w:szCs w:val="21"/>
          <w:highlight w:val="none"/>
        </w:rPr>
        <w:t>7.1 定标方式</w:t>
      </w:r>
      <w:r>
        <w:rPr>
          <w:highlight w:val="none"/>
        </w:rPr>
        <w:tab/>
      </w:r>
      <w:r>
        <w:rPr>
          <w:highlight w:val="none"/>
        </w:rPr>
        <w:fldChar w:fldCharType="begin"/>
      </w:r>
      <w:r>
        <w:rPr>
          <w:highlight w:val="none"/>
        </w:rPr>
        <w:instrText xml:space="preserve"> PAGEREF _Toc22146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"_Toc11065" </w:instrText>
      </w:r>
      <w:r>
        <w:rPr>
          <w:highlight w:val="none"/>
        </w:rPr>
        <w:fldChar w:fldCharType="separate"/>
      </w:r>
      <w:r>
        <w:rPr>
          <w:rFonts w:hint="eastAsia" w:ascii="宋体" w:hAnsi="宋体" w:cs="宋体"/>
          <w:szCs w:val="21"/>
          <w:highlight w:val="none"/>
        </w:rPr>
        <w:t>7.2 中标通知</w:t>
      </w:r>
      <w:r>
        <w:rPr>
          <w:highlight w:val="none"/>
        </w:rPr>
        <w:tab/>
      </w:r>
      <w:r>
        <w:rPr>
          <w:highlight w:val="none"/>
        </w:rPr>
        <w:fldChar w:fldCharType="begin"/>
      </w:r>
      <w:r>
        <w:rPr>
          <w:highlight w:val="none"/>
        </w:rPr>
        <w:instrText xml:space="preserve"> PAGEREF _Toc11065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"_Toc25004" </w:instrText>
      </w:r>
      <w:r>
        <w:rPr>
          <w:highlight w:val="none"/>
        </w:rPr>
        <w:fldChar w:fldCharType="separate"/>
      </w:r>
      <w:r>
        <w:rPr>
          <w:rFonts w:hint="eastAsia" w:ascii="宋体" w:hAnsi="宋体" w:cs="宋体"/>
          <w:szCs w:val="21"/>
          <w:highlight w:val="none"/>
        </w:rPr>
        <w:t>7.3 履约担保</w:t>
      </w:r>
      <w:r>
        <w:rPr>
          <w:highlight w:val="none"/>
        </w:rPr>
        <w:tab/>
      </w:r>
      <w:r>
        <w:rPr>
          <w:highlight w:val="none"/>
        </w:rPr>
        <w:fldChar w:fldCharType="begin"/>
      </w:r>
      <w:r>
        <w:rPr>
          <w:highlight w:val="none"/>
        </w:rPr>
        <w:instrText xml:space="preserve"> PAGEREF _Toc25004 \h </w:instrText>
      </w:r>
      <w:r>
        <w:rPr>
          <w:highlight w:val="none"/>
        </w:rPr>
        <w:fldChar w:fldCharType="separate"/>
      </w:r>
      <w:r>
        <w:rPr>
          <w:highlight w:val="none"/>
        </w:rPr>
        <w:t>26</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"_Toc2168" </w:instrText>
      </w:r>
      <w:r>
        <w:rPr>
          <w:highlight w:val="none"/>
        </w:rPr>
        <w:fldChar w:fldCharType="separate"/>
      </w:r>
      <w:r>
        <w:rPr>
          <w:rFonts w:hint="eastAsia" w:ascii="宋体" w:hAnsi="宋体" w:cs="宋体"/>
          <w:szCs w:val="21"/>
          <w:highlight w:val="none"/>
        </w:rPr>
        <w:t>7.4 签订合同</w:t>
      </w:r>
      <w:r>
        <w:rPr>
          <w:highlight w:val="none"/>
        </w:rPr>
        <w:tab/>
      </w:r>
      <w:r>
        <w:rPr>
          <w:highlight w:val="none"/>
        </w:rPr>
        <w:fldChar w:fldCharType="begin"/>
      </w:r>
      <w:r>
        <w:rPr>
          <w:highlight w:val="none"/>
        </w:rPr>
        <w:instrText xml:space="preserve"> PAGEREF _Toc2168 \h </w:instrText>
      </w:r>
      <w:r>
        <w:rPr>
          <w:highlight w:val="none"/>
        </w:rPr>
        <w:fldChar w:fldCharType="separate"/>
      </w:r>
      <w:r>
        <w:rPr>
          <w:highlight w:val="none"/>
        </w:rPr>
        <w:t>26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"_Toc15831" </w:instrText>
      </w:r>
      <w:r>
        <w:rPr>
          <w:highlight w:val="none"/>
        </w:rPr>
        <w:fldChar w:fldCharType="separate"/>
      </w:r>
      <w:r>
        <w:rPr>
          <w:rFonts w:hint="eastAsia" w:ascii="宋体" w:hAnsi="宋体" w:cs="宋体"/>
          <w:szCs w:val="21"/>
          <w:highlight w:val="none"/>
        </w:rPr>
        <w:t>8．重新招标和不再招标</w:t>
      </w:r>
      <w:r>
        <w:rPr>
          <w:highlight w:val="none"/>
        </w:rPr>
        <w:tab/>
      </w:r>
      <w:r>
        <w:rPr>
          <w:highlight w:val="none"/>
        </w:rPr>
        <w:fldChar w:fldCharType="begin"/>
      </w:r>
      <w:r>
        <w:rPr>
          <w:highlight w:val="none"/>
        </w:rPr>
        <w:instrText xml:space="preserve"> PAGEREF _Toc15831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"_Toc18401" </w:instrText>
      </w:r>
      <w:r>
        <w:rPr>
          <w:highlight w:val="none"/>
        </w:rPr>
        <w:fldChar w:fldCharType="separate"/>
      </w:r>
      <w:r>
        <w:rPr>
          <w:rFonts w:hint="eastAsia" w:ascii="宋体" w:hAnsi="宋体" w:cs="宋体"/>
          <w:szCs w:val="21"/>
          <w:highlight w:val="none"/>
        </w:rPr>
        <w:t>8.1 重新招标</w:t>
      </w:r>
      <w:r>
        <w:rPr>
          <w:highlight w:val="none"/>
        </w:rPr>
        <w:tab/>
      </w:r>
      <w:r>
        <w:rPr>
          <w:highlight w:val="none"/>
        </w:rPr>
        <w:fldChar w:fldCharType="begin"/>
      </w:r>
      <w:r>
        <w:rPr>
          <w:highlight w:val="none"/>
        </w:rPr>
        <w:instrText xml:space="preserve"> PAGEREF _Toc18401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"_Toc29953" </w:instrText>
      </w:r>
      <w:r>
        <w:rPr>
          <w:highlight w:val="none"/>
        </w:rPr>
        <w:fldChar w:fldCharType="separate"/>
      </w:r>
      <w:r>
        <w:rPr>
          <w:rFonts w:hint="eastAsia" w:ascii="宋体" w:hAnsi="宋体" w:cs="宋体"/>
          <w:szCs w:val="21"/>
          <w:highlight w:val="none"/>
        </w:rPr>
        <w:t>8.2 不再招标</w:t>
      </w:r>
      <w:r>
        <w:rPr>
          <w:highlight w:val="none"/>
        </w:rPr>
        <w:tab/>
      </w:r>
      <w:r>
        <w:rPr>
          <w:highlight w:val="none"/>
        </w:rPr>
        <w:fldChar w:fldCharType="begin"/>
      </w:r>
      <w:r>
        <w:rPr>
          <w:highlight w:val="none"/>
        </w:rPr>
        <w:instrText xml:space="preserve"> PAGEREF _Toc29953 \h </w:instrText>
      </w:r>
      <w:r>
        <w:rPr>
          <w:highlight w:val="none"/>
        </w:rPr>
        <w:fldChar w:fldCharType="separate"/>
      </w:r>
      <w:r>
        <w:rPr>
          <w:highlight w:val="none"/>
        </w:rPr>
        <w:t>27</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"_Toc28380" </w:instrText>
      </w:r>
      <w:r>
        <w:rPr>
          <w:highlight w:val="none"/>
        </w:rPr>
        <w:fldChar w:fldCharType="separate"/>
      </w:r>
      <w:r>
        <w:rPr>
          <w:rFonts w:hint="eastAsia" w:ascii="宋体" w:hAnsi="宋体" w:cs="宋体"/>
          <w:szCs w:val="21"/>
          <w:highlight w:val="none"/>
        </w:rPr>
        <w:t>9．纪律和监督</w:t>
      </w:r>
      <w:r>
        <w:rPr>
          <w:highlight w:val="none"/>
        </w:rPr>
        <w:tab/>
      </w:r>
      <w:r>
        <w:rPr>
          <w:highlight w:val="none"/>
        </w:rPr>
        <w:fldChar w:fldCharType="begin"/>
      </w:r>
      <w:r>
        <w:rPr>
          <w:highlight w:val="none"/>
        </w:rPr>
        <w:instrText xml:space="preserve"> PAGEREF _Toc28380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"_Toc5318" </w:instrText>
      </w:r>
      <w:r>
        <w:rPr>
          <w:highlight w:val="none"/>
        </w:rPr>
        <w:fldChar w:fldCharType="separate"/>
      </w:r>
      <w:r>
        <w:rPr>
          <w:rFonts w:hint="eastAsia" w:ascii="宋体" w:hAnsi="宋体" w:cs="宋体"/>
          <w:szCs w:val="21"/>
          <w:highlight w:val="none"/>
        </w:rPr>
        <w:t>9.1 对招标人的纪律要求</w:t>
      </w:r>
      <w:r>
        <w:rPr>
          <w:highlight w:val="none"/>
        </w:rPr>
        <w:tab/>
      </w:r>
      <w:r>
        <w:rPr>
          <w:highlight w:val="none"/>
        </w:rPr>
        <w:fldChar w:fldCharType="begin"/>
      </w:r>
      <w:r>
        <w:rPr>
          <w:highlight w:val="none"/>
        </w:rPr>
        <w:instrText xml:space="preserve"> PAGEREF _Toc5318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"_Toc25351" </w:instrText>
      </w:r>
      <w:r>
        <w:rPr>
          <w:highlight w:val="none"/>
        </w:rPr>
        <w:fldChar w:fldCharType="separate"/>
      </w:r>
      <w:r>
        <w:rPr>
          <w:rFonts w:hint="eastAsia" w:ascii="宋体" w:hAnsi="宋体" w:cs="宋体"/>
          <w:szCs w:val="21"/>
          <w:highlight w:val="none"/>
        </w:rPr>
        <w:t>9.2 对投标人的纪律要求</w:t>
      </w:r>
      <w:r>
        <w:rPr>
          <w:highlight w:val="none"/>
        </w:rPr>
        <w:tab/>
      </w:r>
      <w:r>
        <w:rPr>
          <w:highlight w:val="none"/>
        </w:rPr>
        <w:fldChar w:fldCharType="begin"/>
      </w:r>
      <w:r>
        <w:rPr>
          <w:highlight w:val="none"/>
        </w:rPr>
        <w:instrText xml:space="preserve"> PAGEREF _Toc25351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"_Toc2302" </w:instrText>
      </w:r>
      <w:r>
        <w:rPr>
          <w:highlight w:val="none"/>
        </w:rPr>
        <w:fldChar w:fldCharType="separate"/>
      </w:r>
      <w:r>
        <w:rPr>
          <w:rFonts w:hint="eastAsia" w:ascii="宋体" w:hAnsi="宋体" w:cs="宋体"/>
          <w:szCs w:val="21"/>
          <w:highlight w:val="none"/>
        </w:rPr>
        <w:t>9.3 对评标委员会成员的纪律要求</w:t>
      </w:r>
      <w:r>
        <w:rPr>
          <w:highlight w:val="none"/>
        </w:rPr>
        <w:tab/>
      </w:r>
      <w:r>
        <w:rPr>
          <w:highlight w:val="none"/>
        </w:rPr>
        <w:fldChar w:fldCharType="begin"/>
      </w:r>
      <w:r>
        <w:rPr>
          <w:highlight w:val="none"/>
        </w:rPr>
        <w:instrText xml:space="preserve"> PAGEREF _Toc2302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"_Toc13015" </w:instrText>
      </w:r>
      <w:r>
        <w:rPr>
          <w:highlight w:val="none"/>
        </w:rPr>
        <w:fldChar w:fldCharType="separate"/>
      </w:r>
      <w:r>
        <w:rPr>
          <w:rFonts w:hint="eastAsia" w:ascii="宋体" w:hAnsi="宋体" w:cs="宋体"/>
          <w:szCs w:val="21"/>
          <w:highlight w:val="none"/>
        </w:rPr>
        <w:t>9.4 对与评标活动有关的工作人员的纪律要求</w:t>
      </w:r>
      <w:r>
        <w:rPr>
          <w:highlight w:val="none"/>
        </w:rPr>
        <w:tab/>
      </w:r>
      <w:r>
        <w:rPr>
          <w:highlight w:val="none"/>
        </w:rPr>
        <w:fldChar w:fldCharType="begin"/>
      </w:r>
      <w:r>
        <w:rPr>
          <w:highlight w:val="none"/>
        </w:rPr>
        <w:instrText xml:space="preserve"> PAGEREF _Toc13015 \h </w:instrText>
      </w:r>
      <w:r>
        <w:rPr>
          <w:highlight w:val="none"/>
        </w:rPr>
        <w:fldChar w:fldCharType="separate"/>
      </w:r>
      <w:r>
        <w:rPr>
          <w:highlight w:val="none"/>
        </w:rPr>
        <w:t>27</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"_Toc14396" </w:instrText>
      </w:r>
      <w:r>
        <w:rPr>
          <w:highlight w:val="none"/>
        </w:rPr>
        <w:fldChar w:fldCharType="separate"/>
      </w:r>
      <w:r>
        <w:rPr>
          <w:rFonts w:hint="eastAsia" w:ascii="宋体" w:hAnsi="宋体" w:cs="宋体"/>
          <w:szCs w:val="21"/>
          <w:highlight w:val="none"/>
        </w:rPr>
        <w:t>9.5 投诉</w:t>
      </w:r>
      <w:r>
        <w:rPr>
          <w:highlight w:val="none"/>
        </w:rPr>
        <w:tab/>
      </w:r>
      <w:r>
        <w:rPr>
          <w:highlight w:val="none"/>
        </w:rPr>
        <w:fldChar w:fldCharType="begin"/>
      </w:r>
      <w:r>
        <w:rPr>
          <w:highlight w:val="none"/>
        </w:rPr>
        <w:instrText xml:space="preserve"> PAGEREF _Toc14396 \h </w:instrText>
      </w:r>
      <w:r>
        <w:rPr>
          <w:highlight w:val="none"/>
        </w:rPr>
        <w:fldChar w:fldCharType="separate"/>
      </w:r>
      <w:r>
        <w:rPr>
          <w:highlight w:val="none"/>
        </w:rPr>
        <w:t>28</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"_Toc23725" </w:instrText>
      </w:r>
      <w:r>
        <w:rPr>
          <w:highlight w:val="none"/>
        </w:rPr>
        <w:fldChar w:fldCharType="separate"/>
      </w:r>
      <w:r>
        <w:rPr>
          <w:rFonts w:hint="eastAsia" w:ascii="宋体" w:hAnsi="宋体" w:cs="宋体"/>
          <w:szCs w:val="21"/>
          <w:highlight w:val="none"/>
        </w:rPr>
        <w:t>10、需要补充的其他内容</w:t>
      </w:r>
      <w:r>
        <w:rPr>
          <w:highlight w:val="none"/>
        </w:rPr>
        <w:tab/>
      </w:r>
      <w:r>
        <w:rPr>
          <w:highlight w:val="none"/>
        </w:rPr>
        <w:fldChar w:fldCharType="begin"/>
      </w:r>
      <w:r>
        <w:rPr>
          <w:highlight w:val="none"/>
        </w:rPr>
        <w:instrText xml:space="preserve"> PAGEREF _Toc23725 \h </w:instrText>
      </w:r>
      <w:r>
        <w:rPr>
          <w:highlight w:val="none"/>
        </w:rPr>
        <w:fldChar w:fldCharType="separate"/>
      </w:r>
      <w:r>
        <w:rPr>
          <w:highlight w:val="none"/>
        </w:rPr>
        <w:t>28</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"_Toc22831" </w:instrText>
      </w:r>
      <w:r>
        <w:rPr>
          <w:highlight w:val="none"/>
        </w:rPr>
        <w:fldChar w:fldCharType="separate"/>
      </w:r>
      <w:r>
        <w:rPr>
          <w:rFonts w:hint="eastAsia" w:ascii="宋体" w:hAnsi="宋体" w:cs="宋体"/>
          <w:szCs w:val="32"/>
          <w:highlight w:val="none"/>
        </w:rPr>
        <w:t>第三章 评标办法（综合评标法）</w:t>
      </w:r>
      <w:r>
        <w:rPr>
          <w:highlight w:val="none"/>
        </w:rPr>
        <w:tab/>
      </w:r>
      <w:r>
        <w:rPr>
          <w:highlight w:val="none"/>
        </w:rPr>
        <w:fldChar w:fldCharType="begin"/>
      </w:r>
      <w:r>
        <w:rPr>
          <w:highlight w:val="none"/>
        </w:rPr>
        <w:instrText xml:space="preserve"> PAGEREF _Toc22831 \h </w:instrText>
      </w:r>
      <w:r>
        <w:rPr>
          <w:highlight w:val="none"/>
        </w:rPr>
        <w:fldChar w:fldCharType="separate"/>
      </w:r>
      <w:r>
        <w:rPr>
          <w:highlight w:val="none"/>
        </w:rPr>
        <w:t>29</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"_Toc28203" </w:instrText>
      </w:r>
      <w:r>
        <w:rPr>
          <w:highlight w:val="none"/>
        </w:rPr>
        <w:fldChar w:fldCharType="separate"/>
      </w:r>
      <w:r>
        <w:rPr>
          <w:rFonts w:hint="eastAsia" w:ascii="宋体" w:hAnsi="宋体" w:cs="宋体"/>
          <w:highlight w:val="none"/>
        </w:rPr>
        <w:t>1. 评标方法</w:t>
      </w:r>
      <w:r>
        <w:rPr>
          <w:highlight w:val="none"/>
        </w:rPr>
        <w:tab/>
      </w:r>
      <w:r>
        <w:rPr>
          <w:highlight w:val="none"/>
        </w:rPr>
        <w:fldChar w:fldCharType="begin"/>
      </w:r>
      <w:r>
        <w:rPr>
          <w:highlight w:val="none"/>
        </w:rPr>
        <w:instrText xml:space="preserve"> PAGEREF _Toc28203 \h </w:instrText>
      </w:r>
      <w:r>
        <w:rPr>
          <w:highlight w:val="none"/>
        </w:rPr>
        <w:fldChar w:fldCharType="separate"/>
      </w:r>
      <w:r>
        <w:rPr>
          <w:highlight w:val="none"/>
        </w:rPr>
        <w:t>32</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"_Toc31288" </w:instrText>
      </w:r>
      <w:r>
        <w:rPr>
          <w:highlight w:val="none"/>
        </w:rPr>
        <w:fldChar w:fldCharType="separate"/>
      </w:r>
      <w:r>
        <w:rPr>
          <w:rFonts w:hint="eastAsia" w:ascii="宋体" w:hAnsi="宋体" w:cs="宋体"/>
          <w:highlight w:val="none"/>
        </w:rPr>
        <w:t>2. 评审标准</w:t>
      </w:r>
      <w:r>
        <w:rPr>
          <w:highlight w:val="none"/>
        </w:rPr>
        <w:tab/>
      </w:r>
      <w:r>
        <w:rPr>
          <w:highlight w:val="none"/>
        </w:rPr>
        <w:fldChar w:fldCharType="begin"/>
      </w:r>
      <w:r>
        <w:rPr>
          <w:highlight w:val="none"/>
        </w:rPr>
        <w:instrText xml:space="preserve"> PAGEREF _Toc31288 \h </w:instrText>
      </w:r>
      <w:r>
        <w:rPr>
          <w:highlight w:val="none"/>
        </w:rPr>
        <w:fldChar w:fldCharType="separate"/>
      </w:r>
      <w:r>
        <w:rPr>
          <w:highlight w:val="none"/>
        </w:rPr>
        <w:t>32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"_Toc31574" </w:instrText>
      </w:r>
      <w:r>
        <w:rPr>
          <w:highlight w:val="none"/>
        </w:rPr>
        <w:fldChar w:fldCharType="separate"/>
      </w:r>
      <w:r>
        <w:rPr>
          <w:rFonts w:hint="eastAsia" w:ascii="宋体" w:hAnsi="宋体" w:cs="宋体"/>
          <w:szCs w:val="21"/>
          <w:highlight w:val="none"/>
        </w:rPr>
        <w:t>2.1 初步评审标准</w:t>
      </w:r>
      <w:r>
        <w:rPr>
          <w:highlight w:val="none"/>
        </w:rPr>
        <w:tab/>
      </w:r>
      <w:r>
        <w:rPr>
          <w:highlight w:val="none"/>
        </w:rPr>
        <w:fldChar w:fldCharType="begin"/>
      </w:r>
      <w:r>
        <w:rPr>
          <w:highlight w:val="none"/>
        </w:rPr>
        <w:instrText xml:space="preserve"> PAGEREF _Toc31574 \h </w:instrText>
      </w:r>
      <w:r>
        <w:rPr>
          <w:highlight w:val="none"/>
        </w:rPr>
        <w:fldChar w:fldCharType="separate"/>
      </w:r>
      <w:r>
        <w:rPr>
          <w:highlight w:val="none"/>
        </w:rPr>
        <w:t>32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"_Toc3548" </w:instrText>
      </w:r>
      <w:r>
        <w:rPr>
          <w:highlight w:val="none"/>
        </w:rPr>
        <w:fldChar w:fldCharType="separate"/>
      </w:r>
      <w:r>
        <w:rPr>
          <w:rFonts w:hint="eastAsia" w:ascii="宋体" w:hAnsi="宋体" w:cs="宋体"/>
          <w:szCs w:val="21"/>
          <w:highlight w:val="none"/>
        </w:rPr>
        <w:t>2.2 分值构成与评分标准</w:t>
      </w:r>
      <w:r>
        <w:rPr>
          <w:highlight w:val="none"/>
        </w:rPr>
        <w:tab/>
      </w:r>
      <w:r>
        <w:rPr>
          <w:highlight w:val="none"/>
        </w:rPr>
        <w:fldChar w:fldCharType="begin"/>
      </w:r>
      <w:r>
        <w:rPr>
          <w:highlight w:val="none"/>
        </w:rPr>
        <w:instrText xml:space="preserve"> PAGEREF _Toc3548 \h </w:instrText>
      </w:r>
      <w:r>
        <w:rPr>
          <w:highlight w:val="none"/>
        </w:rPr>
        <w:fldChar w:fldCharType="separate"/>
      </w:r>
      <w:r>
        <w:rPr>
          <w:highlight w:val="none"/>
        </w:rPr>
        <w:t>33</w:t>
      </w:r>
      <w:r>
        <w:rPr>
          <w:highlight w:val="none"/>
        </w:rPr>
        <w:fldChar w:fldCharType="end"/>
      </w:r>
      <w:r>
        <w:rPr>
          <w:highlight w:val="none"/>
        </w:rPr>
        <w:fldChar w:fldCharType="end"/>
      </w:r>
    </w:p>
    <w:p>
      <w:pPr>
        <w:pStyle w:val="26"/>
        <w:tabs>
          <w:tab w:val="right" w:leader="dot" w:pos="9354"/>
        </w:tabs>
        <w:rPr>
          <w:highlight w:val="none"/>
        </w:rPr>
      </w:pPr>
      <w:r>
        <w:rPr>
          <w:highlight w:val="none"/>
        </w:rPr>
        <w:fldChar w:fldCharType="begin"/>
      </w:r>
      <w:r>
        <w:rPr>
          <w:highlight w:val="none"/>
        </w:rPr>
        <w:instrText xml:space="preserve"> HYPERLINK \l "_Toc17308" </w:instrText>
      </w:r>
      <w:r>
        <w:rPr>
          <w:highlight w:val="none"/>
        </w:rPr>
        <w:fldChar w:fldCharType="separate"/>
      </w:r>
      <w:r>
        <w:rPr>
          <w:rFonts w:hint="eastAsia" w:ascii="宋体" w:hAnsi="宋体" w:cs="宋体"/>
          <w:highlight w:val="none"/>
        </w:rPr>
        <w:t>3. 评标程序</w:t>
      </w:r>
      <w:r>
        <w:rPr>
          <w:highlight w:val="none"/>
        </w:rPr>
        <w:tab/>
      </w:r>
      <w:r>
        <w:rPr>
          <w:highlight w:val="none"/>
        </w:rPr>
        <w:fldChar w:fldCharType="begin"/>
      </w:r>
      <w:r>
        <w:rPr>
          <w:highlight w:val="none"/>
        </w:rPr>
        <w:instrText xml:space="preserve"> PAGEREF _Toc17308 \h </w:instrText>
      </w:r>
      <w:r>
        <w:rPr>
          <w:highlight w:val="none"/>
        </w:rPr>
        <w:fldChar w:fldCharType="separate"/>
      </w:r>
      <w:r>
        <w:rPr>
          <w:highlight w:val="none"/>
        </w:rPr>
        <w:t>33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"_Toc3474" </w:instrText>
      </w:r>
      <w:r>
        <w:rPr>
          <w:highlight w:val="none"/>
        </w:rPr>
        <w:fldChar w:fldCharType="separate"/>
      </w:r>
      <w:r>
        <w:rPr>
          <w:rFonts w:hint="eastAsia" w:ascii="宋体" w:hAnsi="宋体" w:cs="宋体"/>
          <w:szCs w:val="21"/>
          <w:highlight w:val="none"/>
        </w:rPr>
        <w:t>3.1 初步评审</w:t>
      </w:r>
      <w:r>
        <w:rPr>
          <w:highlight w:val="none"/>
        </w:rPr>
        <w:tab/>
      </w:r>
      <w:r>
        <w:rPr>
          <w:highlight w:val="none"/>
        </w:rPr>
        <w:fldChar w:fldCharType="begin"/>
      </w:r>
      <w:r>
        <w:rPr>
          <w:highlight w:val="none"/>
        </w:rPr>
        <w:instrText xml:space="preserve"> PAGEREF _Toc3474 \h </w:instrText>
      </w:r>
      <w:r>
        <w:rPr>
          <w:highlight w:val="none"/>
        </w:rPr>
        <w:fldChar w:fldCharType="separate"/>
      </w:r>
      <w:r>
        <w:rPr>
          <w:highlight w:val="none"/>
        </w:rPr>
        <w:t>33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"_Toc5244" </w:instrText>
      </w:r>
      <w:r>
        <w:rPr>
          <w:highlight w:val="none"/>
        </w:rPr>
        <w:fldChar w:fldCharType="separate"/>
      </w:r>
      <w:r>
        <w:rPr>
          <w:rFonts w:hint="eastAsia" w:ascii="宋体" w:hAnsi="宋体" w:cs="宋体"/>
          <w:szCs w:val="21"/>
          <w:highlight w:val="none"/>
        </w:rPr>
        <w:t>3.2 详细评审</w:t>
      </w:r>
      <w:r>
        <w:rPr>
          <w:highlight w:val="none"/>
        </w:rPr>
        <w:tab/>
      </w:r>
      <w:r>
        <w:rPr>
          <w:highlight w:val="none"/>
        </w:rPr>
        <w:fldChar w:fldCharType="begin"/>
      </w:r>
      <w:r>
        <w:rPr>
          <w:highlight w:val="none"/>
        </w:rPr>
        <w:instrText xml:space="preserve"> PAGEREF _Toc5244 \h </w:instrText>
      </w:r>
      <w:r>
        <w:rPr>
          <w:highlight w:val="none"/>
        </w:rPr>
        <w:fldChar w:fldCharType="separate"/>
      </w:r>
      <w:r>
        <w:rPr>
          <w:highlight w:val="none"/>
        </w:rPr>
        <w:t>33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"_Toc7693" </w:instrText>
      </w:r>
      <w:r>
        <w:rPr>
          <w:highlight w:val="none"/>
        </w:rPr>
        <w:fldChar w:fldCharType="separate"/>
      </w:r>
      <w:r>
        <w:rPr>
          <w:rFonts w:hint="eastAsia" w:ascii="宋体" w:hAnsi="宋体" w:cs="宋体"/>
          <w:szCs w:val="21"/>
          <w:highlight w:val="none"/>
        </w:rPr>
        <w:t>3.3 投标文件的澄清和补正</w:t>
      </w:r>
      <w:r>
        <w:rPr>
          <w:highlight w:val="none"/>
        </w:rPr>
        <w:tab/>
      </w:r>
      <w:r>
        <w:rPr>
          <w:highlight w:val="none"/>
        </w:rPr>
        <w:fldChar w:fldCharType="begin"/>
      </w:r>
      <w:r>
        <w:rPr>
          <w:highlight w:val="none"/>
        </w:rPr>
        <w:instrText xml:space="preserve"> PAGEREF _Toc7693 \h </w:instrText>
      </w:r>
      <w:r>
        <w:rPr>
          <w:highlight w:val="none"/>
        </w:rPr>
        <w:fldChar w:fldCharType="separate"/>
      </w:r>
      <w:r>
        <w:rPr>
          <w:highlight w:val="none"/>
        </w:rPr>
        <w:t>34</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"_Toc95" </w:instrText>
      </w:r>
      <w:r>
        <w:rPr>
          <w:highlight w:val="none"/>
        </w:rPr>
        <w:fldChar w:fldCharType="separate"/>
      </w:r>
      <w:r>
        <w:rPr>
          <w:rFonts w:hint="eastAsia" w:ascii="宋体" w:hAnsi="宋体" w:cs="宋体"/>
          <w:szCs w:val="21"/>
          <w:highlight w:val="none"/>
        </w:rPr>
        <w:t>3.4 评标结果</w:t>
      </w:r>
      <w:r>
        <w:rPr>
          <w:highlight w:val="none"/>
        </w:rPr>
        <w:tab/>
      </w:r>
      <w:r>
        <w:rPr>
          <w:highlight w:val="none"/>
        </w:rPr>
        <w:fldChar w:fldCharType="begin"/>
      </w:r>
      <w:r>
        <w:rPr>
          <w:highlight w:val="none"/>
        </w:rPr>
        <w:instrText xml:space="preserve"> PAGEREF _Toc95 \h </w:instrText>
      </w:r>
      <w:r>
        <w:rPr>
          <w:highlight w:val="none"/>
        </w:rPr>
        <w:fldChar w:fldCharType="separate"/>
      </w:r>
      <w:r>
        <w:rPr>
          <w:highlight w:val="none"/>
        </w:rPr>
        <w:t>34</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"_Toc3717" </w:instrText>
      </w:r>
      <w:r>
        <w:rPr>
          <w:highlight w:val="none"/>
        </w:rPr>
        <w:fldChar w:fldCharType="separate"/>
      </w:r>
      <w:r>
        <w:rPr>
          <w:rFonts w:hint="eastAsia" w:ascii="宋体" w:hAnsi="宋体" w:cs="宋体"/>
          <w:szCs w:val="32"/>
          <w:highlight w:val="none"/>
        </w:rPr>
        <w:t>第四章 合同条款及格式</w:t>
      </w:r>
      <w:r>
        <w:rPr>
          <w:highlight w:val="none"/>
        </w:rPr>
        <w:tab/>
      </w:r>
      <w:r>
        <w:rPr>
          <w:highlight w:val="none"/>
        </w:rPr>
        <w:fldChar w:fldCharType="begin"/>
      </w:r>
      <w:r>
        <w:rPr>
          <w:highlight w:val="none"/>
        </w:rPr>
        <w:instrText xml:space="preserve"> PAGEREF _Toc3717 \h </w:instrText>
      </w:r>
      <w:r>
        <w:rPr>
          <w:highlight w:val="none"/>
        </w:rPr>
        <w:fldChar w:fldCharType="separate"/>
      </w:r>
      <w:r>
        <w:rPr>
          <w:highlight w:val="none"/>
        </w:rPr>
        <w:t>35</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"_Toc28209" </w:instrText>
      </w:r>
      <w:r>
        <w:rPr>
          <w:highlight w:val="none"/>
        </w:rPr>
        <w:fldChar w:fldCharType="separate"/>
      </w:r>
      <w:r>
        <w:rPr>
          <w:rFonts w:hint="eastAsia" w:ascii="宋体" w:hAnsi="宋体" w:cs="宋体"/>
          <w:szCs w:val="32"/>
          <w:highlight w:val="none"/>
        </w:rPr>
        <w:t>第五章  技术参数及要求</w:t>
      </w:r>
      <w:r>
        <w:rPr>
          <w:highlight w:val="none"/>
        </w:rPr>
        <w:tab/>
      </w:r>
      <w:r>
        <w:rPr>
          <w:highlight w:val="none"/>
        </w:rPr>
        <w:fldChar w:fldCharType="begin"/>
      </w:r>
      <w:r>
        <w:rPr>
          <w:highlight w:val="none"/>
        </w:rPr>
        <w:instrText xml:space="preserve"> PAGEREF _Toc28209 \h </w:instrText>
      </w:r>
      <w:r>
        <w:rPr>
          <w:highlight w:val="none"/>
        </w:rPr>
        <w:fldChar w:fldCharType="separate"/>
      </w:r>
      <w:r>
        <w:rPr>
          <w:highlight w:val="none"/>
        </w:rPr>
        <w:t>50</w:t>
      </w:r>
      <w:r>
        <w:rPr>
          <w:highlight w:val="none"/>
        </w:rPr>
        <w:fldChar w:fldCharType="end"/>
      </w:r>
      <w:r>
        <w:rPr>
          <w:highlight w:val="none"/>
        </w:rPr>
        <w:fldChar w:fldCharType="end"/>
      </w:r>
    </w:p>
    <w:p>
      <w:pPr>
        <w:pStyle w:val="23"/>
        <w:tabs>
          <w:tab w:val="right" w:leader="dot" w:pos="9354"/>
        </w:tabs>
        <w:rPr>
          <w:highlight w:val="none"/>
        </w:rPr>
      </w:pPr>
      <w:r>
        <w:rPr>
          <w:highlight w:val="none"/>
        </w:rPr>
        <w:fldChar w:fldCharType="begin"/>
      </w:r>
      <w:r>
        <w:rPr>
          <w:highlight w:val="none"/>
        </w:rPr>
        <w:instrText xml:space="preserve"> HYPERLINK \l "_Toc4592" </w:instrText>
      </w:r>
      <w:r>
        <w:rPr>
          <w:highlight w:val="none"/>
        </w:rPr>
        <w:fldChar w:fldCharType="separate"/>
      </w:r>
      <w:r>
        <w:rPr>
          <w:rFonts w:hint="eastAsia" w:ascii="宋体" w:hAnsi="宋体" w:cs="宋体"/>
          <w:szCs w:val="32"/>
          <w:highlight w:val="none"/>
        </w:rPr>
        <w:t>第六章  投标文件格式</w:t>
      </w:r>
      <w:r>
        <w:rPr>
          <w:highlight w:val="none"/>
        </w:rPr>
        <w:tab/>
      </w:r>
      <w:r>
        <w:rPr>
          <w:highlight w:val="none"/>
        </w:rPr>
        <w:fldChar w:fldCharType="begin"/>
      </w:r>
      <w:r>
        <w:rPr>
          <w:highlight w:val="none"/>
        </w:rPr>
        <w:instrText xml:space="preserve"> PAGEREF _Toc4592 \h </w:instrText>
      </w:r>
      <w:r>
        <w:rPr>
          <w:highlight w:val="none"/>
        </w:rPr>
        <w:fldChar w:fldCharType="separate"/>
      </w:r>
      <w:r>
        <w:rPr>
          <w:highlight w:val="none"/>
        </w:rPr>
        <w:t>160</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"_Toc358" </w:instrText>
      </w:r>
      <w:r>
        <w:rPr>
          <w:highlight w:val="none"/>
        </w:rPr>
        <w:fldChar w:fldCharType="separate"/>
      </w:r>
      <w:r>
        <w:rPr>
          <w:rFonts w:hint="eastAsia" w:ascii="宋体" w:hAnsi="宋体" w:cs="宋体"/>
          <w:highlight w:val="none"/>
        </w:rPr>
        <w:t>一、投标函及投标函附录</w:t>
      </w:r>
      <w:r>
        <w:rPr>
          <w:highlight w:val="none"/>
        </w:rPr>
        <w:tab/>
      </w:r>
      <w:r>
        <w:rPr>
          <w:highlight w:val="none"/>
        </w:rPr>
        <w:fldChar w:fldCharType="begin"/>
      </w:r>
      <w:r>
        <w:rPr>
          <w:highlight w:val="none"/>
        </w:rPr>
        <w:instrText xml:space="preserve"> PAGEREF _Toc358 \h </w:instrText>
      </w:r>
      <w:r>
        <w:rPr>
          <w:highlight w:val="none"/>
        </w:rPr>
        <w:fldChar w:fldCharType="separate"/>
      </w:r>
      <w:r>
        <w:rPr>
          <w:highlight w:val="none"/>
        </w:rPr>
        <w:t>162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"_Toc16310" </w:instrText>
      </w:r>
      <w:r>
        <w:rPr>
          <w:highlight w:val="none"/>
        </w:rPr>
        <w:fldChar w:fldCharType="separate"/>
      </w:r>
      <w:r>
        <w:rPr>
          <w:rFonts w:hint="eastAsia" w:ascii="宋体" w:hAnsi="宋体" w:cs="宋体"/>
          <w:szCs w:val="22"/>
          <w:highlight w:val="none"/>
        </w:rPr>
        <w:t>（一）投标函</w:t>
      </w:r>
      <w:r>
        <w:rPr>
          <w:highlight w:val="none"/>
        </w:rPr>
        <w:tab/>
      </w:r>
      <w:r>
        <w:rPr>
          <w:highlight w:val="none"/>
        </w:rPr>
        <w:fldChar w:fldCharType="begin"/>
      </w:r>
      <w:r>
        <w:rPr>
          <w:highlight w:val="none"/>
        </w:rPr>
        <w:instrText xml:space="preserve"> PAGEREF _Toc16310 \h </w:instrText>
      </w:r>
      <w:r>
        <w:rPr>
          <w:highlight w:val="none"/>
        </w:rPr>
        <w:fldChar w:fldCharType="separate"/>
      </w:r>
      <w:r>
        <w:rPr>
          <w:highlight w:val="none"/>
        </w:rPr>
        <w:t>162</w:t>
      </w:r>
      <w:r>
        <w:rPr>
          <w:highlight w:val="none"/>
        </w:rPr>
        <w:fldChar w:fldCharType="end"/>
      </w:r>
      <w:r>
        <w:rPr>
          <w:highlight w:val="none"/>
        </w:rPr>
        <w:fldChar w:fldCharType="end"/>
      </w:r>
    </w:p>
    <w:p>
      <w:pPr>
        <w:pStyle w:val="24"/>
        <w:tabs>
          <w:tab w:val="right" w:leader="dot" w:pos="9354"/>
        </w:tabs>
        <w:rPr>
          <w:highlight w:val="none"/>
        </w:rPr>
      </w:pPr>
      <w:r>
        <w:rPr>
          <w:highlight w:val="none"/>
        </w:rPr>
        <w:fldChar w:fldCharType="begin"/>
      </w:r>
      <w:r>
        <w:rPr>
          <w:highlight w:val="none"/>
        </w:rPr>
        <w:instrText xml:space="preserve"> HYPERLINK \l "_Toc7903" </w:instrText>
      </w:r>
      <w:r>
        <w:rPr>
          <w:highlight w:val="none"/>
        </w:rPr>
        <w:fldChar w:fldCharType="separate"/>
      </w:r>
      <w:r>
        <w:rPr>
          <w:rFonts w:hint="eastAsia" w:ascii="宋体" w:hAnsi="宋体" w:cs="宋体"/>
          <w:highlight w:val="none"/>
        </w:rPr>
        <w:t>（二）投标函附录</w:t>
      </w:r>
      <w:r>
        <w:rPr>
          <w:highlight w:val="none"/>
        </w:rPr>
        <w:tab/>
      </w:r>
      <w:r>
        <w:rPr>
          <w:highlight w:val="none"/>
        </w:rPr>
        <w:fldChar w:fldCharType="begin"/>
      </w:r>
      <w:r>
        <w:rPr>
          <w:highlight w:val="none"/>
        </w:rPr>
        <w:instrText xml:space="preserve"> PAGEREF _Toc7903 \h </w:instrText>
      </w:r>
      <w:r>
        <w:rPr>
          <w:highlight w:val="none"/>
        </w:rPr>
        <w:fldChar w:fldCharType="separate"/>
      </w:r>
      <w:r>
        <w:rPr>
          <w:highlight w:val="none"/>
        </w:rPr>
        <w:t>163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"_Toc12937" </w:instrText>
      </w:r>
      <w:r>
        <w:rPr>
          <w:highlight w:val="none"/>
        </w:rPr>
        <w:fldChar w:fldCharType="separate"/>
      </w:r>
      <w:r>
        <w:rPr>
          <w:rFonts w:hint="eastAsia" w:ascii="宋体" w:hAnsi="宋体" w:cs="宋体"/>
          <w:highlight w:val="none"/>
        </w:rPr>
        <w:t>二、法定代表人身份证明</w:t>
      </w:r>
      <w:r>
        <w:rPr>
          <w:highlight w:val="none"/>
        </w:rPr>
        <w:tab/>
      </w:r>
      <w:r>
        <w:rPr>
          <w:highlight w:val="none"/>
        </w:rPr>
        <w:fldChar w:fldCharType="begin"/>
      </w:r>
      <w:r>
        <w:rPr>
          <w:highlight w:val="none"/>
        </w:rPr>
        <w:instrText xml:space="preserve"> PAGEREF _Toc12937 \h </w:instrText>
      </w:r>
      <w:r>
        <w:rPr>
          <w:highlight w:val="none"/>
        </w:rPr>
        <w:fldChar w:fldCharType="separate"/>
      </w:r>
      <w:r>
        <w:rPr>
          <w:highlight w:val="none"/>
        </w:rPr>
        <w:t>164</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"_Toc9676" </w:instrText>
      </w:r>
      <w:r>
        <w:rPr>
          <w:highlight w:val="none"/>
        </w:rPr>
        <w:fldChar w:fldCharType="separate"/>
      </w:r>
      <w:r>
        <w:rPr>
          <w:rFonts w:hint="eastAsia" w:ascii="宋体" w:hAnsi="宋体" w:cs="宋体"/>
          <w:highlight w:val="none"/>
        </w:rPr>
        <w:t>三、授权委托书</w:t>
      </w:r>
      <w:r>
        <w:rPr>
          <w:highlight w:val="none"/>
        </w:rPr>
        <w:tab/>
      </w:r>
      <w:r>
        <w:rPr>
          <w:highlight w:val="none"/>
        </w:rPr>
        <w:fldChar w:fldCharType="begin"/>
      </w:r>
      <w:r>
        <w:rPr>
          <w:highlight w:val="none"/>
        </w:rPr>
        <w:instrText xml:space="preserve"> PAGEREF _Toc9676 \h </w:instrText>
      </w:r>
      <w:r>
        <w:rPr>
          <w:highlight w:val="none"/>
        </w:rPr>
        <w:fldChar w:fldCharType="separate"/>
      </w:r>
      <w:r>
        <w:rPr>
          <w:highlight w:val="none"/>
        </w:rPr>
        <w:t>165</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"_Toc15405" </w:instrText>
      </w:r>
      <w:r>
        <w:rPr>
          <w:highlight w:val="none"/>
        </w:rPr>
        <w:fldChar w:fldCharType="separate"/>
      </w:r>
      <w:r>
        <w:rPr>
          <w:rFonts w:hint="eastAsia" w:ascii="宋体" w:hAnsi="宋体" w:cs="宋体"/>
          <w:highlight w:val="none"/>
        </w:rPr>
        <w:t>四、报价明细表</w:t>
      </w:r>
      <w:r>
        <w:rPr>
          <w:highlight w:val="none"/>
        </w:rPr>
        <w:tab/>
      </w:r>
      <w:r>
        <w:rPr>
          <w:highlight w:val="none"/>
        </w:rPr>
        <w:fldChar w:fldCharType="begin"/>
      </w:r>
      <w:r>
        <w:rPr>
          <w:highlight w:val="none"/>
        </w:rPr>
        <w:instrText xml:space="preserve"> PAGEREF _Toc15405 \h </w:instrText>
      </w:r>
      <w:r>
        <w:rPr>
          <w:highlight w:val="none"/>
        </w:rPr>
        <w:fldChar w:fldCharType="separate"/>
      </w:r>
      <w:r>
        <w:rPr>
          <w:highlight w:val="none"/>
        </w:rPr>
        <w:t>166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"_Toc30652" </w:instrText>
      </w:r>
      <w:r>
        <w:rPr>
          <w:highlight w:val="none"/>
        </w:rPr>
        <w:fldChar w:fldCharType="separate"/>
      </w:r>
      <w:r>
        <w:rPr>
          <w:rFonts w:hint="eastAsia" w:ascii="宋体" w:hAnsi="宋体" w:cs="宋体"/>
          <w:highlight w:val="none"/>
        </w:rPr>
        <w:t>五、投标承诺函</w:t>
      </w:r>
      <w:r>
        <w:rPr>
          <w:highlight w:val="none"/>
        </w:rPr>
        <w:tab/>
      </w:r>
      <w:r>
        <w:rPr>
          <w:highlight w:val="none"/>
        </w:rPr>
        <w:fldChar w:fldCharType="begin"/>
      </w:r>
      <w:r>
        <w:rPr>
          <w:highlight w:val="none"/>
        </w:rPr>
        <w:instrText xml:space="preserve"> PAGEREF _Toc30652 \h </w:instrText>
      </w:r>
      <w:r>
        <w:rPr>
          <w:highlight w:val="none"/>
        </w:rPr>
        <w:fldChar w:fldCharType="separate"/>
      </w:r>
      <w:r>
        <w:rPr>
          <w:highlight w:val="none"/>
        </w:rPr>
        <w:t>167</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"_Toc7017" </w:instrText>
      </w:r>
      <w:r>
        <w:rPr>
          <w:highlight w:val="none"/>
        </w:rPr>
        <w:fldChar w:fldCharType="separate"/>
      </w:r>
      <w:r>
        <w:rPr>
          <w:rFonts w:hint="eastAsia" w:ascii="宋体" w:hAnsi="宋体" w:cs="宋体"/>
          <w:highlight w:val="none"/>
        </w:rPr>
        <w:t>六、招标代理服务费承诺函</w:t>
      </w:r>
      <w:r>
        <w:rPr>
          <w:highlight w:val="none"/>
        </w:rPr>
        <w:tab/>
      </w:r>
      <w:r>
        <w:rPr>
          <w:highlight w:val="none"/>
        </w:rPr>
        <w:fldChar w:fldCharType="begin"/>
      </w:r>
      <w:r>
        <w:rPr>
          <w:highlight w:val="none"/>
        </w:rPr>
        <w:instrText xml:space="preserve"> PAGEREF _Toc7017 \h </w:instrText>
      </w:r>
      <w:r>
        <w:rPr>
          <w:highlight w:val="none"/>
        </w:rPr>
        <w:fldChar w:fldCharType="separate"/>
      </w:r>
      <w:r>
        <w:rPr>
          <w:highlight w:val="none"/>
        </w:rPr>
        <w:t>169</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"_Toc30211" </w:instrText>
      </w:r>
      <w:r>
        <w:rPr>
          <w:highlight w:val="none"/>
        </w:rPr>
        <w:fldChar w:fldCharType="separate"/>
      </w:r>
      <w:r>
        <w:rPr>
          <w:rFonts w:hint="eastAsia" w:ascii="宋体" w:hAnsi="宋体" w:cs="宋体"/>
          <w:highlight w:val="none"/>
        </w:rPr>
        <w:t>七、资格审查资料</w:t>
      </w:r>
      <w:r>
        <w:rPr>
          <w:highlight w:val="none"/>
        </w:rPr>
        <w:tab/>
      </w:r>
      <w:r>
        <w:rPr>
          <w:highlight w:val="none"/>
        </w:rPr>
        <w:fldChar w:fldCharType="begin"/>
      </w:r>
      <w:r>
        <w:rPr>
          <w:highlight w:val="none"/>
        </w:rPr>
        <w:instrText xml:space="preserve"> PAGEREF _Toc30211 \h </w:instrText>
      </w:r>
      <w:r>
        <w:rPr>
          <w:highlight w:val="none"/>
        </w:rPr>
        <w:fldChar w:fldCharType="separate"/>
      </w:r>
      <w:r>
        <w:rPr>
          <w:highlight w:val="none"/>
        </w:rPr>
        <w:t>170</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"_Toc31556" </w:instrText>
      </w:r>
      <w:r>
        <w:rPr>
          <w:highlight w:val="none"/>
        </w:rPr>
        <w:fldChar w:fldCharType="separate"/>
      </w:r>
      <w:r>
        <w:rPr>
          <w:rFonts w:hint="eastAsia" w:ascii="宋体" w:hAnsi="宋体" w:cs="宋体"/>
          <w:highlight w:val="none"/>
        </w:rPr>
        <w:t>八、技术偏离表</w:t>
      </w:r>
      <w:r>
        <w:rPr>
          <w:highlight w:val="none"/>
        </w:rPr>
        <w:tab/>
      </w:r>
      <w:r>
        <w:rPr>
          <w:highlight w:val="none"/>
        </w:rPr>
        <w:fldChar w:fldCharType="begin"/>
      </w:r>
      <w:r>
        <w:rPr>
          <w:highlight w:val="none"/>
        </w:rPr>
        <w:instrText xml:space="preserve"> PAGEREF _Toc31556 \h </w:instrText>
      </w:r>
      <w:r>
        <w:rPr>
          <w:highlight w:val="none"/>
        </w:rPr>
        <w:fldChar w:fldCharType="separate"/>
      </w:r>
      <w:r>
        <w:rPr>
          <w:highlight w:val="none"/>
        </w:rPr>
        <w:t>171</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"_Toc14982" </w:instrText>
      </w:r>
      <w:r>
        <w:rPr>
          <w:highlight w:val="none"/>
        </w:rPr>
        <w:fldChar w:fldCharType="separate"/>
      </w:r>
      <w:r>
        <w:rPr>
          <w:rFonts w:hint="eastAsia"/>
          <w:highlight w:val="none"/>
        </w:rPr>
        <w:t>九、项目实施方案</w:t>
      </w:r>
      <w:r>
        <w:rPr>
          <w:highlight w:val="none"/>
        </w:rPr>
        <w:tab/>
      </w:r>
      <w:r>
        <w:rPr>
          <w:highlight w:val="none"/>
        </w:rPr>
        <w:fldChar w:fldCharType="begin"/>
      </w:r>
      <w:r>
        <w:rPr>
          <w:highlight w:val="none"/>
        </w:rPr>
        <w:instrText xml:space="preserve"> PAGEREF _Toc14982 \h </w:instrText>
      </w:r>
      <w:r>
        <w:rPr>
          <w:highlight w:val="none"/>
        </w:rPr>
        <w:fldChar w:fldCharType="separate"/>
      </w:r>
      <w:r>
        <w:rPr>
          <w:highlight w:val="none"/>
        </w:rPr>
        <w:t>172</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"_Toc9500" </w:instrText>
      </w:r>
      <w:r>
        <w:rPr>
          <w:highlight w:val="none"/>
        </w:rPr>
        <w:fldChar w:fldCharType="separate"/>
      </w:r>
      <w:r>
        <w:rPr>
          <w:rFonts w:hint="eastAsia"/>
          <w:highlight w:val="none"/>
        </w:rPr>
        <w:t>十、供应商企业实力</w:t>
      </w:r>
      <w:r>
        <w:rPr>
          <w:highlight w:val="none"/>
        </w:rPr>
        <w:tab/>
      </w:r>
      <w:r>
        <w:rPr>
          <w:highlight w:val="none"/>
        </w:rPr>
        <w:fldChar w:fldCharType="begin"/>
      </w:r>
      <w:r>
        <w:rPr>
          <w:highlight w:val="none"/>
        </w:rPr>
        <w:instrText xml:space="preserve"> PAGEREF _Toc9500 \h </w:instrText>
      </w:r>
      <w:r>
        <w:rPr>
          <w:highlight w:val="none"/>
        </w:rPr>
        <w:fldChar w:fldCharType="separate"/>
      </w:r>
      <w:r>
        <w:rPr>
          <w:highlight w:val="none"/>
        </w:rPr>
        <w:t>173</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"_Toc27639" </w:instrText>
      </w:r>
      <w:r>
        <w:rPr>
          <w:highlight w:val="none"/>
        </w:rPr>
        <w:fldChar w:fldCharType="separate"/>
      </w:r>
      <w:r>
        <w:rPr>
          <w:rFonts w:hint="eastAsia" w:ascii="宋体" w:hAnsi="宋体" w:cs="宋体"/>
          <w:highlight w:val="none"/>
        </w:rPr>
        <w:t>十一、反商业贿赂承诺书</w:t>
      </w:r>
      <w:r>
        <w:rPr>
          <w:highlight w:val="none"/>
        </w:rPr>
        <w:tab/>
      </w:r>
      <w:r>
        <w:rPr>
          <w:highlight w:val="none"/>
        </w:rPr>
        <w:fldChar w:fldCharType="begin"/>
      </w:r>
      <w:r>
        <w:rPr>
          <w:highlight w:val="none"/>
        </w:rPr>
        <w:instrText xml:space="preserve"> PAGEREF _Toc27639 \h </w:instrText>
      </w:r>
      <w:r>
        <w:rPr>
          <w:highlight w:val="none"/>
        </w:rPr>
        <w:fldChar w:fldCharType="separate"/>
      </w:r>
      <w:r>
        <w:rPr>
          <w:highlight w:val="none"/>
        </w:rPr>
        <w:t>174</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"_Toc17540" </w:instrText>
      </w:r>
      <w:r>
        <w:rPr>
          <w:highlight w:val="none"/>
        </w:rPr>
        <w:fldChar w:fldCharType="separate"/>
      </w:r>
      <w:r>
        <w:rPr>
          <w:rFonts w:hint="eastAsia" w:ascii="宋体" w:hAnsi="宋体" w:cs="宋体"/>
          <w:highlight w:val="none"/>
        </w:rPr>
        <w:t>十二、中小企业声明函</w:t>
      </w:r>
      <w:r>
        <w:rPr>
          <w:highlight w:val="none"/>
        </w:rPr>
        <w:tab/>
      </w:r>
      <w:r>
        <w:rPr>
          <w:highlight w:val="none"/>
        </w:rPr>
        <w:fldChar w:fldCharType="begin"/>
      </w:r>
      <w:r>
        <w:rPr>
          <w:highlight w:val="none"/>
        </w:rPr>
        <w:instrText xml:space="preserve"> PAGEREF _Toc17540 \h </w:instrText>
      </w:r>
      <w:r>
        <w:rPr>
          <w:highlight w:val="none"/>
        </w:rPr>
        <w:fldChar w:fldCharType="separate"/>
      </w:r>
      <w:r>
        <w:rPr>
          <w:highlight w:val="none"/>
        </w:rPr>
        <w:t>175</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"_Toc12467" </w:instrText>
      </w:r>
      <w:r>
        <w:rPr>
          <w:highlight w:val="none"/>
        </w:rPr>
        <w:fldChar w:fldCharType="separate"/>
      </w:r>
      <w:r>
        <w:rPr>
          <w:rFonts w:hint="eastAsia" w:ascii="宋体" w:hAnsi="宋体" w:cs="宋体"/>
          <w:highlight w:val="none"/>
        </w:rPr>
        <w:t>十三、残疾人福利性单位声明函</w:t>
      </w:r>
      <w:r>
        <w:rPr>
          <w:highlight w:val="none"/>
        </w:rPr>
        <w:tab/>
      </w:r>
      <w:r>
        <w:rPr>
          <w:highlight w:val="none"/>
        </w:rPr>
        <w:fldChar w:fldCharType="begin"/>
      </w:r>
      <w:r>
        <w:rPr>
          <w:highlight w:val="none"/>
        </w:rPr>
        <w:instrText xml:space="preserve"> PAGEREF _Toc12467 \h </w:instrText>
      </w:r>
      <w:r>
        <w:rPr>
          <w:highlight w:val="none"/>
        </w:rPr>
        <w:fldChar w:fldCharType="separate"/>
      </w:r>
      <w:r>
        <w:rPr>
          <w:highlight w:val="none"/>
        </w:rPr>
        <w:t>176</w:t>
      </w:r>
      <w:r>
        <w:rPr>
          <w:highlight w:val="none"/>
        </w:rPr>
        <w:fldChar w:fldCharType="end"/>
      </w:r>
      <w:r>
        <w:rPr>
          <w:highlight w:val="none"/>
        </w:rPr>
        <w:fldChar w:fldCharType="end"/>
      </w:r>
    </w:p>
    <w:p>
      <w:pPr>
        <w:pStyle w:val="16"/>
        <w:tabs>
          <w:tab w:val="right" w:leader="dot" w:pos="9354"/>
        </w:tabs>
        <w:rPr>
          <w:highlight w:val="none"/>
        </w:rPr>
      </w:pPr>
      <w:r>
        <w:rPr>
          <w:highlight w:val="none"/>
        </w:rPr>
        <w:fldChar w:fldCharType="begin"/>
      </w:r>
      <w:r>
        <w:rPr>
          <w:highlight w:val="none"/>
        </w:rPr>
        <w:instrText xml:space="preserve"> HYPERLINK \l "_Toc21264" </w:instrText>
      </w:r>
      <w:r>
        <w:rPr>
          <w:highlight w:val="none"/>
        </w:rPr>
        <w:fldChar w:fldCharType="separate"/>
      </w:r>
      <w:r>
        <w:rPr>
          <w:rFonts w:hint="eastAsia" w:ascii="宋体" w:hAnsi="宋体" w:cs="宋体"/>
          <w:highlight w:val="none"/>
        </w:rPr>
        <w:t>十四、其他材料</w:t>
      </w:r>
      <w:r>
        <w:rPr>
          <w:highlight w:val="none"/>
        </w:rPr>
        <w:tab/>
      </w:r>
      <w:r>
        <w:rPr>
          <w:highlight w:val="none"/>
        </w:rPr>
        <w:fldChar w:fldCharType="begin"/>
      </w:r>
      <w:r>
        <w:rPr>
          <w:highlight w:val="none"/>
        </w:rPr>
        <w:instrText xml:space="preserve"> PAGEREF _Toc21264 \h </w:instrText>
      </w:r>
      <w:r>
        <w:rPr>
          <w:highlight w:val="none"/>
        </w:rPr>
        <w:fldChar w:fldCharType="separate"/>
      </w:r>
      <w:r>
        <w:rPr>
          <w:highlight w:val="none"/>
        </w:rPr>
        <w:t>177</w:t>
      </w:r>
      <w:r>
        <w:rPr>
          <w:highlight w:val="none"/>
        </w:rPr>
        <w:fldChar w:fldCharType="end"/>
      </w:r>
      <w:r>
        <w:rPr>
          <w:highlight w:val="none"/>
        </w:rPr>
        <w:fldChar w:fldCharType="end"/>
      </w:r>
    </w:p>
    <w:p>
      <w:pPr>
        <w:pStyle w:val="16"/>
        <w:tabs>
          <w:tab w:val="right" w:leader="dot" w:pos="9070"/>
        </w:tabs>
        <w:spacing w:line="360" w:lineRule="auto"/>
        <w:ind w:left="0" w:leftChars="0"/>
        <w:jc w:val="center"/>
        <w:rPr>
          <w:rFonts w:ascii="宋体" w:hAnsi="宋体" w:cs="宋体"/>
          <w:bCs/>
          <w:spacing w:val="138"/>
          <w:kern w:val="0"/>
          <w:szCs w:val="32"/>
          <w:highlight w:val="none"/>
        </w:rPr>
      </w:pPr>
      <w:r>
        <w:rPr>
          <w:rFonts w:hint="eastAsia" w:ascii="宋体" w:hAnsi="宋体" w:cs="宋体"/>
          <w:bCs/>
          <w:spacing w:val="138"/>
          <w:kern w:val="0"/>
          <w:szCs w:val="32"/>
          <w:highlight w:val="none"/>
        </w:rPr>
        <w:fldChar w:fldCharType="end"/>
      </w:r>
      <w:bookmarkEnd w:id="0"/>
    </w:p>
    <w:p>
      <w:pPr>
        <w:pStyle w:val="2"/>
        <w:spacing w:line="360" w:lineRule="auto"/>
        <w:jc w:val="center"/>
        <w:rPr>
          <w:rFonts w:ascii="宋体" w:hAnsi="宋体" w:cs="宋体"/>
          <w:spacing w:val="138"/>
          <w:kern w:val="0"/>
          <w:szCs w:val="32"/>
          <w:highlight w:val="none"/>
        </w:rPr>
      </w:pPr>
      <w:r>
        <w:rPr>
          <w:rFonts w:hint="eastAsia" w:ascii="宋体" w:hAnsi="宋体" w:cs="宋体"/>
          <w:spacing w:val="138"/>
          <w:kern w:val="0"/>
          <w:szCs w:val="32"/>
          <w:highlight w:val="none"/>
        </w:rPr>
        <w:br w:type="page"/>
      </w:r>
    </w:p>
    <w:p>
      <w:pPr>
        <w:pStyle w:val="2"/>
        <w:spacing w:line="360" w:lineRule="auto"/>
        <w:jc w:val="center"/>
        <w:rPr>
          <w:rFonts w:asciiTheme="majorEastAsia" w:hAnsiTheme="majorEastAsia" w:eastAsiaTheme="majorEastAsia" w:cstheme="majorEastAsia"/>
          <w:kern w:val="0"/>
          <w:sz w:val="32"/>
          <w:szCs w:val="32"/>
          <w:highlight w:val="none"/>
        </w:rPr>
      </w:pPr>
      <w:bookmarkStart w:id="1" w:name="_Toc24017"/>
      <w:r>
        <w:rPr>
          <w:rFonts w:hint="eastAsia" w:asciiTheme="majorEastAsia" w:hAnsiTheme="majorEastAsia" w:eastAsiaTheme="majorEastAsia" w:cstheme="majorEastAsia"/>
          <w:kern w:val="0"/>
          <w:sz w:val="32"/>
          <w:szCs w:val="32"/>
          <w:highlight w:val="none"/>
        </w:rPr>
        <w:t>第一章  招标公告</w:t>
      </w:r>
      <w:bookmarkEnd w:id="1"/>
    </w:p>
    <w:p>
      <w:pPr>
        <w:pStyle w:val="31"/>
        <w:spacing w:after="0" w:line="360" w:lineRule="auto"/>
        <w:ind w:firstLine="482" w:firstLineChars="200"/>
        <w:jc w:val="center"/>
        <w:rPr>
          <w:rFonts w:ascii="宋体" w:hAnsi="宋体" w:cs="宋体"/>
          <w:b/>
          <w:bCs/>
          <w:szCs w:val="24"/>
          <w:highlight w:val="none"/>
        </w:rPr>
      </w:pPr>
      <w:r>
        <w:rPr>
          <w:rFonts w:hint="eastAsia" w:ascii="宋体" w:hAnsi="宋体" w:cs="宋体"/>
          <w:b/>
          <w:bCs/>
          <w:szCs w:val="24"/>
          <w:highlight w:val="none"/>
        </w:rPr>
        <w:t>荥阳市卫生健康委员会荥阳市紧密型医共体信息化建设项目公开招标公告</w:t>
      </w:r>
    </w:p>
    <w:p>
      <w:pPr>
        <w:pStyle w:val="31"/>
        <w:spacing w:after="0"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项目概况：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的潜在投标人应在荥阳市公共资源交易中心网站</w:t>
      </w:r>
      <w:r>
        <w:rPr>
          <w:highlight w:val="none"/>
        </w:rPr>
        <w:fldChar w:fldCharType="begin"/>
      </w:r>
      <w:r>
        <w:rPr>
          <w:highlight w:val="none"/>
        </w:rPr>
        <w:instrText xml:space="preserve"> HYPERLINK "http://www.xyggzyjy.gov.cn获取招标文件，并于2021年" </w:instrText>
      </w:r>
      <w:r>
        <w:rPr>
          <w:highlight w:val="none"/>
        </w:rPr>
        <w:fldChar w:fldCharType="separate"/>
      </w:r>
      <w:r>
        <w:rPr>
          <w:rStyle w:val="44"/>
          <w:rFonts w:hint="eastAsia" w:ascii="宋体" w:hAnsi="宋体" w:cs="宋体"/>
          <w:color w:val="auto"/>
          <w:sz w:val="21"/>
          <w:szCs w:val="21"/>
          <w:highlight w:val="none"/>
          <w:u w:val="none"/>
        </w:rPr>
        <w:t>获取招标文件，并于</w:t>
      </w:r>
      <w:r>
        <w:rPr>
          <w:rStyle w:val="44"/>
          <w:rFonts w:hint="eastAsia" w:ascii="宋体" w:hAnsi="宋体" w:cs="宋体"/>
          <w:color w:val="auto"/>
          <w:sz w:val="21"/>
          <w:szCs w:val="21"/>
          <w:highlight w:val="none"/>
          <w:u w:val="none"/>
          <w:lang w:eastAsia="zh-CN"/>
        </w:rPr>
        <w:t>2024年</w:t>
      </w:r>
      <w:r>
        <w:rPr>
          <w:rStyle w:val="44"/>
          <w:rFonts w:hint="eastAsia" w:ascii="宋体" w:hAnsi="宋体" w:cs="宋体"/>
          <w:color w:val="auto"/>
          <w:sz w:val="21"/>
          <w:szCs w:val="21"/>
          <w:highlight w:val="none"/>
          <w:u w:val="none"/>
        </w:rPr>
        <w:fldChar w:fldCharType="end"/>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日09时00分（北京时间）前递交投标文件。</w:t>
      </w:r>
    </w:p>
    <w:p>
      <w:pPr>
        <w:numPr>
          <w:ilvl w:val="0"/>
          <w:numId w:val="1"/>
        </w:numPr>
        <w:spacing w:line="360" w:lineRule="auto"/>
        <w:rPr>
          <w:rFonts w:ascii="宋体" w:hAnsi="宋体" w:cs="宋体"/>
          <w:b/>
          <w:bCs/>
          <w:szCs w:val="21"/>
          <w:highlight w:val="none"/>
        </w:rPr>
      </w:pPr>
      <w:r>
        <w:rPr>
          <w:rFonts w:hint="eastAsia" w:ascii="宋体" w:hAnsi="宋体" w:cs="宋体"/>
          <w:b/>
          <w:bCs/>
          <w:szCs w:val="21"/>
          <w:highlight w:val="none"/>
        </w:rPr>
        <w:t>项目基本情况</w:t>
      </w:r>
    </w:p>
    <w:p>
      <w:pPr>
        <w:pStyle w:val="31"/>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1、采购项目编号：荥财公开-2024-18；</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2、采购项目名称：</w:t>
      </w:r>
      <w:r>
        <w:rPr>
          <w:rFonts w:hint="eastAsia" w:ascii="宋体" w:hAnsi="宋体" w:cs="宋体"/>
          <w:szCs w:val="21"/>
          <w:highlight w:val="none"/>
          <w:lang w:eastAsia="zh-CN"/>
        </w:rPr>
        <w:t>荥阳市卫生健康委员会荥阳市紧密型医共体信息化建设项目</w:t>
      </w:r>
      <w:r>
        <w:rPr>
          <w:rFonts w:hint="eastAsia" w:ascii="宋体" w:hAnsi="宋体" w:cs="宋体"/>
          <w:szCs w:val="21"/>
          <w:highlight w:val="none"/>
        </w:rPr>
        <w:t>；</w:t>
      </w:r>
    </w:p>
    <w:p>
      <w:pPr>
        <w:pStyle w:val="31"/>
        <w:spacing w:after="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3、采购方式：公开招标；</w:t>
      </w:r>
    </w:p>
    <w:p>
      <w:pPr>
        <w:spacing w:line="360" w:lineRule="auto"/>
        <w:ind w:firstLine="420"/>
        <w:rPr>
          <w:rFonts w:ascii="宋体" w:hAnsi="宋体" w:cs="宋体"/>
          <w:szCs w:val="21"/>
          <w:highlight w:val="none"/>
        </w:rPr>
      </w:pPr>
      <w:r>
        <w:rPr>
          <w:rFonts w:hint="eastAsia" w:ascii="宋体" w:hAnsi="宋体" w:cs="宋体"/>
          <w:szCs w:val="21"/>
          <w:highlight w:val="none"/>
        </w:rPr>
        <w:t>3.1标段划分：本项目划分为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szCs w:val="21"/>
          <w:highlight w:val="none"/>
          <w:lang w:val="en-US" w:eastAsia="zh-CN"/>
        </w:rPr>
        <w:t>74759400</w:t>
      </w:r>
      <w:r>
        <w:rPr>
          <w:rFonts w:hint="eastAsia" w:ascii="宋体" w:hAnsi="宋体" w:cs="宋体"/>
          <w:szCs w:val="21"/>
          <w:highlight w:val="none"/>
        </w:rPr>
        <w:t>元；最高限价：</w:t>
      </w:r>
      <w:r>
        <w:rPr>
          <w:rFonts w:hint="eastAsia" w:ascii="宋体" w:hAnsi="宋体" w:cs="宋体"/>
          <w:szCs w:val="21"/>
          <w:highlight w:val="none"/>
          <w:lang w:val="en-US" w:eastAsia="zh-CN"/>
        </w:rPr>
        <w:t>74759400</w:t>
      </w:r>
      <w:r>
        <w:rPr>
          <w:rFonts w:hint="eastAsia" w:ascii="宋体" w:hAnsi="宋体" w:cs="宋体"/>
          <w:szCs w:val="21"/>
          <w:highlight w:val="none"/>
        </w:rPr>
        <w:t>元。</w:t>
      </w:r>
    </w:p>
    <w:tbl>
      <w:tblPr>
        <w:tblStyle w:val="33"/>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55"/>
        <w:gridCol w:w="2325"/>
        <w:gridCol w:w="1125"/>
        <w:gridCol w:w="1395"/>
        <w:gridCol w:w="13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序号</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包号</w:t>
            </w:r>
          </w:p>
        </w:tc>
        <w:tc>
          <w:tcPr>
            <w:tcW w:w="232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包名称</w:t>
            </w:r>
          </w:p>
        </w:tc>
        <w:tc>
          <w:tcPr>
            <w:tcW w:w="1125" w:type="dxa"/>
            <w:shd w:val="clear" w:color="auto" w:fill="auto"/>
            <w:vAlign w:val="center"/>
          </w:tcPr>
          <w:p>
            <w:pPr>
              <w:jc w:val="center"/>
              <w:rPr>
                <w:rFonts w:ascii="宋体" w:hAnsi="宋体" w:cs="宋体"/>
                <w:color w:val="000000"/>
                <w:szCs w:val="21"/>
                <w:highlight w:val="none"/>
              </w:rPr>
            </w:pPr>
            <w:r>
              <w:rPr>
                <w:rFonts w:hint="eastAsia" w:ascii="宋体" w:hAnsi="宋体" w:cs="宋体"/>
                <w:color w:val="000000"/>
                <w:szCs w:val="21"/>
                <w:highlight w:val="none"/>
              </w:rPr>
              <w:t>包预算（元）</w:t>
            </w:r>
          </w:p>
        </w:tc>
        <w:tc>
          <w:tcPr>
            <w:tcW w:w="139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最高限价（元）</w:t>
            </w:r>
          </w:p>
        </w:tc>
        <w:tc>
          <w:tcPr>
            <w:tcW w:w="133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是否专门面向中小企业</w:t>
            </w:r>
          </w:p>
        </w:tc>
        <w:tc>
          <w:tcPr>
            <w:tcW w:w="2100"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napToGrid w:val="0"/>
                <w:color w:val="000000"/>
                <w:kern w:val="0"/>
                <w:szCs w:val="21"/>
                <w:highlight w:val="none"/>
                <w:lang w:bidi="ar"/>
              </w:rPr>
              <w:t>1</w:t>
            </w:r>
          </w:p>
        </w:tc>
        <w:tc>
          <w:tcPr>
            <w:tcW w:w="1455" w:type="dxa"/>
            <w:shd w:val="clear" w:color="auto" w:fill="auto"/>
            <w:vAlign w:val="center"/>
          </w:tcPr>
          <w:p>
            <w:pPr>
              <w:widowControl/>
              <w:jc w:val="center"/>
              <w:textAlignment w:val="center"/>
              <w:rPr>
                <w:rFonts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-1</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snapToGrid w:val="0"/>
                <w:color w:val="000000"/>
                <w:kern w:val="0"/>
                <w:szCs w:val="21"/>
                <w:highlight w:val="none"/>
                <w:lang w:eastAsia="zh-CN" w:bidi="ar"/>
              </w:rPr>
              <w:t>荥阳市卫生健康委员会荥阳市紧密型医共体信息化建设项目一标段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b w:val="0"/>
                <w:bCs w:val="0"/>
                <w:sz w:val="21"/>
                <w:szCs w:val="21"/>
                <w:highlight w:val="none"/>
                <w:lang w:val="en-US"/>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95" w:type="dxa"/>
            <w:shd w:val="clear" w:color="auto" w:fill="auto"/>
            <w:vAlign w:val="center"/>
          </w:tcPr>
          <w:p>
            <w:pPr>
              <w:keepNext w:val="0"/>
              <w:keepLines w:val="0"/>
              <w:widowControl/>
              <w:suppressLineNumbers w:val="0"/>
              <w:jc w:val="center"/>
              <w:textAlignment w:val="center"/>
              <w:rPr>
                <w:rFonts w:ascii="宋体" w:hAnsi="宋体" w:cs="宋体"/>
                <w:b w:val="0"/>
                <w:bCs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39790000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2</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-2</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荥阳市卫生健康委员会荥阳市紧密型医共体信息化建设项目二标段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9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28442400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28442400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3</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-3</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荥阳市卫生健康委员会荥阳市紧密型医共体信息化建设项目三标段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5000000</w:t>
            </w:r>
            <w:r>
              <w:rPr>
                <w:rFonts w:hint="eastAsia" w:ascii="宋体" w:hAnsi="宋体" w:eastAsia="宋体" w:cs="宋体"/>
                <w:i w:val="0"/>
                <w:iCs w:val="0"/>
                <w:color w:val="000000"/>
                <w:kern w:val="0"/>
                <w:sz w:val="21"/>
                <w:szCs w:val="21"/>
                <w:highlight w:val="none"/>
                <w:u w:val="none"/>
                <w:lang w:val="en-US" w:eastAsia="zh-CN" w:bidi="ar"/>
              </w:rPr>
              <w:t xml:space="preserve">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4</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-4</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荥阳市卫生健康委员会荥阳市紧密型医共体信息化建设项目四标段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617000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617000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91" w:type="dxa"/>
            <w:shd w:val="clear" w:color="auto" w:fill="auto"/>
            <w:vAlign w:val="center"/>
          </w:tcPr>
          <w:p>
            <w:pPr>
              <w:widowControl/>
              <w:jc w:val="center"/>
              <w:textAlignment w:val="center"/>
              <w:rPr>
                <w:rFonts w:hint="eastAsia" w:ascii="宋体" w:hAnsi="宋体" w:eastAsia="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5</w:t>
            </w:r>
          </w:p>
        </w:tc>
        <w:tc>
          <w:tcPr>
            <w:tcW w:w="1455" w:type="dxa"/>
            <w:shd w:val="clear" w:color="auto" w:fill="auto"/>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-5</w:t>
            </w:r>
          </w:p>
        </w:tc>
        <w:tc>
          <w:tcPr>
            <w:tcW w:w="2325" w:type="dxa"/>
            <w:shd w:val="clear" w:color="auto" w:fill="auto"/>
            <w:vAlign w:val="center"/>
          </w:tcPr>
          <w:p>
            <w:pPr>
              <w:widowControl/>
              <w:jc w:val="center"/>
              <w:textAlignment w:val="center"/>
              <w:rPr>
                <w:rFonts w:hint="eastAsia" w:ascii="宋体" w:hAnsi="宋体" w:cs="宋体"/>
                <w:snapToGrid w:val="0"/>
                <w:color w:val="000000"/>
                <w:kern w:val="0"/>
                <w:szCs w:val="21"/>
                <w:highlight w:val="none"/>
                <w:lang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荥阳市卫生健康委员会荥阳市紧密型医共体信息化建设项目五标段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410000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否</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 ，其中小微企业采购金额：0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91" w:type="dxa"/>
            <w:shd w:val="clear" w:color="auto" w:fill="auto"/>
            <w:vAlign w:val="center"/>
          </w:tcPr>
          <w:p>
            <w:pPr>
              <w:widowControl/>
              <w:jc w:val="center"/>
              <w:textAlignment w:val="center"/>
              <w:rPr>
                <w:rFonts w:hint="default" w:ascii="宋体" w:hAnsi="宋体" w:cs="宋体"/>
                <w:snapToGrid w:val="0"/>
                <w:color w:val="000000"/>
                <w:kern w:val="0"/>
                <w:szCs w:val="21"/>
                <w:highlight w:val="none"/>
                <w:lang w:val="en-US" w:eastAsia="zh-CN" w:bidi="ar"/>
              </w:rPr>
            </w:pPr>
            <w:r>
              <w:rPr>
                <w:rFonts w:hint="eastAsia" w:ascii="宋体" w:hAnsi="宋体" w:cs="宋体"/>
                <w:snapToGrid w:val="0"/>
                <w:color w:val="000000"/>
                <w:kern w:val="0"/>
                <w:szCs w:val="21"/>
                <w:highlight w:val="none"/>
                <w:lang w:val="en-US" w:eastAsia="zh-CN" w:bidi="ar"/>
              </w:rPr>
              <w:t>6</w:t>
            </w:r>
          </w:p>
        </w:tc>
        <w:tc>
          <w:tcPr>
            <w:tcW w:w="1455" w:type="dxa"/>
            <w:shd w:val="clear" w:color="auto" w:fill="auto"/>
            <w:vAlign w:val="center"/>
          </w:tcPr>
          <w:p>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sz w:val="21"/>
                <w:szCs w:val="21"/>
                <w:highlight w:val="none"/>
              </w:rPr>
              <w:t>荥财公开-2024-18</w:t>
            </w:r>
            <w:r>
              <w:rPr>
                <w:rFonts w:hint="eastAsia" w:ascii="宋体" w:hAnsi="宋体" w:cs="宋体"/>
                <w:sz w:val="21"/>
                <w:szCs w:val="21"/>
                <w:highlight w:val="none"/>
                <w:lang w:val="en-US" w:eastAsia="zh-CN"/>
              </w:rPr>
              <w:t>-6</w:t>
            </w:r>
            <w:r>
              <w:rPr>
                <w:rFonts w:hint="eastAsia" w:ascii="宋体" w:hAnsi="宋体" w:cs="宋体"/>
                <w:color w:val="000000"/>
                <w:szCs w:val="21"/>
                <w:highlight w:val="none"/>
              </w:rPr>
              <w:t xml:space="preserve"> </w:t>
            </w:r>
          </w:p>
        </w:tc>
        <w:tc>
          <w:tcPr>
            <w:tcW w:w="2325" w:type="dxa"/>
            <w:shd w:val="clear" w:color="auto" w:fill="auto"/>
            <w:vAlign w:val="center"/>
          </w:tcPr>
          <w:p>
            <w:pPr>
              <w:widowControl/>
              <w:jc w:val="center"/>
              <w:textAlignment w:val="center"/>
              <w:rPr>
                <w:rFonts w:hint="eastAsia" w:ascii="宋体" w:hAnsi="宋体" w:eastAsia="宋体" w:cs="宋体"/>
                <w:snapToGrid w:val="0"/>
                <w:color w:val="000000"/>
                <w:kern w:val="0"/>
                <w:sz w:val="21"/>
                <w:szCs w:val="21"/>
                <w:highlight w:val="none"/>
                <w:lang w:val="en-US" w:eastAsia="zh-CN" w:bidi="ar"/>
              </w:rPr>
            </w:pPr>
            <w:r>
              <w:rPr>
                <w:rFonts w:hint="eastAsia" w:ascii="宋体" w:hAnsi="宋体" w:cs="宋体"/>
                <w:snapToGrid w:val="0"/>
                <w:color w:val="000000"/>
                <w:kern w:val="0"/>
                <w:szCs w:val="21"/>
                <w:highlight w:val="none"/>
                <w:lang w:eastAsia="zh-CN" w:bidi="ar"/>
              </w:rPr>
              <w:t>荥阳市卫生健康委员会荥阳市紧密型医共体信息化建设项目六标段</w:t>
            </w:r>
          </w:p>
        </w:tc>
        <w:tc>
          <w:tcPr>
            <w:tcW w:w="1125" w:type="dxa"/>
            <w:shd w:val="clear" w:color="auto" w:fill="auto"/>
            <w:vAlign w:val="center"/>
          </w:tcPr>
          <w:p>
            <w:pPr>
              <w:keepNext w:val="0"/>
              <w:keepLines w:val="0"/>
              <w:widowControl/>
              <w:suppressLineNumbers w:val="0"/>
              <w:jc w:val="center"/>
              <w:textAlignment w:val="center"/>
              <w:rPr>
                <w:rFonts w:hint="default"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95" w:type="dxa"/>
            <w:shd w:val="clear" w:color="auto" w:fill="auto"/>
            <w:vAlign w:val="center"/>
          </w:tcPr>
          <w:p>
            <w:pPr>
              <w:keepNext w:val="0"/>
              <w:keepLines w:val="0"/>
              <w:widowControl/>
              <w:suppressLineNumbers w:val="0"/>
              <w:jc w:val="center"/>
              <w:textAlignment w:val="center"/>
              <w:rPr>
                <w:rFonts w:hint="eastAsia" w:ascii="宋体" w:hAnsi="宋体" w:cs="宋体"/>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500000</w:t>
            </w:r>
          </w:p>
        </w:tc>
        <w:tc>
          <w:tcPr>
            <w:tcW w:w="133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是</w:t>
            </w:r>
          </w:p>
        </w:tc>
        <w:tc>
          <w:tcPr>
            <w:tcW w:w="21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500000</w:t>
            </w:r>
            <w:r>
              <w:rPr>
                <w:rFonts w:hint="eastAsia" w:ascii="宋体" w:hAnsi="宋体" w:eastAsia="宋体" w:cs="宋体"/>
                <w:i w:val="0"/>
                <w:iCs w:val="0"/>
                <w:color w:val="000000"/>
                <w:kern w:val="0"/>
                <w:sz w:val="21"/>
                <w:szCs w:val="21"/>
                <w:highlight w:val="none"/>
                <w:u w:val="none"/>
                <w:lang w:val="en-US" w:eastAsia="zh-CN" w:bidi="ar"/>
              </w:rPr>
              <w:t>，其中小微企业采购金额：0</w:t>
            </w:r>
          </w:p>
        </w:tc>
      </w:tr>
    </w:tbl>
    <w:p>
      <w:pPr>
        <w:spacing w:line="360" w:lineRule="auto"/>
        <w:ind w:firstLine="420" w:firstLineChars="200"/>
        <w:rPr>
          <w:rFonts w:ascii="宋体" w:hAnsi="宋体" w:cs="宋体"/>
          <w:szCs w:val="21"/>
          <w:highlight w:val="none"/>
        </w:rPr>
      </w:pPr>
      <w:r>
        <w:rPr>
          <w:rFonts w:hint="eastAsia" w:ascii="宋体" w:hAnsi="宋体" w:cs="宋体"/>
          <w:szCs w:val="21"/>
          <w:highlight w:val="none"/>
        </w:rPr>
        <w:t>5、采购需求（包括但不限于标的名称、数量、简要技术需求或服务要求等）</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5.1</w:t>
      </w:r>
      <w:r>
        <w:rPr>
          <w:rFonts w:hint="eastAsia" w:ascii="宋体" w:hAnsi="宋体" w:cs="宋体"/>
          <w:szCs w:val="21"/>
          <w:highlight w:val="none"/>
          <w:lang w:eastAsia="zh-CN"/>
        </w:rPr>
        <w:t>、</w:t>
      </w:r>
      <w:r>
        <w:rPr>
          <w:rFonts w:hint="eastAsia" w:ascii="宋体" w:hAnsi="宋体" w:cs="宋体"/>
          <w:szCs w:val="21"/>
          <w:highlight w:val="none"/>
        </w:rPr>
        <w:t>采购内容：该项目建设覆盖荥阳市5家二级医院(荥阳市人民医院、荥阳市中医院、荥阳市妇幼保健院、郑州华卓医院、郑州瑞祥医院)、13家乡镇卫生院、2家社区卫生服务中心、289个村卫生室的信息化系统。主要建设内容包括软件平台建设及硬件设备。软件平台包括基础平台设计、业务功能设计和互联互通接口三大板块。软件平台中的基础平台设计板块包括数据资源中心、数据交换平台、基础服务组件和全民健康平台(医共体)管理服务组件等;业务功能设计板块包括基础应用、业务协同、医共体便民惠民服务、医共体平台监管、医共体运营管理和基层业务类等;互联互通接口板块包括与县级医疗机构对接和上级平台对接两部分。硬件设备包括15 套乡镇卫生院(社区卫生服务中心)院内网络改造、289 套村卫生室电脑(或云桌面)和打印机、1套指挥中心显示屏、200 台心电图机、439台医疗读卡器、30台条码打印机、45 台扫码枪、15 台前置机和 260 个 UKEY</w:t>
      </w:r>
      <w:r>
        <w:rPr>
          <w:rFonts w:hint="eastAsia" w:ascii="宋体" w:hAnsi="宋体" w:cs="宋体"/>
          <w:szCs w:val="21"/>
          <w:highlight w:val="none"/>
          <w:lang w:eastAsia="zh-CN"/>
        </w:rPr>
        <w:t>（具体以招标文件为准）</w:t>
      </w:r>
      <w:r>
        <w:rPr>
          <w:rFonts w:hint="eastAsia" w:ascii="宋体" w:hAnsi="宋体" w:cs="宋体"/>
          <w:szCs w:val="21"/>
          <w:highlight w:val="none"/>
        </w:rPr>
        <w:t>。</w:t>
      </w:r>
      <w:r>
        <w:rPr>
          <w:rFonts w:hint="eastAsia" w:ascii="宋体" w:hAnsi="宋体" w:cs="宋体"/>
          <w:szCs w:val="21"/>
          <w:highlight w:val="none"/>
          <w:lang w:val="en-US" w:eastAsia="zh-CN"/>
        </w:rPr>
        <w:t>建设要求达到区域互联互通四甲标准，配合区域互联互通四甲评审服务。</w:t>
      </w:r>
      <w:r>
        <w:rPr>
          <w:rFonts w:hint="eastAsia" w:ascii="宋体" w:hAnsi="宋体" w:cs="宋体"/>
          <w:szCs w:val="21"/>
          <w:highlight w:val="none"/>
          <w:lang w:eastAsia="zh-CN"/>
        </w:rPr>
        <w:t>其中一标段：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信息化软件建设，二标段：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基础能力提升，三标段：</w:t>
      </w:r>
      <w:r>
        <w:rPr>
          <w:rFonts w:hint="eastAsia" w:ascii="宋体" w:hAnsi="宋体" w:cs="宋体"/>
          <w:szCs w:val="21"/>
          <w:highlight w:val="none"/>
          <w:lang w:val="en-US" w:eastAsia="zh-CN"/>
        </w:rPr>
        <w:t>荥阳市紧密型医共体信息化建设项目</w:t>
      </w:r>
      <w:r>
        <w:rPr>
          <w:rFonts w:hint="eastAsia" w:ascii="宋体" w:hAnsi="宋体" w:cs="宋体"/>
          <w:szCs w:val="21"/>
          <w:highlight w:val="none"/>
          <w:lang w:eastAsia="zh-CN"/>
        </w:rPr>
        <w:t>购置</w:t>
      </w:r>
      <w:r>
        <w:rPr>
          <w:rFonts w:hint="eastAsia" w:ascii="宋体" w:hAnsi="宋体" w:cs="宋体"/>
          <w:szCs w:val="21"/>
          <w:highlight w:val="none"/>
          <w:lang w:val="en-US" w:eastAsia="zh-CN"/>
        </w:rPr>
        <w:t>200台心电图机，四标段：荥阳市紧密型医共体信息化建设项目全过程监理服务，五标段：荥阳市紧密型医共体信息化建设项目软件测评服务，六标段：荥阳市紧密型医共体信息化建设项目全过程审计服务。</w:t>
      </w:r>
    </w:p>
    <w:p>
      <w:pPr>
        <w:spacing w:line="360" w:lineRule="auto"/>
        <w:ind w:firstLine="420" w:firstLineChars="200"/>
        <w:rPr>
          <w:rFonts w:hint="eastAsia"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eastAsia="zh-CN"/>
        </w:rPr>
        <w:t>计划工期</w:t>
      </w:r>
      <w:r>
        <w:rPr>
          <w:rFonts w:hint="eastAsia" w:ascii="宋体" w:hAnsi="宋体" w:cs="宋体"/>
          <w:highlight w:val="none"/>
        </w:rPr>
        <w:t>：</w:t>
      </w:r>
      <w:r>
        <w:rPr>
          <w:rFonts w:hint="eastAsia" w:ascii="宋体" w:hAnsi="宋体" w:cs="宋体"/>
          <w:color w:val="auto"/>
          <w:highlight w:val="none"/>
          <w:lang w:eastAsia="zh-CN"/>
        </w:rPr>
        <w:t>一、二标段：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硬件及配套安装90日历天，软件安装180</w:t>
      </w:r>
      <w:r>
        <w:rPr>
          <w:rFonts w:hint="eastAsia" w:ascii="宋体" w:hAnsi="宋体" w:cs="宋体"/>
          <w:color w:val="auto"/>
          <w:highlight w:val="none"/>
        </w:rPr>
        <w:t>日历天</w:t>
      </w:r>
      <w:r>
        <w:rPr>
          <w:rFonts w:hint="eastAsia" w:ascii="宋体" w:hAnsi="宋体" w:cs="宋体"/>
          <w:color w:val="auto"/>
          <w:highlight w:val="none"/>
          <w:lang w:eastAsia="zh-CN"/>
        </w:rPr>
        <w:t>；三标段：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color w:val="auto"/>
          <w:highlight w:val="none"/>
          <w:lang w:eastAsia="zh-CN"/>
        </w:rPr>
        <w:t>四标段：安装工期及保修期</w:t>
      </w:r>
      <w:r>
        <w:rPr>
          <w:rFonts w:hint="eastAsia" w:ascii="宋体" w:hAnsi="宋体" w:cs="宋体"/>
          <w:color w:val="auto"/>
          <w:highlight w:val="none"/>
          <w:lang w:val="en-US" w:eastAsia="zh-CN"/>
        </w:rPr>
        <w:t>；五标段：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180日历天，六标段：</w:t>
      </w:r>
      <w:r>
        <w:rPr>
          <w:rFonts w:hint="eastAsia" w:ascii="宋体" w:hAnsi="宋体" w:cs="宋体"/>
          <w:color w:val="auto"/>
          <w:highlight w:val="none"/>
        </w:rPr>
        <w:t>自合同签订之日起</w:t>
      </w:r>
      <w:r>
        <w:rPr>
          <w:rFonts w:hint="eastAsia" w:ascii="宋体" w:hAnsi="宋体" w:cs="宋体"/>
          <w:color w:val="auto"/>
          <w:highlight w:val="none"/>
          <w:lang w:val="en-US" w:eastAsia="zh-CN"/>
        </w:rPr>
        <w:t>180日历天</w:t>
      </w:r>
      <w:r>
        <w:rPr>
          <w:rFonts w:hint="eastAsia" w:ascii="宋体" w:hAnsi="宋体" w:cs="宋体"/>
          <w:highlight w:val="none"/>
        </w:rPr>
        <w:t>；</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rPr>
        <w:t>、质保期：</w:t>
      </w:r>
      <w:r>
        <w:rPr>
          <w:rFonts w:hint="eastAsia" w:ascii="宋体" w:hAnsi="宋体" w:cs="宋体"/>
          <w:color w:val="auto"/>
          <w:highlight w:val="none"/>
          <w:lang w:val="en-US" w:eastAsia="zh-CN"/>
        </w:rPr>
        <w:t>一、二标段：软件</w:t>
      </w:r>
      <w:r>
        <w:rPr>
          <w:rFonts w:hint="eastAsia" w:ascii="宋体" w:hAnsi="宋体" w:cs="宋体"/>
          <w:color w:val="auto"/>
          <w:highlight w:val="none"/>
        </w:rPr>
        <w:t>经现场验收合格并投入运行之日起1年</w:t>
      </w:r>
      <w:r>
        <w:rPr>
          <w:rFonts w:hint="eastAsia" w:ascii="宋体" w:hAnsi="宋体" w:cs="宋体"/>
          <w:color w:val="auto"/>
          <w:highlight w:val="none"/>
          <w:lang w:eastAsia="zh-CN"/>
        </w:rPr>
        <w:t>；跟基础能力提升的其他有关产品质保期详见参数要求</w:t>
      </w:r>
      <w:r>
        <w:rPr>
          <w:rFonts w:hint="eastAsia" w:ascii="宋体" w:hAnsi="宋体" w:cs="宋体"/>
          <w:color w:val="auto"/>
          <w:highlight w:val="none"/>
          <w:lang w:val="en-US" w:eastAsia="zh-CN"/>
        </w:rPr>
        <w:t>；三标段：质保期1年。</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、质量要求：</w:t>
      </w:r>
      <w:r>
        <w:rPr>
          <w:rFonts w:hint="eastAsia" w:ascii="宋体" w:hAnsi="宋体" w:cs="宋体"/>
          <w:color w:val="auto"/>
          <w:highlight w:val="none"/>
          <w:lang w:eastAsia="zh-CN"/>
        </w:rPr>
        <w:t>合格，</w:t>
      </w:r>
      <w:r>
        <w:rPr>
          <w:rFonts w:hint="eastAsia" w:ascii="宋体" w:hAnsi="宋体" w:cs="宋体"/>
          <w:color w:val="auto"/>
          <w:highlight w:val="none"/>
        </w:rPr>
        <w:t>符合现行国家标准，规范和强制性条文，满足采购人就本项目提出的采购要求；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w:t>
      </w:r>
      <w:r>
        <w:rPr>
          <w:rFonts w:hint="eastAsia" w:ascii="宋体" w:hAnsi="宋体" w:cs="宋体"/>
          <w:color w:val="auto"/>
          <w:highlight w:val="none"/>
        </w:rPr>
        <w:t>验收标准：满足采购人的验收标准及要求。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szCs w:val="21"/>
          <w:highlight w:val="none"/>
          <w:lang w:eastAsia="zh-CN"/>
        </w:rPr>
        <w:t>合同履行期限</w:t>
      </w:r>
      <w:r>
        <w:rPr>
          <w:rFonts w:hint="eastAsia" w:ascii="宋体" w:hAnsi="宋体" w:cs="宋体"/>
          <w:color w:val="auto"/>
          <w:highlight w:val="none"/>
        </w:rPr>
        <w:t>：</w:t>
      </w:r>
      <w:r>
        <w:rPr>
          <w:rFonts w:hint="eastAsia" w:ascii="宋体" w:hAnsi="宋体" w:cs="宋体"/>
          <w:color w:val="auto"/>
          <w:highlight w:val="none"/>
          <w:lang w:eastAsia="zh-CN"/>
        </w:rPr>
        <w:t>同计划工期</w:t>
      </w:r>
      <w:r>
        <w:rPr>
          <w:rFonts w:hint="eastAsia" w:ascii="宋体" w:hAnsi="宋体" w:cs="宋体"/>
          <w:color w:val="auto"/>
          <w:highlight w:val="none"/>
          <w:lang w:val="en-US"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本项目是否接受联合体投标：否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szCs w:val="21"/>
          <w:highlight w:val="none"/>
          <w:lang w:eastAsia="zh-CN"/>
        </w:rPr>
        <w:t>、</w:t>
      </w:r>
      <w:bookmarkStart w:id="444" w:name="_GoBack"/>
      <w:bookmarkEnd w:id="444"/>
      <w:r>
        <w:rPr>
          <w:rFonts w:hint="eastAsia" w:ascii="宋体" w:hAnsi="宋体" w:cs="宋体"/>
          <w:szCs w:val="21"/>
          <w:highlight w:val="none"/>
        </w:rPr>
        <w:t>是否专门面向中小企业：</w:t>
      </w:r>
      <w:r>
        <w:rPr>
          <w:rFonts w:hint="eastAsia" w:ascii="宋体" w:hAnsi="宋体" w:cs="宋体"/>
          <w:szCs w:val="21"/>
          <w:highlight w:val="none"/>
          <w:lang w:eastAsia="zh-CN"/>
        </w:rPr>
        <w:t>是</w:t>
      </w:r>
      <w:r>
        <w:rPr>
          <w:rFonts w:hint="eastAsia" w:ascii="宋体" w:hAnsi="宋体" w:cs="宋体"/>
          <w:szCs w:val="21"/>
          <w:highlight w:val="none"/>
        </w:rPr>
        <w:t xml:space="preserve">  </w:t>
      </w:r>
    </w:p>
    <w:p>
      <w:pPr>
        <w:spacing w:line="360" w:lineRule="auto"/>
        <w:rPr>
          <w:rFonts w:ascii="宋体" w:hAnsi="宋体" w:cs="宋体"/>
          <w:b/>
          <w:bCs/>
          <w:szCs w:val="21"/>
          <w:highlight w:val="none"/>
        </w:rPr>
      </w:pPr>
      <w:r>
        <w:rPr>
          <w:rFonts w:hint="eastAsia" w:ascii="宋体" w:hAnsi="宋体" w:cs="宋体"/>
          <w:b/>
          <w:bCs/>
          <w:szCs w:val="21"/>
          <w:highlight w:val="none"/>
        </w:rPr>
        <w:t>二、申请人资格要求：</w:t>
      </w:r>
    </w:p>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lang w:val="en-US" w:eastAsia="zh-CN"/>
        </w:rPr>
        <w:t>（1）</w:t>
      </w:r>
      <w:r>
        <w:rPr>
          <w:rFonts w:hint="eastAsia"/>
          <w:szCs w:val="21"/>
          <w:highlight w:val="none"/>
        </w:rPr>
        <w:t>具有独立承担民事责任的能力,具有有效的营业执照；</w:t>
      </w:r>
    </w:p>
    <w:p>
      <w:pPr>
        <w:spacing w:line="360" w:lineRule="auto"/>
        <w:ind w:firstLine="420" w:firstLineChars="200"/>
        <w:rPr>
          <w:szCs w:val="21"/>
          <w:highlight w:val="none"/>
        </w:rPr>
      </w:pPr>
      <w:r>
        <w:rPr>
          <w:rFonts w:hint="eastAsia"/>
          <w:szCs w:val="21"/>
          <w:highlight w:val="none"/>
          <w:lang w:val="en-US" w:eastAsia="zh-CN"/>
        </w:rPr>
        <w:t>（2）</w:t>
      </w:r>
      <w:r>
        <w:rPr>
          <w:rFonts w:hint="eastAsia"/>
          <w:szCs w:val="21"/>
          <w:highlight w:val="none"/>
        </w:rPr>
        <w:t>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（3）</w:t>
      </w:r>
      <w:r>
        <w:rPr>
          <w:rFonts w:hint="eastAsia"/>
          <w:szCs w:val="21"/>
          <w:highlight w:val="none"/>
        </w:rPr>
        <w:t>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（4）</w:t>
      </w:r>
      <w:r>
        <w:rPr>
          <w:rFonts w:hint="eastAsia"/>
          <w:szCs w:val="21"/>
          <w:highlight w:val="none"/>
        </w:rPr>
        <w:t>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lang w:val="en-US" w:eastAsia="zh-CN"/>
        </w:rPr>
        <w:t>（5）</w:t>
      </w:r>
      <w:r>
        <w:rPr>
          <w:rFonts w:hint="eastAsia"/>
          <w:szCs w:val="21"/>
          <w:highlight w:val="none"/>
        </w:rPr>
        <w:t>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b/>
          <w:bCs/>
          <w:szCs w:val="21"/>
          <w:highlight w:val="none"/>
          <w:lang w:eastAsia="zh-CN"/>
        </w:rPr>
        <w:t>无</w:t>
      </w:r>
    </w:p>
    <w:p>
      <w:pPr>
        <w:spacing w:line="360" w:lineRule="auto"/>
        <w:ind w:firstLine="422" w:firstLineChars="200"/>
        <w:rPr>
          <w:rFonts w:hint="eastAsia"/>
          <w:b/>
          <w:bCs/>
          <w:szCs w:val="21"/>
          <w:highlight w:val="none"/>
        </w:rPr>
      </w:pPr>
      <w:r>
        <w:rPr>
          <w:rFonts w:hint="eastAsia"/>
          <w:b/>
          <w:bCs/>
          <w:szCs w:val="21"/>
          <w:highlight w:val="none"/>
        </w:rPr>
        <w:t>3.本项目的特定资格要求：</w:t>
      </w:r>
    </w:p>
    <w:p>
      <w:pPr>
        <w:pStyle w:val="9"/>
        <w:ind w:firstLine="420" w:firstLineChars="200"/>
        <w:jc w:val="both"/>
        <w:rPr>
          <w:rFonts w:hint="eastAsia" w:eastAsia="宋体"/>
          <w:sz w:val="21"/>
          <w:szCs w:val="21"/>
          <w:highlight w:val="none"/>
          <w:lang w:eastAsia="zh-CN"/>
        </w:rPr>
      </w:pPr>
      <w:r>
        <w:rPr>
          <w:rFonts w:hint="eastAsia"/>
          <w:b w:val="0"/>
          <w:bCs w:val="0"/>
          <w:sz w:val="21"/>
          <w:szCs w:val="21"/>
          <w:highlight w:val="none"/>
          <w:lang w:val="en-US" w:eastAsia="zh-CN"/>
        </w:rPr>
        <w:t>3.1、</w:t>
      </w:r>
      <w:r>
        <w:rPr>
          <w:rFonts w:hint="eastAsia"/>
          <w:b/>
          <w:bCs/>
          <w:sz w:val="21"/>
          <w:szCs w:val="21"/>
          <w:highlight w:val="none"/>
          <w:lang w:eastAsia="zh-CN"/>
        </w:rPr>
        <w:t>一标段</w:t>
      </w:r>
      <w:r>
        <w:rPr>
          <w:rFonts w:hint="eastAsia"/>
          <w:b/>
          <w:bCs/>
          <w:sz w:val="21"/>
          <w:szCs w:val="21"/>
          <w:highlight w:val="none"/>
          <w:lang w:val="en-US" w:eastAsia="zh-CN"/>
        </w:rPr>
        <w:t>/</w:t>
      </w:r>
      <w:r>
        <w:rPr>
          <w:rFonts w:hint="eastAsia"/>
          <w:b/>
          <w:bCs/>
          <w:sz w:val="21"/>
          <w:szCs w:val="21"/>
          <w:highlight w:val="none"/>
          <w:lang w:eastAsia="zh-CN"/>
        </w:rPr>
        <w:t>二标段：</w:t>
      </w:r>
    </w:p>
    <w:p>
      <w:pPr>
        <w:spacing w:line="360" w:lineRule="auto"/>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三标段：</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供应商所投产品须提供《医疗器械注册证》或备案凭证；（2）供应商若为制造商，须具有监督管理部门颁发的《医疗器械生产企业许可证》；若为代理商，须具有监督管理部门颁发的《医疗器械经营企业许可证》或《医疗器械经营备案凭证》；</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四标段：</w:t>
      </w:r>
    </w:p>
    <w:p>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（1）供应商须具备有效期范围内的营业执照</w:t>
      </w:r>
      <w:r>
        <w:rPr>
          <w:rFonts w:hint="eastAsia" w:ascii="宋体" w:hAnsi="宋体" w:cs="宋体"/>
          <w:b w:val="0"/>
          <w:bCs w:val="0"/>
          <w:color w:val="auto"/>
          <w:sz w:val="21"/>
          <w:szCs w:val="21"/>
          <w:highlight w:val="none"/>
          <w:lang w:val="en-US" w:eastAsia="zh-CN"/>
        </w:rPr>
        <w:t>；</w:t>
      </w:r>
    </w:p>
    <w:p>
      <w:pPr>
        <w:pStyle w:val="14"/>
        <w:spacing w:line="360" w:lineRule="auto"/>
        <w:ind w:firstLine="420" w:firstLineChars="200"/>
        <w:rPr>
          <w:rFonts w:hint="eastAsia"/>
          <w:highlight w:val="none"/>
          <w:lang w:val="en-US" w:eastAsia="zh-CN"/>
        </w:rPr>
      </w:pPr>
      <w:r>
        <w:rPr>
          <w:rFonts w:hint="eastAsia" w:ascii="宋体" w:hAnsi="宋体" w:cs="宋体"/>
          <w:b w:val="0"/>
          <w:bCs w:val="0"/>
          <w:sz w:val="21"/>
          <w:szCs w:val="21"/>
          <w:highlight w:val="none"/>
          <w:lang w:val="en-US" w:eastAsia="zh-CN"/>
        </w:rPr>
        <w:t>（2）拟派项目总监理工程师须具有信息系统专业监理师证书或机电安装专业注册监理师证书或通信工程专业注册监理师证书，</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五标段：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（1）供应商须具备有效期范围内的营业执照；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（2）须具备CMA检验检测机构资质和CNAS实验室认可资质，拟派项目负责人须具备相关专业中级及以上技术职称，</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pStyle w:val="9"/>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六标段：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val="0"/>
          <w:bCs w:val="0"/>
          <w:sz w:val="21"/>
          <w:szCs w:val="21"/>
          <w:highlight w:val="none"/>
          <w:lang w:val="en-US" w:eastAsia="zh-CN"/>
        </w:rPr>
        <w:t>供应商须具备有效期范围内的营业执照</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cs="宋体"/>
          <w:szCs w:val="21"/>
          <w:highlight w:val="none"/>
        </w:rPr>
        <w:t>拟派项目负责人须具备</w:t>
      </w:r>
      <w:r>
        <w:rPr>
          <w:rFonts w:hint="eastAsia" w:hAnsi="宋体" w:cs="宋体"/>
          <w:highlight w:val="none"/>
        </w:rPr>
        <w:t>国家一级造价工程师资格和相关专业</w:t>
      </w:r>
      <w:r>
        <w:rPr>
          <w:rFonts w:hint="eastAsia" w:hAnsi="宋体" w:cs="宋体"/>
          <w:highlight w:val="none"/>
          <w:lang w:eastAsia="zh-CN"/>
        </w:rPr>
        <w:t>高</w:t>
      </w:r>
      <w:r>
        <w:rPr>
          <w:rFonts w:hint="eastAsia" w:hAnsi="宋体" w:cs="宋体"/>
          <w:highlight w:val="none"/>
        </w:rPr>
        <w:t>级及以上技术职称</w:t>
      </w:r>
      <w:r>
        <w:rPr>
          <w:rFonts w:hint="eastAsia" w:ascii="宋体" w:hAnsi="宋体" w:cs="宋体"/>
          <w:szCs w:val="21"/>
          <w:highlight w:val="none"/>
        </w:rPr>
        <w:t>，</w:t>
      </w:r>
      <w:r>
        <w:rPr>
          <w:rFonts w:hint="eastAsia" w:ascii="宋体" w:hAnsi="宋体" w:cs="宋体"/>
          <w:color w:val="auto"/>
          <w:szCs w:val="21"/>
          <w:highlight w:val="none"/>
        </w:rPr>
        <w:t>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hint="default"/>
          <w:b/>
          <w:bCs/>
          <w:highlight w:val="none"/>
          <w:lang w:val="en-US" w:eastAsia="zh-CN"/>
        </w:rPr>
      </w:pPr>
      <w:r>
        <w:rPr>
          <w:rFonts w:hint="eastAsia" w:ascii="宋体" w:hAnsi="宋体" w:eastAsia="宋体" w:cs="宋体"/>
          <w:szCs w:val="21"/>
          <w:highlight w:val="none"/>
          <w:lang w:val="en-US" w:eastAsia="zh-CN"/>
        </w:rPr>
        <w:t>3.</w:t>
      </w:r>
      <w:r>
        <w:rPr>
          <w:rFonts w:hint="eastAsia" w:ascii="宋体" w:hAnsi="宋体" w:cs="宋体"/>
          <w:szCs w:val="21"/>
          <w:highlight w:val="none"/>
          <w:lang w:val="en-US" w:eastAsia="zh-CN"/>
        </w:rPr>
        <w:t>3</w:t>
      </w:r>
      <w:r>
        <w:rPr>
          <w:rFonts w:hint="eastAsia" w:ascii="宋体" w:hAnsi="宋体" w:eastAsia="宋体" w:cs="宋体"/>
          <w:szCs w:val="21"/>
          <w:highlight w:val="none"/>
          <w:lang w:val="en-US" w:eastAsia="zh-CN"/>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r>
        <w:rPr>
          <w:rFonts w:hint="eastAsia" w:ascii="宋体" w:hAnsi="宋体" w:cs="宋体"/>
          <w:szCs w:val="21"/>
          <w:highlight w:val="none"/>
          <w:lang w:val="en-US" w:eastAsia="zh-CN"/>
        </w:rPr>
        <w:t>。</w:t>
      </w:r>
    </w:p>
    <w:p>
      <w:pPr>
        <w:spacing w:line="360" w:lineRule="auto"/>
        <w:rPr>
          <w:rFonts w:ascii="宋体" w:hAnsi="宋体" w:cs="宋体"/>
          <w:szCs w:val="21"/>
          <w:highlight w:val="none"/>
        </w:rPr>
      </w:pPr>
      <w:r>
        <w:rPr>
          <w:rFonts w:hint="eastAsia" w:ascii="宋体" w:hAnsi="宋体" w:cs="宋体"/>
          <w:b/>
          <w:bCs/>
          <w:szCs w:val="21"/>
          <w:highlight w:val="none"/>
        </w:rPr>
        <w:t>三、获取招标文件</w:t>
      </w:r>
    </w:p>
    <w:p>
      <w:pPr>
        <w:spacing w:line="360" w:lineRule="auto"/>
        <w:ind w:firstLine="420"/>
        <w:rPr>
          <w:rFonts w:ascii="宋体" w:hAnsi="宋体" w:cs="宋体"/>
          <w:szCs w:val="21"/>
          <w:highlight w:val="none"/>
        </w:rPr>
      </w:pPr>
      <w:r>
        <w:rPr>
          <w:rFonts w:hint="eastAsia" w:ascii="宋体" w:hAnsi="宋体" w:cs="宋体"/>
          <w:szCs w:val="21"/>
          <w:highlight w:val="none"/>
        </w:rPr>
        <w:t>1、时间：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07</w:t>
      </w:r>
      <w:r>
        <w:rPr>
          <w:rFonts w:hint="eastAsia" w:ascii="宋体" w:hAnsi="宋体" w:cs="宋体"/>
          <w:szCs w:val="21"/>
          <w:highlight w:val="none"/>
        </w:rPr>
        <w:t>日至</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14</w:t>
      </w:r>
      <w:r>
        <w:rPr>
          <w:rFonts w:hint="eastAsia" w:ascii="宋体" w:hAnsi="宋体" w:cs="宋体"/>
          <w:szCs w:val="21"/>
          <w:highlight w:val="none"/>
        </w:rPr>
        <w:t>日（招标文件的发售期限自开始之日起不得少于5个工作日），每天上午00:00至11:59，下午12:00至23:59（北京时间，法定节假日除外）</w:t>
      </w:r>
    </w:p>
    <w:p>
      <w:pPr>
        <w:spacing w:line="360" w:lineRule="auto"/>
        <w:ind w:firstLine="420"/>
        <w:rPr>
          <w:rFonts w:ascii="宋体" w:hAnsi="宋体" w:cs="宋体"/>
          <w:szCs w:val="21"/>
          <w:highlight w:val="none"/>
        </w:rPr>
      </w:pPr>
      <w:r>
        <w:rPr>
          <w:rFonts w:hint="eastAsia" w:ascii="宋体" w:hAnsi="宋体" w:cs="宋体"/>
          <w:szCs w:val="21"/>
          <w:highlight w:val="none"/>
        </w:rPr>
        <w:t>2、地点：荥阳市公共资源交易平台</w:t>
      </w:r>
    </w:p>
    <w:p>
      <w:pPr>
        <w:spacing w:line="360" w:lineRule="auto"/>
        <w:ind w:firstLine="420"/>
        <w:rPr>
          <w:rFonts w:ascii="宋体" w:hAnsi="宋体" w:cs="宋体"/>
          <w:szCs w:val="21"/>
          <w:highlight w:val="none"/>
        </w:rPr>
      </w:pPr>
      <w:r>
        <w:rPr>
          <w:rFonts w:hint="eastAsia" w:ascii="宋体" w:hAnsi="宋体" w:cs="宋体"/>
          <w:szCs w:val="21"/>
          <w:highlight w:val="none"/>
        </w:rPr>
        <w:t>3、方式：凡有意参加投标者，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招标文件（具体办理事宜请登陆交易中心网站-办事指南-《投标人操作指南》）。</w:t>
      </w:r>
    </w:p>
    <w:p>
      <w:pPr>
        <w:spacing w:line="360" w:lineRule="auto"/>
        <w:ind w:firstLine="420"/>
        <w:rPr>
          <w:rFonts w:ascii="宋体" w:hAnsi="宋体" w:cs="宋体"/>
          <w:szCs w:val="21"/>
          <w:highlight w:val="none"/>
        </w:rPr>
      </w:pPr>
      <w:r>
        <w:rPr>
          <w:rFonts w:hint="eastAsia" w:ascii="宋体" w:hAnsi="宋体" w:cs="宋体"/>
          <w:szCs w:val="21"/>
          <w:highlight w:val="none"/>
        </w:rPr>
        <w:t xml:space="preserve">4、售价：0元。  </w:t>
      </w:r>
    </w:p>
    <w:p>
      <w:pPr>
        <w:spacing w:line="360" w:lineRule="auto"/>
        <w:rPr>
          <w:rFonts w:ascii="宋体" w:hAnsi="宋体" w:cs="宋体"/>
          <w:b/>
          <w:bCs/>
          <w:szCs w:val="21"/>
          <w:highlight w:val="none"/>
        </w:rPr>
      </w:pPr>
      <w:r>
        <w:rPr>
          <w:rFonts w:hint="eastAsia" w:ascii="宋体" w:hAnsi="宋体" w:cs="宋体"/>
          <w:b/>
          <w:bCs/>
          <w:szCs w:val="21"/>
          <w:highlight w:val="none"/>
        </w:rPr>
        <w:t>四、投标截止时间及地点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荥阳市公共资源交易平台</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五</w:t>
      </w:r>
      <w:r>
        <w:rPr>
          <w:rFonts w:hint="eastAsia" w:ascii="宋体" w:hAnsi="宋体" w:cs="宋体"/>
          <w:b/>
          <w:bCs/>
          <w:szCs w:val="21"/>
          <w:highlight w:val="none"/>
        </w:rPr>
        <w:t>、</w:t>
      </w:r>
      <w:r>
        <w:rPr>
          <w:rFonts w:hint="eastAsia" w:ascii="宋体" w:hAnsi="宋体" w:cs="宋体"/>
          <w:b/>
          <w:bCs/>
          <w:szCs w:val="21"/>
          <w:highlight w:val="none"/>
          <w:lang w:eastAsia="zh-CN"/>
        </w:rPr>
        <w:t>开标</w:t>
      </w:r>
      <w:r>
        <w:rPr>
          <w:rFonts w:hint="eastAsia" w:ascii="宋体" w:hAnsi="宋体" w:cs="宋体"/>
          <w:b/>
          <w:bCs/>
          <w:szCs w:val="21"/>
          <w:highlight w:val="none"/>
        </w:rPr>
        <w:t>时间及地点</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1、</w:t>
      </w:r>
      <w:r>
        <w:rPr>
          <w:rFonts w:hint="eastAsia" w:ascii="宋体" w:hAnsi="宋体" w:cs="宋体"/>
          <w:b/>
          <w:bCs/>
          <w:szCs w:val="21"/>
          <w:highlight w:val="none"/>
          <w:lang w:eastAsia="zh-CN"/>
        </w:rPr>
        <w:t>时间：</w:t>
      </w:r>
      <w:r>
        <w:rPr>
          <w:rFonts w:hint="eastAsia" w:ascii="宋体" w:hAnsi="宋体" w:cs="宋体"/>
          <w:szCs w:val="21"/>
          <w:highlight w:val="none"/>
          <w:lang w:eastAsia="zh-CN"/>
        </w:rPr>
        <w:t>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日09点00分（北京时间）</w:t>
      </w:r>
    </w:p>
    <w:p>
      <w:pPr>
        <w:spacing w:line="360" w:lineRule="auto"/>
        <w:ind w:firstLine="422" w:firstLineChars="200"/>
        <w:rPr>
          <w:rFonts w:hint="eastAsia" w:ascii="宋体" w:hAnsi="宋体" w:cs="宋体"/>
          <w:szCs w:val="21"/>
          <w:highlight w:val="none"/>
        </w:rPr>
      </w:pPr>
      <w:r>
        <w:rPr>
          <w:rFonts w:hint="eastAsia" w:ascii="宋体" w:hAnsi="宋体" w:cs="宋体"/>
          <w:b/>
          <w:bCs/>
          <w:szCs w:val="21"/>
          <w:highlight w:val="none"/>
        </w:rPr>
        <w:t>2、地点：</w:t>
      </w:r>
      <w:r>
        <w:rPr>
          <w:rFonts w:hint="eastAsia" w:ascii="宋体" w:hAnsi="宋体" w:cs="宋体"/>
          <w:szCs w:val="21"/>
          <w:highlight w:val="none"/>
        </w:rPr>
        <w:t>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六</w:t>
      </w:r>
      <w:r>
        <w:rPr>
          <w:rFonts w:hint="eastAsia" w:ascii="宋体" w:hAnsi="宋体" w:cs="宋体"/>
          <w:b/>
          <w:bCs/>
          <w:szCs w:val="21"/>
          <w:highlight w:val="none"/>
        </w:rPr>
        <w:t>、公告期限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1、本项目招标公告在</w:t>
      </w:r>
      <w:r>
        <w:rPr>
          <w:rFonts w:hint="eastAsia"/>
          <w:szCs w:val="21"/>
          <w:highlight w:val="none"/>
        </w:rPr>
        <w:t>《河南省政府采购网》、《荥阳市公共资源交易中心网站》</w:t>
      </w:r>
      <w:r>
        <w:rPr>
          <w:rFonts w:hint="eastAsia"/>
          <w:szCs w:val="21"/>
          <w:highlight w:val="none"/>
          <w:lang w:eastAsia="zh-CN"/>
        </w:rPr>
        <w:t>、</w:t>
      </w:r>
      <w:r>
        <w:rPr>
          <w:rFonts w:hint="eastAsia"/>
          <w:szCs w:val="21"/>
          <w:highlight w:val="none"/>
        </w:rPr>
        <w:t>《荥阳市政府采购网》、《河南省电子招标投标公共服务平台》</w:t>
      </w:r>
      <w:r>
        <w:rPr>
          <w:rFonts w:hint="eastAsia" w:ascii="宋体" w:hAnsi="宋体" w:cs="宋体"/>
          <w:szCs w:val="21"/>
          <w:highlight w:val="none"/>
        </w:rPr>
        <w:t>上同时发布。</w:t>
      </w:r>
    </w:p>
    <w:p>
      <w:pPr>
        <w:pStyle w:val="14"/>
        <w:ind w:firstLine="420" w:firstLineChars="200"/>
        <w:rPr>
          <w:rFonts w:ascii="宋体" w:hAnsi="宋体" w:cs="宋体"/>
          <w:szCs w:val="21"/>
          <w:highlight w:val="none"/>
        </w:rPr>
      </w:pPr>
      <w:r>
        <w:rPr>
          <w:rFonts w:hint="eastAsia" w:ascii="宋体" w:hAnsi="宋体" w:cs="宋体"/>
          <w:szCs w:val="21"/>
          <w:highlight w:val="none"/>
        </w:rPr>
        <w:t>2、公告期限：自本公告发布之日起5个工作日。</w:t>
      </w:r>
    </w:p>
    <w:p>
      <w:pPr>
        <w:spacing w:line="360" w:lineRule="auto"/>
        <w:rPr>
          <w:rFonts w:ascii="宋体" w:hAnsi="宋体" w:cs="宋体"/>
          <w:b/>
          <w:szCs w:val="21"/>
          <w:highlight w:val="none"/>
        </w:rPr>
      </w:pPr>
      <w:r>
        <w:rPr>
          <w:rFonts w:hint="eastAsia" w:ascii="宋体" w:hAnsi="宋体" w:cs="宋体"/>
          <w:b/>
          <w:szCs w:val="21"/>
          <w:highlight w:val="none"/>
          <w:lang w:eastAsia="zh-CN"/>
        </w:rPr>
        <w:t>七</w:t>
      </w:r>
      <w:r>
        <w:rPr>
          <w:rFonts w:hint="eastAsia" w:ascii="宋体" w:hAnsi="宋体" w:cs="宋体"/>
          <w:b/>
          <w:szCs w:val="21"/>
          <w:highlight w:val="none"/>
        </w:rPr>
        <w:t>、其他补充事宜：</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1、投标文件制作及上传：</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cs="宋体"/>
          <w:kern w:val="2"/>
          <w:sz w:val="21"/>
          <w:szCs w:val="21"/>
          <w:highlight w:val="none"/>
        </w:rPr>
        <w:t>1.2、投标人（供应商）须在投标截止时间前登陆荥阳市公共资源交易平台上传加密的电子投标文件。</w:t>
      </w:r>
    </w:p>
    <w:p>
      <w:pPr>
        <w:pStyle w:val="29"/>
        <w:spacing w:before="0" w:beforeAutospacing="0" w:after="0" w:afterAutospacing="0" w:line="360" w:lineRule="auto"/>
        <w:ind w:firstLine="420" w:firstLineChars="200"/>
        <w:jc w:val="both"/>
        <w:rPr>
          <w:rFonts w:cs="宋体"/>
          <w:kern w:val="2"/>
          <w:sz w:val="21"/>
          <w:szCs w:val="21"/>
          <w:highlight w:val="none"/>
        </w:rPr>
      </w:pPr>
      <w:r>
        <w:rPr>
          <w:rFonts w:cs="宋体"/>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pPr>
        <w:pStyle w:val="29"/>
        <w:spacing w:before="0" w:beforeAutospacing="0" w:after="0" w:afterAutospacing="0" w:line="360" w:lineRule="auto"/>
        <w:ind w:firstLine="420" w:firstLineChars="200"/>
        <w:jc w:val="both"/>
        <w:rPr>
          <w:rFonts w:hint="eastAsia" w:cs="宋体"/>
          <w:kern w:val="2"/>
          <w:sz w:val="21"/>
          <w:szCs w:val="21"/>
          <w:highlight w:val="none"/>
          <w:lang w:val="en-US" w:eastAsia="zh-CN"/>
        </w:rPr>
      </w:pPr>
      <w:r>
        <w:rPr>
          <w:rFonts w:hint="eastAsia" w:cs="宋体"/>
          <w:kern w:val="2"/>
          <w:sz w:val="21"/>
          <w:szCs w:val="21"/>
          <w:highlight w:val="none"/>
          <w:lang w:val="en-US" w:eastAsia="zh-CN"/>
        </w:rPr>
        <w:t>3、本项目落实促进中小型企业发展政策（监狱企业、残疾人福利性企业视同小微企业）、强制采购节能产品、优先采购节能环保产品等最新政府采购政策。</w:t>
      </w:r>
    </w:p>
    <w:p>
      <w:pPr>
        <w:pStyle w:val="29"/>
        <w:spacing w:before="0" w:beforeAutospacing="0" w:after="0" w:afterAutospacing="0" w:line="360" w:lineRule="auto"/>
        <w:ind w:firstLine="420" w:firstLineChars="200"/>
        <w:jc w:val="both"/>
        <w:rPr>
          <w:rFonts w:hint="default" w:cs="宋体"/>
          <w:kern w:val="2"/>
          <w:sz w:val="21"/>
          <w:szCs w:val="21"/>
          <w:highlight w:val="none"/>
          <w:lang w:val="en-US" w:eastAsia="zh-CN"/>
        </w:rPr>
      </w:pPr>
      <w:r>
        <w:rPr>
          <w:rFonts w:hint="eastAsia" w:cs="宋体"/>
          <w:kern w:val="2"/>
          <w:sz w:val="21"/>
          <w:szCs w:val="21"/>
          <w:highlight w:val="none"/>
          <w:lang w:val="en-US" w:eastAsia="zh-CN"/>
        </w:rPr>
        <w:t>4、投标人可同时投标多个标段，但只能中一个标段。若出现两个或两个以上标段同时被推荐为第一候选人，则只能选择标段顺序最靠前的作为中标人。</w:t>
      </w:r>
    </w:p>
    <w:p>
      <w:pPr>
        <w:pStyle w:val="29"/>
        <w:spacing w:before="0" w:beforeAutospacing="0" w:after="0" w:afterAutospacing="0" w:line="360" w:lineRule="auto"/>
        <w:ind w:firstLine="420" w:firstLineChars="200"/>
        <w:jc w:val="both"/>
        <w:rPr>
          <w:rFonts w:hint="default" w:cs="宋体"/>
          <w:kern w:val="2"/>
          <w:sz w:val="21"/>
          <w:szCs w:val="21"/>
          <w:highlight w:val="none"/>
        </w:rPr>
      </w:pPr>
      <w:r>
        <w:rPr>
          <w:rFonts w:hint="eastAsia" w:cs="宋体"/>
          <w:b w:val="0"/>
          <w:bCs w:val="0"/>
          <w:kern w:val="2"/>
          <w:sz w:val="21"/>
          <w:szCs w:val="21"/>
          <w:highlight w:val="none"/>
          <w:lang w:val="en-US" w:eastAsia="zh-CN"/>
        </w:rPr>
        <w:t>5、本项目</w:t>
      </w:r>
      <w:r>
        <w:rPr>
          <w:rFonts w:cs="宋体"/>
          <w:b w:val="0"/>
          <w:bCs w:val="0"/>
          <w:kern w:val="2"/>
          <w:sz w:val="21"/>
          <w:szCs w:val="21"/>
          <w:highlight w:val="none"/>
        </w:rPr>
        <w:t>监督部门：</w:t>
      </w:r>
      <w:r>
        <w:rPr>
          <w:rFonts w:cs="宋体"/>
          <w:kern w:val="2"/>
          <w:sz w:val="21"/>
          <w:szCs w:val="21"/>
          <w:highlight w:val="none"/>
        </w:rPr>
        <w:t>荥阳市财政局</w:t>
      </w:r>
    </w:p>
    <w:p>
      <w:pPr>
        <w:spacing w:line="360" w:lineRule="auto"/>
        <w:rPr>
          <w:rFonts w:ascii="宋体" w:hAnsi="宋体" w:cs="宋体"/>
          <w:b/>
          <w:bCs/>
          <w:szCs w:val="21"/>
          <w:highlight w:val="none"/>
        </w:rPr>
      </w:pPr>
      <w:r>
        <w:rPr>
          <w:rFonts w:hint="eastAsia" w:ascii="宋体" w:hAnsi="宋体" w:cs="宋体"/>
          <w:b/>
          <w:bCs/>
          <w:szCs w:val="21"/>
          <w:highlight w:val="none"/>
          <w:lang w:eastAsia="zh-CN"/>
        </w:rPr>
        <w:t>八</w:t>
      </w:r>
      <w:r>
        <w:rPr>
          <w:rFonts w:hint="eastAsia" w:ascii="宋体" w:hAnsi="宋体" w:cs="宋体"/>
          <w:b/>
          <w:bCs/>
          <w:szCs w:val="21"/>
          <w:highlight w:val="none"/>
        </w:rPr>
        <w:t xml:space="preserve">、凡对本次招标提出询问，请按以下方式联系 </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1、采购人名称：</w:t>
      </w:r>
      <w:r>
        <w:rPr>
          <w:rFonts w:hint="eastAsia" w:ascii="宋体" w:hAnsi="宋体" w:eastAsia="宋体"/>
          <w:color w:val="auto"/>
          <w:szCs w:val="21"/>
          <w:highlight w:val="none"/>
          <w:lang w:eastAsia="zh-CN"/>
        </w:rPr>
        <w:t>荥阳市卫生健康委员会</w:t>
      </w:r>
      <w:r>
        <w:rPr>
          <w:rFonts w:hint="eastAsia"/>
          <w:color w:val="auto"/>
          <w:szCs w:val="21"/>
          <w:highlight w:val="none"/>
          <w:lang w:eastAsia="zh-CN"/>
        </w:rPr>
        <w:t xml:space="preserve">  </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地    址：荥阳市荥泽大道与繁荣街交叉口往北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00米路西</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联 系 人：</w:t>
      </w:r>
      <w:r>
        <w:rPr>
          <w:rFonts w:hint="eastAsia" w:ascii="宋体" w:hAnsi="宋体" w:cs="宋体"/>
          <w:color w:val="auto"/>
          <w:sz w:val="21"/>
          <w:szCs w:val="21"/>
          <w:highlight w:val="none"/>
          <w:lang w:val="en-US" w:eastAsia="zh-CN"/>
        </w:rPr>
        <w:t>赵莹</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    话：</w:t>
      </w:r>
      <w:r>
        <w:rPr>
          <w:rFonts w:hint="eastAsia" w:ascii="宋体" w:hAnsi="宋体" w:cs="宋体"/>
          <w:color w:val="auto"/>
          <w:sz w:val="21"/>
          <w:szCs w:val="21"/>
          <w:highlight w:val="none"/>
          <w:lang w:val="en-US" w:eastAsia="zh-CN"/>
        </w:rPr>
        <w:t>0371-64651958</w:t>
      </w:r>
    </w:p>
    <w:p>
      <w:pPr>
        <w:spacing w:line="360" w:lineRule="auto"/>
        <w:ind w:firstLine="420" w:firstLineChars="200"/>
        <w:rPr>
          <w:rFonts w:hint="eastAsia" w:eastAsia="宋体"/>
          <w:color w:val="auto"/>
          <w:szCs w:val="21"/>
          <w:highlight w:val="none"/>
          <w:lang w:eastAsia="zh-CN"/>
        </w:rPr>
      </w:pPr>
      <w:r>
        <w:rPr>
          <w:rFonts w:hint="eastAsia"/>
          <w:color w:val="auto"/>
          <w:szCs w:val="21"/>
          <w:highlight w:val="none"/>
        </w:rPr>
        <w:t>2、采购代理机构名称：</w:t>
      </w:r>
      <w:r>
        <w:rPr>
          <w:rFonts w:hint="eastAsia"/>
          <w:color w:val="auto"/>
          <w:szCs w:val="21"/>
          <w:highlight w:val="none"/>
          <w:lang w:eastAsia="zh-CN"/>
        </w:rPr>
        <w:t xml:space="preserve">中弘天合工程咨询有限公司 </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地　址：</w:t>
      </w:r>
      <w:r>
        <w:rPr>
          <w:rFonts w:hint="eastAsia" w:ascii="Times New Roman" w:eastAsia="宋体" w:cs="Times New Roman"/>
          <w:color w:val="auto"/>
          <w:kern w:val="2"/>
          <w:sz w:val="21"/>
          <w:szCs w:val="21"/>
          <w:highlight w:val="none"/>
          <w:lang w:val="en-US" w:eastAsia="zh-CN" w:bidi="ar-SA"/>
        </w:rPr>
        <w:t>郑州市金水区姚砦路133号金成时代广场9号楼2502室</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联系人：</w:t>
      </w:r>
      <w:r>
        <w:rPr>
          <w:rFonts w:hint="eastAsia" w:ascii="Times New Roman" w:eastAsia="宋体" w:cs="Times New Roman"/>
          <w:color w:val="auto"/>
          <w:kern w:val="2"/>
          <w:sz w:val="21"/>
          <w:szCs w:val="21"/>
          <w:highlight w:val="none"/>
          <w:lang w:val="en-US" w:eastAsia="zh-CN" w:bidi="ar-SA"/>
        </w:rPr>
        <w:t>狄晓龙</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联系方式：</w:t>
      </w:r>
      <w:r>
        <w:rPr>
          <w:rFonts w:hint="eastAsia" w:ascii="Times New Roman" w:eastAsia="宋体" w:cs="Times New Roman"/>
          <w:color w:val="auto"/>
          <w:kern w:val="2"/>
          <w:sz w:val="21"/>
          <w:szCs w:val="21"/>
          <w:highlight w:val="none"/>
          <w:lang w:val="en-US" w:eastAsia="zh-CN" w:bidi="ar-SA"/>
        </w:rPr>
        <w:t>13027785699</w:t>
      </w:r>
      <w:r>
        <w:rPr>
          <w:rFonts w:hint="eastAsia" w:ascii="Times New Roman" w:hAnsi="Times New Roman" w:eastAsia="宋体" w:cs="Times New Roman"/>
          <w:color w:val="auto"/>
          <w:kern w:val="2"/>
          <w:sz w:val="21"/>
          <w:szCs w:val="21"/>
          <w:highlight w:val="none"/>
          <w:lang w:val="en-US" w:eastAsia="zh-CN" w:bidi="ar-SA"/>
        </w:rPr>
        <w:t>　　　　　</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3.项目联系方式</w:t>
      </w:r>
    </w:p>
    <w:p>
      <w:pPr>
        <w:pStyle w:val="82"/>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项目联系人：</w:t>
      </w:r>
      <w:r>
        <w:rPr>
          <w:rFonts w:hint="eastAsia" w:ascii="Times New Roman" w:eastAsia="宋体" w:cs="Times New Roman"/>
          <w:color w:val="auto"/>
          <w:kern w:val="2"/>
          <w:sz w:val="21"/>
          <w:szCs w:val="21"/>
          <w:highlight w:val="none"/>
          <w:lang w:val="en-US" w:eastAsia="zh-CN" w:bidi="ar-SA"/>
        </w:rPr>
        <w:t>狄晓龙</w:t>
      </w:r>
      <w:r>
        <w:rPr>
          <w:rFonts w:hint="eastAsia" w:ascii="Times New Roman" w:hAnsi="Times New Roman" w:eastAsia="宋体" w:cs="Times New Roman"/>
          <w:color w:val="auto"/>
          <w:kern w:val="2"/>
          <w:sz w:val="21"/>
          <w:szCs w:val="21"/>
          <w:highlight w:val="none"/>
          <w:lang w:val="en-US" w:eastAsia="zh-CN" w:bidi="ar-SA"/>
        </w:rPr>
        <w:t xml:space="preserve">     </w:t>
      </w:r>
    </w:p>
    <w:p>
      <w:pPr>
        <w:pStyle w:val="82"/>
        <w:ind w:firstLine="420"/>
        <w:rPr>
          <w:rFonts w:ascii="Times New Roman" w:eastAsia="宋体"/>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电　话：</w:t>
      </w:r>
      <w:r>
        <w:rPr>
          <w:rFonts w:hint="eastAsia" w:ascii="Times New Roman" w:eastAsia="宋体" w:cs="Times New Roman"/>
          <w:color w:val="auto"/>
          <w:kern w:val="2"/>
          <w:sz w:val="21"/>
          <w:szCs w:val="21"/>
          <w:highlight w:val="none"/>
          <w:lang w:val="en-US" w:eastAsia="zh-CN" w:bidi="ar-SA"/>
        </w:rPr>
        <w:t>13027785699</w:t>
      </w:r>
    </w:p>
    <w:p>
      <w:pPr>
        <w:pStyle w:val="14"/>
        <w:rPr>
          <w:sz w:val="24"/>
          <w:szCs w:val="24"/>
          <w:highlight w:val="none"/>
        </w:rPr>
      </w:pPr>
    </w:p>
    <w:p>
      <w:pPr>
        <w:pStyle w:val="27"/>
        <w:rPr>
          <w:highlight w:val="none"/>
        </w:rPr>
      </w:pPr>
    </w:p>
    <w:p>
      <w:pPr>
        <w:pStyle w:val="27"/>
        <w:rPr>
          <w:highlight w:val="none"/>
        </w:rPr>
      </w:pPr>
    </w:p>
    <w:p>
      <w:pPr>
        <w:pStyle w:val="2"/>
        <w:keepNext w:val="0"/>
        <w:keepLines w:val="0"/>
        <w:spacing w:line="360" w:lineRule="auto"/>
        <w:jc w:val="center"/>
        <w:rPr>
          <w:rFonts w:ascii="宋体" w:hAnsi="宋体" w:cs="宋体"/>
          <w:sz w:val="32"/>
          <w:szCs w:val="32"/>
          <w:highlight w:val="none"/>
        </w:rPr>
      </w:pPr>
    </w:p>
    <w:p>
      <w:pPr>
        <w:pStyle w:val="2"/>
        <w:keepNext w:val="0"/>
        <w:keepLines w:val="0"/>
        <w:numPr>
          <w:ilvl w:val="0"/>
          <w:numId w:val="2"/>
        </w:numPr>
        <w:spacing w:line="360" w:lineRule="auto"/>
        <w:jc w:val="center"/>
        <w:rPr>
          <w:rFonts w:ascii="宋体" w:hAnsi="宋体" w:cs="宋体"/>
          <w:sz w:val="32"/>
          <w:szCs w:val="32"/>
          <w:highlight w:val="none"/>
        </w:rPr>
      </w:pPr>
      <w:r>
        <w:rPr>
          <w:rFonts w:hint="eastAsia" w:ascii="宋体" w:hAnsi="宋体" w:cs="宋体"/>
          <w:sz w:val="32"/>
          <w:szCs w:val="32"/>
          <w:highlight w:val="none"/>
        </w:rPr>
        <w:t xml:space="preserve"> </w:t>
      </w:r>
      <w:bookmarkStart w:id="2" w:name="_Toc2100"/>
      <w:r>
        <w:rPr>
          <w:rFonts w:hint="eastAsia" w:ascii="宋体" w:hAnsi="宋体" w:cs="宋体"/>
          <w:sz w:val="32"/>
          <w:szCs w:val="32"/>
          <w:highlight w:val="none"/>
        </w:rPr>
        <w:t>投标人须知</w:t>
      </w:r>
      <w:bookmarkEnd w:id="2"/>
    </w:p>
    <w:p>
      <w:pPr>
        <w:spacing w:line="360" w:lineRule="auto"/>
        <w:jc w:val="center"/>
        <w:rPr>
          <w:highlight w:val="none"/>
        </w:rPr>
      </w:pPr>
      <w:r>
        <w:rPr>
          <w:rFonts w:hint="eastAsia" w:ascii="宋体" w:hAnsi="宋体" w:cs="宋体"/>
          <w:b/>
          <w:sz w:val="24"/>
          <w:highlight w:val="none"/>
        </w:rPr>
        <w:t>投标人须知前附表</w:t>
      </w:r>
    </w:p>
    <w:tbl>
      <w:tblPr>
        <w:tblStyle w:val="33"/>
        <w:tblpPr w:leftFromText="180" w:rightFromText="180" w:vertAnchor="text" w:horzAnchor="page" w:tblpX="942" w:tblpY="414"/>
        <w:tblOverlap w:val="never"/>
        <w:tblW w:w="10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52"/>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vAlign w:val="center"/>
          </w:tcPr>
          <w:p>
            <w:pPr>
              <w:spacing w:line="360" w:lineRule="auto"/>
              <w:jc w:val="center"/>
              <w:rPr>
                <w:rFonts w:ascii="宋体" w:hAnsi="宋体" w:cs="宋体"/>
                <w:b/>
                <w:szCs w:val="21"/>
                <w:highlight w:val="none"/>
              </w:rPr>
            </w:pPr>
            <w:bookmarkStart w:id="3" w:name="_Toc184635070"/>
            <w:r>
              <w:rPr>
                <w:rFonts w:hint="eastAsia" w:ascii="宋体" w:hAnsi="宋体" w:cs="宋体"/>
                <w:b/>
                <w:szCs w:val="21"/>
                <w:highlight w:val="none"/>
              </w:rPr>
              <w:t>条款号</w:t>
            </w:r>
          </w:p>
        </w:tc>
        <w:tc>
          <w:tcPr>
            <w:tcW w:w="225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条 款 名 称</w:t>
            </w:r>
          </w:p>
        </w:tc>
        <w:tc>
          <w:tcPr>
            <w:tcW w:w="6892" w:type="dxa"/>
            <w:vAlign w:val="center"/>
          </w:tcPr>
          <w:p>
            <w:pPr>
              <w:spacing w:line="360" w:lineRule="auto"/>
              <w:jc w:val="center"/>
              <w:rPr>
                <w:rFonts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w:t>
            </w:r>
          </w:p>
        </w:tc>
        <w:tc>
          <w:tcPr>
            <w:tcW w:w="6892" w:type="dxa"/>
            <w:vAlign w:val="center"/>
          </w:tcPr>
          <w:p>
            <w:pPr>
              <w:spacing w:line="360" w:lineRule="auto"/>
              <w:rPr>
                <w:rFonts w:ascii="宋体" w:hAnsi="宋体"/>
                <w:szCs w:val="21"/>
                <w:highlight w:val="none"/>
              </w:rPr>
            </w:pPr>
            <w:r>
              <w:rPr>
                <w:rFonts w:hint="eastAsia" w:ascii="宋体" w:hAnsi="宋体"/>
                <w:szCs w:val="21"/>
                <w:highlight w:val="none"/>
              </w:rPr>
              <w:t xml:space="preserve">招 标 人：荥阳市卫生健康委员会   </w:t>
            </w:r>
          </w:p>
          <w:p>
            <w:pPr>
              <w:spacing w:line="360" w:lineRule="auto"/>
              <w:rPr>
                <w:rFonts w:ascii="宋体" w:hAnsi="宋体" w:cs="宋体"/>
                <w:szCs w:val="21"/>
                <w:highlight w:val="none"/>
              </w:rPr>
            </w:pPr>
            <w:r>
              <w:rPr>
                <w:rFonts w:hint="eastAsia" w:ascii="宋体" w:hAnsi="宋体" w:cs="宋体"/>
                <w:szCs w:val="21"/>
                <w:highlight w:val="none"/>
              </w:rPr>
              <w:t>地    址：荥阳市荥泽大道与繁荣街交叉口往北200米路西</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联 系 人：</w:t>
            </w:r>
            <w:r>
              <w:rPr>
                <w:rFonts w:hint="eastAsia" w:ascii="宋体" w:hAnsi="宋体" w:cs="宋体"/>
                <w:szCs w:val="21"/>
                <w:highlight w:val="none"/>
                <w:lang w:eastAsia="zh-CN"/>
              </w:rPr>
              <w:t>赵莹</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电    话：</w:t>
            </w:r>
            <w:r>
              <w:rPr>
                <w:rFonts w:hint="eastAsia" w:ascii="宋体" w:hAnsi="宋体" w:cs="宋体"/>
                <w:szCs w:val="21"/>
                <w:highlight w:val="none"/>
                <w:lang w:eastAsia="zh-CN"/>
              </w:rPr>
              <w:t>0371-64651958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招标代理机构</w:t>
            </w:r>
          </w:p>
        </w:tc>
        <w:tc>
          <w:tcPr>
            <w:tcW w:w="6892" w:type="dxa"/>
            <w:vAlign w:val="center"/>
          </w:tcPr>
          <w:p>
            <w:pPr>
              <w:spacing w:line="360" w:lineRule="auto"/>
              <w:rPr>
                <w:rFonts w:ascii="宋体" w:hAnsi="宋体" w:cs="宋体"/>
                <w:szCs w:val="21"/>
                <w:highlight w:val="none"/>
              </w:rPr>
            </w:pPr>
            <w:r>
              <w:rPr>
                <w:rFonts w:hint="eastAsia" w:ascii="宋体" w:hAnsi="宋体" w:cs="宋体"/>
                <w:szCs w:val="21"/>
                <w:highlight w:val="none"/>
              </w:rPr>
              <w:t>招标代理机构：中弘天合工程咨询有限公司　</w:t>
            </w:r>
          </w:p>
          <w:p>
            <w:pPr>
              <w:spacing w:line="360" w:lineRule="auto"/>
              <w:rPr>
                <w:rFonts w:ascii="宋体" w:hAnsi="宋体" w:cs="宋体"/>
                <w:szCs w:val="21"/>
                <w:highlight w:val="none"/>
              </w:rPr>
            </w:pPr>
            <w:r>
              <w:rPr>
                <w:rFonts w:hint="eastAsia" w:ascii="宋体" w:hAnsi="宋体" w:cs="宋体"/>
                <w:szCs w:val="21"/>
                <w:highlight w:val="none"/>
              </w:rPr>
              <w:t>地　址：郑州市金水区姚砦路133号金成时代广场9号楼2502室</w:t>
            </w:r>
          </w:p>
          <w:p>
            <w:pPr>
              <w:spacing w:line="360" w:lineRule="auto"/>
              <w:rPr>
                <w:rFonts w:ascii="宋体" w:hAnsi="宋体" w:cs="宋体"/>
                <w:szCs w:val="21"/>
                <w:highlight w:val="none"/>
              </w:rPr>
            </w:pPr>
            <w:r>
              <w:rPr>
                <w:rFonts w:hint="eastAsia" w:ascii="宋体" w:hAnsi="宋体" w:cs="宋体"/>
                <w:szCs w:val="21"/>
                <w:highlight w:val="none"/>
              </w:rPr>
              <w:t>联系人：狄晓龙</w:t>
            </w:r>
          </w:p>
          <w:p>
            <w:pPr>
              <w:spacing w:line="360" w:lineRule="auto"/>
              <w:rPr>
                <w:rFonts w:ascii="宋体" w:hAnsi="宋体" w:cs="宋体"/>
                <w:szCs w:val="21"/>
                <w:highlight w:val="none"/>
              </w:rPr>
            </w:pPr>
            <w:r>
              <w:rPr>
                <w:rFonts w:hint="eastAsia" w:ascii="宋体" w:hAnsi="宋体" w:cs="宋体"/>
                <w:szCs w:val="21"/>
                <w:highlight w:val="none"/>
              </w:rPr>
              <w:t>联系方式：13027785699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1.1.4</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项目名称</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荥阳市卫生健康委员会荥阳市紧密型医共体信息化建设项目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项目地点</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荥阳市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资金来源</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出资比例</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资金落实情况</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1.3.1</w:t>
            </w:r>
          </w:p>
        </w:tc>
        <w:tc>
          <w:tcPr>
            <w:tcW w:w="2252" w:type="dxa"/>
            <w:vAlign w:val="center"/>
          </w:tcPr>
          <w:p>
            <w:pPr>
              <w:jc w:val="center"/>
              <w:rPr>
                <w:rFonts w:ascii="宋体" w:hAnsi="宋体" w:cs="宋体"/>
                <w:szCs w:val="21"/>
                <w:highlight w:val="none"/>
              </w:rPr>
            </w:pPr>
            <w:r>
              <w:rPr>
                <w:rFonts w:hint="eastAsia" w:ascii="宋体" w:hAnsi="宋体" w:cs="宋体"/>
                <w:szCs w:val="21"/>
                <w:highlight w:val="none"/>
              </w:rPr>
              <w:t>招标范围</w:t>
            </w:r>
          </w:p>
        </w:tc>
        <w:tc>
          <w:tcPr>
            <w:tcW w:w="6892" w:type="dxa"/>
            <w:vAlign w:val="center"/>
          </w:tcPr>
          <w:p>
            <w:pPr>
              <w:rPr>
                <w:rFonts w:ascii="宋体" w:hAnsi="宋体" w:cs="宋体"/>
                <w:szCs w:val="21"/>
                <w:highlight w:val="none"/>
              </w:rPr>
            </w:pPr>
            <w:r>
              <w:rPr>
                <w:rFonts w:hint="eastAsia"/>
                <w:highlight w:val="none"/>
              </w:rPr>
              <w:t>招标文件范围内所有内容。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1.3.2</w:t>
            </w:r>
          </w:p>
        </w:tc>
        <w:tc>
          <w:tcPr>
            <w:tcW w:w="2252" w:type="dxa"/>
            <w:vAlign w:val="bottom"/>
          </w:tcPr>
          <w:p>
            <w:pPr>
              <w:adjustRightInd w:val="0"/>
              <w:snapToGrid w:val="0"/>
              <w:spacing w:line="360" w:lineRule="auto"/>
              <w:jc w:val="center"/>
              <w:rPr>
                <w:rFonts w:hint="eastAsia" w:eastAsia="宋体"/>
                <w:szCs w:val="21"/>
                <w:highlight w:val="none"/>
                <w:lang w:eastAsia="zh-CN"/>
              </w:rPr>
            </w:pPr>
            <w:r>
              <w:rPr>
                <w:rFonts w:hint="eastAsia" w:ascii="宋体" w:hAnsi="宋体" w:cs="宋体"/>
                <w:szCs w:val="21"/>
                <w:highlight w:val="none"/>
                <w:lang w:eastAsia="zh-CN"/>
              </w:rPr>
              <w:t>计划工期</w:t>
            </w:r>
          </w:p>
        </w:tc>
        <w:tc>
          <w:tcPr>
            <w:tcW w:w="6892" w:type="dxa"/>
            <w:vAlign w:val="bottom"/>
          </w:tcPr>
          <w:p>
            <w:pPr>
              <w:adjustRightInd w:val="0"/>
              <w:snapToGrid w:val="0"/>
              <w:spacing w:line="360" w:lineRule="auto"/>
              <w:rPr>
                <w:szCs w:val="21"/>
                <w:highlight w:val="none"/>
              </w:rPr>
            </w:pPr>
            <w:r>
              <w:rPr>
                <w:rFonts w:hint="eastAsia" w:ascii="宋体" w:hAnsi="宋体" w:cs="宋体"/>
                <w:szCs w:val="21"/>
                <w:highlight w:val="none"/>
              </w:rPr>
              <w:t>自合同签订之日起180日历天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1.3.3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质量要求</w:t>
            </w:r>
          </w:p>
        </w:tc>
        <w:tc>
          <w:tcPr>
            <w:tcW w:w="6892" w:type="dxa"/>
            <w:vAlign w:val="center"/>
          </w:tcPr>
          <w:p>
            <w:pPr>
              <w:spacing w:line="400" w:lineRule="exact"/>
              <w:rPr>
                <w:rFonts w:hint="eastAsia" w:ascii="宋体" w:hAnsi="宋体" w:eastAsia="宋体" w:cs="宋体"/>
                <w:szCs w:val="21"/>
                <w:highlight w:val="none"/>
                <w:lang w:eastAsia="zh-CN"/>
              </w:rPr>
            </w:pPr>
            <w:r>
              <w:rPr>
                <w:rFonts w:hint="eastAsia" w:ascii="宋体" w:hAnsi="宋体" w:cs="宋体"/>
                <w:highlight w:val="none"/>
                <w:lang w:eastAsia="zh-CN"/>
              </w:rPr>
              <w:t>合格，符合现行国家标准，规范和强制性条文，满足采购人就本项目提出的采购要求；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投标人资质条件、能力和信誉</w:t>
            </w:r>
          </w:p>
        </w:tc>
        <w:tc>
          <w:tcPr>
            <w:tcW w:w="6892" w:type="dxa"/>
            <w:vAlign w:val="center"/>
          </w:tcPr>
          <w:p>
            <w:pPr>
              <w:spacing w:line="360" w:lineRule="auto"/>
              <w:ind w:firstLine="422" w:firstLineChars="200"/>
              <w:rPr>
                <w:b/>
                <w:bCs/>
                <w:szCs w:val="21"/>
                <w:highlight w:val="none"/>
              </w:rPr>
            </w:pPr>
            <w:r>
              <w:rPr>
                <w:rFonts w:hint="eastAsia"/>
                <w:b/>
                <w:bCs/>
                <w:szCs w:val="21"/>
                <w:highlight w:val="none"/>
              </w:rPr>
              <w:t>1.满足《中华人民共和国政府采购法》第二十二条规定；</w:t>
            </w:r>
          </w:p>
          <w:p>
            <w:pPr>
              <w:spacing w:line="360" w:lineRule="auto"/>
              <w:ind w:firstLine="420" w:firstLineChars="200"/>
              <w:rPr>
                <w:szCs w:val="21"/>
                <w:highlight w:val="none"/>
              </w:rPr>
            </w:pPr>
            <w:r>
              <w:rPr>
                <w:rFonts w:hint="eastAsia"/>
                <w:szCs w:val="21"/>
                <w:highlight w:val="none"/>
              </w:rPr>
              <w:t>1.1、具有独立承担民事责任的能力,具有有效的营业执照；</w:t>
            </w:r>
          </w:p>
          <w:p>
            <w:pPr>
              <w:spacing w:line="360" w:lineRule="auto"/>
              <w:ind w:firstLine="420" w:firstLineChars="200"/>
              <w:rPr>
                <w:szCs w:val="21"/>
                <w:highlight w:val="none"/>
              </w:rPr>
            </w:pPr>
            <w:r>
              <w:rPr>
                <w:rFonts w:hint="eastAsia"/>
                <w:szCs w:val="21"/>
                <w:highlight w:val="none"/>
              </w:rPr>
              <w:t>1.2、具有良好的商业信誉和健全的财务会计制度</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1.3、具有履行合同所必需的设备和专业技术能力，须提供供应商具有履行合同所必需的设备和专业技术能力承诺声明文件</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1.4、具有依法缴纳税收和社会保障资金的良好记录</w:t>
            </w:r>
            <w:r>
              <w:rPr>
                <w:rFonts w:hint="eastAsia" w:ascii="宋体" w:hAnsi="宋体" w:cs="宋体"/>
                <w:highlight w:val="none"/>
              </w:rPr>
              <w:t>（自行承诺，格式自拟）</w:t>
            </w:r>
            <w:r>
              <w:rPr>
                <w:rFonts w:hint="eastAsia"/>
                <w:szCs w:val="21"/>
                <w:highlight w:val="none"/>
              </w:rPr>
              <w:t>；</w:t>
            </w:r>
          </w:p>
          <w:p>
            <w:pPr>
              <w:spacing w:line="360" w:lineRule="auto"/>
              <w:ind w:firstLine="420" w:firstLineChars="200"/>
              <w:rPr>
                <w:szCs w:val="21"/>
                <w:highlight w:val="none"/>
              </w:rPr>
            </w:pPr>
            <w:r>
              <w:rPr>
                <w:rFonts w:hint="eastAsia"/>
                <w:szCs w:val="21"/>
                <w:highlight w:val="none"/>
              </w:rPr>
              <w:t>1.5、参加政府采购活动前三年内，在经营活动中没有重大违法记录，须提供参加政府采购活动前三年内，在经营活动中没有重大违法记录的书面声明</w:t>
            </w:r>
            <w:r>
              <w:rPr>
                <w:rFonts w:hint="eastAsia" w:ascii="宋体" w:hAnsi="宋体" w:cs="宋体"/>
                <w:highlight w:val="none"/>
              </w:rPr>
              <w:t>（自行承诺，格式自拟）</w:t>
            </w:r>
            <w:r>
              <w:rPr>
                <w:rFonts w:hint="eastAsia"/>
                <w:szCs w:val="21"/>
                <w:highlight w:val="none"/>
              </w:rPr>
              <w:t>。</w:t>
            </w:r>
          </w:p>
          <w:p>
            <w:pPr>
              <w:spacing w:line="360" w:lineRule="auto"/>
              <w:ind w:firstLine="422" w:firstLineChars="200"/>
              <w:rPr>
                <w:rFonts w:hint="eastAsia" w:eastAsia="宋体"/>
                <w:szCs w:val="21"/>
                <w:highlight w:val="none"/>
                <w:lang w:eastAsia="zh-CN"/>
              </w:rPr>
            </w:pPr>
            <w:r>
              <w:rPr>
                <w:rFonts w:hint="eastAsia"/>
                <w:b/>
                <w:bCs/>
                <w:szCs w:val="21"/>
                <w:highlight w:val="none"/>
              </w:rPr>
              <w:t>2.需落实政府采购的政策要求：</w:t>
            </w:r>
            <w:r>
              <w:rPr>
                <w:rFonts w:hint="eastAsia"/>
                <w:b w:val="0"/>
                <w:bCs w:val="0"/>
                <w:szCs w:val="21"/>
                <w:highlight w:val="none"/>
                <w:lang w:eastAsia="zh-CN"/>
              </w:rPr>
              <w:t>无</w:t>
            </w:r>
          </w:p>
          <w:p>
            <w:pPr>
              <w:spacing w:line="360" w:lineRule="auto"/>
              <w:ind w:firstLine="422" w:firstLineChars="200"/>
              <w:rPr>
                <w:b/>
                <w:bCs/>
                <w:szCs w:val="21"/>
                <w:highlight w:val="none"/>
              </w:rPr>
            </w:pPr>
            <w:r>
              <w:rPr>
                <w:rFonts w:hint="eastAsia"/>
                <w:b/>
                <w:bCs/>
                <w:szCs w:val="21"/>
                <w:highlight w:val="none"/>
              </w:rPr>
              <w:t>3.本项目的特定资格要求：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3.1</w:t>
            </w: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ascii="宋体" w:hAnsi="宋体" w:cs="宋体"/>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rPr>
              <w:t>3.2、根据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3.3、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p>
            <w:pPr>
              <w:pStyle w:val="14"/>
              <w:spacing w:line="360" w:lineRule="auto"/>
              <w:ind w:firstLine="422" w:firstLineChars="200"/>
              <w:rPr>
                <w:highlight w:val="none"/>
              </w:rPr>
            </w:pPr>
            <w:r>
              <w:rPr>
                <w:rFonts w:hint="eastAsia" w:ascii="宋体" w:hAnsi="宋体" w:cs="宋体"/>
                <w:b/>
                <w:bCs/>
                <w:szCs w:val="21"/>
                <w:highlight w:val="none"/>
              </w:rPr>
              <w:t>注：投标人可同时投标多个标段，但只能中一个标段。若出现两个或两个以上标段同时被推荐为第一候选人，则只能选择标段顺序最靠前的作为中标人。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1.4.2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是否接受联合体投标</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踏勘现场及答疑</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xml:space="preserve">■不组织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投标预备会</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投标人提出问题的</w:t>
            </w:r>
          </w:p>
          <w:p>
            <w:pPr>
              <w:spacing w:line="400" w:lineRule="exact"/>
              <w:jc w:val="center"/>
              <w:rPr>
                <w:rFonts w:ascii="宋体" w:hAnsi="宋体" w:cs="宋体"/>
                <w:szCs w:val="21"/>
                <w:highlight w:val="none"/>
              </w:rPr>
            </w:pPr>
            <w:r>
              <w:rPr>
                <w:rFonts w:hint="eastAsia" w:ascii="宋体" w:hAnsi="宋体" w:cs="宋体"/>
                <w:szCs w:val="21"/>
                <w:highlight w:val="none"/>
              </w:rPr>
              <w:t>截止时间</w:t>
            </w:r>
          </w:p>
        </w:tc>
        <w:tc>
          <w:tcPr>
            <w:tcW w:w="6892" w:type="dxa"/>
            <w:vAlign w:val="center"/>
          </w:tcPr>
          <w:p>
            <w:pPr>
              <w:adjustRightInd w:val="0"/>
              <w:snapToGrid w:val="0"/>
              <w:spacing w:line="360" w:lineRule="auto"/>
              <w:jc w:val="left"/>
              <w:rPr>
                <w:rFonts w:ascii="宋体" w:hAnsi="宋体" w:cs="宋体"/>
                <w:szCs w:val="21"/>
                <w:highlight w:val="none"/>
              </w:rPr>
            </w:pPr>
            <w:r>
              <w:rPr>
                <w:rFonts w:hint="eastAsia"/>
                <w:highlight w:val="none"/>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1.10.3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招标人书面澄清的时间</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按招标文件规定的投标文件截止前15日前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分包</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1.12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偏离</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构成招标文件的其他材料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招标文件的补充文件（如有）、招标答疑纪要（如有）、最高投标限价（如有）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59"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252" w:type="dxa"/>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投标人要求澄清招标文件的截止时间</w:t>
            </w:r>
          </w:p>
        </w:tc>
        <w:tc>
          <w:tcPr>
            <w:tcW w:w="6892" w:type="dxa"/>
            <w:vAlign w:val="center"/>
          </w:tcPr>
          <w:p>
            <w:pPr>
              <w:adjustRightInd w:val="0"/>
              <w:snapToGrid w:val="0"/>
              <w:spacing w:line="360" w:lineRule="auto"/>
              <w:rPr>
                <w:rFonts w:ascii="宋体" w:hAnsi="宋体" w:cs="宋体"/>
                <w:szCs w:val="21"/>
                <w:highlight w:val="none"/>
              </w:rPr>
            </w:pPr>
            <w:r>
              <w:rPr>
                <w:rFonts w:hint="eastAsia"/>
                <w:highlight w:val="none"/>
              </w:rPr>
              <w:t>递</w:t>
            </w:r>
            <w:r>
              <w:rPr>
                <w:rFonts w:hint="eastAsia" w:ascii="宋体" w:hAnsi="宋体" w:cs="宋体"/>
                <w:szCs w:val="21"/>
                <w:highlight w:val="none"/>
              </w:rPr>
              <w:t>交投标文件的截止之日15日前</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投标人应以电子平台形式提出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投标截止时间</w:t>
            </w:r>
          </w:p>
        </w:tc>
        <w:tc>
          <w:tcPr>
            <w:tcW w:w="6892" w:type="dxa"/>
            <w:vAlign w:val="center"/>
          </w:tcPr>
          <w:p>
            <w:pPr>
              <w:spacing w:line="400" w:lineRule="exact"/>
              <w:jc w:val="left"/>
              <w:rPr>
                <w:rFonts w:ascii="宋体" w:hAnsi="宋体" w:cs="宋体"/>
                <w:b/>
                <w:szCs w:val="21"/>
                <w:highlight w:val="none"/>
              </w:rPr>
            </w:pPr>
            <w:r>
              <w:rPr>
                <w:rFonts w:hint="eastAsia" w:ascii="宋体" w:hAnsi="宋体" w:cs="宋体"/>
                <w:b/>
                <w:szCs w:val="21"/>
                <w:highlight w:val="none"/>
              </w:rPr>
              <w:t>2024年</w:t>
            </w:r>
            <w:r>
              <w:rPr>
                <w:rFonts w:hint="eastAsia" w:ascii="宋体" w:hAnsi="宋体" w:cs="宋体"/>
                <w:b/>
                <w:szCs w:val="21"/>
                <w:highlight w:val="none"/>
                <w:lang w:val="en-US" w:eastAsia="zh-CN"/>
              </w:rPr>
              <w:t>06</w:t>
            </w:r>
            <w:r>
              <w:rPr>
                <w:rFonts w:hint="eastAsia" w:ascii="宋体" w:hAnsi="宋体" w:cs="宋体"/>
                <w:b/>
                <w:szCs w:val="21"/>
                <w:highlight w:val="none"/>
              </w:rPr>
              <w:t>月</w:t>
            </w:r>
            <w:r>
              <w:rPr>
                <w:rFonts w:hint="eastAsia" w:ascii="宋体" w:hAnsi="宋体" w:cs="宋体"/>
                <w:b/>
                <w:szCs w:val="21"/>
                <w:highlight w:val="none"/>
                <w:lang w:val="en-US" w:eastAsia="zh-CN"/>
              </w:rPr>
              <w:t>28</w:t>
            </w:r>
            <w:r>
              <w:rPr>
                <w:rFonts w:hint="eastAsia" w:ascii="宋体" w:hAnsi="宋体" w:cs="宋体"/>
                <w:b/>
                <w:szCs w:val="21"/>
                <w:highlight w:val="none"/>
              </w:rPr>
              <w:t>日9时00分（北京时间）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投标人确认收到招标文件澄清的时间</w:t>
            </w:r>
          </w:p>
        </w:tc>
        <w:tc>
          <w:tcPr>
            <w:tcW w:w="6892" w:type="dxa"/>
            <w:vAlign w:val="center"/>
          </w:tcPr>
          <w:p>
            <w:pPr>
              <w:rPr>
                <w:szCs w:val="21"/>
                <w:highlight w:val="none"/>
              </w:rPr>
            </w:pPr>
            <w:r>
              <w:rPr>
                <w:rFonts w:hint="eastAsia"/>
                <w:szCs w:val="21"/>
                <w:highlight w:val="none"/>
              </w:rPr>
              <w:t>招标文件澄清发出后24小时以内</w:t>
            </w:r>
          </w:p>
          <w:p>
            <w:pPr>
              <w:pStyle w:val="19"/>
              <w:spacing w:line="240" w:lineRule="auto"/>
              <w:ind w:left="0" w:leftChars="0"/>
              <w:rPr>
                <w:highlight w:val="none"/>
              </w:rPr>
            </w:pPr>
            <w:r>
              <w:rPr>
                <w:rFonts w:hint="eastAsia" w:ascii="宋体" w:hAnsi="宋体" w:cs="宋体"/>
                <w:szCs w:val="21"/>
                <w:highlight w:val="none"/>
              </w:rPr>
              <w:t>形式：招标文件澄清公告在交易中心网站一经发出即视为投标人已确认收到，请保持关注。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2.3.2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投标人确认收到招标文件修改的间</w:t>
            </w:r>
          </w:p>
        </w:tc>
        <w:tc>
          <w:tcPr>
            <w:tcW w:w="6892" w:type="dxa"/>
            <w:vAlign w:val="center"/>
          </w:tcPr>
          <w:p>
            <w:pPr>
              <w:rPr>
                <w:rFonts w:ascii="宋体" w:hAnsi="宋体" w:cs="宋体"/>
                <w:szCs w:val="21"/>
                <w:highlight w:val="none"/>
              </w:rPr>
            </w:pPr>
            <w:r>
              <w:rPr>
                <w:rFonts w:hint="eastAsia" w:ascii="宋体" w:hAnsi="宋体" w:cs="宋体"/>
                <w:szCs w:val="21"/>
                <w:highlight w:val="none"/>
              </w:rPr>
              <w:t>招标文件修改发出后24小时以内</w:t>
            </w:r>
          </w:p>
          <w:p>
            <w:pPr>
              <w:pStyle w:val="19"/>
              <w:spacing w:line="240" w:lineRule="auto"/>
              <w:ind w:left="0" w:leftChars="0"/>
              <w:rPr>
                <w:highlight w:val="none"/>
              </w:rPr>
            </w:pPr>
            <w:r>
              <w:rPr>
                <w:rFonts w:hint="eastAsia" w:ascii="宋体" w:hAnsi="宋体" w:cs="宋体"/>
                <w:szCs w:val="21"/>
                <w:highlight w:val="none"/>
              </w:rPr>
              <w:t>形式：招标文件修改公告在交易中心网站一经发出即视为投标人已确认收到，请保持关注。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构成投标文件的其他材料</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投标有效期</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近年完成的类似项目的年份要求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指2021年1月1日起至今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3.5.5</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近年发生的诉讼及仲裁情况的年份要求</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指2021年1月1日起至今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3.6.1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是否允许递交备选投标方案</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3.7.3</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签字或盖章或电子签章要求</w:t>
            </w:r>
          </w:p>
        </w:tc>
        <w:tc>
          <w:tcPr>
            <w:tcW w:w="6892" w:type="dxa"/>
            <w:vAlign w:val="center"/>
          </w:tcPr>
          <w:p>
            <w:pPr>
              <w:spacing w:line="400" w:lineRule="exact"/>
              <w:rPr>
                <w:rFonts w:ascii="宋体" w:hAnsi="宋体" w:cs="宋体"/>
                <w:szCs w:val="21"/>
                <w:highlight w:val="none"/>
              </w:rPr>
            </w:pPr>
            <w:r>
              <w:rPr>
                <w:rFonts w:hint="eastAsia" w:ascii="宋体" w:hAnsi="宋体"/>
                <w:szCs w:val="21"/>
                <w:highlight w:val="none"/>
              </w:rPr>
              <w:t>投标人在制作投标文件时，应按投标文件格式要求签字盖章，公章包含电子公章或企业公章，签字包含电子签章或手写签名。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4.2.3</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是否退还投标文件</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5.1</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6892" w:type="dxa"/>
            <w:vAlign w:val="center"/>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开标时间：2024年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28</w:t>
            </w:r>
            <w:r>
              <w:rPr>
                <w:rFonts w:hint="eastAsia" w:ascii="宋体" w:hAnsi="宋体" w:cs="宋体"/>
                <w:szCs w:val="21"/>
                <w:highlight w:val="none"/>
              </w:rPr>
              <w:t>日上午9时00分（北京时间）</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开标地点：荥阳市公共资源交易中心（荥阳市中原路与飞龙路西北角政务服务中心七楼）第</w:t>
            </w:r>
            <w:r>
              <w:rPr>
                <w:rFonts w:hint="eastAsia" w:ascii="宋体" w:hAnsi="宋体" w:cs="宋体"/>
                <w:szCs w:val="21"/>
                <w:highlight w:val="none"/>
                <w:lang w:eastAsia="zh-CN"/>
              </w:rPr>
              <w:t>二</w:t>
            </w:r>
            <w:r>
              <w:rPr>
                <w:rFonts w:hint="eastAsia" w:ascii="宋体" w:hAnsi="宋体" w:cs="宋体"/>
                <w:szCs w:val="21"/>
                <w:highlight w:val="none"/>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5.2</w:t>
            </w:r>
          </w:p>
        </w:tc>
        <w:tc>
          <w:tcPr>
            <w:tcW w:w="2252" w:type="dxa"/>
            <w:vAlign w:val="center"/>
          </w:tcPr>
          <w:p>
            <w:pPr>
              <w:spacing w:line="400" w:lineRule="exact"/>
              <w:jc w:val="center"/>
              <w:rPr>
                <w:rFonts w:ascii="宋体" w:hAnsi="宋体" w:cs="宋体"/>
                <w:szCs w:val="21"/>
                <w:highlight w:val="none"/>
              </w:rPr>
            </w:pPr>
            <w:r>
              <w:rPr>
                <w:rFonts w:hint="eastAsia" w:ascii="宋体" w:hAnsi="宋体"/>
                <w:szCs w:val="21"/>
                <w:highlight w:val="none"/>
              </w:rPr>
              <w:t>开标程序</w:t>
            </w:r>
          </w:p>
        </w:tc>
        <w:tc>
          <w:tcPr>
            <w:tcW w:w="6892" w:type="dxa"/>
            <w:vAlign w:val="center"/>
          </w:tcPr>
          <w:p>
            <w:pPr>
              <w:spacing w:line="400" w:lineRule="exact"/>
              <w:jc w:val="left"/>
              <w:rPr>
                <w:rFonts w:ascii="宋体" w:hAnsi="宋体" w:cs="宋体"/>
                <w:szCs w:val="21"/>
                <w:highlight w:val="none"/>
                <w:u w:val="single"/>
              </w:rPr>
            </w:pPr>
            <w:r>
              <w:rPr>
                <w:rFonts w:hint="eastAsia" w:ascii="宋体" w:hAnsi="宋体"/>
                <w:szCs w:val="21"/>
                <w:highlight w:val="none"/>
              </w:rPr>
              <w:t>本项目采用“远程不见面”开标方式。投标人无需到荥阳市公共资源交易中心现场参加开标会议，不再要求投标人到达现场提交任何资料。投标人应当在招标文件确定的投标截止时间前，登录“荥阳市公共资源交易中心不见面开标大厅”，在线准时参加开标活动并进行文件解密、答疑澄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6.1.1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评标委员会的组建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评标委员会构成：评标委员会由采购人代表和评审专家组成，由采购人代表2人，技术、经济等方面专家5人共7人组成。</w:t>
            </w:r>
          </w:p>
          <w:p>
            <w:pPr>
              <w:spacing w:line="400" w:lineRule="exact"/>
              <w:rPr>
                <w:rFonts w:ascii="宋体" w:hAnsi="宋体" w:cs="宋体"/>
                <w:szCs w:val="21"/>
                <w:highlight w:val="none"/>
              </w:rPr>
            </w:pPr>
            <w:r>
              <w:rPr>
                <w:rFonts w:hint="eastAsia" w:ascii="宋体" w:hAnsi="宋体" w:cs="宋体"/>
                <w:szCs w:val="21"/>
                <w:highlight w:val="none"/>
              </w:rPr>
              <w:t>评审专家确定方式：开标前24小时内从河南省政府采购评标专家库中随机抽取。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7.1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是否授权评标委员会确定中标人</w:t>
            </w:r>
          </w:p>
        </w:tc>
        <w:tc>
          <w:tcPr>
            <w:tcW w:w="6892" w:type="dxa"/>
            <w:vAlign w:val="center"/>
          </w:tcPr>
          <w:p>
            <w:pPr>
              <w:spacing w:line="400" w:lineRule="exact"/>
              <w:rPr>
                <w:rFonts w:ascii="宋体" w:hAnsi="宋体" w:cs="宋体"/>
                <w:szCs w:val="21"/>
                <w:highlight w:val="none"/>
              </w:rPr>
            </w:pPr>
            <w:r>
              <w:rPr>
                <w:rFonts w:hint="eastAsia" w:ascii="宋体" w:hAnsi="宋体" w:cs="宋体"/>
                <w:szCs w:val="21"/>
                <w:highlight w:val="none"/>
              </w:rPr>
              <w:t>■ 否 推荐的中标候选人数为3名。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59" w:type="dxa"/>
            <w:vAlign w:val="center"/>
          </w:tcPr>
          <w:p>
            <w:pPr>
              <w:spacing w:line="400" w:lineRule="exact"/>
              <w:jc w:val="center"/>
              <w:rPr>
                <w:highlight w:val="none"/>
              </w:rPr>
            </w:pPr>
            <w:r>
              <w:rPr>
                <w:rFonts w:hint="eastAsia"/>
                <w:highlight w:val="none"/>
              </w:rPr>
              <w:t>7.3.1</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履约担保</w:t>
            </w:r>
          </w:p>
        </w:tc>
        <w:tc>
          <w:tcPr>
            <w:tcW w:w="6892" w:type="dxa"/>
            <w:vAlign w:val="center"/>
          </w:tcPr>
          <w:p>
            <w:pPr>
              <w:pStyle w:val="19"/>
              <w:spacing w:after="0" w:line="360" w:lineRule="auto"/>
              <w:ind w:left="0" w:leftChars="0"/>
              <w:rPr>
                <w:highlight w:val="none"/>
              </w:rPr>
            </w:pPr>
            <w:r>
              <w:rPr>
                <w:rFonts w:hint="eastAsia" w:ascii="宋体" w:hAnsi="宋体" w:cs="宋体"/>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10.1</w:t>
            </w:r>
          </w:p>
        </w:tc>
        <w:tc>
          <w:tcPr>
            <w:tcW w:w="2252" w:type="dxa"/>
            <w:vAlign w:val="center"/>
          </w:tcPr>
          <w:p>
            <w:pPr>
              <w:spacing w:line="400" w:lineRule="exact"/>
              <w:jc w:val="center"/>
              <w:rPr>
                <w:rFonts w:ascii="宋体" w:hAnsi="宋体" w:cs="宋体"/>
                <w:bCs/>
                <w:szCs w:val="21"/>
                <w:highlight w:val="none"/>
              </w:rPr>
            </w:pPr>
            <w:r>
              <w:rPr>
                <w:rFonts w:hint="eastAsia" w:ascii="宋体" w:hAnsi="宋体" w:cs="宋体"/>
                <w:bCs/>
                <w:highlight w:val="none"/>
              </w:rPr>
              <w:t>最高投标限价</w:t>
            </w:r>
          </w:p>
        </w:tc>
        <w:tc>
          <w:tcPr>
            <w:tcW w:w="6892" w:type="dxa"/>
            <w:vAlign w:val="center"/>
          </w:tcPr>
          <w:p>
            <w:pPr>
              <w:pStyle w:val="17"/>
              <w:spacing w:line="400" w:lineRule="exact"/>
              <w:rPr>
                <w:highlight w:val="none"/>
              </w:rPr>
            </w:pPr>
            <w:r>
              <w:rPr>
                <w:rFonts w:hint="eastAsia"/>
                <w:highlight w:val="none"/>
              </w:rPr>
              <w:t>本项目设最高投标限价，投标人的投标报价不得高于该最高投标限价，否则投标人的投标文件按废标处理。</w:t>
            </w:r>
          </w:p>
          <w:p>
            <w:pPr>
              <w:pStyle w:val="17"/>
              <w:spacing w:line="400" w:lineRule="exact"/>
              <w:rPr>
                <w:highlight w:val="none"/>
              </w:rPr>
            </w:pPr>
            <w:r>
              <w:rPr>
                <w:rFonts w:hint="eastAsia"/>
                <w:highlight w:val="none"/>
              </w:rPr>
              <w:t>最高投标限价为：</w:t>
            </w:r>
          </w:p>
          <w:p>
            <w:pPr>
              <w:pStyle w:val="17"/>
              <w:spacing w:line="400" w:lineRule="exact"/>
              <w:rPr>
                <w:b/>
                <w:bCs/>
                <w:highlight w:val="none"/>
              </w:rPr>
            </w:pPr>
            <w:r>
              <w:rPr>
                <w:rFonts w:hint="eastAsia"/>
                <w:b/>
                <w:bCs/>
                <w:highlight w:val="none"/>
              </w:rPr>
              <w:t>一标段：</w:t>
            </w:r>
          </w:p>
          <w:p>
            <w:pPr>
              <w:pStyle w:val="17"/>
              <w:spacing w:line="400" w:lineRule="exact"/>
              <w:rPr>
                <w:highlight w:val="none"/>
              </w:rPr>
            </w:pPr>
            <w:r>
              <w:rPr>
                <w:rFonts w:hint="eastAsia"/>
                <w:highlight w:val="none"/>
              </w:rPr>
              <w:t>小写：￥39790000元；大写：叁仟玖佰柒拾玖万元整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10.2</w:t>
            </w:r>
          </w:p>
        </w:tc>
        <w:tc>
          <w:tcPr>
            <w:tcW w:w="225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其他</w:t>
            </w:r>
          </w:p>
        </w:tc>
        <w:tc>
          <w:tcPr>
            <w:tcW w:w="6892" w:type="dxa"/>
            <w:vAlign w:val="center"/>
          </w:tcPr>
          <w:p>
            <w:pPr>
              <w:spacing w:line="400" w:lineRule="exact"/>
              <w:rPr>
                <w:rFonts w:ascii="宋体" w:hAnsi="宋体" w:cs="宋体"/>
                <w:highlight w:val="none"/>
              </w:rPr>
            </w:pPr>
            <w:r>
              <w:rPr>
                <w:rFonts w:hint="eastAsia" w:ascii="宋体" w:hAnsi="宋体" w:cs="宋体"/>
                <w:bCs/>
                <w:highlight w:val="none"/>
              </w:rPr>
              <w:t>本次招标的中标人须向招标代理人支付招标代理服务费。参考河南省招标投标协会（豫招协[2023]002号）文规定的计费方式，向中标人收取代理服务费。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10.3</w:t>
            </w:r>
          </w:p>
        </w:tc>
        <w:tc>
          <w:tcPr>
            <w:tcW w:w="2252"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中小型企业产品价格扣除</w:t>
            </w:r>
          </w:p>
        </w:tc>
        <w:tc>
          <w:tcPr>
            <w:tcW w:w="6892" w:type="dxa"/>
            <w:vAlign w:val="center"/>
          </w:tcPr>
          <w:p>
            <w:pPr>
              <w:spacing w:line="400" w:lineRule="exact"/>
              <w:rPr>
                <w:highlight w:val="none"/>
              </w:rPr>
            </w:pP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10.4</w:t>
            </w:r>
          </w:p>
        </w:tc>
        <w:tc>
          <w:tcPr>
            <w:tcW w:w="9144" w:type="dxa"/>
            <w:gridSpan w:val="2"/>
            <w:vAlign w:val="center"/>
          </w:tcPr>
          <w:p>
            <w:pPr>
              <w:widowControl/>
              <w:spacing w:line="440" w:lineRule="exact"/>
              <w:jc w:val="left"/>
              <w:rPr>
                <w:rFonts w:ascii="宋体" w:hAnsi="宋体" w:cs="宋体"/>
                <w:b/>
                <w:bCs/>
                <w:szCs w:val="21"/>
                <w:highlight w:val="none"/>
                <w:lang w:bidi="zh-CN"/>
              </w:rPr>
            </w:pPr>
            <w:r>
              <w:rPr>
                <w:rFonts w:hint="eastAsia" w:ascii="宋体" w:hAnsi="宋体" w:cs="宋体"/>
                <w:b/>
                <w:bCs/>
                <w:szCs w:val="21"/>
                <w:highlight w:val="none"/>
                <w:lang w:bidi="zh-CN"/>
              </w:rPr>
              <w:t>1.采购标的所属行业为：一标段：</w:t>
            </w:r>
            <w:r>
              <w:rPr>
                <w:rFonts w:hint="eastAsia" w:ascii="宋体" w:hAnsi="宋体" w:cs="宋体"/>
                <w:b/>
                <w:bCs/>
                <w:spacing w:val="-12"/>
                <w:kern w:val="0"/>
                <w:szCs w:val="21"/>
                <w:highlight w:val="none"/>
              </w:rPr>
              <w:t>软件和信息技术服</w:t>
            </w:r>
            <w:r>
              <w:rPr>
                <w:rFonts w:hint="eastAsia" w:ascii="宋体" w:hAnsi="宋体" w:cs="宋体"/>
                <w:b/>
                <w:bCs/>
                <w:kern w:val="0"/>
                <w:szCs w:val="21"/>
                <w:highlight w:val="none"/>
              </w:rPr>
              <w:t>务业</w:t>
            </w:r>
          </w:p>
          <w:p>
            <w:pPr>
              <w:widowControl/>
              <w:autoSpaceDE w:val="0"/>
              <w:autoSpaceDN w:val="0"/>
              <w:spacing w:line="440" w:lineRule="exact"/>
              <w:ind w:firstLine="420" w:firstLineChars="200"/>
              <w:jc w:val="left"/>
              <w:rPr>
                <w:rFonts w:ascii="宋体" w:hAnsi="宋体" w:cs="宋体"/>
                <w:b/>
                <w:bCs/>
                <w:kern w:val="0"/>
                <w:szCs w:val="21"/>
                <w:highlight w:val="none"/>
                <w:lang w:bidi="ar"/>
              </w:rPr>
            </w:pPr>
            <w:r>
              <w:rPr>
                <w:rFonts w:hint="eastAsia" w:ascii="宋体" w:hAnsi="宋体" w:cs="宋体"/>
                <w:kern w:val="0"/>
                <w:szCs w:val="21"/>
                <w:highlight w:val="none"/>
                <w:lang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r>
              <w:rPr>
                <w:rFonts w:hint="eastAsia" w:ascii="宋体" w:hAnsi="宋体" w:cs="宋体"/>
                <w:b/>
                <w:bCs/>
                <w:kern w:val="0"/>
                <w:szCs w:val="21"/>
                <w:highlight w:val="none"/>
                <w:lang w:bidi="ar"/>
              </w:rPr>
              <w:t>（附件1）</w:t>
            </w:r>
          </w:p>
          <w:p>
            <w:pPr>
              <w:pStyle w:val="29"/>
              <w:spacing w:before="0" w:beforeAutospacing="0" w:after="0" w:afterAutospacing="0" w:line="440" w:lineRule="exact"/>
              <w:jc w:val="both"/>
              <w:rPr>
                <w:rFonts w:hint="default" w:cs="宋体"/>
                <w:b/>
                <w:bCs/>
                <w:sz w:val="21"/>
                <w:szCs w:val="21"/>
                <w:highlight w:val="none"/>
              </w:rPr>
            </w:pPr>
            <w:r>
              <w:rPr>
                <w:rFonts w:cs="宋体"/>
                <w:b/>
                <w:bCs/>
                <w:sz w:val="21"/>
                <w:szCs w:val="21"/>
                <w:highlight w:val="none"/>
              </w:rPr>
              <w:t>2.其他说明</w:t>
            </w:r>
          </w:p>
          <w:p>
            <w:pPr>
              <w:pStyle w:val="29"/>
              <w:spacing w:before="0" w:beforeAutospacing="0" w:after="0" w:afterAutospacing="0" w:line="440" w:lineRule="exact"/>
              <w:ind w:firstLine="420" w:firstLineChars="200"/>
              <w:jc w:val="both"/>
              <w:rPr>
                <w:rFonts w:hint="default" w:cs="宋体"/>
                <w:sz w:val="21"/>
                <w:szCs w:val="21"/>
                <w:highlight w:val="none"/>
              </w:rPr>
            </w:pPr>
            <w:r>
              <w:rPr>
                <w:rFonts w:cs="宋体"/>
                <w:sz w:val="21"/>
                <w:szCs w:val="21"/>
                <w:highlight w:val="none"/>
              </w:rPr>
              <w:t>（1）提供相同品牌产品且通过“资格性审查”和“符合性审查”的不同投标人参加同一合同项下投标的，按一家投标人计算，评审后得分最高的同品牌投标人获得中标人推荐资格；评审后得分也相等的，由投标报价得分最高的同品牌投标人获得中标人推荐资格；如投标报价得分也相等的，由评标委员会采取随机抽取方式确定；其他同品牌投标人不作为中标候选人。</w:t>
            </w:r>
          </w:p>
          <w:p>
            <w:pPr>
              <w:pStyle w:val="29"/>
              <w:spacing w:before="0" w:beforeAutospacing="0" w:after="0" w:afterAutospacing="0" w:line="440" w:lineRule="exact"/>
              <w:ind w:firstLine="420" w:firstLineChars="200"/>
              <w:jc w:val="both"/>
              <w:rPr>
                <w:rFonts w:hint="default" w:cs="宋体"/>
                <w:sz w:val="21"/>
                <w:szCs w:val="21"/>
                <w:highlight w:val="none"/>
              </w:rPr>
            </w:pPr>
            <w:r>
              <w:rPr>
                <w:rFonts w:cs="宋体"/>
                <w:sz w:val="21"/>
                <w:szCs w:val="21"/>
                <w:highlight w:val="none"/>
              </w:rPr>
              <w:t>（2）非单一产品采购项目且在招标文件中</w:t>
            </w:r>
            <w:r>
              <w:rPr>
                <w:rFonts w:cs="宋体"/>
                <w:b/>
                <w:bCs/>
                <w:sz w:val="21"/>
                <w:szCs w:val="21"/>
                <w:highlight w:val="none"/>
              </w:rPr>
              <w:t>注明核心产品的</w:t>
            </w:r>
            <w:r>
              <w:rPr>
                <w:rFonts w:cs="宋体"/>
                <w:sz w:val="21"/>
                <w:szCs w:val="21"/>
                <w:highlight w:val="none"/>
              </w:rPr>
              <w:t xml:space="preserve">，提供相同品牌产品且通过资格审查、 符合性审查的不同投标人参加同一标段投标的，按一家投标人计算，评审后得分最高的同品牌投标人获得中标人推荐资格；评审得分相同的，以投标报价低者获得中标人推荐资格。 </w:t>
            </w:r>
          </w:p>
          <w:p>
            <w:pPr>
              <w:pStyle w:val="51"/>
              <w:ind w:firstLine="422" w:firstLineChars="200"/>
              <w:rPr>
                <w:rFonts w:ascii="宋体" w:hAnsi="宋体" w:cs="宋体"/>
                <w:b/>
                <w:bCs/>
                <w:szCs w:val="21"/>
                <w:highlight w:val="none"/>
                <w:lang w:bidi="zh-CN"/>
              </w:rPr>
            </w:pPr>
            <w:r>
              <w:rPr>
                <w:rFonts w:hint="eastAsia" w:ascii="宋体" w:hAnsi="宋体" w:cs="宋体"/>
                <w:b/>
                <w:bCs/>
                <w:szCs w:val="21"/>
                <w:highlight w:val="none"/>
                <w:lang w:bidi="zh-CN"/>
              </w:rPr>
              <w:t>（3）本项目核心产品：</w:t>
            </w:r>
            <w:r>
              <w:rPr>
                <w:rFonts w:hint="eastAsia" w:ascii="宋体" w:hAnsi="宋体" w:eastAsia="宋体" w:cs="宋体"/>
                <w:b/>
                <w:bCs/>
                <w:kern w:val="0"/>
                <w:sz w:val="21"/>
                <w:szCs w:val="21"/>
                <w:highlight w:val="none"/>
                <w:lang w:val="en-US" w:eastAsia="zh-CN" w:bidi="ar-SA"/>
              </w:rPr>
              <w:fldChar w:fldCharType="begin"/>
            </w:r>
            <w:r>
              <w:rPr>
                <w:rFonts w:hint="eastAsia" w:ascii="宋体" w:hAnsi="宋体" w:eastAsia="宋体" w:cs="宋体"/>
                <w:b/>
                <w:bCs/>
                <w:kern w:val="0"/>
                <w:sz w:val="21"/>
                <w:szCs w:val="21"/>
                <w:highlight w:val="none"/>
                <w:lang w:val="en-US" w:eastAsia="zh-CN" w:bidi="ar-SA"/>
              </w:rPr>
              <w:instrText xml:space="preserve">HYPERLINK""\l"_Toc29234"</w:instrText>
            </w:r>
            <w:r>
              <w:rPr>
                <w:rFonts w:hint="eastAsia" w:ascii="宋体" w:hAnsi="宋体" w:eastAsia="宋体" w:cs="宋体"/>
                <w:b/>
                <w:bCs/>
                <w:kern w:val="0"/>
                <w:sz w:val="21"/>
                <w:szCs w:val="21"/>
                <w:highlight w:val="none"/>
                <w:lang w:val="en-US" w:eastAsia="zh-CN" w:bidi="ar-SA"/>
              </w:rPr>
              <w:fldChar w:fldCharType="separate"/>
            </w:r>
            <w:r>
              <w:rPr>
                <w:rFonts w:hint="eastAsia" w:ascii="宋体" w:hAnsi="宋体" w:eastAsia="宋体" w:cs="宋体"/>
                <w:b/>
                <w:bCs/>
                <w:kern w:val="0"/>
                <w:sz w:val="21"/>
                <w:szCs w:val="21"/>
                <w:highlight w:val="none"/>
                <w:lang w:val="en-US" w:eastAsia="zh-CN" w:bidi="ar-SA"/>
              </w:rPr>
              <w:t>数据资源中心</w:t>
            </w:r>
            <w:r>
              <w:rPr>
                <w:rFonts w:hint="eastAsia" w:ascii="宋体" w:hAnsi="宋体" w:eastAsia="宋体" w:cs="宋体"/>
                <w:b/>
                <w:bCs/>
                <w:kern w:val="0"/>
                <w:sz w:val="21"/>
                <w:szCs w:val="21"/>
                <w:highlight w:val="none"/>
                <w:lang w:val="en-US" w:eastAsia="zh-CN" w:bidi="ar-SA"/>
              </w:rPr>
              <w:fldChar w:fldCharType="end"/>
            </w:r>
          </w:p>
          <w:p>
            <w:pPr>
              <w:spacing w:line="360" w:lineRule="auto"/>
              <w:ind w:left="631" w:leftChars="200" w:hanging="211" w:hangingChars="100"/>
              <w:rPr>
                <w:rFonts w:ascii="宋体" w:hAnsi="宋体" w:cs="宋体"/>
                <w:b/>
                <w:bCs/>
                <w:szCs w:val="21"/>
                <w:highlight w:val="none"/>
                <w:lang w:bidi="zh-CN"/>
              </w:rPr>
            </w:pPr>
            <w:r>
              <w:rPr>
                <w:rFonts w:hint="eastAsia" w:ascii="宋体" w:hAnsi="宋体" w:cs="宋体"/>
                <w:b/>
                <w:bCs/>
                <w:szCs w:val="21"/>
                <w:highlight w:val="none"/>
                <w:lang w:bidi="zh-CN"/>
              </w:rPr>
              <w:t>（4）本项目落实强制采购节能产品、优先采购节能环保产品等最新政府采购政策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如果所投产品是财政部、国家发展改革委最新节能清单的政府强制采购和优先采购的节能产品及环境标志产品的，须提供以下材料： </w:t>
            </w:r>
          </w:p>
          <w:p>
            <w:pPr>
              <w:spacing w:line="360" w:lineRule="auto"/>
              <w:rPr>
                <w:rFonts w:ascii="宋体" w:hAnsi="宋体" w:cs="宋体"/>
                <w:szCs w:val="21"/>
                <w:highlight w:val="none"/>
              </w:rPr>
            </w:pPr>
            <w:r>
              <w:rPr>
                <w:rFonts w:hint="eastAsia" w:ascii="宋体" w:hAnsi="宋体" w:cs="宋体"/>
                <w:szCs w:val="21"/>
                <w:highlight w:val="none"/>
              </w:rPr>
              <w:t>A.采购人拟采购的产品属于财库〔2019〕19号《节能产品政府采购品目清单》范围内政府强制采购产品，其中以“★”标注的为政府强制采购产品。（节能产品政府采购品目清单见附件）。</w:t>
            </w:r>
          </w:p>
          <w:p>
            <w:pPr>
              <w:spacing w:line="360" w:lineRule="auto"/>
              <w:rPr>
                <w:rFonts w:ascii="宋体" w:hAnsi="宋体" w:cs="宋体"/>
                <w:szCs w:val="21"/>
                <w:highlight w:val="none"/>
              </w:rPr>
            </w:pPr>
            <w:r>
              <w:rPr>
                <w:rFonts w:hint="eastAsia" w:ascii="宋体" w:hAnsi="宋体" w:cs="宋体"/>
                <w:szCs w:val="21"/>
                <w:highlight w:val="none"/>
              </w:rPr>
              <w:t>供应商响应采购文件要求提供的投标产品属于《节能产品政府采购品目清单》范围的“政府强制采购产品”的应提供国家确定的认证机构出具的、处于有效期之内的节能产品认证证书复印件，否则视为非实质性响应采购文件要求，其响应文件无效。</w:t>
            </w:r>
          </w:p>
          <w:p>
            <w:pPr>
              <w:spacing w:line="360" w:lineRule="auto"/>
              <w:rPr>
                <w:rFonts w:ascii="宋体" w:hAnsi="宋体" w:cs="宋体"/>
                <w:szCs w:val="21"/>
                <w:highlight w:val="none"/>
              </w:rPr>
            </w:pPr>
            <w:r>
              <w:rPr>
                <w:rFonts w:hint="eastAsia" w:ascii="宋体" w:hAnsi="宋体" w:cs="宋体"/>
                <w:szCs w:val="21"/>
                <w:highlight w:val="none"/>
              </w:rPr>
              <w:t>B.采购人拟采购的产品属于财库〔2019〕19号《节能产品政府采购品目清单》和财库〔2019〕18号《环境标志产品政府采购品目清单》范围内政府优先采购产品。</w:t>
            </w:r>
          </w:p>
          <w:p>
            <w:pPr>
              <w:spacing w:line="360" w:lineRule="auto"/>
              <w:rPr>
                <w:rFonts w:ascii="宋体" w:hAnsi="宋体" w:cs="宋体"/>
                <w:szCs w:val="21"/>
                <w:highlight w:val="none"/>
              </w:rPr>
            </w:pPr>
            <w:r>
              <w:rPr>
                <w:rFonts w:hint="eastAsia" w:ascii="宋体" w:hAnsi="宋体" w:cs="宋体"/>
                <w:szCs w:val="21"/>
                <w:highlight w:val="none"/>
              </w:rPr>
              <w:t>供应商响应采购文件要求提供的投标产品属于《节能产品政府采购品目清单》或《环境标志产品政府采购品目清单》范围的“政府优先采购产品”的应提供国家确定的认证机构出具的、处于有效期之内的节能产品认证证书或环境标志产品认证证书复印件，否则视为主动放弃被优先采购的权利。</w:t>
            </w:r>
            <w:r>
              <w:rPr>
                <w:highlight w:val="none"/>
              </w:rPr>
              <w:fldChar w:fldCharType="begin"/>
            </w:r>
            <w:r>
              <w:rPr>
                <w:highlight w:val="none"/>
              </w:rPr>
              <w:instrText xml:space="preserve">HYPERLINK "http://www.ccgp.gov.cn/zcfg/mof/201707/t20170728_8598786.ht"</w:instrText>
            </w:r>
            <w:r>
              <w:rPr>
                <w:highlight w:val="none"/>
              </w:rPr>
              <w:fldChar w:fldCharType="separate"/>
            </w:r>
            <w:r>
              <w:rPr>
                <w:highlight w:val="none"/>
              </w:rPr>
              <w:fldChar w:fldCharType="end"/>
            </w:r>
          </w:p>
          <w:p>
            <w:pPr>
              <w:pStyle w:val="53"/>
              <w:ind w:firstLine="0"/>
              <w:rPr>
                <w:highlight w:val="none"/>
              </w:rPr>
            </w:pPr>
            <w:r>
              <w:rPr>
                <w:rFonts w:hint="eastAsia" w:ascii="宋体" w:hAnsi="宋体" w:cs="宋体"/>
                <w:sz w:val="21"/>
                <w:szCs w:val="21"/>
                <w:highlight w:val="none"/>
              </w:rPr>
              <w:t>C.优先采购节能产品和环境标志产品在同等条件下属于优先采购范围（优先采购指最终得分相等时，投标报价也相同时，按技术指标优劣顺序排序，技术指标优劣情况相同的优先购买所投优先采购节能产品和环境标志产品合计金额占自身投标报价比例大的）。</w:t>
            </w:r>
            <w:r>
              <w:rPr>
                <w:rFonts w:hint="eastAsia" w:ascii="宋体" w:hAnsi="宋体" w:cs="宋体"/>
                <w:b/>
                <w:bCs/>
                <w:color w:val="auto"/>
                <w:sz w:val="21"/>
                <w:szCs w:val="21"/>
                <w:highlight w:val="none"/>
                <w:lang w:bidi="zh-CN"/>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center"/>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10.5</w:t>
            </w:r>
          </w:p>
        </w:tc>
        <w:tc>
          <w:tcPr>
            <w:tcW w:w="9144" w:type="dxa"/>
            <w:gridSpan w:val="2"/>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b/>
                <w:bCs/>
                <w:szCs w:val="21"/>
                <w:highlight w:val="none"/>
              </w:rPr>
              <w:t>荥阳市政府采购合同融资政策告知函</w:t>
            </w:r>
          </w:p>
          <w:p>
            <w:pPr>
              <w:adjustRightInd w:val="0"/>
              <w:snapToGrid w:val="0"/>
              <w:spacing w:line="360" w:lineRule="auto"/>
              <w:jc w:val="left"/>
              <w:rPr>
                <w:rFonts w:ascii="宋体" w:hAnsi="宋体" w:cs="宋体"/>
                <w:szCs w:val="21"/>
                <w:highlight w:val="none"/>
              </w:rPr>
            </w:pPr>
            <w:r>
              <w:rPr>
                <w:rFonts w:hint="eastAsia" w:ascii="宋体" w:hAnsi="宋体" w:cs="宋体"/>
                <w:szCs w:val="21"/>
                <w:highlight w:val="none"/>
              </w:rPr>
              <w:t xml:space="preserve">各供应商：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欢迎贵公司参与荥阳市政府采购活动！ </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 〔2018〕4 号），按照双方自愿的原则提供便捷、优惠的贷款服务。</w:t>
            </w:r>
          </w:p>
          <w:p>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贷款渠道和提供贷款的金融机构，可在荥阳市政府采购网 “荥阳市政府采购合同融资入口”或工作动态栏查询联系。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9" w:type="dxa"/>
            <w:vAlign w:val="bottom"/>
          </w:tcPr>
          <w:p>
            <w:pPr>
              <w:adjustRightInd w:val="0"/>
              <w:snapToGrid w:val="0"/>
              <w:spacing w:line="400" w:lineRule="exact"/>
              <w:jc w:val="center"/>
              <w:rPr>
                <w:rFonts w:ascii="宋体" w:hAnsi="宋体" w:cs="宋体"/>
                <w:szCs w:val="21"/>
                <w:highlight w:val="none"/>
              </w:rPr>
            </w:pPr>
            <w:r>
              <w:rPr>
                <w:rFonts w:hint="eastAsia" w:ascii="宋体" w:hAnsi="宋体" w:cs="宋体"/>
                <w:szCs w:val="21"/>
                <w:highlight w:val="none"/>
              </w:rPr>
              <w:t>10.6</w:t>
            </w:r>
          </w:p>
        </w:tc>
        <w:tc>
          <w:tcPr>
            <w:tcW w:w="9144" w:type="dxa"/>
            <w:gridSpan w:val="2"/>
            <w:vAlign w:val="bottom"/>
          </w:tcPr>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付款方式：经验收合格签字后，按照合同以转账方式支付项目金额。</w:t>
            </w:r>
          </w:p>
        </w:tc>
      </w:tr>
      <w:bookmarkEnd w:id="3"/>
    </w:tbl>
    <w:p>
      <w:pPr>
        <w:widowControl/>
        <w:spacing w:line="330" w:lineRule="atLeast"/>
        <w:jc w:val="center"/>
        <w:rPr>
          <w:rFonts w:ascii="宋体" w:hAnsi="宋体" w:cs="宋体"/>
          <w:b/>
          <w:bCs/>
          <w:kern w:val="0"/>
          <w:sz w:val="36"/>
          <w:szCs w:val="32"/>
          <w:highlight w:val="none"/>
        </w:rPr>
      </w:pPr>
      <w:bookmarkStart w:id="4" w:name="_Toc184635071"/>
      <w:r>
        <w:rPr>
          <w:rFonts w:hint="eastAsia" w:ascii="宋体" w:hAnsi="宋体" w:cs="宋体"/>
          <w:b/>
          <w:bCs/>
          <w:kern w:val="0"/>
          <w:sz w:val="36"/>
          <w:szCs w:val="32"/>
          <w:highlight w:val="none"/>
        </w:rPr>
        <w:t>附件1.统计上大中小微型企业划分标准</w:t>
      </w:r>
    </w:p>
    <w:tbl>
      <w:tblPr>
        <w:tblStyle w:val="33"/>
        <w:tblW w:w="10143" w:type="dxa"/>
        <w:jc w:val="center"/>
        <w:tblLayout w:type="fixed"/>
        <w:tblCellMar>
          <w:top w:w="0" w:type="dxa"/>
          <w:left w:w="108" w:type="dxa"/>
          <w:bottom w:w="0" w:type="dxa"/>
          <w:right w:w="108" w:type="dxa"/>
        </w:tblCellMar>
      </w:tblPr>
      <w:tblGrid>
        <w:gridCol w:w="1930"/>
        <w:gridCol w:w="1750"/>
        <w:gridCol w:w="684"/>
        <w:gridCol w:w="1300"/>
        <w:gridCol w:w="1866"/>
        <w:gridCol w:w="1567"/>
        <w:gridCol w:w="1046"/>
      </w:tblGrid>
      <w:tr>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kern w:val="0"/>
                <w:szCs w:val="21"/>
                <w:highlight w:val="none"/>
              </w:rPr>
            </w:pPr>
            <w:r>
              <w:rPr>
                <w:rFonts w:hint="eastAsia" w:ascii="宋体" w:hAnsi="宋体" w:cs="宋体"/>
                <w:b/>
                <w:bCs/>
                <w:kern w:val="0"/>
                <w:szCs w:val="21"/>
                <w:highlight w:val="none"/>
              </w:rPr>
              <w:t>行业名称</w:t>
            </w:r>
          </w:p>
        </w:tc>
        <w:tc>
          <w:tcPr>
            <w:tcW w:w="17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指标名称</w:t>
            </w:r>
          </w:p>
        </w:tc>
        <w:tc>
          <w:tcPr>
            <w:tcW w:w="6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计量</w:t>
            </w:r>
          </w:p>
          <w:p>
            <w:pPr>
              <w:widowControl/>
              <w:jc w:val="center"/>
              <w:rPr>
                <w:rFonts w:ascii="宋体" w:hAnsi="宋体" w:cs="宋体"/>
                <w:b/>
                <w:bCs/>
                <w:kern w:val="0"/>
                <w:szCs w:val="21"/>
                <w:highlight w:val="none"/>
              </w:rPr>
            </w:pPr>
            <w:r>
              <w:rPr>
                <w:rFonts w:hint="eastAsia" w:ascii="宋体" w:hAnsi="宋体" w:cs="宋体"/>
                <w:b/>
                <w:bCs/>
                <w:kern w:val="0"/>
                <w:szCs w:val="21"/>
                <w:highlight w:val="none"/>
              </w:rPr>
              <w:t>单位</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大型</w:t>
            </w:r>
          </w:p>
        </w:tc>
        <w:tc>
          <w:tcPr>
            <w:tcW w:w="18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中型</w:t>
            </w:r>
          </w:p>
        </w:tc>
        <w:tc>
          <w:tcPr>
            <w:tcW w:w="1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小型</w:t>
            </w:r>
          </w:p>
        </w:tc>
        <w:tc>
          <w:tcPr>
            <w:tcW w:w="1046" w:type="dxa"/>
            <w:tcBorders>
              <w:top w:val="single" w:color="auto" w:sz="4" w:space="0"/>
              <w:left w:val="nil"/>
              <w:bottom w:val="single" w:color="auto" w:sz="4" w:space="0"/>
              <w:right w:val="nil"/>
            </w:tcBorders>
            <w:vAlign w:val="center"/>
          </w:tcPr>
          <w:p>
            <w:pPr>
              <w:widowControl/>
              <w:jc w:val="center"/>
              <w:rPr>
                <w:rFonts w:ascii="宋体" w:hAnsi="宋体" w:cs="宋体"/>
                <w:b/>
                <w:bCs/>
                <w:kern w:val="0"/>
                <w:szCs w:val="21"/>
                <w:highlight w:val="none"/>
              </w:rPr>
            </w:pPr>
            <w:r>
              <w:rPr>
                <w:rFonts w:hint="eastAsia" w:ascii="宋体" w:hAnsi="宋体" w:cs="宋体"/>
                <w:b/>
                <w:bCs/>
                <w:kern w:val="0"/>
                <w:szCs w:val="21"/>
                <w:highlight w:val="none"/>
              </w:rPr>
              <w:t>微型</w:t>
            </w:r>
          </w:p>
        </w:tc>
      </w:tr>
      <w:tr>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农、林、牧、渔业</w:t>
            </w:r>
          </w:p>
        </w:tc>
        <w:tc>
          <w:tcPr>
            <w:tcW w:w="175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Y≥20000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50≤Y＜500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Y＜50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工业 *</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20≤X＜300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Y≥40000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2000≤Y＜40000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300≤Y＜2000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建筑业</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Y≥80000</w:t>
            </w:r>
          </w:p>
        </w:tc>
        <w:tc>
          <w:tcPr>
            <w:tcW w:w="1866"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6000≤Y＜80000</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300≤Y＜6000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Y＜300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资产总额(Z)</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Z≥80000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5000≤Z＜80000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300≤Z＜5000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Z＜300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批发业</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X≥200</w:t>
            </w:r>
          </w:p>
        </w:tc>
        <w:tc>
          <w:tcPr>
            <w:tcW w:w="1866"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20≤X＜200</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5≤X＜20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X＜5</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Y≥40000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5000≤Y＜40000</w:t>
            </w:r>
          </w:p>
        </w:tc>
        <w:tc>
          <w:tcPr>
            <w:tcW w:w="1567" w:type="dxa"/>
            <w:tcBorders>
              <w:top w:val="nil"/>
              <w:left w:val="nil"/>
              <w:bottom w:val="single" w:color="auto" w:sz="4" w:space="0"/>
              <w:right w:val="single" w:color="auto" w:sz="4" w:space="0"/>
            </w:tcBorders>
            <w:vAlign w:val="center"/>
          </w:tcPr>
          <w:p>
            <w:pPr>
              <w:widowControl/>
              <w:ind w:left="-1" w:leftChars="-1" w:hanging="1"/>
              <w:jc w:val="center"/>
              <w:rPr>
                <w:rFonts w:ascii="宋体" w:hAnsi="宋体" w:cs="宋体"/>
                <w:kern w:val="0"/>
                <w:szCs w:val="21"/>
                <w:highlight w:val="none"/>
              </w:rPr>
            </w:pPr>
            <w:r>
              <w:rPr>
                <w:rFonts w:hint="eastAsia" w:ascii="宋体" w:hAnsi="宋体" w:cs="宋体"/>
                <w:kern w:val="0"/>
                <w:szCs w:val="21"/>
                <w:highlight w:val="none"/>
              </w:rPr>
              <w:t>1000≤Y＜5000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零售业</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50≤X＜300</w:t>
            </w:r>
          </w:p>
        </w:tc>
        <w:tc>
          <w:tcPr>
            <w:tcW w:w="1567" w:type="dxa"/>
            <w:tcBorders>
              <w:top w:val="nil"/>
              <w:left w:val="nil"/>
              <w:bottom w:val="nil"/>
              <w:right w:val="single" w:color="auto" w:sz="4" w:space="0"/>
            </w:tcBorders>
            <w:vAlign w:val="center"/>
          </w:tcPr>
          <w:p>
            <w:pPr>
              <w:widowControl/>
              <w:ind w:left="-1" w:leftChars="-1" w:hanging="1"/>
              <w:jc w:val="center"/>
              <w:rPr>
                <w:rFonts w:ascii="宋体" w:hAnsi="宋体" w:cs="宋体"/>
                <w:kern w:val="0"/>
                <w:szCs w:val="21"/>
                <w:highlight w:val="none"/>
              </w:rPr>
            </w:pPr>
            <w:r>
              <w:rPr>
                <w:rFonts w:hint="eastAsia" w:ascii="宋体" w:hAnsi="宋体" w:cs="宋体"/>
                <w:kern w:val="0"/>
                <w:szCs w:val="21"/>
                <w:highlight w:val="none"/>
              </w:rPr>
              <w:t xml:space="preserve">10≤X＜50 </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Y≥20000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pPr>
              <w:widowControl/>
              <w:ind w:left="-1" w:leftChars="-1" w:hanging="1"/>
              <w:jc w:val="center"/>
              <w:rPr>
                <w:rFonts w:ascii="宋体" w:hAnsi="宋体" w:cs="宋体"/>
                <w:kern w:val="0"/>
                <w:szCs w:val="21"/>
                <w:highlight w:val="none"/>
              </w:rPr>
            </w:pPr>
            <w:r>
              <w:rPr>
                <w:rFonts w:hint="eastAsia" w:ascii="宋体" w:hAnsi="宋体" w:cs="宋体"/>
                <w:kern w:val="0"/>
                <w:szCs w:val="21"/>
                <w:highlight w:val="none"/>
              </w:rPr>
              <w:t xml:space="preserve">100≤Y＜500 </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交通运输业 *</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20≤X＜300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Y≥30000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3000≤Y＜30000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200≤Y＜3000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Y＜200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仓储业*</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X≥200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ascii="宋体" w:hAnsi="宋体" w:cs="宋体"/>
                <w:kern w:val="0"/>
                <w:szCs w:val="21"/>
                <w:highlight w:val="none"/>
              </w:rPr>
            </w:pPr>
            <w:r>
              <w:rPr>
                <w:rFonts w:hint="eastAsia" w:ascii="宋体" w:hAnsi="宋体" w:cs="宋体"/>
                <w:kern w:val="0"/>
                <w:szCs w:val="21"/>
                <w:highlight w:val="none"/>
              </w:rPr>
              <w:t>100≤X＜200</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20≤X＜100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Y≥30000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1000≤Y＜30000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100≤Y＜1000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邮政业</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20≤X＜300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X＜20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Y≥30000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2000≤Y＜30000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100≤Y＜2000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住宿业</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2000≤Y＜10000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100≤Y＜2000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餐饮业</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2000≤Y＜10000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100≤Y＜2000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w:t>
            </w:r>
          </w:p>
        </w:tc>
      </w:tr>
      <w:tr>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信息传输业 *</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X≥2000</w:t>
            </w:r>
          </w:p>
        </w:tc>
        <w:tc>
          <w:tcPr>
            <w:tcW w:w="1866"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100≤X＜2000</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w:t>
            </w:r>
          </w:p>
        </w:tc>
      </w:tr>
      <w:tr>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1000≤Y＜100000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100≤Y＜1000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w:t>
            </w:r>
          </w:p>
        </w:tc>
      </w:tr>
      <w:tr>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spacing w:val="-12"/>
                <w:kern w:val="0"/>
                <w:szCs w:val="21"/>
                <w:highlight w:val="none"/>
              </w:rPr>
            </w:pPr>
            <w:r>
              <w:rPr>
                <w:rFonts w:hint="eastAsia" w:ascii="宋体" w:hAnsi="宋体" w:cs="宋体"/>
                <w:spacing w:val="-12"/>
                <w:kern w:val="0"/>
                <w:szCs w:val="21"/>
                <w:highlight w:val="none"/>
              </w:rPr>
              <w:t>软件和信息技术服</w:t>
            </w:r>
            <w:r>
              <w:rPr>
                <w:rFonts w:hint="eastAsia" w:ascii="宋体" w:hAnsi="宋体" w:cs="宋体"/>
                <w:kern w:val="0"/>
                <w:szCs w:val="21"/>
                <w:highlight w:val="none"/>
              </w:rPr>
              <w:t>务业</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pacing w:val="-12"/>
                <w:kern w:val="0"/>
                <w:szCs w:val="21"/>
                <w:highlight w:val="none"/>
              </w:rPr>
            </w:pPr>
          </w:p>
        </w:tc>
        <w:tc>
          <w:tcPr>
            <w:tcW w:w="175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1000≤Y＜10000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50≤Y＜1000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Y＜50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房地产开发经营</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Y≥200000</w:t>
            </w:r>
          </w:p>
        </w:tc>
        <w:tc>
          <w:tcPr>
            <w:tcW w:w="1866"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1000≤Y＜200000</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100≤Y＜1000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资产总额(Z)</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Z≥10000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5000≤Z＜10000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2000≤Z＜5000   </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Z＜2000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物业管理</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X≥1000</w:t>
            </w:r>
          </w:p>
        </w:tc>
        <w:tc>
          <w:tcPr>
            <w:tcW w:w="1866"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300≤X＜1000</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100≤X＜300 </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营业收入(Y)</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Y≥5000</w:t>
            </w:r>
          </w:p>
        </w:tc>
        <w:tc>
          <w:tcPr>
            <w:tcW w:w="1866" w:type="dxa"/>
            <w:tcBorders>
              <w:top w:val="nil"/>
              <w:left w:val="nil"/>
              <w:bottom w:val="single" w:color="auto" w:sz="4" w:space="0"/>
              <w:right w:val="single" w:color="auto" w:sz="4" w:space="0"/>
            </w:tcBorders>
            <w:vAlign w:val="center"/>
          </w:tcPr>
          <w:p>
            <w:pPr>
              <w:widowControl/>
              <w:ind w:left="19" w:leftChars="-51" w:hanging="126" w:hangingChars="60"/>
              <w:jc w:val="center"/>
              <w:rPr>
                <w:rFonts w:ascii="宋体" w:hAnsi="宋体" w:cs="宋体"/>
                <w:kern w:val="0"/>
                <w:szCs w:val="21"/>
                <w:highlight w:val="none"/>
              </w:rPr>
            </w:pPr>
            <w:r>
              <w:rPr>
                <w:rFonts w:hint="eastAsia" w:ascii="宋体" w:hAnsi="宋体" w:cs="宋体"/>
                <w:kern w:val="0"/>
                <w:szCs w:val="21"/>
                <w:highlight w:val="none"/>
              </w:rPr>
              <w:t xml:space="preserve">1000≤Y＜5000 </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500≤Y＜1000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Y＜500</w:t>
            </w:r>
          </w:p>
        </w:tc>
      </w:tr>
      <w:tr>
        <w:tblPrEx>
          <w:tblCellMar>
            <w:top w:w="0" w:type="dxa"/>
            <w:left w:w="108" w:type="dxa"/>
            <w:bottom w:w="0" w:type="dxa"/>
            <w:right w:w="108" w:type="dxa"/>
          </w:tblCellMar>
        </w:tblPrEx>
        <w:trPr>
          <w:trHeight w:val="340" w:hRule="exact"/>
          <w:jc w:val="center"/>
        </w:trPr>
        <w:tc>
          <w:tcPr>
            <w:tcW w:w="1930"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租赁和商务服务业</w:t>
            </w:r>
          </w:p>
        </w:tc>
        <w:tc>
          <w:tcPr>
            <w:tcW w:w="175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nil"/>
              <w:right w:val="single" w:color="auto" w:sz="4" w:space="0"/>
            </w:tcBorders>
            <w:vAlign w:val="center"/>
          </w:tcPr>
          <w:p>
            <w:pPr>
              <w:widowControl/>
              <w:ind w:left="19" w:leftChars="-51" w:hanging="126" w:hangingChars="60"/>
              <w:jc w:val="center"/>
              <w:rPr>
                <w:rFonts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nil"/>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nil"/>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w:t>
            </w:r>
          </w:p>
        </w:tc>
      </w:tr>
      <w:tr>
        <w:tblPrEx>
          <w:tblCellMar>
            <w:top w:w="0" w:type="dxa"/>
            <w:left w:w="108" w:type="dxa"/>
            <w:bottom w:w="0" w:type="dxa"/>
            <w:right w:w="108" w:type="dxa"/>
          </w:tblCellMar>
        </w:tblPrEx>
        <w:trPr>
          <w:trHeight w:val="340" w:hRule="exact"/>
          <w:jc w:val="center"/>
        </w:trPr>
        <w:tc>
          <w:tcPr>
            <w:tcW w:w="193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highlight w:val="none"/>
              </w:rPr>
            </w:pPr>
          </w:p>
        </w:tc>
        <w:tc>
          <w:tcPr>
            <w:tcW w:w="17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Cs w:val="21"/>
                <w:highlight w:val="none"/>
              </w:rPr>
            </w:pPr>
            <w:r>
              <w:rPr>
                <w:rFonts w:hint="eastAsia" w:ascii="宋体" w:hAnsi="宋体" w:cs="宋体"/>
                <w:kern w:val="0"/>
                <w:szCs w:val="21"/>
                <w:highlight w:val="none"/>
              </w:rPr>
              <w:t>资产总额(Z)</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万元</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Z≥120000</w:t>
            </w:r>
          </w:p>
        </w:tc>
        <w:tc>
          <w:tcPr>
            <w:tcW w:w="18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8000≤Z＜120000</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100≤Z＜8000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Z＜100</w:t>
            </w:r>
          </w:p>
        </w:tc>
      </w:tr>
      <w:tr>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Cs w:val="21"/>
                <w:highlight w:val="none"/>
              </w:rPr>
            </w:pPr>
            <w:r>
              <w:rPr>
                <w:rFonts w:hint="eastAsia" w:ascii="宋体" w:hAnsi="宋体" w:cs="宋体"/>
                <w:kern w:val="0"/>
                <w:szCs w:val="21"/>
                <w:highlight w:val="none"/>
              </w:rPr>
              <w:t>其他未列明行业 *</w:t>
            </w:r>
          </w:p>
        </w:tc>
        <w:tc>
          <w:tcPr>
            <w:tcW w:w="175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从业人员(X)</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人</w:t>
            </w:r>
          </w:p>
        </w:tc>
        <w:tc>
          <w:tcPr>
            <w:tcW w:w="13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X≥300</w:t>
            </w:r>
          </w:p>
        </w:tc>
        <w:tc>
          <w:tcPr>
            <w:tcW w:w="1866" w:type="dxa"/>
            <w:tcBorders>
              <w:top w:val="nil"/>
              <w:left w:val="nil"/>
              <w:bottom w:val="single" w:color="auto" w:sz="4" w:space="0"/>
              <w:right w:val="single" w:color="auto" w:sz="4" w:space="0"/>
            </w:tcBorders>
            <w:vAlign w:val="center"/>
          </w:tcPr>
          <w:p>
            <w:pPr>
              <w:widowControl/>
              <w:ind w:left="19" w:leftChars="-51" w:hanging="126" w:hangingChars="60"/>
              <w:jc w:val="center"/>
              <w:rPr>
                <w:rFonts w:ascii="宋体" w:hAnsi="宋体" w:cs="宋体"/>
                <w:kern w:val="0"/>
                <w:szCs w:val="21"/>
                <w:highlight w:val="none"/>
              </w:rPr>
            </w:pPr>
            <w:r>
              <w:rPr>
                <w:rFonts w:hint="eastAsia" w:ascii="宋体" w:hAnsi="宋体" w:cs="宋体"/>
                <w:kern w:val="0"/>
                <w:szCs w:val="21"/>
                <w:highlight w:val="none"/>
              </w:rPr>
              <w:t xml:space="preserve">100≤X＜300 </w:t>
            </w:r>
          </w:p>
        </w:tc>
        <w:tc>
          <w:tcPr>
            <w:tcW w:w="156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 10≤X＜100</w:t>
            </w:r>
          </w:p>
        </w:tc>
        <w:tc>
          <w:tcPr>
            <w:tcW w:w="1046" w:type="dxa"/>
            <w:tcBorders>
              <w:top w:val="nil"/>
              <w:left w:val="nil"/>
              <w:bottom w:val="single" w:color="auto" w:sz="4" w:space="0"/>
              <w:right w:val="nil"/>
            </w:tcBorders>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X＜10</w:t>
            </w:r>
          </w:p>
        </w:tc>
      </w:tr>
    </w:tbl>
    <w:p>
      <w:pPr>
        <w:widowControl/>
        <w:spacing w:line="540" w:lineRule="exact"/>
        <w:rPr>
          <w:rFonts w:ascii="宋体" w:hAnsi="宋体" w:cs="宋体"/>
          <w:spacing w:val="8"/>
          <w:kern w:val="0"/>
          <w:sz w:val="28"/>
          <w:szCs w:val="28"/>
          <w:highlight w:val="none"/>
        </w:rPr>
      </w:pPr>
      <w:r>
        <w:rPr>
          <w:rFonts w:hint="eastAsia" w:ascii="宋体" w:hAnsi="宋体" w:cs="宋体"/>
          <w:spacing w:val="8"/>
          <w:kern w:val="0"/>
          <w:sz w:val="28"/>
          <w:szCs w:val="28"/>
          <w:highlight w:val="none"/>
        </w:rPr>
        <w:t>说明：</w:t>
      </w:r>
    </w:p>
    <w:p>
      <w:pPr>
        <w:spacing w:line="540" w:lineRule="exact"/>
        <w:rPr>
          <w:rFonts w:ascii="宋体" w:hAnsi="宋体" w:cs="宋体"/>
          <w:spacing w:val="8"/>
          <w:kern w:val="0"/>
          <w:szCs w:val="21"/>
          <w:highlight w:val="none"/>
        </w:rPr>
      </w:pPr>
      <w:r>
        <w:rPr>
          <w:rFonts w:hint="eastAsia" w:ascii="宋体" w:hAnsi="宋体" w:cs="宋体"/>
          <w:spacing w:val="8"/>
          <w:kern w:val="0"/>
          <w:szCs w:val="21"/>
          <w:highlight w:val="none"/>
        </w:rPr>
        <w:t>　　1.大型、中型和小型企业须同时满足所列指标的下限，否则下划一档；微型企业只须满足所列指标中的一项即可。</w:t>
      </w:r>
    </w:p>
    <w:p>
      <w:pPr>
        <w:spacing w:line="540" w:lineRule="exact"/>
        <w:rPr>
          <w:rFonts w:ascii="宋体" w:hAnsi="宋体" w:cs="宋体"/>
          <w:spacing w:val="8"/>
          <w:kern w:val="0"/>
          <w:szCs w:val="21"/>
          <w:highlight w:val="none"/>
        </w:rPr>
      </w:pPr>
      <w:r>
        <w:rPr>
          <w:rFonts w:hint="eastAsia" w:ascii="宋体" w:hAnsi="宋体" w:cs="宋体"/>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jc w:val="left"/>
        <w:rPr>
          <w:rFonts w:ascii="宋体" w:hAnsi="宋体" w:cs="宋体"/>
          <w:spacing w:val="8"/>
          <w:kern w:val="0"/>
          <w:szCs w:val="21"/>
          <w:highlight w:val="none"/>
        </w:rPr>
      </w:pPr>
      <w:r>
        <w:rPr>
          <w:rFonts w:hint="eastAsia" w:ascii="宋体" w:hAnsi="宋体" w:cs="宋体"/>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jc w:val="left"/>
        <w:rPr>
          <w:rFonts w:ascii="宋体" w:hAnsi="宋体"/>
          <w:szCs w:val="21"/>
          <w:highlight w:val="none"/>
        </w:rPr>
      </w:pPr>
    </w:p>
    <w:p>
      <w:pPr>
        <w:widowControl/>
        <w:spacing w:line="330" w:lineRule="atLeast"/>
        <w:jc w:val="center"/>
        <w:rPr>
          <w:rFonts w:ascii="宋体" w:hAnsi="宋体" w:cs="宋体"/>
          <w:b/>
          <w:bCs/>
          <w:kern w:val="0"/>
          <w:sz w:val="36"/>
          <w:szCs w:val="32"/>
          <w:highlight w:val="none"/>
        </w:rPr>
      </w:pPr>
      <w:r>
        <w:rPr>
          <w:rFonts w:hint="eastAsia" w:ascii="宋体" w:hAnsi="宋体" w:cs="宋体"/>
          <w:b/>
          <w:bCs/>
          <w:kern w:val="0"/>
          <w:sz w:val="36"/>
          <w:szCs w:val="32"/>
          <w:highlight w:val="none"/>
        </w:rPr>
        <w:t>附件2.节能产品政府采购品目清单(详见下页)</w:t>
      </w:r>
    </w:p>
    <w:p>
      <w:pPr>
        <w:widowControl/>
        <w:spacing w:line="330" w:lineRule="atLeast"/>
        <w:jc w:val="center"/>
        <w:rPr>
          <w:rFonts w:ascii="宋体" w:hAnsi="宋体" w:cs="宋体"/>
          <w:b/>
          <w:bCs/>
          <w:kern w:val="0"/>
          <w:sz w:val="36"/>
          <w:szCs w:val="32"/>
          <w:highlight w:val="none"/>
        </w:rPr>
      </w:pPr>
    </w:p>
    <w:p>
      <w:pPr>
        <w:pStyle w:val="9"/>
        <w:rPr>
          <w:highlight w:val="none"/>
        </w:rPr>
        <w:sectPr>
          <w:footerReference r:id="rId7" w:type="default"/>
          <w:pgSz w:w="11906" w:h="16838"/>
          <w:pgMar w:top="1418" w:right="1134" w:bottom="1418" w:left="1134" w:header="851" w:footer="992" w:gutter="0"/>
          <w:pgNumType w:start="1"/>
          <w:cols w:space="720" w:num="1"/>
          <w:docGrid w:type="lines" w:linePitch="312" w:charSpace="0"/>
        </w:sectPr>
      </w:pPr>
      <w:r>
        <w:rPr>
          <w:highlight w:val="none"/>
        </w:rPr>
        <w:drawing>
          <wp:inline distT="0" distB="0" distL="114300" distR="114300">
            <wp:extent cx="6118225" cy="8653780"/>
            <wp:effectExtent l="0" t="0" r="15875" b="13970"/>
            <wp:docPr id="4" name="图片 4" descr="节能环保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节能环保_1"/>
                    <pic:cNvPicPr>
                      <a:picLocks noChangeAspect="1"/>
                    </pic:cNvPicPr>
                  </pic:nvPicPr>
                  <pic:blipFill>
                    <a:blip r:embed="rId19"/>
                    <a:stretch>
                      <a:fillRect/>
                    </a:stretch>
                  </pic:blipFill>
                  <pic:spPr>
                    <a:xfrm>
                      <a:off x="0" y="0"/>
                      <a:ext cx="6118225" cy="8653780"/>
                    </a:xfrm>
                    <a:prstGeom prst="rect">
                      <a:avLst/>
                    </a:prstGeom>
                  </pic:spPr>
                </pic:pic>
              </a:graphicData>
            </a:graphic>
          </wp:inline>
        </w:drawing>
      </w:r>
      <w:r>
        <w:rPr>
          <w:highlight w:val="none"/>
        </w:rPr>
        <w:drawing>
          <wp:inline distT="0" distB="0" distL="114300" distR="114300">
            <wp:extent cx="6118225" cy="8653780"/>
            <wp:effectExtent l="0" t="0" r="15875" b="13970"/>
            <wp:docPr id="3" name="图片 3" descr="节能环保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节能环保_2"/>
                    <pic:cNvPicPr>
                      <a:picLocks noChangeAspect="1"/>
                    </pic:cNvPicPr>
                  </pic:nvPicPr>
                  <pic:blipFill>
                    <a:blip r:embed="rId20"/>
                    <a:stretch>
                      <a:fillRect/>
                    </a:stretch>
                  </pic:blipFill>
                  <pic:spPr>
                    <a:xfrm>
                      <a:off x="0" y="0"/>
                      <a:ext cx="6118225" cy="8653780"/>
                    </a:xfrm>
                    <a:prstGeom prst="rect">
                      <a:avLst/>
                    </a:prstGeom>
                  </pic:spPr>
                </pic:pic>
              </a:graphicData>
            </a:graphic>
          </wp:inline>
        </w:drawing>
      </w:r>
      <w:r>
        <w:rPr>
          <w:highlight w:val="none"/>
        </w:rPr>
        <w:drawing>
          <wp:inline distT="0" distB="0" distL="114300" distR="114300">
            <wp:extent cx="6118225" cy="8653780"/>
            <wp:effectExtent l="0" t="0" r="15875" b="13970"/>
            <wp:docPr id="2" name="图片 2" descr="节能环保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节能环保_3"/>
                    <pic:cNvPicPr>
                      <a:picLocks noChangeAspect="1"/>
                    </pic:cNvPicPr>
                  </pic:nvPicPr>
                  <pic:blipFill>
                    <a:blip r:embed="rId21"/>
                    <a:stretch>
                      <a:fillRect/>
                    </a:stretch>
                  </pic:blipFill>
                  <pic:spPr>
                    <a:xfrm>
                      <a:off x="0" y="0"/>
                      <a:ext cx="6118225" cy="8653780"/>
                    </a:xfrm>
                    <a:prstGeom prst="rect">
                      <a:avLst/>
                    </a:prstGeom>
                  </pic:spPr>
                </pic:pic>
              </a:graphicData>
            </a:graphic>
          </wp:inline>
        </w:drawing>
      </w:r>
      <w:r>
        <w:rPr>
          <w:highlight w:val="none"/>
        </w:rPr>
        <w:drawing>
          <wp:inline distT="0" distB="0" distL="114300" distR="114300">
            <wp:extent cx="6118225" cy="8653780"/>
            <wp:effectExtent l="0" t="0" r="15875" b="13970"/>
            <wp:docPr id="5" name="图片 5" descr="节能环保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节能环保_4"/>
                    <pic:cNvPicPr>
                      <a:picLocks noChangeAspect="1"/>
                    </pic:cNvPicPr>
                  </pic:nvPicPr>
                  <pic:blipFill>
                    <a:blip r:embed="rId22"/>
                    <a:stretch>
                      <a:fillRect/>
                    </a:stretch>
                  </pic:blipFill>
                  <pic:spPr>
                    <a:xfrm>
                      <a:off x="0" y="0"/>
                      <a:ext cx="6118225" cy="8653780"/>
                    </a:xfrm>
                    <a:prstGeom prst="rect">
                      <a:avLst/>
                    </a:prstGeom>
                  </pic:spPr>
                </pic:pic>
              </a:graphicData>
            </a:graphic>
          </wp:inline>
        </w:drawing>
      </w:r>
    </w:p>
    <w:p>
      <w:pPr>
        <w:pStyle w:val="4"/>
        <w:adjustRightInd w:val="0"/>
        <w:snapToGrid w:val="0"/>
        <w:spacing w:line="360" w:lineRule="auto"/>
        <w:rPr>
          <w:rFonts w:ascii="宋体" w:hAnsi="宋体" w:cs="宋体"/>
          <w:sz w:val="21"/>
          <w:szCs w:val="21"/>
          <w:highlight w:val="none"/>
        </w:rPr>
      </w:pPr>
      <w:bookmarkStart w:id="5" w:name="_Toc28691"/>
      <w:bookmarkStart w:id="6" w:name="_Toc19318"/>
      <w:r>
        <w:rPr>
          <w:rFonts w:hint="eastAsia" w:ascii="宋体" w:hAnsi="宋体" w:cs="宋体"/>
          <w:sz w:val="21"/>
          <w:szCs w:val="21"/>
          <w:highlight w:val="none"/>
        </w:rPr>
        <w:t>1.总则</w:t>
      </w:r>
      <w:bookmarkEnd w:id="4"/>
      <w:bookmarkEnd w:id="5"/>
      <w:bookmarkEnd w:id="6"/>
    </w:p>
    <w:p>
      <w:pPr>
        <w:pStyle w:val="5"/>
        <w:adjustRightInd w:val="0"/>
        <w:snapToGrid w:val="0"/>
        <w:spacing w:line="360" w:lineRule="auto"/>
        <w:rPr>
          <w:rFonts w:ascii="宋体" w:hAnsi="宋体" w:eastAsia="宋体" w:cs="宋体"/>
          <w:sz w:val="21"/>
          <w:szCs w:val="21"/>
          <w:highlight w:val="none"/>
        </w:rPr>
      </w:pPr>
      <w:bookmarkStart w:id="7" w:name="_Toc31905"/>
      <w:bookmarkStart w:id="8" w:name="_Toc6537"/>
      <w:r>
        <w:rPr>
          <w:rFonts w:hint="eastAsia" w:ascii="宋体" w:hAnsi="宋体" w:eastAsia="宋体" w:cs="宋体"/>
          <w:sz w:val="21"/>
          <w:szCs w:val="21"/>
          <w:highlight w:val="none"/>
        </w:rPr>
        <w:t>1.1 项目概况</w:t>
      </w:r>
      <w:bookmarkEnd w:id="7"/>
      <w:bookmarkEnd w:id="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 根据《中华人民共和国政府采购法》 等有关法律、法规和规章的规定，本招标项目己具备招标条件，现对本项目进行招标。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1.1.2 本招标项目招标人：见投标人须知前附表。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1.1.3 本招标代理机构：见投标人须知前附表。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1.1.4 本招标项目名称：见投标人须知前附表。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1.1.5 本项目地点：见投标人须知前附表。</w:t>
      </w:r>
    </w:p>
    <w:p>
      <w:pPr>
        <w:pStyle w:val="5"/>
        <w:adjustRightInd w:val="0"/>
        <w:snapToGrid w:val="0"/>
        <w:spacing w:line="360" w:lineRule="auto"/>
        <w:rPr>
          <w:rFonts w:ascii="宋体" w:hAnsi="宋体" w:eastAsia="宋体" w:cs="宋体"/>
          <w:sz w:val="21"/>
          <w:szCs w:val="21"/>
          <w:highlight w:val="none"/>
        </w:rPr>
      </w:pPr>
      <w:bookmarkStart w:id="9" w:name="_Toc15384"/>
      <w:bookmarkStart w:id="10" w:name="_Toc29120"/>
      <w:r>
        <w:rPr>
          <w:rFonts w:hint="eastAsia" w:ascii="宋体" w:hAnsi="宋体" w:eastAsia="宋体" w:cs="宋体"/>
          <w:sz w:val="21"/>
          <w:szCs w:val="21"/>
          <w:highlight w:val="none"/>
        </w:rPr>
        <w:t>1.2 资金来源和落实情况</w:t>
      </w:r>
      <w:bookmarkEnd w:id="9"/>
      <w:bookmarkEnd w:id="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1.2.1 本招标项目的资金来源：见投标人须知前附表。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1.2.2 本招标项目的出资比例：见投标人须知前附表。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1.2.3 本招标项目的资金落实情况：见投标人须知前附表。</w:t>
      </w:r>
    </w:p>
    <w:p>
      <w:pPr>
        <w:pStyle w:val="5"/>
        <w:adjustRightInd w:val="0"/>
        <w:snapToGrid w:val="0"/>
        <w:spacing w:line="360" w:lineRule="auto"/>
        <w:rPr>
          <w:rFonts w:ascii="宋体" w:hAnsi="宋体" w:eastAsia="宋体" w:cs="宋体"/>
          <w:sz w:val="21"/>
          <w:szCs w:val="21"/>
          <w:highlight w:val="none"/>
        </w:rPr>
      </w:pPr>
      <w:bookmarkStart w:id="11" w:name="_Toc19504"/>
      <w:bookmarkStart w:id="12" w:name="_Toc1544"/>
      <w:r>
        <w:rPr>
          <w:rFonts w:hint="eastAsia" w:ascii="宋体" w:hAnsi="宋体" w:eastAsia="宋体" w:cs="宋体"/>
          <w:sz w:val="21"/>
          <w:szCs w:val="21"/>
          <w:highlight w:val="none"/>
        </w:rPr>
        <w:t>1.3 招标范围和标段划分、</w:t>
      </w:r>
      <w:r>
        <w:rPr>
          <w:rFonts w:hint="eastAsia" w:ascii="宋体" w:hAnsi="宋体" w:eastAsia="宋体" w:cs="宋体"/>
          <w:sz w:val="21"/>
          <w:szCs w:val="21"/>
          <w:highlight w:val="none"/>
          <w:lang w:eastAsia="zh-CN"/>
        </w:rPr>
        <w:t>计划工期</w:t>
      </w:r>
      <w:r>
        <w:rPr>
          <w:rFonts w:hint="eastAsia" w:ascii="宋体" w:hAnsi="宋体" w:eastAsia="宋体" w:cs="宋体"/>
          <w:sz w:val="21"/>
          <w:szCs w:val="21"/>
          <w:highlight w:val="none"/>
        </w:rPr>
        <w:t>和质量要求</w:t>
      </w:r>
      <w:bookmarkEnd w:id="11"/>
      <w:bookmarkEnd w:id="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1.3.1 本次招标范围和标段划分：见投标人须知前附表。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1.3.2 本项目的</w:t>
      </w:r>
      <w:r>
        <w:rPr>
          <w:rFonts w:hint="eastAsia" w:ascii="宋体" w:hAnsi="宋体" w:cs="宋体"/>
          <w:szCs w:val="21"/>
          <w:highlight w:val="none"/>
          <w:lang w:eastAsia="zh-CN"/>
        </w:rPr>
        <w:t>计划工期</w:t>
      </w:r>
      <w:r>
        <w:rPr>
          <w:rFonts w:hint="eastAsia" w:ascii="宋体" w:hAnsi="宋体" w:cs="宋体"/>
          <w:szCs w:val="21"/>
          <w:highlight w:val="none"/>
        </w:rPr>
        <w:t>：见投标人须知前附表。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1.3.3 本项目的质量要求：见投标人须知前附表。</w:t>
      </w:r>
    </w:p>
    <w:p>
      <w:pPr>
        <w:adjustRightInd w:val="0"/>
        <w:snapToGrid w:val="0"/>
        <w:spacing w:line="360" w:lineRule="auto"/>
        <w:ind w:firstLine="420" w:firstLineChars="200"/>
        <w:rPr>
          <w:highlight w:val="none"/>
        </w:rPr>
      </w:pPr>
      <w:r>
        <w:rPr>
          <w:rFonts w:hint="eastAsia" w:ascii="宋体" w:hAnsi="宋体" w:cs="宋体"/>
          <w:szCs w:val="21"/>
          <w:highlight w:val="none"/>
        </w:rPr>
        <w:t>1.3.4 本次招标项目标段划分：共划分为</w:t>
      </w:r>
      <w:r>
        <w:rPr>
          <w:rFonts w:hint="eastAsia" w:ascii="宋体" w:hAnsi="宋体" w:cs="宋体"/>
          <w:szCs w:val="21"/>
          <w:highlight w:val="none"/>
          <w:lang w:val="en-US" w:eastAsia="zh-CN"/>
        </w:rPr>
        <w:t>6</w:t>
      </w:r>
      <w:r>
        <w:rPr>
          <w:rFonts w:hint="eastAsia" w:ascii="宋体" w:hAnsi="宋体" w:cs="宋体"/>
          <w:szCs w:val="21"/>
          <w:highlight w:val="none"/>
        </w:rPr>
        <w:t>个标段。</w:t>
      </w:r>
    </w:p>
    <w:p>
      <w:pPr>
        <w:pStyle w:val="5"/>
        <w:adjustRightInd w:val="0"/>
        <w:snapToGrid w:val="0"/>
        <w:spacing w:line="360" w:lineRule="auto"/>
        <w:rPr>
          <w:rFonts w:ascii="宋体" w:hAnsi="宋体" w:eastAsia="宋体" w:cs="宋体"/>
          <w:sz w:val="21"/>
          <w:szCs w:val="21"/>
          <w:highlight w:val="none"/>
        </w:rPr>
      </w:pPr>
      <w:bookmarkStart w:id="13" w:name="_Toc10255"/>
      <w:bookmarkStart w:id="14" w:name="_Toc21609"/>
      <w:r>
        <w:rPr>
          <w:rFonts w:hint="eastAsia" w:ascii="宋体" w:hAnsi="宋体" w:eastAsia="宋体" w:cs="宋体"/>
          <w:sz w:val="21"/>
          <w:szCs w:val="21"/>
          <w:highlight w:val="none"/>
        </w:rPr>
        <w:t>1.4 投标人资格要求</w:t>
      </w:r>
      <w:bookmarkEnd w:id="13"/>
      <w:bookmarkEnd w:id="1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1.4.1 投标人应具备承担本项目的资质条件、能力和信誉。</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(l）资质条件：见投标人须知前附表；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(2）信誉要求：见投标人须知前附表；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(3）财务要求：见投标人须知前附表；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(4）其他要求：见投标人须知前附表。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1.4.2 本项目不接受联合体投标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1.4.3 投标人不得存在下列情形之一：</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(l）为招标人不具有独立法人资格的附属机构（单位）；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(2）为本项目提供招标代理或咨询服务的；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(3）为本标段提供招标代理服务的；</w:t>
      </w:r>
    </w:p>
    <w:p>
      <w:pPr>
        <w:adjustRightInd w:val="0"/>
        <w:snapToGrid w:val="0"/>
        <w:spacing w:line="360" w:lineRule="auto"/>
        <w:ind w:firstLine="420" w:firstLineChars="200"/>
        <w:rPr>
          <w:rFonts w:ascii="宋体" w:hAnsi="宋体" w:cs="宋体"/>
          <w:szCs w:val="21"/>
          <w:highlight w:val="none"/>
        </w:rPr>
        <w:sectPr>
          <w:headerReference r:id="rId9" w:type="first"/>
          <w:footerReference r:id="rId11" w:type="first"/>
          <w:headerReference r:id="rId8" w:type="default"/>
          <w:footerReference r:id="rId10" w:type="default"/>
          <w:pgSz w:w="11906" w:h="16838"/>
          <w:pgMar w:top="1304" w:right="1134" w:bottom="1304" w:left="1418" w:header="851" w:footer="992" w:gutter="0"/>
          <w:cols w:space="720" w:num="1"/>
          <w:titlePg/>
          <w:docGrid w:type="lines" w:linePitch="312" w:charSpace="0"/>
        </w:sectPr>
      </w:pP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(4）与本标段的监理人或代建人或招标代理机构同为一个法定代表人的；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(5）与本标段的监理人或代建人或招标代理机构相互控股或参股的；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(6）与本标段的监理人或代建人或招标代理机构相互任职或工作的；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(7）被责令停业的；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(9）财产被接管或冻结的；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(10）在最近三年内有骗取中标或严重违约或重大工程质量问题的；</w:t>
      </w:r>
    </w:p>
    <w:p>
      <w:pPr>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按照《河南省发展和改革委员会关于对&lt;关于认定投标人投标文件制作机器码一致视为串通投标行为的请示&gt;相关问题的批复》（豫发改公管【2019】198号）文件精神，电子开评标项目“投标人投标文件制作机器码一致”时视作废标。</w:t>
      </w:r>
    </w:p>
    <w:p>
      <w:pPr>
        <w:pStyle w:val="5"/>
        <w:adjustRightInd w:val="0"/>
        <w:snapToGrid w:val="0"/>
        <w:spacing w:line="360" w:lineRule="auto"/>
        <w:rPr>
          <w:rFonts w:ascii="宋体" w:hAnsi="宋体" w:eastAsia="宋体" w:cs="宋体"/>
          <w:sz w:val="21"/>
          <w:szCs w:val="21"/>
          <w:highlight w:val="none"/>
        </w:rPr>
      </w:pPr>
      <w:bookmarkStart w:id="15" w:name="_Toc26190"/>
      <w:bookmarkStart w:id="16" w:name="_Toc17507"/>
      <w:r>
        <w:rPr>
          <w:rFonts w:hint="eastAsia" w:ascii="宋体" w:hAnsi="宋体" w:eastAsia="宋体" w:cs="宋体"/>
          <w:sz w:val="21"/>
          <w:szCs w:val="21"/>
          <w:highlight w:val="none"/>
        </w:rPr>
        <w:t>1.5 费用承担</w:t>
      </w:r>
      <w:bookmarkEnd w:id="15"/>
      <w:bookmarkEnd w:id="1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投标人准备和参加投标活动所发生的一切费用自理。</w:t>
      </w:r>
    </w:p>
    <w:p>
      <w:pPr>
        <w:pStyle w:val="5"/>
        <w:adjustRightInd w:val="0"/>
        <w:snapToGrid w:val="0"/>
        <w:spacing w:line="360" w:lineRule="auto"/>
        <w:rPr>
          <w:rFonts w:ascii="宋体" w:hAnsi="宋体" w:eastAsia="宋体" w:cs="宋体"/>
          <w:sz w:val="21"/>
          <w:szCs w:val="21"/>
          <w:highlight w:val="none"/>
        </w:rPr>
      </w:pPr>
      <w:bookmarkStart w:id="17" w:name="_Toc8797"/>
      <w:bookmarkStart w:id="18" w:name="_Toc7520"/>
      <w:r>
        <w:rPr>
          <w:rFonts w:hint="eastAsia" w:ascii="宋体" w:hAnsi="宋体" w:eastAsia="宋体" w:cs="宋体"/>
          <w:sz w:val="21"/>
          <w:szCs w:val="21"/>
          <w:highlight w:val="none"/>
        </w:rPr>
        <w:t>1.6 保密</w:t>
      </w:r>
      <w:bookmarkEnd w:id="17"/>
      <w:bookmarkEnd w:id="1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参与招标投标活动的各方应对招标文件和投标文件中的商业和技术等内容进行秘密保密，违者应对由此造成的后果承担法律责任。</w:t>
      </w:r>
    </w:p>
    <w:p>
      <w:pPr>
        <w:pStyle w:val="5"/>
        <w:adjustRightInd w:val="0"/>
        <w:snapToGrid w:val="0"/>
        <w:spacing w:line="360" w:lineRule="auto"/>
        <w:rPr>
          <w:rFonts w:ascii="宋体" w:hAnsi="宋体" w:eastAsia="宋体" w:cs="宋体"/>
          <w:sz w:val="21"/>
          <w:szCs w:val="21"/>
          <w:highlight w:val="none"/>
        </w:rPr>
      </w:pPr>
      <w:bookmarkStart w:id="19" w:name="_Toc11422"/>
      <w:bookmarkStart w:id="20" w:name="_Toc253"/>
      <w:r>
        <w:rPr>
          <w:rFonts w:hint="eastAsia" w:ascii="宋体" w:hAnsi="宋体" w:eastAsia="宋体" w:cs="宋体"/>
          <w:sz w:val="21"/>
          <w:szCs w:val="21"/>
          <w:highlight w:val="none"/>
        </w:rPr>
        <w:t>1.7 语言文字</w:t>
      </w:r>
      <w:bookmarkEnd w:id="19"/>
      <w:bookmarkEnd w:id="2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除专用术语外，与招标投标有关的语言均使用简体中文。必要时专用术语应附有中文注释。</w:t>
      </w:r>
    </w:p>
    <w:p>
      <w:pPr>
        <w:pStyle w:val="5"/>
        <w:adjustRightInd w:val="0"/>
        <w:snapToGrid w:val="0"/>
        <w:spacing w:line="360" w:lineRule="auto"/>
        <w:rPr>
          <w:rFonts w:ascii="宋体" w:hAnsi="宋体" w:eastAsia="宋体" w:cs="宋体"/>
          <w:sz w:val="21"/>
          <w:szCs w:val="21"/>
          <w:highlight w:val="none"/>
        </w:rPr>
      </w:pPr>
      <w:bookmarkStart w:id="21" w:name="_Toc1825"/>
      <w:bookmarkStart w:id="22" w:name="_Toc12665"/>
      <w:r>
        <w:rPr>
          <w:rFonts w:hint="eastAsia" w:ascii="宋体" w:hAnsi="宋体" w:eastAsia="宋体" w:cs="宋体"/>
          <w:sz w:val="21"/>
          <w:szCs w:val="21"/>
          <w:highlight w:val="none"/>
        </w:rPr>
        <w:t>1.8 计量单位</w:t>
      </w:r>
      <w:bookmarkEnd w:id="21"/>
      <w:bookmarkEnd w:id="2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pPr>
        <w:pStyle w:val="5"/>
        <w:adjustRightInd w:val="0"/>
        <w:snapToGrid w:val="0"/>
        <w:spacing w:line="360" w:lineRule="auto"/>
        <w:rPr>
          <w:rFonts w:ascii="宋体" w:hAnsi="宋体" w:eastAsia="宋体" w:cs="宋体"/>
          <w:sz w:val="21"/>
          <w:szCs w:val="21"/>
          <w:highlight w:val="none"/>
        </w:rPr>
      </w:pPr>
      <w:bookmarkStart w:id="23" w:name="_Toc11164"/>
      <w:bookmarkStart w:id="24" w:name="_Toc23380"/>
      <w:r>
        <w:rPr>
          <w:rFonts w:hint="eastAsia" w:ascii="宋体" w:hAnsi="宋体" w:eastAsia="宋体" w:cs="宋体"/>
          <w:sz w:val="21"/>
          <w:szCs w:val="21"/>
          <w:highlight w:val="none"/>
        </w:rPr>
        <w:t>1.9 踏勘现场（不组织）</w:t>
      </w:r>
      <w:bookmarkEnd w:id="23"/>
      <w:bookmarkEnd w:id="2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1.9.1 投标人须知前附表规定组织踏勘现场的，招标人按投标人须知前附表规定的时间、地点组织投标人踏勘项目现场。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1.9.2 投标人踏勘现场发生的费用自理。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1.9.3 除招标人的原因外，投标人自行负责在踏勘现场中所发生的人员伤亡和财产损失。</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1.9.4 招标人在踏勘现场中介绍的工程场地和相关的周边环境情况，供投标人在编制投标文件时参考，招标人不对投标人据此作出的判断和决策负责。</w:t>
      </w:r>
    </w:p>
    <w:p>
      <w:pPr>
        <w:pStyle w:val="5"/>
        <w:adjustRightInd w:val="0"/>
        <w:snapToGrid w:val="0"/>
        <w:spacing w:line="360" w:lineRule="auto"/>
        <w:rPr>
          <w:rFonts w:ascii="宋体" w:hAnsi="宋体" w:eastAsia="宋体" w:cs="宋体"/>
          <w:sz w:val="21"/>
          <w:szCs w:val="21"/>
          <w:highlight w:val="none"/>
        </w:rPr>
      </w:pPr>
      <w:bookmarkStart w:id="25" w:name="_Toc675"/>
      <w:bookmarkStart w:id="26" w:name="_Toc1006"/>
      <w:r>
        <w:rPr>
          <w:rFonts w:hint="eastAsia" w:ascii="宋体" w:hAnsi="宋体" w:eastAsia="宋体" w:cs="宋体"/>
          <w:sz w:val="21"/>
          <w:szCs w:val="21"/>
          <w:highlight w:val="none"/>
        </w:rPr>
        <w:t>1.10 投标预备会</w:t>
      </w:r>
      <w:bookmarkEnd w:id="25"/>
      <w:bookmarkEnd w:id="2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1.10.1 投标人须知前附表规定召开投标预备会的，招标人按投标人须知前附表规定的时间和地点召开投标预备会，澄清投标人提出的问题。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1.10.2 投标人应在投标人须知前附表规定的时间前，以电子平台形式将提出的问题送达招标人，以便招标人在会议期间澄清。</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1.10.3 投标预备会后，招标人在投标人须知前附表规定的时间内，将对投标人所提问颗的澄清，以书面方式通知所有购买招标文件的投标人。该澄清内容为招标文件的组成部分。</w:t>
      </w:r>
    </w:p>
    <w:p>
      <w:pPr>
        <w:pStyle w:val="5"/>
        <w:adjustRightInd w:val="0"/>
        <w:snapToGrid w:val="0"/>
        <w:spacing w:line="360" w:lineRule="auto"/>
        <w:rPr>
          <w:rFonts w:ascii="宋体" w:hAnsi="宋体" w:eastAsia="宋体" w:cs="宋体"/>
          <w:sz w:val="21"/>
          <w:szCs w:val="21"/>
          <w:highlight w:val="none"/>
        </w:rPr>
      </w:pPr>
      <w:bookmarkStart w:id="27" w:name="_Toc13468"/>
      <w:bookmarkStart w:id="28" w:name="_Toc26966"/>
      <w:r>
        <w:rPr>
          <w:rFonts w:hint="eastAsia" w:ascii="宋体" w:hAnsi="宋体" w:eastAsia="宋体" w:cs="宋体"/>
          <w:sz w:val="21"/>
          <w:szCs w:val="21"/>
          <w:highlight w:val="none"/>
        </w:rPr>
        <w:t>1.11 分包</w:t>
      </w:r>
      <w:bookmarkEnd w:id="27"/>
      <w:bookmarkEnd w:id="28"/>
      <w:r>
        <w:rPr>
          <w:rFonts w:hint="eastAsia" w:ascii="宋体" w:hAnsi="宋体" w:eastAsia="宋体" w:cs="宋体"/>
          <w:sz w:val="21"/>
          <w:szCs w:val="21"/>
          <w:highlight w:val="none"/>
        </w:rPr>
        <w:t xml:space="preserve">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本项目不允许分包。</w:t>
      </w:r>
    </w:p>
    <w:p>
      <w:pPr>
        <w:pStyle w:val="5"/>
        <w:adjustRightInd w:val="0"/>
        <w:snapToGrid w:val="0"/>
        <w:spacing w:line="360" w:lineRule="auto"/>
        <w:rPr>
          <w:rFonts w:ascii="宋体" w:hAnsi="宋体" w:eastAsia="宋体" w:cs="宋体"/>
          <w:sz w:val="21"/>
          <w:szCs w:val="21"/>
          <w:highlight w:val="none"/>
        </w:rPr>
      </w:pPr>
      <w:bookmarkStart w:id="29" w:name="_Toc26220"/>
      <w:bookmarkStart w:id="30" w:name="_Toc11322"/>
      <w:r>
        <w:rPr>
          <w:rFonts w:hint="eastAsia" w:ascii="宋体" w:hAnsi="宋体" w:eastAsia="宋体" w:cs="宋体"/>
          <w:sz w:val="21"/>
          <w:szCs w:val="21"/>
          <w:highlight w:val="none"/>
        </w:rPr>
        <w:t>1.12 偏离</w:t>
      </w:r>
      <w:bookmarkEnd w:id="29"/>
      <w:bookmarkEnd w:id="3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投标人须知前附表允许投标文件偏离招标文件某些要求的，偏离应当符合招标文件规定的偏离范围和幅度。</w:t>
      </w:r>
    </w:p>
    <w:p>
      <w:pPr>
        <w:pStyle w:val="4"/>
        <w:adjustRightInd w:val="0"/>
        <w:snapToGrid w:val="0"/>
        <w:spacing w:line="360" w:lineRule="auto"/>
        <w:rPr>
          <w:rFonts w:ascii="宋体" w:hAnsi="宋体" w:cs="宋体"/>
          <w:sz w:val="21"/>
          <w:szCs w:val="21"/>
          <w:highlight w:val="none"/>
        </w:rPr>
      </w:pPr>
      <w:bookmarkStart w:id="31" w:name="_Toc184635072"/>
      <w:bookmarkStart w:id="32" w:name="_Toc18031"/>
      <w:bookmarkStart w:id="33" w:name="_Toc17587"/>
      <w:r>
        <w:rPr>
          <w:rFonts w:hint="eastAsia" w:ascii="宋体" w:hAnsi="宋体" w:cs="宋体"/>
          <w:sz w:val="21"/>
          <w:szCs w:val="21"/>
          <w:highlight w:val="none"/>
        </w:rPr>
        <w:t>2．招标文件</w:t>
      </w:r>
      <w:bookmarkEnd w:id="31"/>
      <w:bookmarkEnd w:id="32"/>
      <w:bookmarkEnd w:id="33"/>
    </w:p>
    <w:p>
      <w:pPr>
        <w:pStyle w:val="5"/>
        <w:adjustRightInd w:val="0"/>
        <w:snapToGrid w:val="0"/>
        <w:spacing w:line="360" w:lineRule="auto"/>
        <w:rPr>
          <w:rFonts w:ascii="宋体" w:hAnsi="宋体" w:eastAsia="宋体" w:cs="宋体"/>
          <w:sz w:val="21"/>
          <w:szCs w:val="21"/>
          <w:highlight w:val="none"/>
        </w:rPr>
      </w:pPr>
      <w:bookmarkStart w:id="34" w:name="_Toc17786"/>
      <w:bookmarkStart w:id="35" w:name="_Toc17154"/>
      <w:r>
        <w:rPr>
          <w:rFonts w:hint="eastAsia" w:ascii="宋体" w:hAnsi="宋体" w:eastAsia="宋体" w:cs="宋体"/>
          <w:sz w:val="21"/>
          <w:szCs w:val="21"/>
          <w:highlight w:val="none"/>
        </w:rPr>
        <w:t>2.1 招标文件的组成</w:t>
      </w:r>
      <w:bookmarkEnd w:id="34"/>
      <w:bookmarkEnd w:id="3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本招标文件包括：</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(1）招标公告</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(2）投标人须知</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(3）评标办法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(4）合同条款及格式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(5）技术参数及要求</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(6）投标文件格式</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根据本章第1.10 款、第2.2 款和第2.3 款对招标文件所作的澄清、修改，构成招标文件的组成部分。</w:t>
      </w:r>
    </w:p>
    <w:p>
      <w:pPr>
        <w:pStyle w:val="5"/>
        <w:adjustRightInd w:val="0"/>
        <w:snapToGrid w:val="0"/>
        <w:spacing w:line="360" w:lineRule="auto"/>
        <w:rPr>
          <w:rFonts w:ascii="宋体" w:hAnsi="宋体" w:eastAsia="宋体" w:cs="宋体"/>
          <w:sz w:val="21"/>
          <w:szCs w:val="21"/>
          <w:highlight w:val="none"/>
        </w:rPr>
      </w:pPr>
      <w:bookmarkStart w:id="36" w:name="_Toc20511"/>
      <w:bookmarkStart w:id="37" w:name="_Toc19452"/>
      <w:r>
        <w:rPr>
          <w:rFonts w:hint="eastAsia" w:ascii="宋体" w:hAnsi="宋体" w:eastAsia="宋体" w:cs="宋体"/>
          <w:sz w:val="21"/>
          <w:szCs w:val="21"/>
          <w:highlight w:val="none"/>
        </w:rPr>
        <w:t>2.2 招标文件的澄清</w:t>
      </w:r>
      <w:bookmarkEnd w:id="36"/>
      <w:bookmarkEnd w:id="3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2.2.1 投标人应仔细阅读和检查招标文件的全部内容。如发现缺页或附件不全，应及时向招标人提出，以便补齐。如有疑问，应在投标人须知前附表规定的时间前以电子平台形式（包括信函、电报、传真等可以有形的表现所载内容的形式，下同），要求招标人对招标文件予以澄清。</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2.2.2 招标文件的澄清以投标人须知前附表规定的时间通过</w:t>
      </w:r>
      <w:r>
        <w:rPr>
          <w:rFonts w:hint="eastAsia"/>
          <w:highlight w:val="none"/>
        </w:rPr>
        <w:t>“荥阳市公共资源交易中心平台” 发布</w:t>
      </w:r>
      <w:r>
        <w:rPr>
          <w:rFonts w:hint="eastAsia" w:ascii="宋体" w:hAnsi="宋体" w:cs="宋体"/>
          <w:szCs w:val="21"/>
          <w:highlight w:val="none"/>
        </w:rPr>
        <w:t>，但不指明澄清问题的来源。澄清发出的时间距本章第 4.2.1 项规定的投标截止时间不足 15 日的，并且澄清内容可能影响投标文件编制的，将相应延长投标截止时间。</w:t>
      </w:r>
    </w:p>
    <w:p>
      <w:pPr>
        <w:pStyle w:val="5"/>
        <w:adjustRightInd w:val="0"/>
        <w:snapToGrid w:val="0"/>
        <w:spacing w:line="360" w:lineRule="auto"/>
        <w:rPr>
          <w:rFonts w:ascii="宋体" w:hAnsi="宋体" w:eastAsia="宋体" w:cs="宋体"/>
          <w:sz w:val="21"/>
          <w:szCs w:val="21"/>
          <w:highlight w:val="none"/>
        </w:rPr>
      </w:pPr>
      <w:bookmarkStart w:id="38" w:name="_Toc10147"/>
      <w:bookmarkStart w:id="39" w:name="_Toc22076"/>
      <w:r>
        <w:rPr>
          <w:rFonts w:hint="eastAsia" w:ascii="宋体" w:hAnsi="宋体" w:eastAsia="宋体" w:cs="宋体"/>
          <w:sz w:val="21"/>
          <w:szCs w:val="21"/>
          <w:highlight w:val="none"/>
        </w:rPr>
        <w:t>2.3 招标文件的修改</w:t>
      </w:r>
      <w:bookmarkEnd w:id="38"/>
      <w:bookmarkEnd w:id="39"/>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2.3.1 在投标截止时间15日前，采购人可以按照投标人须知前附表规定的形式修改招标文件，并通过</w:t>
      </w:r>
      <w:r>
        <w:rPr>
          <w:rFonts w:hint="eastAsia"/>
          <w:highlight w:val="none"/>
        </w:rPr>
        <w:t>“荥阳市公共资源交易中心平台” 发布通知所有投标人</w:t>
      </w:r>
      <w:r>
        <w:rPr>
          <w:rFonts w:hint="eastAsia" w:ascii="宋体" w:hAnsi="宋体" w:cs="宋体"/>
          <w:szCs w:val="21"/>
          <w:highlight w:val="none"/>
        </w:rPr>
        <w:t>。如果修改招标文件的时间距投标截止时间不足15日，相应延长投标截止时间。</w:t>
      </w:r>
    </w:p>
    <w:p>
      <w:pPr>
        <w:pStyle w:val="4"/>
        <w:adjustRightInd w:val="0"/>
        <w:snapToGrid w:val="0"/>
        <w:spacing w:line="360" w:lineRule="auto"/>
        <w:rPr>
          <w:rFonts w:ascii="宋体" w:hAnsi="宋体" w:cs="宋体"/>
          <w:sz w:val="21"/>
          <w:szCs w:val="21"/>
          <w:highlight w:val="none"/>
        </w:rPr>
      </w:pPr>
      <w:bookmarkStart w:id="40" w:name="_Toc184635073"/>
      <w:bookmarkStart w:id="41" w:name="_Toc22975"/>
      <w:bookmarkStart w:id="42" w:name="_Toc27161"/>
      <w:r>
        <w:rPr>
          <w:rFonts w:hint="eastAsia" w:ascii="宋体" w:hAnsi="宋体" w:cs="宋体"/>
          <w:sz w:val="21"/>
          <w:szCs w:val="21"/>
          <w:highlight w:val="none"/>
        </w:rPr>
        <w:t>3．投标文件</w:t>
      </w:r>
      <w:bookmarkEnd w:id="40"/>
      <w:bookmarkEnd w:id="41"/>
      <w:bookmarkEnd w:id="42"/>
    </w:p>
    <w:p>
      <w:pPr>
        <w:pStyle w:val="5"/>
        <w:adjustRightInd w:val="0"/>
        <w:snapToGrid w:val="0"/>
        <w:spacing w:line="360" w:lineRule="auto"/>
        <w:rPr>
          <w:rFonts w:ascii="宋体" w:hAnsi="宋体" w:eastAsia="宋体" w:cs="宋体"/>
          <w:sz w:val="21"/>
          <w:szCs w:val="21"/>
          <w:highlight w:val="none"/>
        </w:rPr>
      </w:pPr>
      <w:bookmarkStart w:id="43" w:name="_Toc29461"/>
      <w:bookmarkStart w:id="44" w:name="_Toc31140"/>
      <w:r>
        <w:rPr>
          <w:rFonts w:hint="eastAsia" w:ascii="宋体" w:hAnsi="宋体" w:eastAsia="宋体" w:cs="宋体"/>
          <w:sz w:val="21"/>
          <w:szCs w:val="21"/>
          <w:highlight w:val="none"/>
        </w:rPr>
        <w:t>3.1 投标文件的组成</w:t>
      </w:r>
      <w:bookmarkEnd w:id="43"/>
      <w:bookmarkEnd w:id="4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3.1.1 投标文件应包括下列内容：</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（1）投标函及投标函附录</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（2）法定代表人身份证明</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（3）授权委托书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（4）报价明细表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（5）投标承诺函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（6）招标代理服务费承诺函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（7）资格审查资料</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（8）技术偏离表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（9）项目实施方案</w:t>
      </w:r>
    </w:p>
    <w:p>
      <w:pPr>
        <w:pStyle w:val="14"/>
        <w:ind w:firstLine="420" w:firstLineChars="200"/>
        <w:rPr>
          <w:highlight w:val="none"/>
        </w:rPr>
      </w:pPr>
      <w:r>
        <w:rPr>
          <w:rFonts w:hint="eastAsia" w:ascii="宋体" w:hAnsi="宋体" w:cs="宋体"/>
          <w:szCs w:val="21"/>
          <w:highlight w:val="none"/>
        </w:rPr>
        <w:t>（10）</w:t>
      </w:r>
      <w:r>
        <w:rPr>
          <w:rFonts w:hint="eastAsia"/>
          <w:highlight w:val="none"/>
        </w:rPr>
        <w:t>供应商企业实力</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（11）反商业贿赂承诺书</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（12）中小企业声明函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（13）残疾人福利性单位声明函</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（14）其他材料</w:t>
      </w:r>
    </w:p>
    <w:p>
      <w:pPr>
        <w:pStyle w:val="5"/>
        <w:adjustRightInd w:val="0"/>
        <w:snapToGrid w:val="0"/>
        <w:spacing w:line="360" w:lineRule="auto"/>
        <w:rPr>
          <w:rFonts w:ascii="宋体" w:hAnsi="宋体" w:eastAsia="宋体" w:cs="宋体"/>
          <w:sz w:val="21"/>
          <w:szCs w:val="21"/>
          <w:highlight w:val="none"/>
        </w:rPr>
      </w:pPr>
      <w:bookmarkStart w:id="45" w:name="_Toc19234"/>
      <w:bookmarkStart w:id="46" w:name="_Toc176"/>
      <w:r>
        <w:rPr>
          <w:rFonts w:hint="eastAsia" w:ascii="宋体" w:hAnsi="宋体" w:eastAsia="宋体" w:cs="宋体"/>
          <w:sz w:val="21"/>
          <w:szCs w:val="21"/>
          <w:highlight w:val="none"/>
        </w:rPr>
        <w:t>3.2 投标报价</w:t>
      </w:r>
      <w:bookmarkEnd w:id="45"/>
      <w:bookmarkEnd w:id="46"/>
    </w:p>
    <w:p>
      <w:pPr>
        <w:adjustRightInd w:val="0"/>
        <w:snapToGrid w:val="0"/>
        <w:spacing w:line="360" w:lineRule="auto"/>
        <w:ind w:firstLine="420" w:firstLineChars="200"/>
        <w:rPr>
          <w:rFonts w:ascii="宋体" w:hAnsi="宋体" w:cs="宋体"/>
          <w:szCs w:val="21"/>
          <w:highlight w:val="none"/>
        </w:rPr>
      </w:pPr>
      <w:bookmarkStart w:id="47" w:name="_Toc23350"/>
      <w:r>
        <w:rPr>
          <w:rFonts w:hint="eastAsia" w:ascii="宋体" w:hAnsi="宋体" w:cs="宋体"/>
          <w:szCs w:val="21"/>
          <w:highlight w:val="none"/>
        </w:rPr>
        <w:t>3.2.1.投标人应根据项目概况并结合市场行情，自主填报投标报价。如招标人设最高投标限价的，投标人报价超出最高投标限价的做废标处理。</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3.2.2.投标人必须按项目规定的范围所提供的全部服务所需要的全部费用进行报价，包括实施完成本项目全部设计工作所需的现场办公费、生活设施费、劳务费、技术服务费、测量费、交通费、通讯费、保险费、税费和利润，以及为完成本项目所需要的专用仪器费、设备费和设施费等与设计业务有关的一切费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3.2.3投标人应按本招标文件及招标人提供的技术资料进行报价。</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3.2.4投标人在投标截止时间前修改投标函中的投标报价，应同时修改相应报价。此修改须符合本章第 4.3 款的有关要求。</w:t>
      </w:r>
    </w:p>
    <w:p>
      <w:pPr>
        <w:pStyle w:val="31"/>
        <w:spacing w:line="360" w:lineRule="auto"/>
        <w:ind w:firstLine="420" w:firstLineChars="200"/>
        <w:rPr>
          <w:sz w:val="21"/>
          <w:szCs w:val="21"/>
          <w:highlight w:val="none"/>
        </w:rPr>
      </w:pPr>
      <w:r>
        <w:rPr>
          <w:rFonts w:hint="eastAsia" w:ascii="宋体" w:hAnsi="宋体" w:cs="宋体"/>
          <w:sz w:val="21"/>
          <w:szCs w:val="21"/>
          <w:highlight w:val="none"/>
        </w:rPr>
        <w:t>3.2.5 投标人的报价低于其他通过符合性审查投标人的报价算数平均值的80%，评标委员会认为投标人的报价明显低于其他通过符合性审查投标人有可能影响产品质量或者不能诚信履约的，应当要求其在评标现场合理的时间内提供书面说明，必要时提交相关证明材料；投标人不能证明其报价合理性的，评标委员会应当将其作为无效投标处理。</w:t>
      </w:r>
    </w:p>
    <w:p>
      <w:pPr>
        <w:pStyle w:val="5"/>
        <w:adjustRightInd w:val="0"/>
        <w:snapToGrid w:val="0"/>
        <w:spacing w:line="360" w:lineRule="auto"/>
        <w:rPr>
          <w:rFonts w:ascii="宋体" w:hAnsi="宋体" w:eastAsia="宋体" w:cs="宋体"/>
          <w:sz w:val="21"/>
          <w:szCs w:val="21"/>
          <w:highlight w:val="none"/>
        </w:rPr>
      </w:pPr>
      <w:bookmarkStart w:id="48" w:name="_Toc26558"/>
      <w:r>
        <w:rPr>
          <w:rFonts w:hint="eastAsia" w:ascii="宋体" w:hAnsi="宋体" w:eastAsia="宋体" w:cs="宋体"/>
          <w:sz w:val="21"/>
          <w:szCs w:val="21"/>
          <w:highlight w:val="none"/>
        </w:rPr>
        <w:t>3.3 投标有效期</w:t>
      </w:r>
      <w:bookmarkEnd w:id="47"/>
      <w:bookmarkEnd w:id="4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3.3.1 在投标人须知前附表规定的投标有效期内，投标人不得要求撤销或修改其投标文件。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3.3.2 如出现特殊情况需要延长投标有效期的，招标人应以电子平台形式通知所有投标人延长投标有效期。</w:t>
      </w:r>
    </w:p>
    <w:p>
      <w:pPr>
        <w:pStyle w:val="5"/>
        <w:adjustRightInd w:val="0"/>
        <w:snapToGrid w:val="0"/>
        <w:spacing w:line="360" w:lineRule="auto"/>
        <w:rPr>
          <w:rFonts w:ascii="宋体" w:hAnsi="宋体" w:eastAsia="宋体" w:cs="宋体"/>
          <w:sz w:val="21"/>
          <w:szCs w:val="21"/>
          <w:highlight w:val="none"/>
        </w:rPr>
      </w:pPr>
      <w:bookmarkStart w:id="49" w:name="_Toc2707"/>
      <w:bookmarkStart w:id="50" w:name="_Toc12500"/>
      <w:r>
        <w:rPr>
          <w:rFonts w:hint="eastAsia" w:ascii="宋体" w:hAnsi="宋体" w:eastAsia="宋体" w:cs="宋体"/>
          <w:sz w:val="21"/>
          <w:szCs w:val="21"/>
          <w:highlight w:val="none"/>
        </w:rPr>
        <w:t>3.4 投标保证金</w:t>
      </w:r>
      <w:bookmarkEnd w:id="49"/>
      <w:r>
        <w:rPr>
          <w:rFonts w:hint="eastAsia" w:ascii="宋体" w:hAnsi="宋体" w:eastAsia="宋体" w:cs="宋体"/>
          <w:sz w:val="21"/>
          <w:szCs w:val="21"/>
          <w:highlight w:val="none"/>
        </w:rPr>
        <w:t>（不适用）</w:t>
      </w:r>
      <w:bookmarkEnd w:id="50"/>
    </w:p>
    <w:p>
      <w:pPr>
        <w:pStyle w:val="5"/>
        <w:adjustRightInd w:val="0"/>
        <w:snapToGrid w:val="0"/>
        <w:spacing w:line="360" w:lineRule="auto"/>
        <w:rPr>
          <w:rFonts w:ascii="宋体" w:hAnsi="宋体" w:eastAsia="宋体" w:cs="宋体"/>
          <w:sz w:val="21"/>
          <w:szCs w:val="21"/>
          <w:highlight w:val="none"/>
        </w:rPr>
      </w:pPr>
      <w:bookmarkStart w:id="51" w:name="_Toc4417"/>
      <w:bookmarkStart w:id="52" w:name="_Toc21982"/>
      <w:r>
        <w:rPr>
          <w:rFonts w:hint="eastAsia" w:ascii="宋体" w:hAnsi="宋体" w:eastAsia="宋体" w:cs="宋体"/>
          <w:sz w:val="21"/>
          <w:szCs w:val="21"/>
          <w:highlight w:val="none"/>
        </w:rPr>
        <w:t>3.5 资格审查资料</w:t>
      </w:r>
      <w:bookmarkEnd w:id="51"/>
      <w:bookmarkEnd w:id="5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3.5.1 按投标人须知有关要求提供相关资料</w:t>
      </w:r>
    </w:p>
    <w:p>
      <w:pPr>
        <w:pStyle w:val="5"/>
        <w:adjustRightInd w:val="0"/>
        <w:snapToGrid w:val="0"/>
        <w:spacing w:line="360" w:lineRule="auto"/>
        <w:rPr>
          <w:rFonts w:ascii="宋体" w:hAnsi="宋体" w:eastAsia="宋体" w:cs="宋体"/>
          <w:sz w:val="21"/>
          <w:szCs w:val="21"/>
          <w:highlight w:val="none"/>
        </w:rPr>
      </w:pPr>
      <w:bookmarkStart w:id="53" w:name="_Toc13214"/>
      <w:bookmarkStart w:id="54" w:name="_Toc25929"/>
      <w:r>
        <w:rPr>
          <w:rFonts w:hint="eastAsia" w:ascii="宋体" w:hAnsi="宋体" w:eastAsia="宋体" w:cs="宋体"/>
          <w:sz w:val="21"/>
          <w:szCs w:val="21"/>
          <w:highlight w:val="none"/>
        </w:rPr>
        <w:t>3.6 备选投标方案（不允许）</w:t>
      </w:r>
      <w:bookmarkEnd w:id="53"/>
      <w:bookmarkEnd w:id="5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3.6.1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adjustRightInd w:val="0"/>
        <w:snapToGrid w:val="0"/>
        <w:spacing w:line="360" w:lineRule="auto"/>
        <w:rPr>
          <w:rFonts w:ascii="宋体" w:hAnsi="宋体" w:eastAsia="宋体" w:cs="宋体"/>
          <w:sz w:val="21"/>
          <w:szCs w:val="21"/>
          <w:highlight w:val="none"/>
        </w:rPr>
      </w:pPr>
      <w:bookmarkStart w:id="55" w:name="_Toc23941"/>
      <w:bookmarkStart w:id="56" w:name="_Toc10958"/>
      <w:r>
        <w:rPr>
          <w:rFonts w:hint="eastAsia" w:ascii="宋体" w:hAnsi="宋体" w:eastAsia="宋体" w:cs="宋体"/>
          <w:sz w:val="21"/>
          <w:szCs w:val="21"/>
          <w:highlight w:val="none"/>
        </w:rPr>
        <w:t>3.7 投标文件的编制</w:t>
      </w:r>
      <w:bookmarkEnd w:id="55"/>
      <w:bookmarkEnd w:id="5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3.7.2 投标文件应当对招标文件有关</w:t>
      </w:r>
      <w:r>
        <w:rPr>
          <w:rFonts w:hint="eastAsia" w:ascii="宋体" w:hAnsi="宋体" w:cs="宋体"/>
          <w:szCs w:val="21"/>
          <w:highlight w:val="none"/>
          <w:lang w:eastAsia="zh-CN"/>
        </w:rPr>
        <w:t>计划工期</w:t>
      </w:r>
      <w:r>
        <w:rPr>
          <w:rFonts w:hint="eastAsia" w:ascii="宋体" w:hAnsi="宋体" w:cs="宋体"/>
          <w:szCs w:val="21"/>
          <w:highlight w:val="none"/>
        </w:rPr>
        <w:t>、投标有效期、质量要求、招标范围等实质性内容作出响应。</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3.7.3 投标文件全部采用电子文档，除投标人须知前附表另有规定外，投标文件所附证书证件均为原件扫描件，并采用单位和个人数字证书，按招标文件要求在相应位置加盖电子签章。由投标人的法定代表人（单位负责人）签字或加盖电子签章的，应附法定代表人（单位负责人）身份证明，由代理人签字或加盖电子签章的，应附由法定代表人（单位负责人）签署的授权委托书。签字或盖章或电子签章的具体要求见投标人须知前附表。</w:t>
      </w:r>
    </w:p>
    <w:p>
      <w:pPr>
        <w:adjustRightInd w:val="0"/>
        <w:snapToGrid w:val="0"/>
        <w:spacing w:line="360" w:lineRule="auto"/>
        <w:ind w:firstLine="413" w:firstLineChars="197"/>
        <w:rPr>
          <w:rFonts w:ascii="宋体" w:hAnsi="宋体" w:cs="宋体"/>
          <w:szCs w:val="21"/>
          <w:highlight w:val="none"/>
        </w:rPr>
      </w:pPr>
      <w:r>
        <w:rPr>
          <w:rFonts w:hint="eastAsia" w:ascii="宋体" w:hAnsi="宋体" w:cs="宋体"/>
          <w:szCs w:val="21"/>
          <w:highlight w:val="none"/>
        </w:rPr>
        <w:t>3.7.4投标人（供应商）请登陆荥阳市公共资源交易中心网站—下载中心—下载中心栏目下载最新版本的投标文件制作工具安装包，并使用安装后的最新版本投标文件制作工具制作电子投标文件（具体制作手册请查询交易中心网站-办事指南-投标文件制作操作手册）。</w:t>
      </w:r>
    </w:p>
    <w:p>
      <w:pPr>
        <w:pStyle w:val="4"/>
        <w:adjustRightInd w:val="0"/>
        <w:snapToGrid w:val="0"/>
        <w:spacing w:line="360" w:lineRule="auto"/>
        <w:rPr>
          <w:rFonts w:ascii="宋体" w:hAnsi="宋体" w:cs="宋体"/>
          <w:sz w:val="21"/>
          <w:szCs w:val="21"/>
          <w:highlight w:val="none"/>
        </w:rPr>
      </w:pPr>
      <w:bookmarkStart w:id="57" w:name="_Toc184635074"/>
      <w:bookmarkStart w:id="58" w:name="_Toc22792"/>
      <w:bookmarkStart w:id="59" w:name="_Toc26591"/>
      <w:r>
        <w:rPr>
          <w:rFonts w:hint="eastAsia" w:ascii="宋体" w:hAnsi="宋体" w:cs="宋体"/>
          <w:sz w:val="21"/>
          <w:szCs w:val="21"/>
          <w:highlight w:val="none"/>
        </w:rPr>
        <w:t>4．投标</w:t>
      </w:r>
      <w:bookmarkEnd w:id="57"/>
      <w:bookmarkEnd w:id="58"/>
      <w:bookmarkEnd w:id="59"/>
    </w:p>
    <w:p>
      <w:pPr>
        <w:pStyle w:val="5"/>
        <w:adjustRightInd w:val="0"/>
        <w:snapToGrid w:val="0"/>
        <w:spacing w:line="360" w:lineRule="auto"/>
        <w:rPr>
          <w:rFonts w:ascii="宋体" w:hAnsi="宋体" w:eastAsia="宋体" w:cs="宋体"/>
          <w:sz w:val="21"/>
          <w:szCs w:val="21"/>
          <w:highlight w:val="none"/>
        </w:rPr>
      </w:pPr>
      <w:bookmarkStart w:id="60" w:name="_Toc3326"/>
      <w:bookmarkStart w:id="61" w:name="_Toc13897"/>
      <w:r>
        <w:rPr>
          <w:rFonts w:hint="eastAsia" w:ascii="宋体" w:hAnsi="宋体" w:eastAsia="宋体" w:cs="宋体"/>
          <w:sz w:val="21"/>
          <w:szCs w:val="21"/>
          <w:highlight w:val="none"/>
        </w:rPr>
        <w:t>4.1 投标文件的密封和标记</w:t>
      </w:r>
      <w:bookmarkEnd w:id="60"/>
      <w:bookmarkEnd w:id="6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4.1.1 投标人应当按照招标文件和电子招标投标交易平台的要求加密投标文件，具体要求见投标人须知前附表。 </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4.1.2 未按本章第 4.1.1 项要求密封的投标文件，招标人将予以拒收。</w:t>
      </w:r>
    </w:p>
    <w:p>
      <w:pPr>
        <w:pStyle w:val="5"/>
        <w:adjustRightInd w:val="0"/>
        <w:snapToGrid w:val="0"/>
        <w:spacing w:line="360" w:lineRule="auto"/>
        <w:rPr>
          <w:rFonts w:ascii="宋体" w:hAnsi="宋体" w:eastAsia="宋体" w:cs="宋体"/>
          <w:sz w:val="21"/>
          <w:szCs w:val="21"/>
          <w:highlight w:val="none"/>
        </w:rPr>
      </w:pPr>
      <w:bookmarkStart w:id="62" w:name="_Toc14621"/>
      <w:bookmarkStart w:id="63" w:name="_Toc15582"/>
      <w:r>
        <w:rPr>
          <w:rFonts w:hint="eastAsia" w:ascii="宋体" w:hAnsi="宋体" w:eastAsia="宋体" w:cs="宋体"/>
          <w:sz w:val="21"/>
          <w:szCs w:val="21"/>
          <w:highlight w:val="none"/>
        </w:rPr>
        <w:t>4.2 投标文件的递交</w:t>
      </w:r>
      <w:bookmarkEnd w:id="62"/>
      <w:bookmarkEnd w:id="63"/>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4.2.1 投标人应在投标人须知前附表规定的投标截止时间前递交投标文件。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4.2.2 投标人通过下载招标文件的电子招标投标交易平台递交电子投标文件。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4.2.3除投标人须知前附表另有规定外，投标人所递交的投标文件不予退还。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4.2.4投标文件上传：各投标人（供应商）须在投标截止时间前企业身份认证锁（CA密钥）登陆荥阳市公共资源交易中心网站上传加密的电子投标文件到系统的指定位置。上传时必须得到电脑‘上传成功’的确认回复。请投标人（供应商）在上传时认真检查上传投标文件是否完整、正确。</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投标人（供应商）在交易中心投标系统无法上传电子投标文件时，请在工作时间及时与荥阳市公共资源交易中心联系。</w:t>
      </w:r>
    </w:p>
    <w:p>
      <w:pPr>
        <w:adjustRightInd w:val="0"/>
        <w:snapToGrid w:val="0"/>
        <w:spacing w:line="360" w:lineRule="auto"/>
        <w:ind w:firstLine="420" w:firstLineChars="200"/>
        <w:rPr>
          <w:rFonts w:ascii="宋体" w:hAnsi="宋体" w:cs="宋体"/>
          <w:b/>
          <w:bCs/>
          <w:szCs w:val="21"/>
          <w:highlight w:val="none"/>
        </w:rPr>
      </w:pPr>
      <w:r>
        <w:rPr>
          <w:rFonts w:hint="eastAsia" w:ascii="宋体" w:hAnsi="宋体" w:cs="宋体"/>
          <w:szCs w:val="21"/>
          <w:highlight w:val="none"/>
        </w:rPr>
        <w:t>4.2.5逾期送达的投标文件，电子招标投标交易平台将予以拒收。</w:t>
      </w:r>
    </w:p>
    <w:p>
      <w:pPr>
        <w:pStyle w:val="5"/>
        <w:adjustRightInd w:val="0"/>
        <w:snapToGrid w:val="0"/>
        <w:spacing w:line="360" w:lineRule="auto"/>
        <w:rPr>
          <w:rFonts w:ascii="宋体" w:hAnsi="宋体" w:eastAsia="宋体" w:cs="宋体"/>
          <w:sz w:val="21"/>
          <w:szCs w:val="21"/>
          <w:highlight w:val="none"/>
        </w:rPr>
      </w:pPr>
      <w:bookmarkStart w:id="64" w:name="_Toc25861"/>
      <w:bookmarkStart w:id="65" w:name="_Toc4348"/>
      <w:r>
        <w:rPr>
          <w:rFonts w:hint="eastAsia" w:ascii="宋体" w:hAnsi="宋体" w:eastAsia="宋体" w:cs="宋体"/>
          <w:sz w:val="21"/>
          <w:szCs w:val="21"/>
          <w:highlight w:val="none"/>
        </w:rPr>
        <w:t>4.3 投标文件的修改与撤回</w:t>
      </w:r>
      <w:bookmarkEnd w:id="64"/>
      <w:bookmarkEnd w:id="65"/>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4.3.1 在投标人须知前附表规定的投标截止时间前，投标人可以修改或撤回已递交的投标文件，最终投标文件以投标截止时间前完成上传至荥阳市市公共资源交易管理中心电子交易系统的最后一份投标文件为准。</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4.3.2投标人修改或撤回已递交投标文件的书面通知应按照本章第3.7.3 项的要求加盖电子签章。电子招标投标交易平台收到通知后，即时向投标人发出确认回执通知。</w:t>
      </w:r>
    </w:p>
    <w:p>
      <w:pPr>
        <w:spacing w:line="380" w:lineRule="exact"/>
        <w:ind w:firstLine="420" w:firstLineChars="200"/>
        <w:rPr>
          <w:rFonts w:ascii="宋体" w:hAnsi="宋体" w:cs="宋体"/>
          <w:szCs w:val="21"/>
          <w:highlight w:val="none"/>
        </w:rPr>
      </w:pPr>
      <w:r>
        <w:rPr>
          <w:rFonts w:hint="eastAsia" w:ascii="宋体" w:hAnsi="宋体" w:cs="宋体"/>
          <w:szCs w:val="21"/>
          <w:highlight w:val="none"/>
        </w:rPr>
        <w:t>4.3.3 修改的内容为投标文件的组成部分。修改的投标文件应按照本章第3 条、第4 条规定进行编制、标记和递交，并标明“修改”字样。</w:t>
      </w:r>
    </w:p>
    <w:p>
      <w:pPr>
        <w:pStyle w:val="4"/>
        <w:adjustRightInd w:val="0"/>
        <w:snapToGrid w:val="0"/>
        <w:spacing w:line="360" w:lineRule="auto"/>
        <w:rPr>
          <w:rFonts w:ascii="宋体" w:hAnsi="宋体" w:cs="宋体"/>
          <w:sz w:val="21"/>
          <w:szCs w:val="21"/>
          <w:highlight w:val="none"/>
        </w:rPr>
      </w:pPr>
      <w:bookmarkStart w:id="66" w:name="_Toc10394"/>
      <w:bookmarkStart w:id="67" w:name="_Toc13329"/>
      <w:bookmarkStart w:id="68" w:name="_Toc184635075"/>
      <w:r>
        <w:rPr>
          <w:rFonts w:hint="eastAsia" w:ascii="宋体" w:hAnsi="宋体" w:cs="宋体"/>
          <w:sz w:val="21"/>
          <w:szCs w:val="21"/>
          <w:highlight w:val="none"/>
        </w:rPr>
        <w:t>5．开标</w:t>
      </w:r>
      <w:bookmarkEnd w:id="66"/>
      <w:bookmarkEnd w:id="67"/>
      <w:bookmarkEnd w:id="68"/>
    </w:p>
    <w:p>
      <w:pPr>
        <w:pStyle w:val="5"/>
        <w:adjustRightInd w:val="0"/>
        <w:snapToGrid w:val="0"/>
        <w:spacing w:line="360" w:lineRule="auto"/>
        <w:rPr>
          <w:rFonts w:ascii="宋体" w:hAnsi="宋体" w:eastAsia="宋体" w:cs="宋体"/>
          <w:sz w:val="21"/>
          <w:szCs w:val="21"/>
          <w:highlight w:val="none"/>
        </w:rPr>
      </w:pPr>
      <w:bookmarkStart w:id="69" w:name="_Toc16089"/>
      <w:bookmarkStart w:id="70" w:name="_Toc10302"/>
      <w:r>
        <w:rPr>
          <w:rFonts w:hint="eastAsia" w:ascii="宋体" w:hAnsi="宋体" w:eastAsia="宋体" w:cs="宋体"/>
          <w:sz w:val="21"/>
          <w:szCs w:val="21"/>
          <w:highlight w:val="none"/>
        </w:rPr>
        <w:t>5.1 开标时间和地点</w:t>
      </w:r>
      <w:bookmarkEnd w:id="69"/>
      <w:bookmarkEnd w:id="70"/>
    </w:p>
    <w:p>
      <w:pPr>
        <w:spacing w:line="360" w:lineRule="auto"/>
        <w:ind w:firstLine="420" w:firstLineChars="200"/>
        <w:rPr>
          <w:rFonts w:ascii="宋体" w:hAnsi="宋体" w:cs="宋体"/>
          <w:szCs w:val="21"/>
          <w:highlight w:val="none"/>
        </w:rPr>
      </w:pPr>
      <w:bookmarkStart w:id="71" w:name="_Toc10567"/>
      <w:r>
        <w:rPr>
          <w:rFonts w:hint="eastAsia" w:ascii="宋体" w:hAnsi="宋体" w:cs="宋体"/>
          <w:szCs w:val="21"/>
          <w:highlight w:val="none"/>
        </w:rPr>
        <w:t>5.1.1 招标人在本章第4.2.1项规定的投标截止时间（开标时间）和投标人须知前附表规定的地点开标。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5.1.2 投标人须按投标人须知前附表规定完成解密。</w:t>
      </w:r>
    </w:p>
    <w:p>
      <w:pPr>
        <w:pStyle w:val="5"/>
        <w:adjustRightInd w:val="0"/>
        <w:snapToGrid w:val="0"/>
        <w:spacing w:line="360" w:lineRule="auto"/>
        <w:rPr>
          <w:rFonts w:ascii="宋体" w:hAnsi="宋体" w:eastAsia="宋体" w:cs="宋体"/>
          <w:sz w:val="21"/>
          <w:szCs w:val="21"/>
          <w:highlight w:val="none"/>
        </w:rPr>
      </w:pPr>
      <w:bookmarkStart w:id="72" w:name="_Toc2920"/>
      <w:r>
        <w:rPr>
          <w:rFonts w:hint="eastAsia" w:ascii="宋体" w:hAnsi="宋体" w:eastAsia="宋体" w:cs="宋体"/>
          <w:sz w:val="21"/>
          <w:szCs w:val="21"/>
          <w:highlight w:val="none"/>
        </w:rPr>
        <w:t>5.2 开标程序</w:t>
      </w:r>
      <w:bookmarkEnd w:id="71"/>
      <w:bookmarkEnd w:id="72"/>
    </w:p>
    <w:p>
      <w:pPr>
        <w:spacing w:line="360" w:lineRule="auto"/>
        <w:ind w:firstLine="420" w:firstLineChars="200"/>
        <w:rPr>
          <w:rFonts w:ascii="宋体" w:hAnsi="宋体" w:cs="宋体"/>
          <w:szCs w:val="21"/>
          <w:highlight w:val="none"/>
        </w:rPr>
      </w:pPr>
      <w:bookmarkStart w:id="73" w:name="_Toc27644"/>
      <w:bookmarkStart w:id="74" w:name="_Toc184635076"/>
      <w:r>
        <w:rPr>
          <w:rFonts w:hint="eastAsia" w:ascii="宋体" w:hAnsi="宋体" w:cs="宋体"/>
          <w:szCs w:val="21"/>
          <w:highlight w:val="none"/>
        </w:rPr>
        <w:t>5.2.1主持人按下列程序进行开标：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（1）宣布开标纪律。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（2）宣布采购人、监标人等有关人员姓名；</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（3）检查投标文件的加密情况，并对上传至交易平台的加密投标文件进行解密；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（4）采购人代表、监标人等有关人员在开标记录上签字确认。</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（5）开标结束。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（6）进入资格审查阶段。开标结束后，采购人或者采购代理机构依法对投标人的资格进行审查。</w:t>
      </w:r>
    </w:p>
    <w:p>
      <w:pPr>
        <w:spacing w:line="360" w:lineRule="auto"/>
        <w:rPr>
          <w:rFonts w:ascii="宋体" w:hAnsi="宋体" w:cs="宋体"/>
          <w:szCs w:val="21"/>
          <w:highlight w:val="none"/>
        </w:rPr>
      </w:pPr>
      <w:r>
        <w:rPr>
          <w:rFonts w:hint="eastAsia" w:ascii="宋体" w:hAnsi="宋体" w:cs="宋体"/>
          <w:szCs w:val="21"/>
          <w:highlight w:val="none"/>
        </w:rPr>
        <w:t>采购人或者采购代理机构审查每个投标人提交的资格证明材料是否齐全、完整、有效，不具备招标文件中规定的资格要求的投标人投标无效。经资格审查有效投标人不足三家的则不进入评标阶段。</w:t>
      </w:r>
    </w:p>
    <w:p>
      <w:pPr>
        <w:spacing w:line="360" w:lineRule="auto"/>
        <w:rPr>
          <w:rFonts w:ascii="宋体" w:hAnsi="宋体" w:cs="宋体"/>
          <w:b/>
          <w:szCs w:val="21"/>
          <w:highlight w:val="none"/>
        </w:rPr>
      </w:pPr>
      <w:r>
        <w:rPr>
          <w:rFonts w:hint="eastAsia" w:ascii="宋体" w:hAnsi="宋体" w:cs="宋体"/>
          <w:b/>
          <w:szCs w:val="21"/>
          <w:highlight w:val="none"/>
        </w:rPr>
        <w:t>5.3  开标异议</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投标人对开标有异议的，应当在开标现场提出，招标人当场作出答复，并制作记录。</w:t>
      </w:r>
    </w:p>
    <w:p>
      <w:pPr>
        <w:spacing w:line="360" w:lineRule="auto"/>
        <w:rPr>
          <w:rFonts w:ascii="宋体" w:hAnsi="宋体" w:cs="宋体"/>
          <w:b/>
          <w:szCs w:val="21"/>
          <w:highlight w:val="none"/>
        </w:rPr>
      </w:pPr>
      <w:r>
        <w:rPr>
          <w:rFonts w:hint="eastAsia" w:ascii="宋体" w:hAnsi="宋体" w:cs="宋体"/>
          <w:b/>
          <w:szCs w:val="21"/>
          <w:highlight w:val="none"/>
        </w:rPr>
        <w:t>5.4资格审查小组</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采购代理机构将根据招标内容和特点按规定组建协助采购人资格审查小组，其成员由采购人参会代表或代理机构人员组成，资格审查小组负责对投标人资格进行审查。</w:t>
      </w:r>
    </w:p>
    <w:p>
      <w:pPr>
        <w:pStyle w:val="4"/>
        <w:adjustRightInd w:val="0"/>
        <w:snapToGrid w:val="0"/>
        <w:spacing w:line="360" w:lineRule="auto"/>
        <w:rPr>
          <w:rFonts w:ascii="宋体" w:hAnsi="宋体" w:cs="宋体"/>
          <w:sz w:val="21"/>
          <w:szCs w:val="21"/>
          <w:highlight w:val="none"/>
        </w:rPr>
      </w:pPr>
      <w:bookmarkStart w:id="75" w:name="_Toc8436"/>
      <w:r>
        <w:rPr>
          <w:rFonts w:hint="eastAsia" w:ascii="宋体" w:hAnsi="宋体" w:cs="宋体"/>
          <w:sz w:val="21"/>
          <w:szCs w:val="21"/>
          <w:highlight w:val="none"/>
        </w:rPr>
        <w:t>6．评标</w:t>
      </w:r>
      <w:bookmarkEnd w:id="73"/>
      <w:bookmarkEnd w:id="74"/>
      <w:bookmarkEnd w:id="75"/>
    </w:p>
    <w:p>
      <w:pPr>
        <w:pStyle w:val="5"/>
        <w:adjustRightInd w:val="0"/>
        <w:snapToGrid w:val="0"/>
        <w:spacing w:line="360" w:lineRule="auto"/>
        <w:rPr>
          <w:rFonts w:ascii="宋体" w:hAnsi="宋体" w:eastAsia="宋体" w:cs="宋体"/>
          <w:sz w:val="21"/>
          <w:szCs w:val="21"/>
          <w:highlight w:val="none"/>
        </w:rPr>
      </w:pPr>
      <w:bookmarkStart w:id="76" w:name="_Toc16737"/>
      <w:bookmarkStart w:id="77" w:name="_Toc26838"/>
      <w:r>
        <w:rPr>
          <w:rFonts w:hint="eastAsia" w:ascii="宋体" w:hAnsi="宋体" w:eastAsia="宋体" w:cs="宋体"/>
          <w:sz w:val="21"/>
          <w:szCs w:val="21"/>
          <w:highlight w:val="none"/>
        </w:rPr>
        <w:t>6.1 评标委员会</w:t>
      </w:r>
      <w:bookmarkEnd w:id="76"/>
      <w:bookmarkEnd w:id="7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6.1.1评标由招标人依法组建的评标委员会负责。评标委员会由有关技术、经济等方面的专家组成。评标委员会成员人数以及技术、经济等方面专家的确定方式见投标人须知前附表。</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6.1.2 评标委员会成员有下列情形之一的，应当回避：</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(1）招标人或投标人的主要负责人的近亲属；</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(2）项目主管部门或者行政监督部门的人员：</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(3）与投标人有经济利益关系，可能影响对投标公正评审的；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(4）曾因在招标、评标以及其他与招标投标有关活动中从事违法行为而受过行政处罚或刑事处罚的。</w:t>
      </w:r>
    </w:p>
    <w:p>
      <w:pPr>
        <w:pStyle w:val="5"/>
        <w:adjustRightInd w:val="0"/>
        <w:snapToGrid w:val="0"/>
        <w:spacing w:line="360" w:lineRule="auto"/>
        <w:rPr>
          <w:rFonts w:ascii="宋体" w:hAnsi="宋体" w:eastAsia="宋体" w:cs="宋体"/>
          <w:sz w:val="21"/>
          <w:szCs w:val="21"/>
          <w:highlight w:val="none"/>
        </w:rPr>
      </w:pPr>
      <w:bookmarkStart w:id="78" w:name="_Toc18703"/>
      <w:bookmarkStart w:id="79" w:name="_Toc23512"/>
      <w:r>
        <w:rPr>
          <w:rFonts w:hint="eastAsia" w:ascii="宋体" w:hAnsi="宋体" w:eastAsia="宋体" w:cs="宋体"/>
          <w:sz w:val="21"/>
          <w:szCs w:val="21"/>
          <w:highlight w:val="none"/>
        </w:rPr>
        <w:t>6.2 评标原则</w:t>
      </w:r>
      <w:bookmarkEnd w:id="78"/>
      <w:bookmarkEnd w:id="7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评标活动遵循公平、公正、科学和择优的原则。</w:t>
      </w:r>
    </w:p>
    <w:p>
      <w:pPr>
        <w:pStyle w:val="5"/>
        <w:adjustRightInd w:val="0"/>
        <w:snapToGrid w:val="0"/>
        <w:spacing w:line="360" w:lineRule="auto"/>
        <w:rPr>
          <w:rFonts w:ascii="宋体" w:hAnsi="宋体" w:eastAsia="宋体" w:cs="宋体"/>
          <w:sz w:val="21"/>
          <w:szCs w:val="21"/>
          <w:highlight w:val="none"/>
        </w:rPr>
      </w:pPr>
      <w:bookmarkStart w:id="80" w:name="_Toc8943"/>
      <w:bookmarkStart w:id="81" w:name="_Toc19576"/>
      <w:r>
        <w:rPr>
          <w:rFonts w:hint="eastAsia" w:ascii="宋体" w:hAnsi="宋体" w:eastAsia="宋体" w:cs="宋体"/>
          <w:sz w:val="21"/>
          <w:szCs w:val="21"/>
          <w:highlight w:val="none"/>
        </w:rPr>
        <w:t>6.3 评标</w:t>
      </w:r>
      <w:bookmarkEnd w:id="80"/>
      <w:bookmarkEnd w:id="81"/>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评标委员会按照第三章“评标办法”规定的方法、评审因素、标准和程序对投标文件进行评审。第三章“评标办法”没有规定的方法、评审因素和标准，不作为评标依据。</w:t>
      </w:r>
    </w:p>
    <w:p>
      <w:pPr>
        <w:pStyle w:val="4"/>
        <w:adjustRightInd w:val="0"/>
        <w:snapToGrid w:val="0"/>
        <w:spacing w:line="360" w:lineRule="auto"/>
        <w:rPr>
          <w:rFonts w:ascii="宋体" w:hAnsi="宋体" w:cs="宋体"/>
          <w:sz w:val="21"/>
          <w:szCs w:val="21"/>
          <w:highlight w:val="none"/>
        </w:rPr>
      </w:pPr>
      <w:bookmarkStart w:id="82" w:name="_Toc13046"/>
      <w:bookmarkStart w:id="83" w:name="_Toc184635077"/>
      <w:bookmarkStart w:id="84" w:name="_Toc5863"/>
      <w:r>
        <w:rPr>
          <w:rFonts w:hint="eastAsia" w:ascii="宋体" w:hAnsi="宋体" w:cs="宋体"/>
          <w:sz w:val="21"/>
          <w:szCs w:val="21"/>
          <w:highlight w:val="none"/>
        </w:rPr>
        <w:t>7．合同授予</w:t>
      </w:r>
      <w:bookmarkEnd w:id="82"/>
      <w:bookmarkEnd w:id="83"/>
      <w:bookmarkEnd w:id="84"/>
    </w:p>
    <w:p>
      <w:pPr>
        <w:pStyle w:val="5"/>
        <w:adjustRightInd w:val="0"/>
        <w:snapToGrid w:val="0"/>
        <w:spacing w:line="360" w:lineRule="auto"/>
        <w:rPr>
          <w:rFonts w:ascii="宋体" w:hAnsi="宋体" w:eastAsia="宋体" w:cs="宋体"/>
          <w:sz w:val="21"/>
          <w:szCs w:val="21"/>
          <w:highlight w:val="none"/>
        </w:rPr>
      </w:pPr>
      <w:bookmarkStart w:id="85" w:name="_Toc31031"/>
      <w:bookmarkStart w:id="86" w:name="_Toc22146"/>
      <w:r>
        <w:rPr>
          <w:rFonts w:hint="eastAsia" w:ascii="宋体" w:hAnsi="宋体" w:eastAsia="宋体" w:cs="宋体"/>
          <w:sz w:val="21"/>
          <w:szCs w:val="21"/>
          <w:highlight w:val="none"/>
        </w:rPr>
        <w:t>7.1 定标方式</w:t>
      </w:r>
      <w:bookmarkEnd w:id="85"/>
      <w:bookmarkEnd w:id="86"/>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除投标人须知前附表规定的评标委员会直接确定中标人外，招标人依据评标委员会推荐的中标候选人确定中标人，评标委员会推荐中标候选人的人数见投标人须知前附表。</w:t>
      </w:r>
    </w:p>
    <w:p>
      <w:pPr>
        <w:pStyle w:val="14"/>
        <w:spacing w:line="360" w:lineRule="auto"/>
        <w:ind w:firstLine="420" w:firstLineChars="200"/>
        <w:rPr>
          <w:rFonts w:ascii="宋体" w:hAnsi="宋体" w:cs="宋体"/>
          <w:szCs w:val="21"/>
          <w:highlight w:val="none"/>
        </w:rPr>
      </w:pPr>
      <w:r>
        <w:rPr>
          <w:rFonts w:hint="eastAsia" w:ascii="宋体" w:hAnsi="宋体" w:cs="宋体"/>
          <w:szCs w:val="21"/>
          <w:highlight w:val="none"/>
        </w:rPr>
        <w:t>招标人将根据评标委员会提出的评标报告，确定排名第一的中标候选人为中标人。如果排名第一的中标候选人放弃中标或因不可抗力提出不能履行合同，或被查实存在影响中标的违法行为、存在不符合中标条件等情形，招标人可以按照评标委员会提出的中标候选人名单排序依次确定其他中标候选人为中标人，也可以重新招标。如中标候选人均放弃中标资格或均出现上述问题时，招标人将重新进行招标。</w:t>
      </w:r>
    </w:p>
    <w:p>
      <w:pPr>
        <w:pStyle w:val="5"/>
        <w:adjustRightInd w:val="0"/>
        <w:snapToGrid w:val="0"/>
        <w:spacing w:line="360" w:lineRule="auto"/>
        <w:rPr>
          <w:rFonts w:ascii="宋体" w:hAnsi="宋体" w:eastAsia="宋体" w:cs="宋体"/>
          <w:sz w:val="21"/>
          <w:szCs w:val="21"/>
          <w:highlight w:val="none"/>
        </w:rPr>
      </w:pPr>
      <w:bookmarkStart w:id="87" w:name="_Toc2515"/>
      <w:bookmarkStart w:id="88" w:name="_Toc11065"/>
      <w:r>
        <w:rPr>
          <w:rFonts w:hint="eastAsia" w:ascii="宋体" w:hAnsi="宋体" w:eastAsia="宋体" w:cs="宋体"/>
          <w:sz w:val="21"/>
          <w:szCs w:val="21"/>
          <w:highlight w:val="none"/>
        </w:rPr>
        <w:t>7.2 中标通知</w:t>
      </w:r>
      <w:bookmarkEnd w:id="87"/>
      <w:bookmarkEnd w:id="8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在本章第3.3 款规定的投标有效期内，招标人以电子平台形式向中标人发出中标通知书，同时将中标结果通知未中标的投标人。</w:t>
      </w:r>
    </w:p>
    <w:p>
      <w:pPr>
        <w:pStyle w:val="5"/>
        <w:adjustRightInd w:val="0"/>
        <w:snapToGrid w:val="0"/>
        <w:spacing w:line="360" w:lineRule="auto"/>
        <w:rPr>
          <w:rFonts w:ascii="宋体" w:hAnsi="宋体" w:eastAsia="宋体" w:cs="宋体"/>
          <w:sz w:val="21"/>
          <w:szCs w:val="21"/>
          <w:highlight w:val="none"/>
        </w:rPr>
      </w:pPr>
      <w:bookmarkStart w:id="89" w:name="_Toc25004"/>
      <w:bookmarkStart w:id="90" w:name="_Toc6860"/>
      <w:r>
        <w:rPr>
          <w:rFonts w:hint="eastAsia" w:ascii="宋体" w:hAnsi="宋体" w:eastAsia="宋体" w:cs="宋体"/>
          <w:sz w:val="21"/>
          <w:szCs w:val="21"/>
          <w:highlight w:val="none"/>
        </w:rPr>
        <w:t>7.3 履约担保</w:t>
      </w:r>
      <w:bookmarkEnd w:id="89"/>
      <w:bookmarkEnd w:id="9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7.3.1 履约担保的金额、担保形式详见投标人须知前附表。</w:t>
      </w:r>
    </w:p>
    <w:p>
      <w:pPr>
        <w:pStyle w:val="5"/>
        <w:adjustRightInd w:val="0"/>
        <w:snapToGrid w:val="0"/>
        <w:spacing w:line="360" w:lineRule="auto"/>
        <w:rPr>
          <w:rFonts w:ascii="宋体" w:hAnsi="宋体" w:eastAsia="宋体" w:cs="宋体"/>
          <w:sz w:val="21"/>
          <w:szCs w:val="21"/>
          <w:highlight w:val="none"/>
        </w:rPr>
      </w:pPr>
      <w:bookmarkStart w:id="91" w:name="_Toc9001"/>
      <w:bookmarkStart w:id="92" w:name="_Toc2168"/>
      <w:r>
        <w:rPr>
          <w:rFonts w:hint="eastAsia" w:ascii="宋体" w:hAnsi="宋体" w:eastAsia="宋体" w:cs="宋体"/>
          <w:sz w:val="21"/>
          <w:szCs w:val="21"/>
          <w:highlight w:val="none"/>
        </w:rPr>
        <w:t>7.4 签订合同</w:t>
      </w:r>
      <w:bookmarkEnd w:id="91"/>
      <w:bookmarkEnd w:id="9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7.4.1 采购人应当自中标通知书发出之日起15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7.4.2 发出中标通知书后，招标人无正当理由拒签合同的，给中标人造成损失的，还应当赔偿损失。</w:t>
      </w:r>
    </w:p>
    <w:p>
      <w:pPr>
        <w:pStyle w:val="4"/>
        <w:adjustRightInd w:val="0"/>
        <w:snapToGrid w:val="0"/>
        <w:spacing w:line="360" w:lineRule="auto"/>
        <w:rPr>
          <w:rFonts w:ascii="宋体" w:hAnsi="宋体" w:cs="宋体"/>
          <w:sz w:val="21"/>
          <w:szCs w:val="21"/>
          <w:highlight w:val="none"/>
        </w:rPr>
      </w:pPr>
      <w:bookmarkStart w:id="93" w:name="_Toc15831"/>
      <w:bookmarkStart w:id="94" w:name="_Toc3366"/>
      <w:bookmarkStart w:id="95" w:name="_Toc184635078"/>
      <w:r>
        <w:rPr>
          <w:rFonts w:hint="eastAsia" w:ascii="宋体" w:hAnsi="宋体" w:cs="宋体"/>
          <w:sz w:val="21"/>
          <w:szCs w:val="21"/>
          <w:highlight w:val="none"/>
        </w:rPr>
        <w:t>8．重新招标和不再招标</w:t>
      </w:r>
      <w:bookmarkEnd w:id="93"/>
      <w:bookmarkEnd w:id="94"/>
      <w:bookmarkEnd w:id="95"/>
    </w:p>
    <w:p>
      <w:pPr>
        <w:pStyle w:val="5"/>
        <w:adjustRightInd w:val="0"/>
        <w:snapToGrid w:val="0"/>
        <w:spacing w:line="360" w:lineRule="auto"/>
        <w:rPr>
          <w:rFonts w:ascii="宋体" w:hAnsi="宋体" w:eastAsia="宋体" w:cs="宋体"/>
          <w:sz w:val="21"/>
          <w:szCs w:val="21"/>
          <w:highlight w:val="none"/>
        </w:rPr>
      </w:pPr>
      <w:bookmarkStart w:id="96" w:name="_Toc26396"/>
      <w:bookmarkStart w:id="97" w:name="_Toc18401"/>
      <w:r>
        <w:rPr>
          <w:rFonts w:hint="eastAsia" w:ascii="宋体" w:hAnsi="宋体" w:eastAsia="宋体" w:cs="宋体"/>
          <w:sz w:val="21"/>
          <w:szCs w:val="21"/>
          <w:highlight w:val="none"/>
        </w:rPr>
        <w:t>8.1 重新招标</w:t>
      </w:r>
      <w:bookmarkEnd w:id="96"/>
      <w:bookmarkEnd w:id="97"/>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有下列情形之一的，招标人将重新招标：</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(l）投标截止时间止，投标人少于3个的；</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(2）经评标委员会评审后否决所有投标的。</w:t>
      </w:r>
    </w:p>
    <w:p>
      <w:pPr>
        <w:pStyle w:val="5"/>
        <w:adjustRightInd w:val="0"/>
        <w:snapToGrid w:val="0"/>
        <w:spacing w:line="360" w:lineRule="auto"/>
        <w:rPr>
          <w:rFonts w:ascii="宋体" w:hAnsi="宋体" w:eastAsia="宋体" w:cs="宋体"/>
          <w:sz w:val="21"/>
          <w:szCs w:val="21"/>
          <w:highlight w:val="none"/>
        </w:rPr>
      </w:pPr>
      <w:bookmarkStart w:id="98" w:name="_Toc28134"/>
      <w:bookmarkStart w:id="99" w:name="_Toc29953"/>
      <w:r>
        <w:rPr>
          <w:rFonts w:hint="eastAsia" w:ascii="宋体" w:hAnsi="宋体" w:eastAsia="宋体" w:cs="宋体"/>
          <w:sz w:val="21"/>
          <w:szCs w:val="21"/>
          <w:highlight w:val="none"/>
        </w:rPr>
        <w:t>8.2 不再招标</w:t>
      </w:r>
      <w:bookmarkEnd w:id="98"/>
      <w:bookmarkEnd w:id="99"/>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重新招标后投标人仍少于3个或者所有投标被否决的，属于必须审批或核准的项目，经原审批或核准部门批准后不再进行招标。</w:t>
      </w:r>
    </w:p>
    <w:p>
      <w:pPr>
        <w:pStyle w:val="4"/>
        <w:adjustRightInd w:val="0"/>
        <w:snapToGrid w:val="0"/>
        <w:spacing w:line="360" w:lineRule="auto"/>
        <w:rPr>
          <w:rFonts w:ascii="宋体" w:hAnsi="宋体" w:cs="宋体"/>
          <w:sz w:val="21"/>
          <w:szCs w:val="21"/>
          <w:highlight w:val="none"/>
        </w:rPr>
      </w:pPr>
      <w:bookmarkStart w:id="100" w:name="_Toc28380"/>
      <w:bookmarkStart w:id="101" w:name="_Toc17974"/>
      <w:bookmarkStart w:id="102" w:name="_Toc184635079"/>
      <w:r>
        <w:rPr>
          <w:rFonts w:hint="eastAsia" w:ascii="宋体" w:hAnsi="宋体" w:cs="宋体"/>
          <w:sz w:val="21"/>
          <w:szCs w:val="21"/>
          <w:highlight w:val="none"/>
        </w:rPr>
        <w:t>9．纪律和监督</w:t>
      </w:r>
      <w:bookmarkEnd w:id="100"/>
      <w:bookmarkEnd w:id="101"/>
      <w:bookmarkEnd w:id="102"/>
    </w:p>
    <w:p>
      <w:pPr>
        <w:pStyle w:val="5"/>
        <w:adjustRightInd w:val="0"/>
        <w:snapToGrid w:val="0"/>
        <w:spacing w:line="360" w:lineRule="auto"/>
        <w:rPr>
          <w:rFonts w:ascii="宋体" w:hAnsi="宋体" w:eastAsia="宋体" w:cs="宋体"/>
          <w:sz w:val="21"/>
          <w:szCs w:val="21"/>
          <w:highlight w:val="none"/>
        </w:rPr>
      </w:pPr>
      <w:bookmarkStart w:id="103" w:name="_Toc14121"/>
      <w:bookmarkStart w:id="104" w:name="_Toc5318"/>
      <w:r>
        <w:rPr>
          <w:rFonts w:hint="eastAsia" w:ascii="宋体" w:hAnsi="宋体" w:eastAsia="宋体" w:cs="宋体"/>
          <w:sz w:val="21"/>
          <w:szCs w:val="21"/>
          <w:highlight w:val="none"/>
        </w:rPr>
        <w:t>9.1 对招标人的纪律要求</w:t>
      </w:r>
      <w:bookmarkEnd w:id="103"/>
      <w:bookmarkEnd w:id="104"/>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招标人不得泄漏招标投标活动中应当保密的情况和资料，不得与投标人串通损害国家利益、社会公共利益或者他人合法权益。</w:t>
      </w:r>
    </w:p>
    <w:p>
      <w:pPr>
        <w:pStyle w:val="5"/>
        <w:adjustRightInd w:val="0"/>
        <w:snapToGrid w:val="0"/>
        <w:spacing w:line="360" w:lineRule="auto"/>
        <w:rPr>
          <w:rFonts w:ascii="宋体" w:hAnsi="宋体" w:eastAsia="宋体" w:cs="宋体"/>
          <w:sz w:val="21"/>
          <w:szCs w:val="21"/>
          <w:highlight w:val="none"/>
        </w:rPr>
      </w:pPr>
      <w:bookmarkStart w:id="105" w:name="_Toc30424"/>
      <w:bookmarkStart w:id="106" w:name="_Toc25351"/>
      <w:r>
        <w:rPr>
          <w:rFonts w:hint="eastAsia" w:ascii="宋体" w:hAnsi="宋体" w:eastAsia="宋体" w:cs="宋体"/>
          <w:sz w:val="21"/>
          <w:szCs w:val="21"/>
          <w:highlight w:val="none"/>
        </w:rPr>
        <w:t>9.2 对投标人的纪律要求</w:t>
      </w:r>
      <w:bookmarkEnd w:id="105"/>
      <w:bookmarkEnd w:id="106"/>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adjustRightInd w:val="0"/>
        <w:snapToGrid w:val="0"/>
        <w:spacing w:line="360" w:lineRule="auto"/>
        <w:rPr>
          <w:rFonts w:ascii="宋体" w:hAnsi="宋体" w:eastAsia="宋体" w:cs="宋体"/>
          <w:sz w:val="21"/>
          <w:szCs w:val="21"/>
          <w:highlight w:val="none"/>
        </w:rPr>
      </w:pPr>
      <w:bookmarkStart w:id="107" w:name="_Toc2302"/>
      <w:bookmarkStart w:id="108" w:name="_Toc16289"/>
      <w:r>
        <w:rPr>
          <w:rFonts w:hint="eastAsia" w:ascii="宋体" w:hAnsi="宋体" w:eastAsia="宋体" w:cs="宋体"/>
          <w:sz w:val="21"/>
          <w:szCs w:val="21"/>
          <w:highlight w:val="none"/>
        </w:rPr>
        <w:t>9.3 对评标委员会成员的纪律要求</w:t>
      </w:r>
      <w:bookmarkEnd w:id="107"/>
      <w:bookmarkEnd w:id="108"/>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adjustRightInd w:val="0"/>
        <w:snapToGrid w:val="0"/>
        <w:spacing w:line="360" w:lineRule="auto"/>
        <w:rPr>
          <w:rFonts w:ascii="宋体" w:hAnsi="宋体" w:eastAsia="宋体" w:cs="宋体"/>
          <w:sz w:val="21"/>
          <w:szCs w:val="21"/>
          <w:highlight w:val="none"/>
        </w:rPr>
      </w:pPr>
      <w:bookmarkStart w:id="109" w:name="_Toc13015"/>
      <w:bookmarkStart w:id="110" w:name="_Toc20345"/>
      <w:r>
        <w:rPr>
          <w:rFonts w:hint="eastAsia" w:ascii="宋体" w:hAnsi="宋体" w:eastAsia="宋体" w:cs="宋体"/>
          <w:sz w:val="21"/>
          <w:szCs w:val="21"/>
          <w:highlight w:val="none"/>
        </w:rPr>
        <w:t>9.4 对与评标活动有关的工作人员的纪律要求</w:t>
      </w:r>
      <w:bookmarkEnd w:id="109"/>
      <w:bookmarkEnd w:id="110"/>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adjustRightInd w:val="0"/>
        <w:snapToGrid w:val="0"/>
        <w:spacing w:line="360" w:lineRule="auto"/>
        <w:rPr>
          <w:rFonts w:ascii="宋体" w:hAnsi="宋体" w:eastAsia="宋体" w:cs="宋体"/>
          <w:sz w:val="21"/>
          <w:szCs w:val="21"/>
          <w:highlight w:val="none"/>
        </w:rPr>
      </w:pPr>
      <w:bookmarkStart w:id="111" w:name="_Toc14396"/>
      <w:bookmarkStart w:id="112" w:name="_Toc7242"/>
      <w:r>
        <w:rPr>
          <w:rFonts w:hint="eastAsia" w:ascii="宋体" w:hAnsi="宋体" w:eastAsia="宋体" w:cs="宋体"/>
          <w:sz w:val="21"/>
          <w:szCs w:val="21"/>
          <w:highlight w:val="none"/>
        </w:rPr>
        <w:t>9.5 投诉</w:t>
      </w:r>
      <w:bookmarkEnd w:id="111"/>
      <w:bookmarkEnd w:id="112"/>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投标人和其他利害关系人认为本次招标活动违反法律、法规和规章规定的，有权向有关行政监督部门投诉。</w:t>
      </w:r>
    </w:p>
    <w:p>
      <w:pPr>
        <w:pStyle w:val="4"/>
        <w:adjustRightInd w:val="0"/>
        <w:snapToGrid w:val="0"/>
        <w:spacing w:line="360" w:lineRule="auto"/>
        <w:rPr>
          <w:rFonts w:ascii="宋体" w:hAnsi="宋体" w:cs="宋体"/>
          <w:sz w:val="21"/>
          <w:szCs w:val="21"/>
          <w:highlight w:val="none"/>
        </w:rPr>
      </w:pPr>
      <w:bookmarkStart w:id="113" w:name="_Toc23725"/>
      <w:bookmarkStart w:id="114" w:name="_Toc20473"/>
      <w:bookmarkStart w:id="115" w:name="_Toc184635080"/>
      <w:r>
        <w:rPr>
          <w:rFonts w:hint="eastAsia" w:ascii="宋体" w:hAnsi="宋体" w:cs="宋体"/>
          <w:sz w:val="21"/>
          <w:szCs w:val="21"/>
          <w:highlight w:val="none"/>
        </w:rPr>
        <w:t>10、需要补充的其他内容</w:t>
      </w:r>
      <w:bookmarkEnd w:id="113"/>
      <w:bookmarkEnd w:id="114"/>
      <w:bookmarkEnd w:id="115"/>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需要补充的其他内容：见投标人须知前附表。</w:t>
      </w:r>
    </w:p>
    <w:p>
      <w:pPr>
        <w:adjustRightInd w:val="0"/>
        <w:snapToGrid w:val="0"/>
        <w:spacing w:line="360" w:lineRule="auto"/>
        <w:ind w:firstLine="420" w:firstLineChars="200"/>
        <w:rPr>
          <w:rFonts w:ascii="宋体" w:hAnsi="宋体" w:cs="宋体"/>
          <w:szCs w:val="21"/>
          <w:highlight w:val="none"/>
        </w:rPr>
        <w:sectPr>
          <w:footerReference r:id="rId13" w:type="first"/>
          <w:footerReference r:id="rId12" w:type="default"/>
          <w:pgSz w:w="11906" w:h="16838"/>
          <w:pgMar w:top="1304" w:right="1134" w:bottom="1304" w:left="1418" w:header="851" w:footer="992" w:gutter="0"/>
          <w:cols w:space="720" w:num="1"/>
          <w:docGrid w:type="lines" w:linePitch="312" w:charSpace="0"/>
        </w:sectPr>
      </w:pPr>
    </w:p>
    <w:p>
      <w:pPr>
        <w:pStyle w:val="2"/>
        <w:adjustRightInd w:val="0"/>
        <w:snapToGrid w:val="0"/>
        <w:spacing w:line="360" w:lineRule="auto"/>
        <w:jc w:val="center"/>
        <w:rPr>
          <w:rFonts w:ascii="宋体" w:hAnsi="宋体" w:cs="宋体"/>
          <w:sz w:val="32"/>
          <w:szCs w:val="32"/>
          <w:highlight w:val="none"/>
        </w:rPr>
      </w:pPr>
      <w:bookmarkStart w:id="116" w:name="_Toc184635092"/>
      <w:bookmarkStart w:id="117" w:name="_Toc22831"/>
      <w:bookmarkStart w:id="118" w:name="_Toc184635096"/>
      <w:r>
        <w:rPr>
          <w:rFonts w:hint="eastAsia" w:ascii="宋体" w:hAnsi="宋体" w:cs="宋体"/>
          <w:sz w:val="32"/>
          <w:szCs w:val="32"/>
          <w:highlight w:val="none"/>
        </w:rPr>
        <w:t>第三章 评标办法</w:t>
      </w:r>
      <w:bookmarkEnd w:id="116"/>
      <w:r>
        <w:rPr>
          <w:rFonts w:hint="eastAsia" w:ascii="宋体" w:hAnsi="宋体" w:cs="宋体"/>
          <w:sz w:val="32"/>
          <w:szCs w:val="32"/>
          <w:highlight w:val="none"/>
        </w:rPr>
        <w:t>（综合评标法）</w:t>
      </w:r>
      <w:bookmarkEnd w:id="117"/>
    </w:p>
    <w:p>
      <w:pPr>
        <w:pStyle w:val="63"/>
        <w:adjustRightInd w:val="0"/>
        <w:snapToGrid w:val="0"/>
        <w:spacing w:line="360" w:lineRule="auto"/>
        <w:ind w:firstLine="562" w:firstLineChars="200"/>
        <w:rPr>
          <w:rFonts w:ascii="宋体" w:hAnsi="宋体" w:eastAsia="宋体"/>
          <w:sz w:val="24"/>
          <w:szCs w:val="24"/>
          <w:highlight w:val="none"/>
        </w:rPr>
      </w:pPr>
      <w:r>
        <w:rPr>
          <w:rFonts w:hint="eastAsia" w:ascii="宋体" w:hAnsi="宋体" w:eastAsia="宋体"/>
          <w:highlight w:val="none"/>
        </w:rPr>
        <w:t xml:space="preserve">                 </w:t>
      </w:r>
      <w:r>
        <w:rPr>
          <w:rFonts w:hint="eastAsia" w:ascii="宋体" w:hAnsi="宋体" w:eastAsia="宋体"/>
          <w:sz w:val="24"/>
          <w:szCs w:val="24"/>
          <w:highlight w:val="none"/>
        </w:rPr>
        <w:t xml:space="preserve">       </w:t>
      </w:r>
      <w:bookmarkStart w:id="119" w:name="_Toc14989"/>
      <w:bookmarkStart w:id="120" w:name="_Toc20248"/>
      <w:r>
        <w:rPr>
          <w:rFonts w:hint="eastAsia" w:ascii="宋体" w:hAnsi="宋体" w:eastAsia="宋体"/>
          <w:sz w:val="24"/>
          <w:szCs w:val="24"/>
          <w:highlight w:val="none"/>
        </w:rPr>
        <w:t>评标办法前附表</w:t>
      </w:r>
      <w:bookmarkEnd w:id="119"/>
      <w:bookmarkEnd w:id="120"/>
    </w:p>
    <w:tbl>
      <w:tblPr>
        <w:tblStyle w:val="33"/>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14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bookmarkStart w:id="121" w:name="_Toc246996987"/>
            <w:bookmarkStart w:id="122" w:name="_Toc152045601"/>
            <w:bookmarkStart w:id="123" w:name="_Toc179632619"/>
            <w:bookmarkStart w:id="124" w:name="_Toc247085759"/>
            <w:bookmarkStart w:id="125" w:name="_Toc246996244"/>
            <w:bookmarkStart w:id="126" w:name="_Toc152042378"/>
            <w:bookmarkStart w:id="127" w:name="_Toc144974568"/>
            <w:r>
              <w:rPr>
                <w:rFonts w:hint="eastAsia" w:ascii="宋体" w:hAnsi="宋体" w:cs="宋体"/>
                <w:b/>
                <w:szCs w:val="21"/>
                <w:highlight w:val="none"/>
              </w:rPr>
              <w:t>评审类型</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条款号</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评审因素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b/>
                <w:szCs w:val="21"/>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148" w:type="dxa"/>
            <w:vMerge w:val="restart"/>
            <w:tcBorders>
              <w:top w:val="single" w:color="auto" w:sz="4" w:space="0"/>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初步评审</w:t>
            </w:r>
          </w:p>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2.1.1形式评审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投标人名称</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right="-107" w:rightChars="-51"/>
              <w:jc w:val="center"/>
              <w:textAlignment w:val="baseline"/>
              <w:rPr>
                <w:rFonts w:ascii="宋体" w:hAnsi="宋体" w:cs="宋体"/>
                <w:szCs w:val="21"/>
                <w:highlight w:val="none"/>
              </w:rPr>
            </w:pPr>
            <w:r>
              <w:rPr>
                <w:rFonts w:hint="eastAsia" w:ascii="宋体" w:hAnsi="宋体" w:cs="宋体"/>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投标函及投标函附录签字盖章</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符合招标文件“第六章 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报价唯一</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只能有一个有效报价且未超过招标人最高投标限价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148" w:type="dxa"/>
            <w:vMerge w:val="continue"/>
            <w:tcBorders>
              <w:left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p>
        </w:tc>
        <w:tc>
          <w:tcPr>
            <w:tcW w:w="1245" w:type="dxa"/>
            <w:vMerge w:val="restart"/>
            <w:tcBorders>
              <w:top w:val="single" w:color="auto" w:sz="4" w:space="0"/>
              <w:left w:val="nil"/>
              <w:right w:val="single" w:color="auto" w:sz="4" w:space="0"/>
            </w:tcBorders>
            <w:vAlign w:val="center"/>
          </w:tcPr>
          <w:p>
            <w:pPr>
              <w:adjustRightInd w:val="0"/>
              <w:spacing w:line="360" w:lineRule="auto"/>
              <w:textAlignment w:val="baseline"/>
              <w:rPr>
                <w:rFonts w:ascii="宋体" w:hAnsi="宋体" w:cs="宋体"/>
                <w:szCs w:val="21"/>
                <w:highlight w:val="none"/>
              </w:rPr>
            </w:pPr>
            <w:r>
              <w:rPr>
                <w:rFonts w:hint="eastAsia" w:ascii="宋体" w:hAnsi="宋体" w:cs="宋体"/>
                <w:szCs w:val="21"/>
                <w:highlight w:val="none"/>
              </w:rPr>
              <w:t>2.1.2资格评审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b/>
                <w:bCs/>
                <w:szCs w:val="21"/>
                <w:highlight w:val="none"/>
              </w:rPr>
            </w:pPr>
            <w:r>
              <w:rPr>
                <w:rFonts w:hint="eastAsia" w:cs="宋体"/>
                <w:szCs w:val="21"/>
                <w:highlight w:val="none"/>
                <w:lang w:val="zh-CN"/>
              </w:rPr>
              <w:t>营业执照</w:t>
            </w:r>
          </w:p>
        </w:tc>
        <w:tc>
          <w:tcPr>
            <w:tcW w:w="5084" w:type="dxa"/>
            <w:tcBorders>
              <w:top w:val="single" w:color="auto" w:sz="4" w:space="0"/>
              <w:left w:val="single" w:color="auto" w:sz="4" w:space="0"/>
              <w:bottom w:val="single" w:color="auto" w:sz="4" w:space="0"/>
              <w:right w:val="single" w:color="auto" w:sz="4" w:space="0"/>
            </w:tcBorders>
            <w:vAlign w:val="center"/>
          </w:tcPr>
          <w:p>
            <w:pPr>
              <w:pStyle w:val="29"/>
              <w:adjustRightInd w:val="0"/>
              <w:snapToGrid w:val="0"/>
              <w:spacing w:before="0" w:beforeAutospacing="0" w:after="0" w:afterAutospacing="0" w:line="360" w:lineRule="auto"/>
              <w:jc w:val="both"/>
              <w:rPr>
                <w:rFonts w:hint="default" w:cs="宋体"/>
                <w:sz w:val="21"/>
                <w:szCs w:val="21"/>
                <w:highlight w:val="none"/>
              </w:rPr>
            </w:pPr>
            <w:r>
              <w:rPr>
                <w:rFonts w:cs="宋体"/>
                <w:sz w:val="21"/>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szCs w:val="21"/>
                <w:highlight w:val="none"/>
              </w:rPr>
              <w:t>具有良好的商业信誉和健全的财务会计制度</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lang w:val="zh-CN"/>
              </w:rPr>
              <w:t>具有履行合同所必需的设备和专业技术能力</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具有依法缴纳税收和社会保障资金的良好记录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cs="宋体"/>
                <w:szCs w:val="21"/>
                <w:highlight w:val="none"/>
              </w:rPr>
              <w:t>参加政府采购活动前三年内，在经营活动中没有重大违法记录</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ascii="宋体" w:hAnsi="宋体" w:cs="宋体"/>
                <w:szCs w:val="21"/>
                <w:highlight w:val="none"/>
              </w:rPr>
            </w:pPr>
            <w:r>
              <w:rPr>
                <w:rFonts w:hint="eastAsia" w:ascii="宋体" w:hAnsi="宋体" w:cs="宋体"/>
                <w:szCs w:val="21"/>
                <w:highlight w:val="none"/>
                <w:lang w:val="zh-CN"/>
              </w:rPr>
              <w:t>详见第二章“投标人须知前附表”项规定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nil"/>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baseline"/>
              <w:rPr>
                <w:rFonts w:cs="宋体"/>
                <w:szCs w:val="21"/>
                <w:highlight w:val="none"/>
              </w:rPr>
            </w:pPr>
            <w:r>
              <w:rPr>
                <w:rFonts w:hint="eastAsia" w:cs="宋体"/>
                <w:szCs w:val="21"/>
                <w:highlight w:val="none"/>
              </w:rPr>
              <w:t>特定资格要求</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eastAsia" w:ascii="宋体" w:hAnsi="宋体" w:cs="宋体"/>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供应商须具备有效期</w:t>
            </w:r>
            <w:r>
              <w:rPr>
                <w:rFonts w:hint="eastAsia" w:ascii="宋体" w:hAnsi="宋体" w:cs="宋体"/>
                <w:szCs w:val="21"/>
                <w:highlight w:val="none"/>
              </w:rPr>
              <w:t>范围内的营业执照；</w:t>
            </w:r>
          </w:p>
          <w:p>
            <w:pPr>
              <w:spacing w:line="360" w:lineRule="auto"/>
              <w:ind w:firstLine="420" w:firstLineChars="200"/>
              <w:rPr>
                <w:rFonts w:ascii="宋体" w:hAnsi="宋体" w:cs="宋体"/>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拟派项目负责人须具备</w:t>
            </w:r>
            <w:r>
              <w:rPr>
                <w:rFonts w:hint="eastAsia" w:ascii="宋体" w:hAnsi="宋体" w:cs="宋体"/>
                <w:color w:val="auto"/>
                <w:szCs w:val="21"/>
                <w:highlight w:val="none"/>
                <w:lang w:eastAsia="zh-CN"/>
              </w:rPr>
              <w:t>相关专业中级及</w:t>
            </w:r>
            <w:r>
              <w:rPr>
                <w:rFonts w:hint="eastAsia" w:ascii="宋体" w:hAnsi="宋体" w:cs="宋体"/>
                <w:color w:val="auto"/>
                <w:szCs w:val="21"/>
                <w:highlight w:val="none"/>
              </w:rPr>
              <w:t>以上技术职称，并提供202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年1月份以来</w:t>
            </w:r>
            <w:r>
              <w:rPr>
                <w:rFonts w:hint="eastAsia" w:ascii="宋体" w:hAnsi="宋体" w:cs="宋体"/>
                <w:color w:val="auto"/>
                <w:szCs w:val="21"/>
                <w:highlight w:val="none"/>
                <w:lang w:eastAsia="zh-CN"/>
              </w:rPr>
              <w:t>本单位为其缴纳的</w:t>
            </w:r>
            <w:r>
              <w:rPr>
                <w:rFonts w:hint="eastAsia" w:ascii="宋体" w:hAnsi="宋体" w:cs="宋体"/>
                <w:color w:val="auto"/>
                <w:szCs w:val="21"/>
                <w:highlight w:val="none"/>
              </w:rPr>
              <w:t>任意三个月社保证明(新缴纳人员从缴纳之日起计算)；</w:t>
            </w:r>
          </w:p>
          <w:p>
            <w:pPr>
              <w:spacing w:line="360" w:lineRule="auto"/>
              <w:ind w:firstLine="420" w:firstLineChars="200"/>
              <w:rPr>
                <w:highlight w:val="none"/>
                <w:lang w:bidi="ar"/>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szCs w:val="21"/>
                <w:highlight w:val="none"/>
              </w:rPr>
              <w:t>根据</w:t>
            </w:r>
            <w:r>
              <w:rPr>
                <w:rFonts w:hint="eastAsia" w:ascii="宋体" w:hAnsi="宋体" w:cs="宋体"/>
                <w:kern w:val="0"/>
                <w:szCs w:val="21"/>
                <w:highlight w:val="none"/>
                <w:lang w:bidi="ar"/>
              </w:rPr>
              <w:t>《财政部关于在政府采购活动中查询及使用信用记录有关问题的通知》(财库[2016]125号)和豫财购【2016】15号的规定，对列入失信被执行人、重大税收违法失信主体、政府采购严</w:t>
            </w:r>
            <w:r>
              <w:rPr>
                <w:rFonts w:hint="eastAsia" w:ascii="宋体" w:hAnsi="宋体" w:cs="宋体"/>
                <w:color w:val="333333"/>
                <w:kern w:val="0"/>
                <w:szCs w:val="21"/>
                <w:highlight w:val="none"/>
                <w:lang w:bidi="ar"/>
              </w:rPr>
              <w:t>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333333"/>
                <w:kern w:val="0"/>
                <w:szCs w:val="21"/>
                <w:highlight w:val="none"/>
                <w:lang w:bidi="ar"/>
              </w:rPr>
              <w:t>注：</w:t>
            </w:r>
            <w:r>
              <w:rPr>
                <w:rFonts w:hint="eastAsia" w:ascii="宋体" w:hAnsi="宋体" w:cs="宋体"/>
                <w:color w:val="333333"/>
                <w:kern w:val="0"/>
                <w:szCs w:val="21"/>
                <w:highlight w:val="none"/>
                <w:lang w:bidi="ar"/>
              </w:rPr>
              <w:t>采购代理机构在开标当天可对所有参与本项目投标的供应商的信用情况（失信被执行人、重大税收违法失信主体、政府采购严重违法失信行为记录名单）进行查询。若在开标当天查询到供应商有相关负面信息的，则该供应商为无效供应商；</w:t>
            </w:r>
            <w:r>
              <w:rPr>
                <w:highlight w:val="none"/>
                <w:lang w:bidi="ar"/>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szCs w:val="21"/>
                <w:highlight w:val="none"/>
              </w:rPr>
              <w:t>单位负责人为同一人或者存在直接控股、管理关系的不同供应商，不得参加同一合同项下的政府采购活动。【提供在“国家企业信用信息公示系统”中查询打印的相关材料并加盖公章（需显示公司基本信息、主要人员信息、股东信息），查询日期在本公告发布日期之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360" w:lineRule="auto"/>
              <w:textAlignment w:val="baseline"/>
              <w:rPr>
                <w:rFonts w:ascii="宋体" w:hAnsi="宋体" w:cs="宋体"/>
                <w:szCs w:val="21"/>
                <w:highlight w:val="none"/>
              </w:rPr>
            </w:pPr>
          </w:p>
        </w:tc>
        <w:tc>
          <w:tcPr>
            <w:tcW w:w="1245" w:type="dxa"/>
            <w:vMerge w:val="restar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2.1.3</w:t>
            </w:r>
          </w:p>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响应性评审</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hint="eastAsia" w:ascii="宋体" w:hAnsi="宋体" w:eastAsia="宋体" w:cs="宋体"/>
                <w:szCs w:val="21"/>
                <w:highlight w:val="none"/>
                <w:lang w:eastAsia="zh-CN"/>
              </w:rPr>
            </w:pPr>
            <w:r>
              <w:rPr>
                <w:rFonts w:hint="eastAsia" w:ascii="宋体" w:hAnsi="宋体" w:cs="宋体"/>
                <w:szCs w:val="21"/>
                <w:highlight w:val="none"/>
                <w:lang w:eastAsia="zh-CN"/>
              </w:rPr>
              <w:t>计划工期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质量要求</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投标有效期</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1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投标文件格式</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highlight w:val="none"/>
              </w:rPr>
            </w:pPr>
            <w:r>
              <w:rPr>
                <w:rFonts w:hint="eastAsia" w:ascii="宋体" w:hAnsi="宋体" w:cs="宋体"/>
                <w:szCs w:val="21"/>
                <w:highlight w:val="none"/>
              </w:rPr>
              <w:t>符合招标文件中投标文件格式要求</w:t>
            </w:r>
          </w:p>
        </w:tc>
      </w:tr>
    </w:tbl>
    <w:p>
      <w:pPr>
        <w:spacing w:line="360" w:lineRule="auto"/>
        <w:jc w:val="center"/>
        <w:outlineLvl w:val="1"/>
        <w:rPr>
          <w:rFonts w:ascii="宋体" w:hAnsi="宋体" w:cs="宋体"/>
          <w:b/>
          <w:highlight w:val="none"/>
        </w:rPr>
      </w:pPr>
      <w:bookmarkStart w:id="128" w:name="_Toc28734"/>
      <w:bookmarkStart w:id="129" w:name="_Toc26120"/>
      <w:r>
        <w:rPr>
          <w:rFonts w:hint="eastAsia" w:ascii="宋体" w:hAnsi="宋体" w:cs="宋体"/>
          <w:b/>
          <w:highlight w:val="none"/>
        </w:rPr>
        <w:t>详细评审</w:t>
      </w:r>
      <w:bookmarkEnd w:id="128"/>
    </w:p>
    <w:tbl>
      <w:tblPr>
        <w:tblStyle w:val="33"/>
        <w:tblW w:w="9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2138"/>
        <w:gridCol w:w="5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r>
              <w:rPr>
                <w:rFonts w:hint="eastAsia" w:ascii="宋体" w:hAnsi="宋体" w:cs="宋体"/>
                <w:szCs w:val="21"/>
                <w:highlight w:val="none"/>
              </w:rPr>
              <w:t>详细评审</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2.2.1</w:t>
            </w:r>
          </w:p>
        </w:tc>
        <w:tc>
          <w:tcPr>
            <w:tcW w:w="213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highlight w:val="none"/>
              </w:rPr>
            </w:pPr>
            <w:r>
              <w:rPr>
                <w:rFonts w:hint="eastAsia"/>
                <w:highlight w:val="none"/>
              </w:rPr>
              <w:t xml:space="preserve"> 分值构成</w:t>
            </w:r>
          </w:p>
          <w:p>
            <w:pPr>
              <w:pStyle w:val="31"/>
              <w:ind w:firstLine="0" w:firstLineChars="0"/>
              <w:jc w:val="center"/>
              <w:rPr>
                <w:highlight w:val="none"/>
              </w:rPr>
            </w:pPr>
            <w:r>
              <w:rPr>
                <w:rFonts w:hint="eastAsia" w:ascii="Times New Roman" w:hAnsi="Times New Roman" w:cs="Times New Roman"/>
                <w:sz w:val="21"/>
                <w:szCs w:val="24"/>
                <w:highlight w:val="none"/>
              </w:rPr>
              <w:t>（总分100分）</w:t>
            </w:r>
          </w:p>
        </w:tc>
        <w:tc>
          <w:tcPr>
            <w:tcW w:w="508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highlight w:val="none"/>
              </w:rPr>
            </w:pPr>
            <w:r>
              <w:rPr>
                <w:rFonts w:hint="eastAsia"/>
                <w:highlight w:val="none"/>
              </w:rPr>
              <w:t>经济标评分：30分</w:t>
            </w:r>
          </w:p>
          <w:p>
            <w:pPr>
              <w:adjustRightInd w:val="0"/>
              <w:spacing w:line="360" w:lineRule="auto"/>
              <w:jc w:val="left"/>
              <w:textAlignment w:val="baseline"/>
              <w:rPr>
                <w:highlight w:val="none"/>
              </w:rPr>
            </w:pPr>
            <w:r>
              <w:rPr>
                <w:rFonts w:hint="eastAsia"/>
                <w:highlight w:val="none"/>
              </w:rPr>
              <w:t>技术标评分：53分</w:t>
            </w:r>
          </w:p>
          <w:p>
            <w:pPr>
              <w:adjustRightInd w:val="0"/>
              <w:spacing w:line="360" w:lineRule="auto"/>
              <w:jc w:val="left"/>
              <w:textAlignment w:val="baseline"/>
              <w:rPr>
                <w:rFonts w:ascii="宋体" w:hAnsi="宋体" w:cs="宋体"/>
                <w:szCs w:val="21"/>
                <w:highlight w:val="none"/>
              </w:rPr>
            </w:pPr>
            <w:r>
              <w:rPr>
                <w:rFonts w:hint="eastAsia"/>
                <w:highlight w:val="none"/>
              </w:rPr>
              <w:t>综合标评分：17分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48" w:type="dxa"/>
            <w:vMerge w:val="continue"/>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szCs w:val="21"/>
                <w:highlight w:val="none"/>
              </w:rPr>
            </w:pPr>
            <w:r>
              <w:rPr>
                <w:rFonts w:hint="eastAsia" w:ascii="宋体" w:hAnsi="宋体" w:cs="宋体"/>
                <w:szCs w:val="21"/>
                <w:highlight w:val="none"/>
              </w:rPr>
              <w:t>2.2.2（1）经济标评分（</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highlight w:val="none"/>
              </w:rPr>
            </w:pPr>
            <w:r>
              <w:rPr>
                <w:rFonts w:hint="eastAsia"/>
                <w:highlight w:val="none"/>
              </w:rPr>
              <w:t>投标报价</w:t>
            </w:r>
          </w:p>
          <w:p>
            <w:pPr>
              <w:adjustRightInd w:val="0"/>
              <w:spacing w:line="360" w:lineRule="auto"/>
              <w:jc w:val="center"/>
              <w:textAlignment w:val="baseline"/>
              <w:rPr>
                <w:rFonts w:ascii="宋体" w:hAnsi="宋体" w:cs="宋体"/>
                <w:szCs w:val="21"/>
                <w:highlight w:val="none"/>
              </w:rPr>
            </w:pPr>
            <w:r>
              <w:rPr>
                <w:rFonts w:hint="eastAsia" w:ascii="宋体" w:hAnsi="宋体" w:cs="宋体"/>
                <w:highlight w:val="none"/>
              </w:rPr>
              <w:t>（30分）</w:t>
            </w:r>
          </w:p>
        </w:tc>
        <w:tc>
          <w:tcPr>
            <w:tcW w:w="508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60" w:lineRule="auto"/>
              <w:rPr>
                <w:highlight w:val="none"/>
              </w:rPr>
            </w:pPr>
            <w:r>
              <w:rPr>
                <w:rFonts w:hint="eastAsia"/>
                <w:b/>
                <w:bCs/>
                <w:highlight w:val="none"/>
              </w:rPr>
              <w:t>价格扣除：</w:t>
            </w:r>
            <w:r>
              <w:rPr>
                <w:rFonts w:hint="eastAsia" w:ascii="宋体" w:hAnsi="宋体" w:cs="宋体"/>
                <w:szCs w:val="21"/>
                <w:highlight w:val="none"/>
              </w:rPr>
              <w:t>对于小型、微型企业的具体评标价格扣除，均按</w:t>
            </w:r>
            <w:r>
              <w:rPr>
                <w:rFonts w:ascii="宋体" w:hAnsi="宋体" w:cs="宋体"/>
                <w:kern w:val="0"/>
                <w:sz w:val="22"/>
                <w:szCs w:val="22"/>
                <w:highlight w:val="none"/>
                <w:shd w:val="clear" w:color="auto" w:fill="FFFFFF" w:themeFill="background1"/>
                <w:lang w:bidi="ar"/>
              </w:rPr>
              <w:t>财库〔2022〕19号</w:t>
            </w:r>
            <w:r>
              <w:rPr>
                <w:rFonts w:hint="eastAsia" w:ascii="宋体" w:hAnsi="宋体" w:cs="宋体"/>
                <w:szCs w:val="21"/>
                <w:highlight w:val="none"/>
              </w:rPr>
              <w:t>文件中比例20%扣除。对于中型企业的价格不予扣除。供应商须提供需提供符合要求的中小企业声明函。否则不予认可。声明函内容真实性由供应商负责。（小型、微型企业提供中型企业制造的货物（服务）的，视同为中型企业。）</w:t>
            </w:r>
          </w:p>
          <w:p>
            <w:pPr>
              <w:shd w:val="clear" w:color="auto" w:fill="FFFFFF"/>
              <w:adjustRightInd w:val="0"/>
              <w:snapToGrid w:val="0"/>
              <w:spacing w:line="360" w:lineRule="auto"/>
              <w:rPr>
                <w:b/>
                <w:bCs/>
                <w:highlight w:val="none"/>
              </w:rPr>
            </w:pPr>
            <w:r>
              <w:rPr>
                <w:rFonts w:hint="eastAsia"/>
                <w:b/>
                <w:bCs/>
                <w:highlight w:val="none"/>
              </w:rPr>
              <w:t>评标基准价：</w:t>
            </w:r>
          </w:p>
          <w:p>
            <w:pPr>
              <w:shd w:val="clear" w:color="auto" w:fill="FFFFFF"/>
              <w:adjustRightInd w:val="0"/>
              <w:snapToGrid w:val="0"/>
              <w:spacing w:line="360" w:lineRule="auto"/>
              <w:rPr>
                <w:highlight w:val="none"/>
              </w:rPr>
            </w:pPr>
            <w:r>
              <w:rPr>
                <w:rFonts w:hint="eastAsia"/>
                <w:highlight w:val="none"/>
              </w:rPr>
              <w:t>满足招标文件要求且价格最低的评标价（含小微企业评标价）为评标基准价，</w:t>
            </w:r>
          </w:p>
          <w:p>
            <w:pPr>
              <w:shd w:val="clear" w:color="auto" w:fill="FFFFFF"/>
              <w:adjustRightInd w:val="0"/>
              <w:snapToGrid w:val="0"/>
              <w:spacing w:line="360" w:lineRule="auto"/>
              <w:rPr>
                <w:b/>
                <w:bCs/>
                <w:highlight w:val="none"/>
              </w:rPr>
            </w:pPr>
            <w:r>
              <w:rPr>
                <w:rFonts w:hint="eastAsia"/>
                <w:b/>
                <w:bCs/>
                <w:highlight w:val="none"/>
              </w:rPr>
              <w:t>投标报价得分计算：</w:t>
            </w:r>
          </w:p>
          <w:p>
            <w:pPr>
              <w:shd w:val="clear" w:color="auto" w:fill="FFFFFF"/>
              <w:adjustRightInd w:val="0"/>
              <w:snapToGrid w:val="0"/>
              <w:spacing w:line="360" w:lineRule="auto"/>
              <w:rPr>
                <w:highlight w:val="none"/>
              </w:rPr>
            </w:pPr>
            <w:r>
              <w:rPr>
                <w:rFonts w:hint="eastAsia"/>
                <w:highlight w:val="none"/>
              </w:rPr>
              <w:t>投标报价等于评标基准价其价格分为30分。</w:t>
            </w:r>
          </w:p>
          <w:p>
            <w:pPr>
              <w:shd w:val="clear" w:color="auto" w:fill="FFFFFF"/>
              <w:adjustRightInd w:val="0"/>
              <w:snapToGrid w:val="0"/>
              <w:spacing w:line="360" w:lineRule="auto"/>
              <w:rPr>
                <w:highlight w:val="none"/>
              </w:rPr>
            </w:pPr>
            <w:r>
              <w:rPr>
                <w:rFonts w:hint="eastAsia"/>
                <w:highlight w:val="none"/>
              </w:rPr>
              <w:t>其他投标人的价格分统一按照下列公式计算：</w:t>
            </w:r>
          </w:p>
          <w:p>
            <w:pPr>
              <w:shd w:val="clear" w:color="auto" w:fill="FFFFFF"/>
              <w:adjustRightInd w:val="0"/>
              <w:snapToGrid w:val="0"/>
              <w:spacing w:line="360" w:lineRule="auto"/>
              <w:rPr>
                <w:highlight w:val="none"/>
              </w:rPr>
            </w:pPr>
            <w:r>
              <w:rPr>
                <w:rFonts w:hint="eastAsia"/>
                <w:highlight w:val="none"/>
              </w:rPr>
              <w:t>报价得分=(评标基准价／报价)×价格权值（30分）（四舍五入后保留小数点后两位）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4"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2.2.2（2）</w:t>
            </w:r>
            <w:r>
              <w:rPr>
                <w:rFonts w:hint="eastAsia"/>
                <w:highlight w:val="none"/>
              </w:rPr>
              <w:t>技术标评分（53分）</w:t>
            </w: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技术参数（30分）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400" w:lineRule="exact"/>
              <w:rPr>
                <w:highlight w:val="none"/>
              </w:rPr>
            </w:pPr>
            <w:r>
              <w:rPr>
                <w:rFonts w:hint="eastAsia" w:ascii="宋体" w:hAnsi="宋体" w:cs="宋体"/>
                <w:szCs w:val="21"/>
                <w:highlight w:val="none"/>
              </w:rPr>
              <w:t>投标方案需针对第五章技术参数及要求中的技术参数要求进行响应，满足招标文件要求的全部技术指标得30分，每有一项技术参数响应负偏离的扣0.1分，扣完为止。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9"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single" w:color="auto" w:sz="4" w:space="0"/>
              <w:right w:val="single" w:color="auto" w:sz="4" w:space="0"/>
            </w:tcBorders>
            <w:vAlign w:val="center"/>
          </w:tcPr>
          <w:p>
            <w:pPr>
              <w:spacing w:line="360" w:lineRule="auto"/>
              <w:jc w:val="center"/>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highlight w:val="none"/>
              </w:rPr>
              <w:t>项目分析（3分）</w:t>
            </w:r>
          </w:p>
        </w:tc>
        <w:tc>
          <w:tcPr>
            <w:tcW w:w="5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kern w:val="0"/>
                <w:szCs w:val="21"/>
                <w:highlight w:val="none"/>
              </w:rPr>
            </w:pPr>
            <w:r>
              <w:rPr>
                <w:rFonts w:hint="eastAsia" w:ascii="宋体" w:hAnsi="宋体"/>
                <w:kern w:val="0"/>
                <w:szCs w:val="21"/>
                <w:highlight w:val="none"/>
              </w:rPr>
              <w:t>投标人提供项目分析，能从各个层面领域就项目建设背景进行分析；能就现有信息化现状进行问题分析；能就业务需求、性能需求、数据需求、基础需求等进行需求分析；能就项目建设必要性进行分析。</w:t>
            </w:r>
          </w:p>
          <w:p>
            <w:pPr>
              <w:widowControl/>
              <w:spacing w:line="360" w:lineRule="auto"/>
              <w:jc w:val="left"/>
              <w:rPr>
                <w:rFonts w:ascii="宋体" w:hAnsi="宋体"/>
                <w:kern w:val="0"/>
                <w:szCs w:val="21"/>
                <w:highlight w:val="none"/>
              </w:rPr>
            </w:pPr>
            <w:r>
              <w:rPr>
                <w:rFonts w:hint="eastAsia" w:ascii="宋体" w:hAnsi="宋体"/>
                <w:kern w:val="0"/>
                <w:szCs w:val="21"/>
                <w:highlight w:val="none"/>
              </w:rPr>
              <w:t>优秀：项目背景认识比较明确，信息化现状、需求和必要性分析合理，得3分。</w:t>
            </w:r>
          </w:p>
          <w:p>
            <w:pPr>
              <w:widowControl/>
              <w:spacing w:line="360" w:lineRule="auto"/>
              <w:jc w:val="left"/>
              <w:rPr>
                <w:rFonts w:ascii="宋体" w:hAnsi="宋体"/>
                <w:kern w:val="0"/>
                <w:szCs w:val="21"/>
                <w:highlight w:val="none"/>
              </w:rPr>
            </w:pPr>
            <w:r>
              <w:rPr>
                <w:rFonts w:hint="eastAsia" w:ascii="宋体" w:hAnsi="宋体"/>
                <w:kern w:val="0"/>
                <w:szCs w:val="21"/>
                <w:highlight w:val="none"/>
              </w:rPr>
              <w:t>良好：项目背景认识比较明确，信息化现状、需求和必要性分析基本合理，得2分。</w:t>
            </w:r>
          </w:p>
          <w:p>
            <w:pPr>
              <w:widowControl/>
              <w:spacing w:line="360" w:lineRule="auto"/>
              <w:jc w:val="left"/>
              <w:rPr>
                <w:rFonts w:ascii="宋体" w:hAnsi="宋体"/>
                <w:kern w:val="0"/>
                <w:szCs w:val="21"/>
                <w:highlight w:val="none"/>
              </w:rPr>
            </w:pPr>
            <w:r>
              <w:rPr>
                <w:rFonts w:hint="eastAsia" w:ascii="宋体" w:hAnsi="宋体"/>
                <w:kern w:val="0"/>
                <w:szCs w:val="21"/>
                <w:highlight w:val="none"/>
              </w:rPr>
              <w:t>一般：政策背景认识不足，信息化现状、需求和必要性分析简单，得1分。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148" w:type="dxa"/>
            <w:vMerge w:val="continue"/>
            <w:tcBorders>
              <w:left w:val="single" w:color="auto" w:sz="4" w:space="0"/>
              <w:right w:val="single" w:color="auto" w:sz="4" w:space="0"/>
            </w:tcBorders>
            <w:vAlign w:val="center"/>
          </w:tcPr>
          <w:p>
            <w:pPr>
              <w:widowControl/>
              <w:spacing w:line="360" w:lineRule="auto"/>
              <w:jc w:val="left"/>
              <w:rPr>
                <w:rFonts w:ascii="宋体" w:hAnsi="宋体" w:cs="宋体"/>
                <w:szCs w:val="21"/>
                <w:highlight w:val="none"/>
              </w:rPr>
            </w:pPr>
          </w:p>
        </w:tc>
        <w:tc>
          <w:tcPr>
            <w:tcW w:w="1245"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fal"/>
                <w:szCs w:val="21"/>
                <w:highlight w:val="none"/>
              </w:rPr>
            </w:pPr>
            <w:r>
              <w:rPr>
                <w:rFonts w:hint="eastAsia" w:ascii="宋体" w:hAnsi="宋体"/>
                <w:kern w:val="0"/>
                <w:szCs w:val="21"/>
                <w:highlight w:val="none"/>
              </w:rPr>
              <w:t>项目实施方案</w:t>
            </w:r>
            <w:r>
              <w:rPr>
                <w:rFonts w:hint="eastAsia"/>
                <w:szCs w:val="21"/>
                <w:highlight w:val="none"/>
              </w:rPr>
              <w:t>（8分）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rPr>
                <w:highlight w:val="none"/>
              </w:rPr>
            </w:pPr>
            <w:r>
              <w:rPr>
                <w:rFonts w:hint="eastAsia"/>
                <w:highlight w:val="none"/>
              </w:rPr>
              <w:t>投标人提供项目实施方案，包括但不限于组织管理、管理规范、质量管理、实施计划、人员管理、项目培训、项目风险应对、测试验收等，能保证项目正常稳定实施并保证产品稳定运行。评委根据投标方案阐述进行综合打分。</w:t>
            </w:r>
          </w:p>
          <w:p>
            <w:pPr>
              <w:spacing w:line="276" w:lineRule="auto"/>
              <w:rPr>
                <w:highlight w:val="none"/>
              </w:rPr>
            </w:pPr>
            <w:r>
              <w:rPr>
                <w:rFonts w:hint="eastAsia"/>
                <w:highlight w:val="none"/>
              </w:rPr>
              <w:t>优秀：提供以上全部内容且方案科学合理，具有较好的可行性，得8分。</w:t>
            </w:r>
          </w:p>
          <w:p>
            <w:pPr>
              <w:spacing w:line="276" w:lineRule="auto"/>
              <w:rPr>
                <w:highlight w:val="none"/>
              </w:rPr>
            </w:pPr>
            <w:r>
              <w:rPr>
                <w:rFonts w:hint="eastAsia"/>
                <w:highlight w:val="none"/>
              </w:rPr>
              <w:t>良好：提供以上全部内容且方案基本合理，基本可行，得6分。</w:t>
            </w:r>
          </w:p>
          <w:p>
            <w:pPr>
              <w:spacing w:line="276" w:lineRule="auto"/>
              <w:rPr>
                <w:highlight w:val="none"/>
              </w:rPr>
            </w:pPr>
            <w:r>
              <w:rPr>
                <w:rFonts w:hint="eastAsia"/>
                <w:highlight w:val="none"/>
              </w:rPr>
              <w:t>一般：提供以上全部内容但方案针对性不足不够合理，理论可行，得2分。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pPr>
              <w:spacing w:line="360" w:lineRule="auto"/>
              <w:rPr>
                <w:highlight w:val="none"/>
              </w:rPr>
            </w:pPr>
          </w:p>
        </w:tc>
        <w:tc>
          <w:tcPr>
            <w:tcW w:w="1245" w:type="dxa"/>
            <w:vMerge w:val="continue"/>
            <w:tcBorders>
              <w:left w:val="single" w:color="auto" w:sz="4" w:space="0"/>
              <w:right w:val="single" w:color="auto" w:sz="4" w:space="0"/>
            </w:tcBorders>
            <w:vAlign w:val="center"/>
          </w:tcPr>
          <w:p>
            <w:pPr>
              <w:spacing w:line="360" w:lineRule="auto"/>
              <w:rPr>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szCs w:val="21"/>
                <w:highlight w:val="none"/>
              </w:rPr>
              <w:t>后期配合、服务工作部署</w:t>
            </w:r>
            <w:r>
              <w:rPr>
                <w:rFonts w:hint="eastAsia"/>
                <w:highlight w:val="none"/>
              </w:rPr>
              <w:t>（5分）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rPr>
                <w:szCs w:val="21"/>
                <w:highlight w:val="none"/>
              </w:rPr>
            </w:pPr>
            <w:r>
              <w:rPr>
                <w:rFonts w:hint="eastAsia"/>
                <w:szCs w:val="21"/>
                <w:highlight w:val="none"/>
              </w:rPr>
              <w:t>根据供应商后期配合、服务保障措施与技术支持能力的优劣进行比较评价：</w:t>
            </w:r>
          </w:p>
          <w:p>
            <w:pPr>
              <w:spacing w:line="276" w:lineRule="auto"/>
              <w:rPr>
                <w:szCs w:val="21"/>
                <w:highlight w:val="none"/>
              </w:rPr>
            </w:pPr>
            <w:r>
              <w:rPr>
                <w:rFonts w:hint="eastAsia"/>
                <w:szCs w:val="21"/>
                <w:highlight w:val="none"/>
              </w:rPr>
              <w:t>第一档，服务保障体系及措施完善，技术支持5分；</w:t>
            </w:r>
          </w:p>
          <w:p>
            <w:pPr>
              <w:spacing w:line="276" w:lineRule="auto"/>
              <w:rPr>
                <w:szCs w:val="21"/>
                <w:highlight w:val="none"/>
              </w:rPr>
            </w:pPr>
            <w:r>
              <w:rPr>
                <w:rFonts w:hint="eastAsia"/>
                <w:szCs w:val="21"/>
                <w:highlight w:val="none"/>
              </w:rPr>
              <w:t>第二档，服务保障体系及措施较好，技术支持能力较强，服务响应较快的3分；</w:t>
            </w:r>
          </w:p>
          <w:p>
            <w:pPr>
              <w:spacing w:line="276" w:lineRule="auto"/>
              <w:jc w:val="left"/>
              <w:rPr>
                <w:rFonts w:ascii="宋体" w:hAnsi="宋体" w:cs="宋体fal"/>
                <w:szCs w:val="21"/>
                <w:highlight w:val="none"/>
              </w:rPr>
            </w:pPr>
            <w:r>
              <w:rPr>
                <w:rFonts w:hint="eastAsia"/>
                <w:szCs w:val="21"/>
                <w:highlight w:val="none"/>
              </w:rPr>
              <w:t>第三档，服务保障体系及措施一般或有缺陷的得1分。缺项不得分。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pPr>
              <w:spacing w:line="360" w:lineRule="auto"/>
              <w:rPr>
                <w:highlight w:val="none"/>
              </w:rPr>
            </w:pPr>
          </w:p>
        </w:tc>
        <w:tc>
          <w:tcPr>
            <w:tcW w:w="1245" w:type="dxa"/>
            <w:vMerge w:val="continue"/>
            <w:tcBorders>
              <w:left w:val="single" w:color="auto" w:sz="4" w:space="0"/>
              <w:right w:val="single" w:color="auto" w:sz="4" w:space="0"/>
            </w:tcBorders>
            <w:vAlign w:val="center"/>
          </w:tcPr>
          <w:p>
            <w:pPr>
              <w:spacing w:line="360" w:lineRule="auto"/>
              <w:rPr>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highlight w:val="none"/>
              </w:rPr>
            </w:pPr>
            <w:r>
              <w:rPr>
                <w:rFonts w:hint="eastAsia"/>
                <w:highlight w:val="none"/>
              </w:rPr>
              <w:t>总体设计（5分）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highlight w:val="none"/>
              </w:rPr>
            </w:pPr>
            <w:r>
              <w:rPr>
                <w:rFonts w:hint="eastAsia"/>
                <w:highlight w:val="none"/>
              </w:rPr>
              <w:t>投标人结合本项目信息化建设总体需求和目标要求，能结合当前信息化建设和本项目实际发展趋势，针对本项目阐述下述内容（包含但不限于）：</w:t>
            </w:r>
          </w:p>
          <w:p>
            <w:pPr>
              <w:spacing w:line="276" w:lineRule="auto"/>
              <w:jc w:val="left"/>
              <w:rPr>
                <w:highlight w:val="none"/>
              </w:rPr>
            </w:pPr>
            <w:r>
              <w:rPr>
                <w:rFonts w:hint="eastAsia"/>
                <w:highlight w:val="none"/>
              </w:rPr>
              <w:t>（1）设计原则</w:t>
            </w:r>
          </w:p>
          <w:p>
            <w:pPr>
              <w:spacing w:line="276" w:lineRule="auto"/>
              <w:jc w:val="left"/>
              <w:rPr>
                <w:highlight w:val="none"/>
              </w:rPr>
            </w:pPr>
            <w:r>
              <w:rPr>
                <w:rFonts w:hint="eastAsia"/>
                <w:highlight w:val="none"/>
              </w:rPr>
              <w:t>（2）总体架构设计</w:t>
            </w:r>
          </w:p>
          <w:p>
            <w:pPr>
              <w:spacing w:line="276" w:lineRule="auto"/>
              <w:jc w:val="left"/>
              <w:rPr>
                <w:highlight w:val="none"/>
              </w:rPr>
            </w:pPr>
            <w:r>
              <w:rPr>
                <w:rFonts w:hint="eastAsia"/>
                <w:highlight w:val="none"/>
              </w:rPr>
              <w:t>（3）业务架构设计</w:t>
            </w:r>
          </w:p>
          <w:p>
            <w:pPr>
              <w:spacing w:line="276" w:lineRule="auto"/>
              <w:jc w:val="left"/>
              <w:rPr>
                <w:highlight w:val="none"/>
              </w:rPr>
            </w:pPr>
            <w:r>
              <w:rPr>
                <w:rFonts w:hint="eastAsia"/>
                <w:highlight w:val="none"/>
              </w:rPr>
              <w:t>（4）数据交换设计</w:t>
            </w:r>
          </w:p>
          <w:p>
            <w:pPr>
              <w:spacing w:line="276" w:lineRule="auto"/>
              <w:jc w:val="left"/>
              <w:rPr>
                <w:highlight w:val="none"/>
              </w:rPr>
            </w:pPr>
            <w:r>
              <w:rPr>
                <w:rFonts w:hint="eastAsia"/>
                <w:highlight w:val="none"/>
              </w:rPr>
              <w:t>（5）网络资源设计</w:t>
            </w:r>
          </w:p>
          <w:p>
            <w:pPr>
              <w:spacing w:line="276" w:lineRule="auto"/>
              <w:jc w:val="left"/>
              <w:rPr>
                <w:highlight w:val="none"/>
              </w:rPr>
            </w:pPr>
            <w:r>
              <w:rPr>
                <w:rFonts w:hint="eastAsia"/>
                <w:highlight w:val="none"/>
              </w:rPr>
              <w:t>（6）安全保障设计</w:t>
            </w:r>
          </w:p>
          <w:p>
            <w:pPr>
              <w:spacing w:line="276" w:lineRule="auto"/>
              <w:jc w:val="left"/>
              <w:rPr>
                <w:highlight w:val="none"/>
              </w:rPr>
            </w:pPr>
            <w:r>
              <w:rPr>
                <w:rFonts w:hint="eastAsia"/>
                <w:highlight w:val="none"/>
              </w:rPr>
              <w:t>优秀：对项目理解深刻，设计原则明确、设计内容完整，技术先进，总体设计方案科学可行，得5分。</w:t>
            </w:r>
          </w:p>
          <w:p>
            <w:pPr>
              <w:spacing w:line="276" w:lineRule="auto"/>
              <w:jc w:val="left"/>
              <w:rPr>
                <w:highlight w:val="none"/>
              </w:rPr>
            </w:pPr>
            <w:r>
              <w:rPr>
                <w:rFonts w:hint="eastAsia"/>
                <w:highlight w:val="none"/>
              </w:rPr>
              <w:t>良好：对项目理解较好，设计原则合理、设计内容完整，技术较为先进，总体设计方案可行，得3分。</w:t>
            </w:r>
          </w:p>
          <w:p>
            <w:pPr>
              <w:spacing w:line="276" w:lineRule="auto"/>
              <w:jc w:val="left"/>
              <w:rPr>
                <w:highlight w:val="none"/>
              </w:rPr>
            </w:pPr>
            <w:r>
              <w:rPr>
                <w:rFonts w:hint="eastAsia"/>
                <w:highlight w:val="none"/>
              </w:rPr>
              <w:t>一般：对项目理解一般，设计原则合理、设计内容完整，技术一般，总体设计方案理论可行，得1分。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pPr>
              <w:spacing w:line="360" w:lineRule="auto"/>
              <w:rPr>
                <w:highlight w:val="none"/>
              </w:rPr>
            </w:pPr>
          </w:p>
        </w:tc>
        <w:tc>
          <w:tcPr>
            <w:tcW w:w="1245" w:type="dxa"/>
            <w:tcBorders>
              <w:left w:val="single" w:color="auto" w:sz="4" w:space="0"/>
              <w:right w:val="single" w:color="auto" w:sz="4" w:space="0"/>
            </w:tcBorders>
            <w:vAlign w:val="center"/>
          </w:tcPr>
          <w:p>
            <w:pPr>
              <w:spacing w:line="360" w:lineRule="auto"/>
              <w:rPr>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highlight w:val="none"/>
              </w:rPr>
            </w:pPr>
            <w:r>
              <w:rPr>
                <w:rFonts w:hint="eastAsia"/>
                <w:highlight w:val="none"/>
              </w:rPr>
              <w:t>项目实施团队</w:t>
            </w:r>
            <w:r>
              <w:rPr>
                <w:highlight w:val="none"/>
              </w:rPr>
              <w:t>（</w:t>
            </w:r>
            <w:r>
              <w:rPr>
                <w:rFonts w:hint="eastAsia"/>
                <w:highlight w:val="none"/>
              </w:rPr>
              <w:t>2</w:t>
            </w:r>
            <w:r>
              <w:rPr>
                <w:highlight w:val="none"/>
              </w:rPr>
              <w:t>分）</w:t>
            </w:r>
          </w:p>
        </w:tc>
        <w:tc>
          <w:tcPr>
            <w:tcW w:w="50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highlight w:val="none"/>
              </w:rPr>
            </w:pPr>
            <w:r>
              <w:rPr>
                <w:rFonts w:hint="eastAsia" w:ascii="宋体" w:hAnsi="宋体"/>
                <w:szCs w:val="21"/>
                <w:highlight w:val="none"/>
              </w:rPr>
              <w:t>投标人拟派的项目负责人具有类似信息化建设项目的项目经验，并具有以下证书：</w:t>
            </w:r>
          </w:p>
          <w:p>
            <w:pPr>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1）信息系统项目管理师证书。</w:t>
            </w:r>
          </w:p>
          <w:p>
            <w:pPr>
              <w:spacing w:line="360" w:lineRule="auto"/>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信息技术类高级工程师证书。</w:t>
            </w:r>
          </w:p>
          <w:p>
            <w:pPr>
              <w:spacing w:line="360" w:lineRule="auto"/>
              <w:rPr>
                <w:rFonts w:ascii="宋体" w:hAnsi="宋体"/>
                <w:szCs w:val="21"/>
                <w:highlight w:val="none"/>
              </w:rPr>
            </w:pPr>
            <w:r>
              <w:rPr>
                <w:rFonts w:hint="eastAsia" w:ascii="宋体" w:hAnsi="宋体"/>
                <w:szCs w:val="21"/>
                <w:highlight w:val="none"/>
              </w:rPr>
              <w:t>项目负责人在具备项目经验的基础上，每提供一项证书得1分，最高得2分。不提供项目经理经验证明，此项不得分。</w:t>
            </w:r>
          </w:p>
          <w:p>
            <w:pPr>
              <w:spacing w:line="360" w:lineRule="auto"/>
              <w:rPr>
                <w:rFonts w:ascii="宋体" w:hAnsi="宋体"/>
                <w:sz w:val="24"/>
                <w:highlight w:val="none"/>
              </w:rPr>
            </w:pPr>
            <w:r>
              <w:rPr>
                <w:rFonts w:hint="eastAsia" w:ascii="宋体" w:hAnsi="宋体"/>
                <w:szCs w:val="21"/>
                <w:highlight w:val="none"/>
              </w:rPr>
              <w:t>注：项目负责人经验证明（如：与项目有关的中标合同或中标公示截图或中标通知书扫描件或用户出具的项目经验</w:t>
            </w:r>
            <w:r>
              <w:rPr>
                <w:rFonts w:hint="eastAsia" w:ascii="宋体" w:hAnsi="宋体"/>
                <w:szCs w:val="21"/>
                <w:highlight w:val="none"/>
                <w:lang w:eastAsia="zh-CN"/>
              </w:rPr>
              <w:t>证明</w:t>
            </w:r>
            <w:r>
              <w:rPr>
                <w:rFonts w:hint="eastAsia" w:ascii="宋体" w:hAnsi="宋体"/>
                <w:szCs w:val="21"/>
                <w:highlight w:val="none"/>
              </w:rPr>
              <w:t>）、资质证书扫描件、2024年以来任意一个月的投标人为其缴纳的社保证明材料</w:t>
            </w:r>
            <w:r>
              <w:rPr>
                <w:rFonts w:ascii="宋体" w:hAnsi="宋体"/>
                <w:color w:val="000000"/>
                <w:szCs w:val="21"/>
                <w:highlight w:val="none"/>
              </w:rPr>
              <w:t>扫描件</w:t>
            </w:r>
            <w:r>
              <w:rPr>
                <w:rFonts w:hint="eastAsia" w:ascii="宋体" w:hAnsi="宋体"/>
                <w:szCs w:val="21"/>
                <w:highlight w:val="none"/>
              </w:rPr>
              <w:t>，否则不得分。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148" w:type="dxa"/>
            <w:vMerge w:val="continue"/>
            <w:tcBorders>
              <w:left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p>
        </w:tc>
        <w:tc>
          <w:tcPr>
            <w:tcW w:w="1245" w:type="dxa"/>
            <w:vMerge w:val="restart"/>
            <w:tcBorders>
              <w:top w:val="single" w:color="auto" w:sz="4" w:space="0"/>
              <w:left w:val="single" w:color="auto" w:sz="4" w:space="0"/>
              <w:right w:val="single" w:color="auto" w:sz="4" w:space="0"/>
            </w:tcBorders>
            <w:vAlign w:val="center"/>
          </w:tcPr>
          <w:p>
            <w:pPr>
              <w:spacing w:line="360" w:lineRule="auto"/>
              <w:jc w:val="left"/>
              <w:rPr>
                <w:rFonts w:ascii="宋体" w:hAnsi="宋体" w:cs="宋体"/>
                <w:szCs w:val="21"/>
                <w:highlight w:val="none"/>
              </w:rPr>
            </w:pPr>
          </w:p>
          <w:p>
            <w:pPr>
              <w:spacing w:line="360" w:lineRule="auto"/>
              <w:jc w:val="left"/>
              <w:rPr>
                <w:rFonts w:ascii="宋体" w:hAnsi="宋体" w:cs="宋体"/>
                <w:szCs w:val="21"/>
                <w:highlight w:val="none"/>
              </w:rPr>
            </w:pPr>
          </w:p>
          <w:p>
            <w:pPr>
              <w:spacing w:line="360" w:lineRule="auto"/>
              <w:jc w:val="left"/>
              <w:rPr>
                <w:rFonts w:ascii="宋体" w:hAnsi="宋体" w:cs="宋体"/>
                <w:szCs w:val="21"/>
                <w:highlight w:val="none"/>
              </w:rPr>
            </w:pPr>
          </w:p>
          <w:p>
            <w:pPr>
              <w:spacing w:line="360" w:lineRule="auto"/>
              <w:jc w:val="left"/>
              <w:rPr>
                <w:rFonts w:ascii="宋体" w:hAnsi="宋体" w:cs="宋体"/>
                <w:szCs w:val="21"/>
                <w:highlight w:val="none"/>
              </w:rPr>
            </w:pPr>
            <w:r>
              <w:rPr>
                <w:rFonts w:hint="eastAsia" w:ascii="宋体" w:hAnsi="宋体" w:cs="宋体"/>
                <w:szCs w:val="21"/>
                <w:highlight w:val="none"/>
              </w:rPr>
              <w:t>2.2.2（3）综合标评分</w:t>
            </w:r>
            <w:r>
              <w:rPr>
                <w:rFonts w:hint="eastAsia" w:ascii="宋体" w:hAnsi="宋体" w:cs="宋体"/>
                <w:spacing w:val="1"/>
                <w:kern w:val="0"/>
                <w:szCs w:val="21"/>
                <w:highlight w:val="none"/>
              </w:rPr>
              <w:t>（17分）</w:t>
            </w:r>
          </w:p>
          <w:p>
            <w:pPr>
              <w:spacing w:line="360" w:lineRule="auto"/>
              <w:jc w:val="left"/>
              <w:rPr>
                <w:rFonts w:ascii="宋体" w:hAnsi="宋体" w:cs="宋体"/>
                <w:szCs w:val="21"/>
                <w:highlight w:val="none"/>
              </w:rPr>
            </w:pPr>
          </w:p>
        </w:tc>
        <w:tc>
          <w:tcPr>
            <w:tcW w:w="2138" w:type="dxa"/>
            <w:tcBorders>
              <w:top w:val="single" w:color="auto" w:sz="4" w:space="0"/>
              <w:left w:val="single" w:color="auto" w:sz="4" w:space="0"/>
              <w:right w:val="single" w:color="auto" w:sz="4" w:space="0"/>
            </w:tcBorders>
            <w:vAlign w:val="center"/>
          </w:tcPr>
          <w:p>
            <w:pPr>
              <w:pStyle w:val="12"/>
              <w:rPr>
                <w:highlight w:val="none"/>
              </w:rPr>
            </w:pPr>
            <w:r>
              <w:rPr>
                <w:rFonts w:hint="eastAsia"/>
                <w:highlight w:val="none"/>
              </w:rPr>
              <w:t>项目团队其他成员</w:t>
            </w:r>
          </w:p>
          <w:p>
            <w:pPr>
              <w:pStyle w:val="8"/>
              <w:spacing w:line="360" w:lineRule="auto"/>
              <w:jc w:val="center"/>
              <w:rPr>
                <w:rFonts w:hAnsi="宋体"/>
                <w:color w:val="auto"/>
                <w:kern w:val="2"/>
                <w:sz w:val="21"/>
                <w:szCs w:val="21"/>
                <w:highlight w:val="none"/>
              </w:rPr>
            </w:pPr>
            <w:r>
              <w:rPr>
                <w:rFonts w:hint="eastAsia" w:hAnsi="宋体"/>
                <w:color w:val="auto"/>
                <w:sz w:val="21"/>
                <w:szCs w:val="21"/>
                <w:highlight w:val="none"/>
              </w:rPr>
              <w:t>（5分）</w:t>
            </w:r>
          </w:p>
        </w:tc>
        <w:tc>
          <w:tcPr>
            <w:tcW w:w="5084" w:type="dxa"/>
            <w:tcBorders>
              <w:top w:val="single" w:color="auto" w:sz="4" w:space="0"/>
              <w:left w:val="single" w:color="auto" w:sz="4" w:space="0"/>
              <w:bottom w:val="single" w:color="auto" w:sz="4" w:space="0"/>
              <w:right w:val="single" w:color="auto" w:sz="4" w:space="0"/>
            </w:tcBorders>
            <w:vAlign w:val="center"/>
          </w:tcPr>
          <w:p>
            <w:pPr>
              <w:pStyle w:val="50"/>
              <w:ind w:firstLine="0" w:firstLineChars="0"/>
              <w:rPr>
                <w:rFonts w:hAnsi="宋体" w:cs="宋体"/>
                <w:sz w:val="21"/>
                <w:szCs w:val="21"/>
                <w:highlight w:val="none"/>
              </w:rPr>
            </w:pPr>
            <w:r>
              <w:rPr>
                <w:rFonts w:hint="eastAsia" w:hAnsi="宋体" w:cs="宋体"/>
                <w:sz w:val="21"/>
                <w:szCs w:val="21"/>
                <w:highlight w:val="none"/>
              </w:rPr>
              <w:t>除项目负责人以外，投标人拟派的其他项目成员中，以下各项证书均至少2人具备：</w:t>
            </w:r>
          </w:p>
          <w:p>
            <w:pPr>
              <w:pStyle w:val="50"/>
              <w:ind w:firstLine="0" w:firstLineChars="0"/>
              <w:rPr>
                <w:rFonts w:hAnsi="宋体" w:cs="宋体"/>
                <w:sz w:val="21"/>
                <w:szCs w:val="21"/>
                <w:highlight w:val="none"/>
              </w:rPr>
            </w:pPr>
            <w:r>
              <w:rPr>
                <w:rFonts w:hint="eastAsia" w:hAnsi="宋体" w:cs="宋体"/>
                <w:sz w:val="21"/>
                <w:szCs w:val="21"/>
                <w:highlight w:val="none"/>
              </w:rPr>
              <w:t>（1）系统分析师证书。</w:t>
            </w:r>
          </w:p>
          <w:p>
            <w:pPr>
              <w:pStyle w:val="50"/>
              <w:ind w:firstLine="0" w:firstLineChars="0"/>
              <w:rPr>
                <w:rFonts w:hAnsi="宋体" w:cs="宋体"/>
                <w:sz w:val="21"/>
                <w:szCs w:val="21"/>
                <w:highlight w:val="none"/>
              </w:rPr>
            </w:pPr>
            <w:r>
              <w:rPr>
                <w:rFonts w:hint="eastAsia" w:hAnsi="宋体" w:cs="宋体"/>
                <w:sz w:val="21"/>
                <w:szCs w:val="21"/>
                <w:highlight w:val="none"/>
              </w:rPr>
              <w:t>（2）系统架构设计师证书。</w:t>
            </w:r>
          </w:p>
          <w:p>
            <w:pPr>
              <w:pStyle w:val="50"/>
              <w:ind w:firstLine="0" w:firstLineChars="0"/>
              <w:rPr>
                <w:rFonts w:hAnsi="宋体" w:cs="宋体"/>
                <w:sz w:val="21"/>
                <w:szCs w:val="21"/>
                <w:highlight w:val="none"/>
              </w:rPr>
            </w:pPr>
            <w:r>
              <w:rPr>
                <w:rFonts w:hint="eastAsia" w:hAnsi="宋体" w:cs="宋体"/>
                <w:sz w:val="21"/>
                <w:szCs w:val="21"/>
                <w:highlight w:val="none"/>
              </w:rPr>
              <w:t>（3）软件设计师证书。</w:t>
            </w:r>
          </w:p>
          <w:p>
            <w:pPr>
              <w:pStyle w:val="50"/>
              <w:ind w:firstLine="0" w:firstLineChars="0"/>
              <w:rPr>
                <w:rFonts w:hAnsi="宋体" w:cs="宋体"/>
                <w:sz w:val="21"/>
                <w:szCs w:val="21"/>
                <w:highlight w:val="none"/>
              </w:rPr>
            </w:pPr>
            <w:r>
              <w:rPr>
                <w:rFonts w:hint="eastAsia" w:hAnsi="宋体" w:cs="宋体"/>
                <w:sz w:val="21"/>
                <w:szCs w:val="21"/>
                <w:highlight w:val="none"/>
              </w:rPr>
              <w:t>（4）软件评测师证书。</w:t>
            </w:r>
          </w:p>
          <w:p>
            <w:pPr>
              <w:pStyle w:val="50"/>
              <w:ind w:firstLine="0" w:firstLineChars="0"/>
              <w:rPr>
                <w:rFonts w:hAnsi="宋体" w:cs="宋体"/>
                <w:sz w:val="21"/>
                <w:szCs w:val="21"/>
                <w:highlight w:val="none"/>
              </w:rPr>
            </w:pPr>
            <w:r>
              <w:rPr>
                <w:rFonts w:hint="eastAsia" w:hAnsi="宋体" w:cs="宋体"/>
                <w:sz w:val="21"/>
                <w:szCs w:val="21"/>
                <w:highlight w:val="none"/>
              </w:rPr>
              <w:t>（5）系统集成项目管理工程师证书。</w:t>
            </w:r>
          </w:p>
          <w:p>
            <w:pPr>
              <w:pStyle w:val="50"/>
              <w:ind w:firstLine="0" w:firstLineChars="0"/>
              <w:rPr>
                <w:rFonts w:hAnsi="宋体" w:cs="宋体"/>
                <w:sz w:val="21"/>
                <w:szCs w:val="21"/>
                <w:highlight w:val="none"/>
              </w:rPr>
            </w:pPr>
            <w:r>
              <w:rPr>
                <w:rFonts w:hint="eastAsia" w:hAnsi="宋体" w:cs="宋体"/>
                <w:sz w:val="21"/>
                <w:szCs w:val="21"/>
                <w:highlight w:val="none"/>
              </w:rPr>
              <w:t>每提供一项满足人数要求的证书得1分，最高得5分。</w:t>
            </w:r>
          </w:p>
          <w:p>
            <w:pPr>
              <w:pStyle w:val="50"/>
              <w:ind w:firstLine="0" w:firstLineChars="0"/>
              <w:rPr>
                <w:rFonts w:hAnsi="宋体" w:cs="宋体"/>
                <w:sz w:val="21"/>
                <w:szCs w:val="21"/>
                <w:highlight w:val="none"/>
              </w:rPr>
            </w:pPr>
            <w:r>
              <w:rPr>
                <w:rFonts w:hint="eastAsia" w:hAnsi="宋体" w:cs="宋体"/>
                <w:sz w:val="21"/>
                <w:szCs w:val="21"/>
                <w:highlight w:val="none"/>
              </w:rPr>
              <w:t>提供人员资质证书、</w:t>
            </w:r>
            <w:r>
              <w:rPr>
                <w:rFonts w:hint="eastAsia" w:hAnsi="宋体"/>
                <w:sz w:val="21"/>
                <w:szCs w:val="21"/>
                <w:highlight w:val="none"/>
              </w:rPr>
              <w:t>2024年以来任意一个月的投标人为其缴纳的社保证明材料</w:t>
            </w:r>
            <w:r>
              <w:rPr>
                <w:rFonts w:hAnsi="宋体"/>
                <w:color w:val="000000"/>
                <w:sz w:val="21"/>
                <w:szCs w:val="21"/>
                <w:highlight w:val="none"/>
              </w:rPr>
              <w:t>扫描件</w:t>
            </w:r>
            <w:r>
              <w:rPr>
                <w:rFonts w:hint="eastAsia" w:hAnsi="宋体" w:cs="宋体"/>
                <w:sz w:val="21"/>
                <w:szCs w:val="21"/>
                <w:highlight w:val="none"/>
              </w:rPr>
              <w:t>，否则不得分。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1148" w:type="dxa"/>
            <w:vMerge w:val="continue"/>
            <w:tcBorders>
              <w:left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p>
        </w:tc>
        <w:tc>
          <w:tcPr>
            <w:tcW w:w="1245" w:type="dxa"/>
            <w:vMerge w:val="continue"/>
            <w:tcBorders>
              <w:left w:val="single" w:color="auto" w:sz="4" w:space="0"/>
              <w:right w:val="single" w:color="auto" w:sz="4" w:space="0"/>
            </w:tcBorders>
            <w:vAlign w:val="center"/>
          </w:tcPr>
          <w:p>
            <w:pPr>
              <w:spacing w:line="360" w:lineRule="auto"/>
              <w:jc w:val="left"/>
              <w:rPr>
                <w:rFonts w:ascii="宋体" w:hAnsi="宋体" w:cs="宋体"/>
                <w:szCs w:val="21"/>
                <w:highlight w:val="none"/>
              </w:rPr>
            </w:pPr>
          </w:p>
        </w:tc>
        <w:tc>
          <w:tcPr>
            <w:tcW w:w="2138" w:type="dxa"/>
            <w:tcBorders>
              <w:top w:val="single" w:color="auto" w:sz="4" w:space="0"/>
              <w:left w:val="single" w:color="auto" w:sz="4" w:space="0"/>
              <w:right w:val="single" w:color="auto" w:sz="4" w:space="0"/>
            </w:tcBorders>
            <w:vAlign w:val="center"/>
          </w:tcPr>
          <w:p>
            <w:pPr>
              <w:pStyle w:val="8"/>
              <w:spacing w:line="360" w:lineRule="auto"/>
              <w:jc w:val="center"/>
              <w:rPr>
                <w:rFonts w:hAnsi="宋体"/>
                <w:color w:val="auto"/>
                <w:sz w:val="21"/>
                <w:szCs w:val="21"/>
                <w:highlight w:val="none"/>
              </w:rPr>
            </w:pPr>
            <w:r>
              <w:rPr>
                <w:rFonts w:hint="eastAsia" w:hAnsi="宋体"/>
                <w:color w:val="auto"/>
                <w:sz w:val="21"/>
                <w:szCs w:val="21"/>
                <w:highlight w:val="none"/>
              </w:rPr>
              <w:t>资质认证（3分）</w:t>
            </w:r>
          </w:p>
        </w:tc>
        <w:tc>
          <w:tcPr>
            <w:tcW w:w="5084" w:type="dxa"/>
            <w:tcBorders>
              <w:top w:val="single" w:color="auto" w:sz="4" w:space="0"/>
              <w:left w:val="single" w:color="auto" w:sz="4" w:space="0"/>
              <w:bottom w:val="single" w:color="auto" w:sz="4" w:space="0"/>
              <w:right w:val="single" w:color="auto" w:sz="4" w:space="0"/>
            </w:tcBorders>
            <w:vAlign w:val="center"/>
          </w:tcPr>
          <w:p>
            <w:pPr>
              <w:pStyle w:val="50"/>
              <w:ind w:firstLine="0" w:firstLineChars="0"/>
              <w:rPr>
                <w:rFonts w:hAnsi="宋体" w:cs="宋体"/>
                <w:sz w:val="21"/>
                <w:szCs w:val="21"/>
                <w:highlight w:val="none"/>
              </w:rPr>
            </w:pPr>
            <w:r>
              <w:rPr>
                <w:rFonts w:hint="eastAsia" w:hAnsi="宋体" w:cs="宋体"/>
                <w:sz w:val="21"/>
                <w:szCs w:val="21"/>
                <w:highlight w:val="none"/>
              </w:rPr>
              <w:t>投标人具有国家认可的认证机构出具的认证范围与本项目相关的以下管理体系认证证书：</w:t>
            </w:r>
          </w:p>
          <w:p>
            <w:pPr>
              <w:pStyle w:val="50"/>
              <w:ind w:firstLine="0" w:firstLineChars="0"/>
              <w:rPr>
                <w:rFonts w:hAnsi="宋体" w:cs="宋体"/>
                <w:sz w:val="21"/>
                <w:szCs w:val="21"/>
                <w:highlight w:val="none"/>
              </w:rPr>
            </w:pPr>
            <w:r>
              <w:rPr>
                <w:rFonts w:hint="eastAsia" w:hAnsi="宋体" w:cs="宋体"/>
                <w:sz w:val="21"/>
                <w:szCs w:val="21"/>
                <w:highlight w:val="none"/>
              </w:rPr>
              <w:t>（1）质量管理体系认证证书</w:t>
            </w:r>
          </w:p>
          <w:p>
            <w:pPr>
              <w:pStyle w:val="50"/>
              <w:ind w:firstLine="0" w:firstLineChars="0"/>
              <w:rPr>
                <w:rFonts w:hAnsi="宋体" w:cs="宋体"/>
                <w:sz w:val="21"/>
                <w:szCs w:val="21"/>
                <w:highlight w:val="none"/>
              </w:rPr>
            </w:pPr>
            <w:r>
              <w:rPr>
                <w:rFonts w:hint="eastAsia" w:hAnsi="宋体" w:cs="宋体"/>
                <w:sz w:val="21"/>
                <w:szCs w:val="21"/>
                <w:highlight w:val="none"/>
              </w:rPr>
              <w:t>（2）信息安全管理体系认证证书</w:t>
            </w:r>
          </w:p>
          <w:p>
            <w:pPr>
              <w:pStyle w:val="50"/>
              <w:ind w:firstLine="0" w:firstLineChars="0"/>
              <w:rPr>
                <w:rFonts w:hAnsi="宋体" w:cs="宋体"/>
                <w:sz w:val="21"/>
                <w:szCs w:val="21"/>
                <w:highlight w:val="none"/>
              </w:rPr>
            </w:pPr>
            <w:r>
              <w:rPr>
                <w:rFonts w:hint="eastAsia" w:hAnsi="宋体" w:cs="宋体"/>
                <w:sz w:val="21"/>
                <w:szCs w:val="21"/>
                <w:highlight w:val="none"/>
              </w:rPr>
              <w:t>（3）信息技术服务（或IT服务）管理体系认证证书</w:t>
            </w:r>
          </w:p>
          <w:p>
            <w:pPr>
              <w:pStyle w:val="50"/>
              <w:ind w:firstLine="0" w:firstLineChars="0"/>
              <w:rPr>
                <w:rFonts w:hAnsi="宋体" w:cs="宋体"/>
                <w:sz w:val="21"/>
                <w:szCs w:val="21"/>
                <w:highlight w:val="none"/>
              </w:rPr>
            </w:pPr>
            <w:r>
              <w:rPr>
                <w:rFonts w:hint="eastAsia" w:hAnsi="宋体" w:cs="宋体"/>
                <w:sz w:val="21"/>
                <w:szCs w:val="21"/>
                <w:highlight w:val="none"/>
              </w:rPr>
              <w:t>每提供一个满足要求的认证证书得1分，最高得3分。</w:t>
            </w:r>
          </w:p>
          <w:p>
            <w:pPr>
              <w:pStyle w:val="50"/>
              <w:ind w:firstLine="0" w:firstLineChars="0"/>
              <w:rPr>
                <w:rFonts w:hAnsi="宋体" w:cs="宋体"/>
                <w:sz w:val="21"/>
                <w:szCs w:val="21"/>
                <w:highlight w:val="none"/>
              </w:rPr>
            </w:pPr>
            <w:r>
              <w:rPr>
                <w:rFonts w:hint="eastAsia" w:hAnsi="宋体" w:cs="宋体"/>
                <w:sz w:val="21"/>
                <w:szCs w:val="21"/>
                <w:highlight w:val="none"/>
              </w:rPr>
              <w:t>提供有效期内的证书扫描件，否则不得分。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1148" w:type="dxa"/>
            <w:vMerge w:val="continue"/>
            <w:tcBorders>
              <w:left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p>
        </w:tc>
        <w:tc>
          <w:tcPr>
            <w:tcW w:w="1245" w:type="dxa"/>
            <w:vMerge w:val="continue"/>
            <w:tcBorders>
              <w:left w:val="single" w:color="auto" w:sz="4" w:space="0"/>
              <w:right w:val="single" w:color="auto" w:sz="4" w:space="0"/>
            </w:tcBorders>
            <w:vAlign w:val="center"/>
          </w:tcPr>
          <w:p>
            <w:pPr>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highlight w:val="none"/>
              </w:rPr>
            </w:pPr>
            <w:r>
              <w:rPr>
                <w:highlight w:val="none"/>
              </w:rPr>
              <w:t>资信业绩</w:t>
            </w:r>
          </w:p>
          <w:p>
            <w:pPr>
              <w:pStyle w:val="31"/>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（2分）</w:t>
            </w:r>
          </w:p>
          <w:p>
            <w:pPr>
              <w:rPr>
                <w:highlight w:val="none"/>
              </w:rPr>
            </w:pPr>
          </w:p>
        </w:tc>
        <w:tc>
          <w:tcPr>
            <w:tcW w:w="5084"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spacing w:val="1"/>
                <w:kern w:val="0"/>
                <w:szCs w:val="21"/>
                <w:highlight w:val="none"/>
              </w:rPr>
            </w:pPr>
            <w:r>
              <w:rPr>
                <w:spacing w:val="1"/>
                <w:kern w:val="0"/>
                <w:szCs w:val="21"/>
                <w:highlight w:val="none"/>
              </w:rPr>
              <w:t>投标人每提供一份</w:t>
            </w:r>
            <w:r>
              <w:rPr>
                <w:rFonts w:hint="eastAsia"/>
                <w:spacing w:val="1"/>
                <w:kern w:val="0"/>
                <w:szCs w:val="21"/>
                <w:highlight w:val="none"/>
              </w:rPr>
              <w:t>2021</w:t>
            </w:r>
            <w:r>
              <w:rPr>
                <w:spacing w:val="1"/>
                <w:kern w:val="0"/>
                <w:szCs w:val="21"/>
                <w:highlight w:val="none"/>
              </w:rPr>
              <w:t>年1月1日以来</w:t>
            </w:r>
            <w:r>
              <w:rPr>
                <w:rFonts w:hint="eastAsia"/>
                <w:spacing w:val="1"/>
                <w:kern w:val="0"/>
                <w:szCs w:val="21"/>
                <w:highlight w:val="none"/>
              </w:rPr>
              <w:t>，</w:t>
            </w:r>
            <w:r>
              <w:rPr>
                <w:spacing w:val="1"/>
                <w:kern w:val="0"/>
                <w:szCs w:val="21"/>
                <w:highlight w:val="none"/>
              </w:rPr>
              <w:t>类似</w:t>
            </w:r>
            <w:r>
              <w:rPr>
                <w:rFonts w:hint="eastAsia"/>
                <w:spacing w:val="1"/>
                <w:kern w:val="0"/>
                <w:szCs w:val="21"/>
                <w:highlight w:val="none"/>
              </w:rPr>
              <w:t>项目的</w:t>
            </w:r>
            <w:r>
              <w:rPr>
                <w:spacing w:val="1"/>
                <w:kern w:val="0"/>
                <w:szCs w:val="21"/>
                <w:highlight w:val="none"/>
              </w:rPr>
              <w:t>业绩，</w:t>
            </w:r>
            <w:r>
              <w:rPr>
                <w:rFonts w:hint="eastAsia"/>
                <w:spacing w:val="1"/>
                <w:kern w:val="0"/>
                <w:szCs w:val="21"/>
                <w:highlight w:val="none"/>
              </w:rPr>
              <w:t>每有一份</w:t>
            </w:r>
            <w:r>
              <w:rPr>
                <w:spacing w:val="1"/>
                <w:kern w:val="0"/>
                <w:szCs w:val="21"/>
                <w:highlight w:val="none"/>
              </w:rPr>
              <w:t>得</w:t>
            </w:r>
            <w:r>
              <w:rPr>
                <w:rFonts w:hint="eastAsia"/>
                <w:spacing w:val="1"/>
                <w:kern w:val="0"/>
                <w:szCs w:val="21"/>
                <w:highlight w:val="none"/>
              </w:rPr>
              <w:t>1</w:t>
            </w:r>
            <w:r>
              <w:rPr>
                <w:spacing w:val="1"/>
                <w:kern w:val="0"/>
                <w:szCs w:val="21"/>
                <w:highlight w:val="none"/>
              </w:rPr>
              <w:t>分，本项最多得</w:t>
            </w:r>
            <w:r>
              <w:rPr>
                <w:rFonts w:hint="eastAsia"/>
                <w:spacing w:val="1"/>
                <w:kern w:val="0"/>
                <w:szCs w:val="21"/>
                <w:highlight w:val="none"/>
              </w:rPr>
              <w:t>2</w:t>
            </w:r>
            <w:r>
              <w:rPr>
                <w:spacing w:val="1"/>
                <w:kern w:val="0"/>
                <w:szCs w:val="21"/>
                <w:highlight w:val="none"/>
              </w:rPr>
              <w:t>分。</w:t>
            </w:r>
          </w:p>
          <w:p>
            <w:pPr>
              <w:pStyle w:val="31"/>
              <w:spacing w:after="0" w:line="276" w:lineRule="auto"/>
              <w:ind w:firstLine="0" w:firstLineChars="0"/>
              <w:rPr>
                <w:rFonts w:ascii="宋体" w:hAnsi="宋体" w:cs="Times New Roman"/>
                <w:sz w:val="21"/>
                <w:szCs w:val="21"/>
                <w:highlight w:val="none"/>
              </w:rPr>
            </w:pPr>
            <w:r>
              <w:rPr>
                <w:rFonts w:ascii="Times New Roman" w:hAnsi="Times New Roman" w:cs="Times New Roman"/>
                <w:spacing w:val="1"/>
                <w:kern w:val="0"/>
                <w:sz w:val="21"/>
                <w:szCs w:val="21"/>
                <w:highlight w:val="none"/>
              </w:rPr>
              <w:t>注：需提供中标通知书</w:t>
            </w:r>
            <w:r>
              <w:rPr>
                <w:rFonts w:hint="eastAsia" w:ascii="Times New Roman" w:hAnsi="Times New Roman" w:cs="Times New Roman"/>
                <w:spacing w:val="1"/>
                <w:kern w:val="0"/>
                <w:sz w:val="21"/>
                <w:szCs w:val="21"/>
                <w:highlight w:val="none"/>
              </w:rPr>
              <w:t>和</w:t>
            </w:r>
            <w:r>
              <w:rPr>
                <w:rFonts w:ascii="Times New Roman" w:hAnsi="Times New Roman" w:cs="Times New Roman"/>
                <w:spacing w:val="1"/>
                <w:kern w:val="0"/>
                <w:sz w:val="21"/>
                <w:szCs w:val="21"/>
                <w:highlight w:val="none"/>
              </w:rPr>
              <w:t>合同扫描件，不提供不得分。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1148" w:type="dxa"/>
            <w:vMerge w:val="continue"/>
            <w:tcBorders>
              <w:left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p>
        </w:tc>
        <w:tc>
          <w:tcPr>
            <w:tcW w:w="1245" w:type="dxa"/>
            <w:vMerge w:val="continue"/>
            <w:tcBorders>
              <w:left w:val="single" w:color="auto" w:sz="4" w:space="0"/>
              <w:right w:val="single" w:color="auto" w:sz="4" w:space="0"/>
            </w:tcBorders>
            <w:vAlign w:val="center"/>
          </w:tcPr>
          <w:p>
            <w:pPr>
              <w:spacing w:line="360" w:lineRule="auto"/>
              <w:jc w:val="left"/>
              <w:rPr>
                <w:rFonts w:ascii="宋体" w:hAnsi="宋体" w:cs="宋体"/>
                <w:szCs w:val="21"/>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212"/>
              <w:jc w:val="center"/>
              <w:rPr>
                <w:rFonts w:ascii="Times New Roman" w:hAnsi="Times New Roman" w:cs="Times New Roman"/>
                <w:highlight w:val="none"/>
              </w:rPr>
            </w:pPr>
            <w:r>
              <w:rPr>
                <w:rFonts w:hint="eastAsia"/>
                <w:spacing w:val="1"/>
                <w:kern w:val="0"/>
                <w:sz w:val="21"/>
                <w:szCs w:val="21"/>
                <w:highlight w:val="none"/>
              </w:rPr>
              <w:t>售后服务</w:t>
            </w:r>
            <w:r>
              <w:rPr>
                <w:rFonts w:hint="eastAsia" w:ascii="Times New Roman" w:hAnsi="Times New Roman" w:cs="Times New Roman"/>
                <w:spacing w:val="1"/>
                <w:kern w:val="0"/>
                <w:sz w:val="21"/>
                <w:szCs w:val="21"/>
                <w:highlight w:val="none"/>
              </w:rPr>
              <w:t>（7</w:t>
            </w:r>
            <w:r>
              <w:rPr>
                <w:rFonts w:ascii="Times New Roman" w:hAnsi="Times New Roman" w:cs="Times New Roman"/>
                <w:spacing w:val="1"/>
                <w:kern w:val="0"/>
                <w:sz w:val="21"/>
                <w:szCs w:val="21"/>
                <w:highlight w:val="none"/>
              </w:rPr>
              <w:t>分</w:t>
            </w:r>
            <w:r>
              <w:rPr>
                <w:rFonts w:hint="eastAsia" w:ascii="Times New Roman" w:hAnsi="Times New Roman" w:cs="Times New Roman"/>
                <w:spacing w:val="1"/>
                <w:kern w:val="0"/>
                <w:sz w:val="21"/>
                <w:szCs w:val="21"/>
                <w:highlight w:val="none"/>
              </w:rPr>
              <w:t>）</w:t>
            </w:r>
          </w:p>
        </w:tc>
        <w:tc>
          <w:tcPr>
            <w:tcW w:w="508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Cs w:val="21"/>
                <w:highlight w:val="none"/>
              </w:rPr>
            </w:pPr>
            <w:r>
              <w:rPr>
                <w:rFonts w:hint="eastAsia" w:ascii="宋体" w:hAnsi="宋体"/>
                <w:bCs/>
                <w:szCs w:val="21"/>
                <w:highlight w:val="none"/>
              </w:rPr>
              <w:t>投标人能够确保项目售后服务质量，提供可行可靠的售后服务方案。评委根据投标方案内容进行综合打分。</w:t>
            </w:r>
          </w:p>
          <w:p>
            <w:pPr>
              <w:spacing w:line="360" w:lineRule="auto"/>
              <w:rPr>
                <w:rFonts w:ascii="宋体" w:hAnsi="宋体"/>
                <w:bCs/>
                <w:szCs w:val="21"/>
                <w:highlight w:val="none"/>
              </w:rPr>
            </w:pPr>
            <w:r>
              <w:rPr>
                <w:rFonts w:hint="eastAsia" w:ascii="宋体" w:hAnsi="宋体"/>
                <w:bCs/>
                <w:szCs w:val="21"/>
                <w:highlight w:val="none"/>
              </w:rPr>
              <w:t>优秀：售后服务承诺满足招标文件要求，方案具有完善的售后服务体系，合理可行，得7分。</w:t>
            </w:r>
          </w:p>
          <w:p>
            <w:pPr>
              <w:spacing w:line="360" w:lineRule="auto"/>
              <w:rPr>
                <w:rFonts w:ascii="宋体" w:hAnsi="宋体"/>
                <w:bCs/>
                <w:szCs w:val="21"/>
                <w:highlight w:val="none"/>
              </w:rPr>
            </w:pPr>
            <w:r>
              <w:rPr>
                <w:rFonts w:hint="eastAsia" w:ascii="宋体" w:hAnsi="宋体"/>
                <w:bCs/>
                <w:szCs w:val="21"/>
                <w:highlight w:val="none"/>
              </w:rPr>
              <w:t>良好：售后服务承诺满足招标文件要求，方案基本可行，得4分。</w:t>
            </w:r>
          </w:p>
          <w:p>
            <w:pPr>
              <w:spacing w:line="360" w:lineRule="auto"/>
              <w:rPr>
                <w:highlight w:val="none"/>
              </w:rPr>
            </w:pPr>
            <w:r>
              <w:rPr>
                <w:rFonts w:hint="eastAsia" w:ascii="宋体" w:hAnsi="宋体"/>
                <w:bCs/>
                <w:szCs w:val="21"/>
                <w:highlight w:val="none"/>
              </w:rPr>
              <w:t>一般：售后服务满足招标文件要求，方案较粗略理论可行，得1分。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393" w:type="dxa"/>
            <w:gridSpan w:val="2"/>
            <w:vMerge w:val="restart"/>
            <w:tcBorders>
              <w:top w:val="single" w:color="auto" w:sz="4" w:space="0"/>
              <w:left w:val="single" w:color="auto" w:sz="4" w:space="0"/>
              <w:right w:val="single" w:color="auto" w:sz="4" w:space="0"/>
            </w:tcBorders>
            <w:vAlign w:val="center"/>
          </w:tcPr>
          <w:p>
            <w:pPr>
              <w:widowControl/>
              <w:spacing w:line="360" w:lineRule="auto"/>
              <w:jc w:val="center"/>
              <w:rPr>
                <w:sz w:val="32"/>
                <w:szCs w:val="32"/>
                <w:highlight w:val="none"/>
              </w:rPr>
            </w:pPr>
            <w:r>
              <w:rPr>
                <w:rFonts w:hint="eastAsia" w:ascii="宋体" w:hAnsi="宋体" w:cs="宋体"/>
                <w:spacing w:val="1"/>
                <w:kern w:val="0"/>
                <w:szCs w:val="21"/>
                <w:highlight w:val="none"/>
              </w:rPr>
              <w:t>废标条款</w:t>
            </w: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r>
              <w:rPr>
                <w:rFonts w:hint="eastAsia" w:ascii="宋体" w:hAnsi="宋体" w:cs="宋体"/>
                <w:szCs w:val="21"/>
                <w:highlight w:val="none"/>
              </w:rPr>
              <w:t>投标截止时间止，投标人少于3个的。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1"/>
                <w:kern w:val="0"/>
                <w:szCs w:val="21"/>
                <w:highlight w:val="none"/>
              </w:rPr>
            </w:pPr>
            <w:r>
              <w:rPr>
                <w:rFonts w:hint="eastAsia" w:ascii="宋体" w:hAnsi="宋体" w:cs="宋体"/>
                <w:bCs/>
                <w:szCs w:val="21"/>
                <w:highlight w:val="none"/>
              </w:rPr>
              <w:t>投标人的投标报价高于最高投标限价。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Cs w:val="21"/>
                <w:highlight w:val="none"/>
              </w:rPr>
            </w:pPr>
            <w:r>
              <w:rPr>
                <w:rFonts w:hint="eastAsia" w:ascii="宋体" w:hAnsi="宋体" w:cs="宋体"/>
                <w:bCs/>
                <w:szCs w:val="21"/>
                <w:highlight w:val="none"/>
              </w:rPr>
              <w:t>投标人投标文件制作机器码一致的。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pPr>
              <w:widowControl/>
              <w:spacing w:line="360" w:lineRule="auto"/>
              <w:jc w:val="center"/>
              <w:rPr>
                <w:sz w:val="32"/>
                <w:szCs w:val="32"/>
                <w:highlight w:val="none"/>
              </w:rPr>
            </w:pPr>
          </w:p>
        </w:tc>
        <w:tc>
          <w:tcPr>
            <w:tcW w:w="72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Cs w:val="21"/>
                <w:highlight w:val="none"/>
              </w:rPr>
            </w:pPr>
            <w:r>
              <w:rPr>
                <w:rFonts w:hint="eastAsia" w:ascii="宋体" w:hAnsi="宋体" w:cs="宋体"/>
                <w:spacing w:val="1"/>
                <w:kern w:val="0"/>
                <w:szCs w:val="21"/>
                <w:highlight w:val="none"/>
              </w:rPr>
              <w:t>法律法规规定的其他内容。</w:t>
            </w:r>
          </w:p>
        </w:tc>
      </w:tr>
    </w:tbl>
    <w:p>
      <w:pPr>
        <w:spacing w:line="360" w:lineRule="auto"/>
        <w:ind w:firstLine="422" w:firstLineChars="200"/>
        <w:outlineLvl w:val="1"/>
        <w:rPr>
          <w:rFonts w:ascii="宋体" w:hAnsi="宋体" w:cs="宋体"/>
          <w:b/>
          <w:highlight w:val="none"/>
        </w:rPr>
      </w:pPr>
      <w:bookmarkStart w:id="130" w:name="_Toc7893"/>
      <w:r>
        <w:rPr>
          <w:rFonts w:hint="eastAsia" w:ascii="宋体" w:hAnsi="宋体" w:cs="宋体"/>
          <w:b/>
          <w:highlight w:val="none"/>
        </w:rPr>
        <w:t>注：1.根据《政府采购货物和服务采购投标管理办法》（财政部第87号令）第31条的规定，提供相同品牌产品且通过资格审查、符合性审查的不同供应商参加同一标段投标的，按一家供应商计算，评审后得分最高的同品牌供应商获得成交人推荐资格；评审得分相同的，以投标报价最低者获得成交人推荐资格；评审得分相同，报价也相同的，由评标委员会集体投票（少数服从多数）决定。</w:t>
      </w:r>
      <w:bookmarkEnd w:id="130"/>
    </w:p>
    <w:p>
      <w:pPr>
        <w:pStyle w:val="3"/>
        <w:ind w:firstLine="840" w:firstLineChars="400"/>
        <w:rPr>
          <w:b/>
          <w:bCs/>
          <w:highlight w:val="none"/>
        </w:rPr>
      </w:pPr>
      <w:r>
        <w:rPr>
          <w:rFonts w:hint="eastAsia"/>
          <w:b/>
          <w:bCs/>
          <w:highlight w:val="none"/>
        </w:rPr>
        <w:t>2.本项目的核心产品为：</w:t>
      </w:r>
      <w:bookmarkStart w:id="131" w:name="_Toc28203"/>
      <w:r>
        <w:rPr>
          <w:rFonts w:hint="eastAsia"/>
          <w:b/>
          <w:bCs/>
          <w:highlight w:val="none"/>
        </w:rPr>
        <w:t>一标段：</w:t>
      </w:r>
      <w:r>
        <w:rPr>
          <w:rFonts w:hint="eastAsia" w:ascii="宋体" w:hAnsi="宋体" w:eastAsia="宋体" w:cs="宋体"/>
          <w:b/>
          <w:bCs/>
          <w:kern w:val="0"/>
          <w:sz w:val="21"/>
          <w:szCs w:val="21"/>
          <w:highlight w:val="none"/>
          <w:lang w:val="en-US" w:eastAsia="zh-CN" w:bidi="ar-SA"/>
        </w:rPr>
        <w:fldChar w:fldCharType="begin"/>
      </w:r>
      <w:r>
        <w:rPr>
          <w:rFonts w:hint="eastAsia" w:ascii="宋体" w:hAnsi="宋体" w:eastAsia="宋体" w:cs="宋体"/>
          <w:b/>
          <w:bCs/>
          <w:kern w:val="0"/>
          <w:sz w:val="21"/>
          <w:szCs w:val="21"/>
          <w:highlight w:val="none"/>
          <w:lang w:val="en-US" w:eastAsia="zh-CN" w:bidi="ar-SA"/>
        </w:rPr>
        <w:instrText xml:space="preserve">HYPERLINK""\l"_Toc29234"</w:instrText>
      </w:r>
      <w:r>
        <w:rPr>
          <w:rFonts w:hint="eastAsia" w:ascii="宋体" w:hAnsi="宋体" w:eastAsia="宋体" w:cs="宋体"/>
          <w:b/>
          <w:bCs/>
          <w:kern w:val="0"/>
          <w:sz w:val="21"/>
          <w:szCs w:val="21"/>
          <w:highlight w:val="none"/>
          <w:lang w:val="en-US" w:eastAsia="zh-CN" w:bidi="ar-SA"/>
        </w:rPr>
        <w:fldChar w:fldCharType="separate"/>
      </w:r>
      <w:r>
        <w:rPr>
          <w:rFonts w:hint="eastAsia" w:ascii="宋体" w:hAnsi="宋体" w:eastAsia="宋体" w:cs="宋体"/>
          <w:b/>
          <w:bCs/>
          <w:kern w:val="0"/>
          <w:sz w:val="21"/>
          <w:szCs w:val="21"/>
          <w:highlight w:val="none"/>
          <w:lang w:val="en-US" w:eastAsia="zh-CN" w:bidi="ar-SA"/>
        </w:rPr>
        <w:t>数据资源中心</w:t>
      </w:r>
      <w:r>
        <w:rPr>
          <w:rFonts w:hint="eastAsia" w:ascii="宋体" w:hAnsi="宋体" w:eastAsia="宋体" w:cs="宋体"/>
          <w:b/>
          <w:bCs/>
          <w:kern w:val="0"/>
          <w:sz w:val="21"/>
          <w:szCs w:val="21"/>
          <w:highlight w:val="none"/>
          <w:lang w:val="en-US" w:eastAsia="zh-CN" w:bidi="ar-SA"/>
        </w:rPr>
        <w:fldChar w:fldCharType="end"/>
      </w:r>
    </w:p>
    <w:p>
      <w:pPr>
        <w:pStyle w:val="3"/>
        <w:rPr>
          <w:rFonts w:ascii="宋体" w:hAnsi="宋体" w:cs="宋体"/>
          <w:b/>
          <w:highlight w:val="none"/>
        </w:rPr>
      </w:pPr>
      <w:r>
        <w:rPr>
          <w:rFonts w:hint="eastAsia" w:ascii="宋体" w:hAnsi="宋体" w:cs="宋体"/>
          <w:b/>
          <w:highlight w:val="none"/>
        </w:rPr>
        <w:t>1. 评标方法</w:t>
      </w:r>
      <w:bookmarkEnd w:id="129"/>
      <w:bookmarkEnd w:id="131"/>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款规定的评分标准进行打分，并按得分由高到低顺序推荐中标候选人，但投标报价低于其成本的除外。综合评分相等时，以投标报价低的优先；投标报价也相等的，由招标人摇号确定。</w:t>
      </w:r>
    </w:p>
    <w:p>
      <w:pPr>
        <w:spacing w:line="360" w:lineRule="auto"/>
        <w:outlineLvl w:val="1"/>
        <w:rPr>
          <w:rFonts w:ascii="宋体" w:hAnsi="宋体" w:cs="宋体"/>
          <w:b/>
          <w:highlight w:val="none"/>
        </w:rPr>
      </w:pPr>
      <w:bookmarkStart w:id="132" w:name="_Toc24847"/>
      <w:bookmarkStart w:id="133" w:name="_Toc31288"/>
      <w:bookmarkStart w:id="134" w:name="_Toc5723"/>
      <w:r>
        <w:rPr>
          <w:rFonts w:hint="eastAsia" w:ascii="宋体" w:hAnsi="宋体" w:cs="宋体"/>
          <w:b/>
          <w:highlight w:val="none"/>
        </w:rPr>
        <w:t>2. 评审标准</w:t>
      </w:r>
      <w:bookmarkEnd w:id="121"/>
      <w:bookmarkEnd w:id="122"/>
      <w:bookmarkEnd w:id="123"/>
      <w:bookmarkEnd w:id="124"/>
      <w:bookmarkEnd w:id="125"/>
      <w:bookmarkEnd w:id="126"/>
      <w:bookmarkEnd w:id="127"/>
      <w:bookmarkEnd w:id="132"/>
      <w:bookmarkEnd w:id="133"/>
      <w:bookmarkEnd w:id="134"/>
    </w:p>
    <w:p>
      <w:pPr>
        <w:pStyle w:val="4"/>
        <w:spacing w:line="360" w:lineRule="auto"/>
        <w:rPr>
          <w:rFonts w:ascii="宋体" w:hAnsi="宋体" w:cs="宋体"/>
          <w:sz w:val="21"/>
          <w:szCs w:val="21"/>
          <w:highlight w:val="none"/>
        </w:rPr>
      </w:pPr>
      <w:bookmarkStart w:id="135" w:name="_Toc144974569"/>
      <w:bookmarkStart w:id="136" w:name="_Toc152045602"/>
      <w:bookmarkStart w:id="137" w:name="_Toc31574"/>
      <w:bookmarkStart w:id="138" w:name="_Toc246996988"/>
      <w:bookmarkStart w:id="139" w:name="_Toc3423"/>
      <w:bookmarkStart w:id="140" w:name="_Toc247085760"/>
      <w:bookmarkStart w:id="141" w:name="_Toc179632620"/>
      <w:bookmarkStart w:id="142" w:name="_Toc19717"/>
      <w:bookmarkStart w:id="143" w:name="_Toc246996245"/>
      <w:bookmarkStart w:id="144" w:name="_Toc339890729"/>
      <w:bookmarkStart w:id="145" w:name="_Toc152042379"/>
      <w:r>
        <w:rPr>
          <w:rFonts w:hint="eastAsia" w:ascii="宋体" w:hAnsi="宋体" w:cs="宋体"/>
          <w:sz w:val="21"/>
          <w:szCs w:val="21"/>
          <w:highlight w:val="none"/>
        </w:rPr>
        <w:t>2.1 初步评审标准</w:t>
      </w:r>
      <w:bookmarkEnd w:id="135"/>
      <w:bookmarkEnd w:id="136"/>
      <w:bookmarkEnd w:id="137"/>
      <w:bookmarkEnd w:id="138"/>
      <w:bookmarkEnd w:id="139"/>
      <w:bookmarkEnd w:id="140"/>
      <w:bookmarkEnd w:id="141"/>
      <w:bookmarkEnd w:id="142"/>
      <w:bookmarkEnd w:id="143"/>
      <w:bookmarkEnd w:id="144"/>
      <w:bookmarkEnd w:id="145"/>
    </w:p>
    <w:p>
      <w:pPr>
        <w:spacing w:line="360" w:lineRule="auto"/>
        <w:ind w:firstLine="420" w:firstLineChars="200"/>
        <w:rPr>
          <w:rFonts w:ascii="宋体" w:hAnsi="宋体" w:cs="宋体"/>
          <w:highlight w:val="none"/>
        </w:rPr>
      </w:pPr>
      <w:r>
        <w:rPr>
          <w:rFonts w:hint="eastAsia" w:ascii="宋体" w:hAnsi="宋体" w:cs="宋体"/>
          <w:highlight w:val="none"/>
        </w:rPr>
        <w:t>2.1.1 形式评审标准：见评标办法前附表（评标委员会审查）。</w:t>
      </w:r>
    </w:p>
    <w:p>
      <w:pPr>
        <w:spacing w:line="360" w:lineRule="auto"/>
        <w:ind w:firstLine="420" w:firstLineChars="200"/>
        <w:rPr>
          <w:rFonts w:ascii="宋体" w:hAnsi="宋体" w:cs="宋体"/>
          <w:highlight w:val="none"/>
        </w:rPr>
      </w:pPr>
      <w:r>
        <w:rPr>
          <w:rFonts w:hint="eastAsia" w:ascii="宋体" w:hAnsi="宋体" w:cs="宋体"/>
          <w:highlight w:val="none"/>
        </w:rPr>
        <w:t>2.1.2 资格评审标准：见评标办法前附表（资格审查小组审查）。</w:t>
      </w:r>
    </w:p>
    <w:p>
      <w:pPr>
        <w:spacing w:line="360" w:lineRule="auto"/>
        <w:ind w:firstLine="420" w:firstLineChars="200"/>
        <w:rPr>
          <w:rFonts w:ascii="宋体" w:hAnsi="宋体" w:cs="宋体"/>
          <w:highlight w:val="none"/>
        </w:rPr>
      </w:pPr>
      <w:r>
        <w:rPr>
          <w:rFonts w:hint="eastAsia" w:ascii="宋体" w:hAnsi="宋体" w:cs="宋体"/>
          <w:highlight w:val="none"/>
        </w:rPr>
        <w:t>2.1.3 响应性评审标准：见评标办法前附表（评标委员会审查）。</w:t>
      </w:r>
    </w:p>
    <w:p>
      <w:pPr>
        <w:pStyle w:val="4"/>
        <w:spacing w:line="360" w:lineRule="auto"/>
        <w:rPr>
          <w:rFonts w:ascii="宋体" w:hAnsi="宋体" w:cs="宋体"/>
          <w:sz w:val="21"/>
          <w:szCs w:val="21"/>
          <w:highlight w:val="none"/>
        </w:rPr>
      </w:pPr>
      <w:bookmarkStart w:id="146" w:name="_Toc144974570"/>
      <w:bookmarkStart w:id="147" w:name="_Toc247085761"/>
      <w:bookmarkStart w:id="148" w:name="_Toc339890730"/>
      <w:bookmarkStart w:id="149" w:name="_Toc152042380"/>
      <w:bookmarkStart w:id="150" w:name="_Toc152045603"/>
      <w:bookmarkStart w:id="151" w:name="_Toc246996989"/>
      <w:bookmarkStart w:id="152" w:name="_Toc8336"/>
      <w:bookmarkStart w:id="153" w:name="_Toc179632621"/>
      <w:bookmarkStart w:id="154" w:name="_Toc3548"/>
      <w:bookmarkStart w:id="155" w:name="_Toc246996246"/>
      <w:bookmarkStart w:id="156" w:name="_Toc12720"/>
      <w:r>
        <w:rPr>
          <w:rFonts w:hint="eastAsia" w:ascii="宋体" w:hAnsi="宋体" w:cs="宋体"/>
          <w:sz w:val="21"/>
          <w:szCs w:val="21"/>
          <w:highlight w:val="none"/>
        </w:rPr>
        <w:t>2.2 分值构成与评分标准</w:t>
      </w:r>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20" w:firstLineChars="200"/>
        <w:rPr>
          <w:rFonts w:ascii="宋体" w:hAnsi="宋体" w:cs="宋体"/>
          <w:highlight w:val="none"/>
        </w:rPr>
      </w:pPr>
      <w:r>
        <w:rPr>
          <w:rFonts w:hint="eastAsia" w:ascii="宋体" w:hAnsi="宋体" w:cs="宋体"/>
          <w:highlight w:val="none"/>
        </w:rPr>
        <w:t>2.2.1 分值构成</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highlight w:val="none"/>
        </w:rPr>
        <w:t>经济标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（2）</w:t>
      </w:r>
      <w:r>
        <w:rPr>
          <w:rFonts w:hint="eastAsia"/>
          <w:highlight w:val="none"/>
        </w:rPr>
        <w:t>技术标</w:t>
      </w:r>
      <w:r>
        <w:rPr>
          <w:rFonts w:hint="eastAsia" w:ascii="宋体" w:hAnsi="宋体" w:cs="宋体"/>
          <w:highlight w:val="none"/>
        </w:rPr>
        <w:t>：见评标办法前附表；</w:t>
      </w:r>
    </w:p>
    <w:p>
      <w:pPr>
        <w:spacing w:line="360" w:lineRule="auto"/>
        <w:ind w:firstLine="718" w:firstLineChars="342"/>
        <w:rPr>
          <w:rFonts w:ascii="宋体" w:hAnsi="宋体" w:cs="宋体"/>
          <w:highlight w:val="none"/>
        </w:rPr>
      </w:pPr>
      <w:r>
        <w:rPr>
          <w:rFonts w:hint="eastAsia" w:ascii="宋体" w:hAnsi="宋体" w:cs="宋体"/>
          <w:highlight w:val="none"/>
        </w:rPr>
        <w:t>（3）</w:t>
      </w:r>
      <w:r>
        <w:rPr>
          <w:rFonts w:hint="eastAsia"/>
          <w:highlight w:val="none"/>
        </w:rPr>
        <w:t>综合标</w:t>
      </w:r>
      <w:r>
        <w:rPr>
          <w:rFonts w:hint="eastAsia" w:ascii="宋体" w:hAnsi="宋体" w:cs="宋体"/>
          <w:highlight w:val="none"/>
        </w:rPr>
        <w:t>：见评标办法前附表。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2.2.2 评标基准价计算</w:t>
      </w:r>
    </w:p>
    <w:p>
      <w:pPr>
        <w:spacing w:line="360" w:lineRule="auto"/>
        <w:ind w:firstLine="840" w:firstLineChars="400"/>
        <w:rPr>
          <w:rFonts w:ascii="宋体" w:hAnsi="宋体" w:cs="宋体"/>
          <w:highlight w:val="none"/>
        </w:rPr>
      </w:pPr>
      <w:r>
        <w:rPr>
          <w:rFonts w:hint="eastAsia" w:ascii="宋体" w:hAnsi="宋体" w:cs="宋体"/>
          <w:highlight w:val="none"/>
        </w:rPr>
        <w:t>评标基准价计算方法：见评标办法前附表。</w:t>
      </w:r>
    </w:p>
    <w:p>
      <w:pPr>
        <w:spacing w:line="360" w:lineRule="auto"/>
        <w:ind w:firstLine="420" w:firstLineChars="200"/>
        <w:rPr>
          <w:rFonts w:ascii="宋体" w:hAnsi="宋体" w:cs="宋体"/>
          <w:highlight w:val="none"/>
        </w:rPr>
      </w:pPr>
      <w:r>
        <w:rPr>
          <w:rFonts w:hint="eastAsia" w:ascii="宋体" w:hAnsi="宋体" w:cs="宋体"/>
          <w:highlight w:val="none"/>
        </w:rPr>
        <w:t>2.2.3 投标报价的偏差率计算</w:t>
      </w:r>
    </w:p>
    <w:p>
      <w:pPr>
        <w:spacing w:line="360" w:lineRule="auto"/>
        <w:ind w:firstLine="840" w:firstLineChars="400"/>
        <w:rPr>
          <w:rFonts w:ascii="宋体" w:hAnsi="宋体" w:cs="宋体"/>
          <w:highlight w:val="none"/>
        </w:rPr>
      </w:pPr>
      <w:r>
        <w:rPr>
          <w:rFonts w:hint="eastAsia" w:ascii="宋体" w:hAnsi="宋体" w:cs="宋体"/>
          <w:highlight w:val="none"/>
        </w:rPr>
        <w:t>投标报价的偏差率计算公式：见评标办法前附表。</w:t>
      </w:r>
    </w:p>
    <w:p>
      <w:pPr>
        <w:spacing w:line="360" w:lineRule="auto"/>
        <w:outlineLvl w:val="1"/>
        <w:rPr>
          <w:rFonts w:ascii="宋体" w:hAnsi="宋体" w:cs="宋体"/>
          <w:b/>
          <w:highlight w:val="none"/>
        </w:rPr>
      </w:pPr>
      <w:bookmarkStart w:id="157" w:name="_Toc2811"/>
      <w:bookmarkStart w:id="158" w:name="_Toc144974571"/>
      <w:bookmarkStart w:id="159" w:name="_Toc152042381"/>
      <w:bookmarkStart w:id="160" w:name="_Toc179632622"/>
      <w:bookmarkStart w:id="161" w:name="_Toc15541"/>
      <w:bookmarkStart w:id="162" w:name="_Toc246996247"/>
      <w:bookmarkStart w:id="163" w:name="_Toc247085762"/>
      <w:bookmarkStart w:id="164" w:name="_Toc152045604"/>
      <w:bookmarkStart w:id="165" w:name="_Toc17308"/>
      <w:bookmarkStart w:id="166" w:name="_Toc246996990"/>
      <w:r>
        <w:rPr>
          <w:rFonts w:hint="eastAsia" w:ascii="宋体" w:hAnsi="宋体" w:cs="宋体"/>
          <w:b/>
          <w:highlight w:val="none"/>
        </w:rPr>
        <w:t>3. 评标程序</w:t>
      </w:r>
      <w:bookmarkEnd w:id="157"/>
      <w:bookmarkEnd w:id="158"/>
      <w:bookmarkEnd w:id="159"/>
      <w:bookmarkEnd w:id="160"/>
      <w:bookmarkEnd w:id="161"/>
      <w:bookmarkEnd w:id="162"/>
      <w:bookmarkEnd w:id="163"/>
      <w:bookmarkEnd w:id="164"/>
      <w:bookmarkEnd w:id="165"/>
      <w:bookmarkEnd w:id="166"/>
      <w:bookmarkStart w:id="167" w:name="_Toc144974572"/>
      <w:bookmarkStart w:id="168" w:name="_Toc339890732"/>
      <w:bookmarkStart w:id="169" w:name="_Toc179632623"/>
      <w:bookmarkStart w:id="170" w:name="_Toc246996248"/>
      <w:bookmarkStart w:id="171" w:name="_Toc247085763"/>
      <w:bookmarkStart w:id="172" w:name="_Toc152045605"/>
      <w:bookmarkStart w:id="173" w:name="_Toc246996991"/>
      <w:bookmarkStart w:id="174" w:name="_Toc152042382"/>
    </w:p>
    <w:p>
      <w:pPr>
        <w:pStyle w:val="4"/>
        <w:spacing w:line="360" w:lineRule="auto"/>
        <w:rPr>
          <w:rFonts w:ascii="宋体" w:hAnsi="宋体" w:cs="宋体"/>
          <w:sz w:val="21"/>
          <w:szCs w:val="21"/>
          <w:highlight w:val="none"/>
        </w:rPr>
      </w:pPr>
      <w:bookmarkStart w:id="175" w:name="_Toc9825"/>
      <w:bookmarkStart w:id="176" w:name="_Toc3474"/>
      <w:bookmarkStart w:id="177" w:name="_Toc27593"/>
      <w:r>
        <w:rPr>
          <w:rFonts w:hint="eastAsia" w:ascii="宋体" w:hAnsi="宋体" w:cs="宋体"/>
          <w:sz w:val="21"/>
          <w:szCs w:val="21"/>
          <w:highlight w:val="none"/>
        </w:rPr>
        <w:t>3.1 初步评审</w:t>
      </w:r>
      <w:bookmarkEnd w:id="167"/>
      <w:bookmarkEnd w:id="168"/>
      <w:bookmarkEnd w:id="169"/>
      <w:bookmarkEnd w:id="170"/>
      <w:bookmarkEnd w:id="171"/>
      <w:bookmarkEnd w:id="172"/>
      <w:bookmarkEnd w:id="173"/>
      <w:bookmarkEnd w:id="174"/>
      <w:bookmarkEnd w:id="175"/>
      <w:bookmarkEnd w:id="176"/>
      <w:bookmarkEnd w:id="177"/>
    </w:p>
    <w:p>
      <w:pPr>
        <w:spacing w:line="360" w:lineRule="auto"/>
        <w:ind w:firstLine="420" w:firstLineChars="200"/>
        <w:rPr>
          <w:rFonts w:ascii="宋体" w:hAnsi="宋体" w:cs="宋体"/>
          <w:highlight w:val="none"/>
        </w:rPr>
      </w:pPr>
      <w:r>
        <w:rPr>
          <w:rFonts w:hint="eastAsia" w:ascii="宋体" w:hAnsi="宋体" w:cs="宋体"/>
          <w:highlight w:val="none"/>
        </w:rPr>
        <w:t>3.1.1评标委员会依据本章第2.1款规定的标准对投标文件进行初步评审。有一项不符合评审标准的，评标委员会应当否决其投标。</w:t>
      </w:r>
    </w:p>
    <w:p>
      <w:pPr>
        <w:spacing w:line="360" w:lineRule="auto"/>
        <w:ind w:firstLine="420" w:firstLineChars="200"/>
        <w:rPr>
          <w:rFonts w:ascii="宋体" w:hAnsi="宋体" w:cs="宋体"/>
          <w:highlight w:val="none"/>
        </w:rPr>
      </w:pPr>
      <w:r>
        <w:rPr>
          <w:rFonts w:hint="eastAsia" w:ascii="宋体" w:hAnsi="宋体" w:cs="宋体"/>
          <w:highlight w:val="none"/>
        </w:rPr>
        <w:t>3.1.2 投标人有以下情形之一的，评标委员会应当否决其投标：</w:t>
      </w:r>
    </w:p>
    <w:p>
      <w:pPr>
        <w:spacing w:line="360" w:lineRule="auto"/>
        <w:ind w:firstLine="718" w:firstLineChars="342"/>
        <w:rPr>
          <w:rFonts w:ascii="宋体" w:hAnsi="宋体" w:cs="宋体"/>
          <w:highlight w:val="none"/>
        </w:rPr>
      </w:pPr>
      <w:r>
        <w:rPr>
          <w:rFonts w:hint="eastAsia" w:ascii="宋体" w:hAnsi="宋体" w:cs="宋体"/>
          <w:highlight w:val="none"/>
        </w:rPr>
        <w:t>（1）</w:t>
      </w:r>
      <w:r>
        <w:rPr>
          <w:rFonts w:hint="eastAsia" w:ascii="宋体" w:hAnsi="宋体" w:cs="宋体"/>
          <w:highlight w:val="none"/>
          <w:lang w:eastAsia="zh-CN"/>
        </w:rPr>
        <w:t>第二章“投标人须知”第1.4.1项、第1.4.3项规定的任何一种情形的</w:t>
      </w:r>
      <w:r>
        <w:rPr>
          <w:rFonts w:hint="eastAsia" w:ascii="宋体" w:hAnsi="宋体" w:cs="宋体"/>
          <w:highlight w:val="none"/>
        </w:rPr>
        <w:t>；</w:t>
      </w:r>
    </w:p>
    <w:p>
      <w:pPr>
        <w:spacing w:line="360" w:lineRule="auto"/>
        <w:ind w:firstLine="718" w:firstLineChars="342"/>
        <w:rPr>
          <w:rFonts w:ascii="宋体" w:hAnsi="宋体" w:cs="宋体"/>
          <w:highlight w:val="none"/>
        </w:rPr>
      </w:pPr>
      <w:r>
        <w:rPr>
          <w:rFonts w:hint="eastAsia" w:ascii="宋体" w:hAnsi="宋体" w:cs="宋体"/>
          <w:highlight w:val="none"/>
        </w:rPr>
        <w:t>（2）串通投标或弄虚作假或有其他违法行为的；</w:t>
      </w:r>
    </w:p>
    <w:p>
      <w:pPr>
        <w:spacing w:line="360" w:lineRule="auto"/>
        <w:ind w:firstLine="718" w:firstLineChars="342"/>
        <w:rPr>
          <w:rFonts w:ascii="宋体" w:hAnsi="宋体" w:cs="宋体"/>
          <w:highlight w:val="none"/>
        </w:rPr>
      </w:pPr>
      <w:r>
        <w:rPr>
          <w:rFonts w:hint="eastAsia" w:ascii="宋体" w:hAnsi="宋体" w:cs="宋体"/>
          <w:highlight w:val="none"/>
        </w:rPr>
        <w:t>（3）不按评标委员会要求澄清、说明或补正的。</w:t>
      </w:r>
    </w:p>
    <w:p>
      <w:pPr>
        <w:spacing w:line="360" w:lineRule="auto"/>
        <w:ind w:firstLine="420" w:firstLineChars="200"/>
        <w:rPr>
          <w:rFonts w:ascii="宋体" w:hAnsi="宋体" w:cs="宋体"/>
          <w:highlight w:val="none"/>
        </w:rPr>
      </w:pPr>
      <w:r>
        <w:rPr>
          <w:rFonts w:hint="eastAsia" w:ascii="宋体" w:hAnsi="宋体" w:cs="宋体"/>
          <w:highlight w:val="none"/>
        </w:rPr>
        <w:t>3.1.3投标报价有算术错误的，评标委员会按以下原则对投标报价进行修正，修正的价格经投标人书面确认后具有约束力。投标人不接受修正价格的，评标委员会应当否决其投标。</w:t>
      </w:r>
    </w:p>
    <w:p>
      <w:pPr>
        <w:spacing w:line="360" w:lineRule="auto"/>
        <w:ind w:firstLine="718" w:firstLineChars="342"/>
        <w:rPr>
          <w:rFonts w:ascii="宋体" w:hAnsi="宋体" w:cs="宋体"/>
          <w:highlight w:val="none"/>
        </w:rPr>
      </w:pPr>
      <w:bookmarkStart w:id="178" w:name="_Toc152042383"/>
      <w:r>
        <w:rPr>
          <w:rFonts w:hint="eastAsia" w:ascii="宋体" w:hAnsi="宋体" w:cs="宋体"/>
          <w:highlight w:val="none"/>
        </w:rPr>
        <w:t>（1）投标文件中的大写金额与小写金额不一致的，以大写金额为准；</w:t>
      </w:r>
      <w:bookmarkEnd w:id="178"/>
    </w:p>
    <w:p>
      <w:pPr>
        <w:spacing w:line="360" w:lineRule="auto"/>
        <w:ind w:firstLine="718" w:firstLineChars="342"/>
        <w:rPr>
          <w:rFonts w:ascii="宋体" w:hAnsi="宋体" w:cs="宋体"/>
          <w:highlight w:val="none"/>
        </w:rPr>
      </w:pPr>
      <w:r>
        <w:rPr>
          <w:rFonts w:hint="eastAsia" w:ascii="宋体" w:hAnsi="宋体" w:cs="宋体"/>
          <w:highlight w:val="none"/>
        </w:rPr>
        <w:t>（2）总价金额与依据单价计算出的结果不一致的，以单价金额为准修正总价，但单价金额小数点有明显错误的除外。</w:t>
      </w:r>
    </w:p>
    <w:p>
      <w:pPr>
        <w:pStyle w:val="4"/>
        <w:spacing w:line="360" w:lineRule="auto"/>
        <w:rPr>
          <w:rFonts w:ascii="宋体" w:hAnsi="宋体" w:cs="宋体"/>
          <w:sz w:val="21"/>
          <w:szCs w:val="21"/>
          <w:highlight w:val="none"/>
        </w:rPr>
      </w:pPr>
      <w:bookmarkStart w:id="179" w:name="_Toc246996992"/>
      <w:bookmarkStart w:id="180" w:name="_Toc246996249"/>
      <w:bookmarkStart w:id="181" w:name="_Toc152045606"/>
      <w:bookmarkStart w:id="182" w:name="_Toc247085764"/>
      <w:bookmarkStart w:id="183" w:name="_Toc26313"/>
      <w:bookmarkStart w:id="184" w:name="_Toc179632624"/>
      <w:bookmarkStart w:id="185" w:name="_Toc144974573"/>
      <w:bookmarkStart w:id="186" w:name="_Toc152042384"/>
      <w:bookmarkStart w:id="187" w:name="_Toc5244"/>
      <w:bookmarkStart w:id="188" w:name="_Toc339890733"/>
      <w:bookmarkStart w:id="189" w:name="_Toc1522"/>
      <w:r>
        <w:rPr>
          <w:rFonts w:hint="eastAsia" w:ascii="宋体" w:hAnsi="宋体" w:cs="宋体"/>
          <w:sz w:val="21"/>
          <w:szCs w:val="21"/>
          <w:highlight w:val="none"/>
        </w:rPr>
        <w:t>3.2 详细评审</w:t>
      </w:r>
      <w:bookmarkEnd w:id="179"/>
      <w:bookmarkEnd w:id="180"/>
      <w:bookmarkEnd w:id="181"/>
      <w:bookmarkEnd w:id="182"/>
      <w:bookmarkEnd w:id="183"/>
      <w:bookmarkEnd w:id="184"/>
      <w:bookmarkEnd w:id="185"/>
      <w:bookmarkEnd w:id="186"/>
      <w:bookmarkEnd w:id="187"/>
      <w:bookmarkEnd w:id="188"/>
      <w:bookmarkEnd w:id="189"/>
    </w:p>
    <w:p>
      <w:pPr>
        <w:spacing w:line="360" w:lineRule="auto"/>
        <w:ind w:firstLine="420" w:firstLineChars="200"/>
        <w:rPr>
          <w:rFonts w:ascii="宋体" w:hAnsi="宋体" w:cs="宋体"/>
          <w:highlight w:val="none"/>
        </w:rPr>
      </w:pPr>
      <w:r>
        <w:rPr>
          <w:rFonts w:hint="eastAsia" w:ascii="宋体" w:hAnsi="宋体" w:cs="宋体"/>
          <w:highlight w:val="none"/>
        </w:rPr>
        <w:t>3.2.1 评标委员会按本章第2.2款规定的量化因素和分值进行打分，并计算出综合评估得分。</w:t>
      </w:r>
    </w:p>
    <w:p>
      <w:pPr>
        <w:spacing w:line="360" w:lineRule="auto"/>
        <w:ind w:firstLine="718" w:firstLineChars="342"/>
        <w:rPr>
          <w:rFonts w:ascii="宋体" w:hAnsi="宋体" w:cs="宋体"/>
          <w:highlight w:val="none"/>
        </w:rPr>
      </w:pPr>
      <w:r>
        <w:rPr>
          <w:rFonts w:hint="eastAsia" w:ascii="宋体" w:hAnsi="宋体" w:cs="宋体"/>
          <w:highlight w:val="none"/>
        </w:rPr>
        <w:t>（1）按本章第2.2.2（1）目规定的评审因素和分值对经济标计算出得分A；</w:t>
      </w:r>
    </w:p>
    <w:p>
      <w:pPr>
        <w:spacing w:line="360" w:lineRule="auto"/>
        <w:ind w:firstLine="718" w:firstLineChars="342"/>
        <w:rPr>
          <w:rFonts w:ascii="宋体" w:hAnsi="宋体" w:cs="宋体"/>
          <w:highlight w:val="none"/>
        </w:rPr>
      </w:pPr>
      <w:r>
        <w:rPr>
          <w:rFonts w:hint="eastAsia" w:ascii="宋体" w:hAnsi="宋体" w:cs="宋体"/>
          <w:highlight w:val="none"/>
        </w:rPr>
        <w:t>（2）按本章第2.2.2（2）目规定的评审因素和分值对</w:t>
      </w:r>
      <w:r>
        <w:rPr>
          <w:rFonts w:hint="eastAsia"/>
          <w:highlight w:val="none"/>
        </w:rPr>
        <w:t>技术标</w:t>
      </w:r>
      <w:r>
        <w:rPr>
          <w:rFonts w:hint="eastAsia" w:ascii="宋体" w:hAnsi="宋体" w:cs="宋体"/>
          <w:highlight w:val="none"/>
        </w:rPr>
        <w:t>计算出得分B；</w:t>
      </w:r>
    </w:p>
    <w:p>
      <w:pPr>
        <w:spacing w:line="360" w:lineRule="auto"/>
        <w:ind w:firstLine="718" w:firstLineChars="342"/>
        <w:rPr>
          <w:rFonts w:ascii="宋体" w:hAnsi="宋体" w:cs="宋体"/>
          <w:highlight w:val="none"/>
        </w:rPr>
      </w:pPr>
      <w:r>
        <w:rPr>
          <w:rFonts w:hint="eastAsia" w:ascii="宋体" w:hAnsi="宋体" w:cs="宋体"/>
          <w:highlight w:val="none"/>
        </w:rPr>
        <w:t>（3）按本章第2.2.2（3）目规定的评审因素和分值对</w:t>
      </w:r>
      <w:r>
        <w:rPr>
          <w:rFonts w:hint="eastAsia"/>
          <w:highlight w:val="none"/>
        </w:rPr>
        <w:t>综合标</w:t>
      </w:r>
      <w:r>
        <w:rPr>
          <w:rFonts w:hint="eastAsia" w:ascii="宋体" w:hAnsi="宋体" w:cs="宋体"/>
          <w:highlight w:val="none"/>
        </w:rPr>
        <w:t>计算出得分C。</w:t>
      </w:r>
    </w:p>
    <w:p>
      <w:pPr>
        <w:spacing w:line="360" w:lineRule="auto"/>
        <w:ind w:firstLine="420" w:firstLineChars="200"/>
        <w:rPr>
          <w:rFonts w:ascii="宋体" w:hAnsi="宋体" w:cs="宋体"/>
          <w:highlight w:val="none"/>
        </w:rPr>
      </w:pPr>
      <w:r>
        <w:rPr>
          <w:rFonts w:hint="eastAsia" w:ascii="宋体" w:hAnsi="宋体" w:cs="宋体"/>
          <w:highlight w:val="none"/>
        </w:rPr>
        <w:t>3.2.2 评分分值计算保留小数点后两位，小数点后第三位“四舍五入”。</w:t>
      </w:r>
    </w:p>
    <w:p>
      <w:pPr>
        <w:spacing w:line="360" w:lineRule="auto"/>
        <w:ind w:firstLine="420" w:firstLineChars="200"/>
        <w:rPr>
          <w:rFonts w:ascii="宋体" w:hAnsi="宋体" w:cs="宋体"/>
          <w:highlight w:val="none"/>
        </w:rPr>
      </w:pPr>
      <w:r>
        <w:rPr>
          <w:rFonts w:hint="eastAsia" w:ascii="宋体" w:hAnsi="宋体" w:cs="宋体"/>
          <w:highlight w:val="none"/>
        </w:rPr>
        <w:t>3.2.3 投标人得分=A+B+C。</w:t>
      </w:r>
    </w:p>
    <w:p>
      <w:pPr>
        <w:spacing w:line="360" w:lineRule="auto"/>
        <w:ind w:firstLine="420" w:firstLineChars="200"/>
        <w:rPr>
          <w:rFonts w:ascii="宋体" w:hAnsi="宋体" w:cs="宋体"/>
          <w:highlight w:val="none"/>
        </w:rPr>
      </w:pPr>
      <w:r>
        <w:rPr>
          <w:rFonts w:hint="eastAsia" w:ascii="宋体" w:hAnsi="宋体" w:cs="宋体"/>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pPr>
        <w:pStyle w:val="4"/>
        <w:spacing w:line="360" w:lineRule="auto"/>
        <w:rPr>
          <w:rFonts w:ascii="宋体" w:hAnsi="宋体" w:cs="宋体"/>
          <w:sz w:val="21"/>
          <w:szCs w:val="21"/>
          <w:highlight w:val="none"/>
        </w:rPr>
      </w:pPr>
      <w:bookmarkStart w:id="190" w:name="_Toc144974575"/>
      <w:bookmarkStart w:id="191" w:name="_Toc179632625"/>
      <w:bookmarkStart w:id="192" w:name="_Toc246996250"/>
      <w:bookmarkStart w:id="193" w:name="_Toc246996993"/>
      <w:bookmarkStart w:id="194" w:name="_Toc7693"/>
      <w:bookmarkStart w:id="195" w:name="_Toc152045607"/>
      <w:bookmarkStart w:id="196" w:name="_Toc247085765"/>
      <w:bookmarkStart w:id="197" w:name="_Toc5237"/>
      <w:bookmarkStart w:id="198" w:name="_Toc339890734"/>
      <w:bookmarkStart w:id="199" w:name="_Toc152042385"/>
      <w:bookmarkStart w:id="200" w:name="_Toc27514"/>
      <w:r>
        <w:rPr>
          <w:rFonts w:hint="eastAsia" w:ascii="宋体" w:hAnsi="宋体" w:cs="宋体"/>
          <w:sz w:val="21"/>
          <w:szCs w:val="21"/>
          <w:highlight w:val="none"/>
        </w:rPr>
        <w:t>3.3 投标文件的澄清</w:t>
      </w:r>
      <w:bookmarkEnd w:id="190"/>
      <w:r>
        <w:rPr>
          <w:rFonts w:hint="eastAsia" w:ascii="宋体" w:hAnsi="宋体" w:cs="宋体"/>
          <w:sz w:val="21"/>
          <w:szCs w:val="21"/>
          <w:highlight w:val="none"/>
        </w:rPr>
        <w:t>和补正</w:t>
      </w:r>
      <w:bookmarkEnd w:id="191"/>
      <w:bookmarkEnd w:id="192"/>
      <w:bookmarkEnd w:id="193"/>
      <w:bookmarkEnd w:id="194"/>
      <w:bookmarkEnd w:id="195"/>
      <w:bookmarkEnd w:id="196"/>
      <w:bookmarkEnd w:id="197"/>
      <w:bookmarkEnd w:id="198"/>
      <w:bookmarkEnd w:id="199"/>
      <w:bookmarkEnd w:id="200"/>
    </w:p>
    <w:p>
      <w:pPr>
        <w:spacing w:line="360" w:lineRule="auto"/>
        <w:ind w:firstLine="420" w:firstLineChars="200"/>
        <w:rPr>
          <w:rFonts w:ascii="宋体" w:hAnsi="宋体" w:cs="宋体"/>
          <w:highlight w:val="none"/>
        </w:rPr>
      </w:pPr>
      <w:r>
        <w:rPr>
          <w:rFonts w:hint="eastAsia" w:ascii="宋体" w:hAnsi="宋体" w:cs="宋体"/>
          <w:highlight w:val="none"/>
        </w:rPr>
        <w:t>3.3.1在评标过程中，评标委员会可以电子平台形式要求投标人对所提交投标文件中不明确的内容进行书面澄清或说明，或者对细微偏差进行补正。评标委员会不接受投标人主动提出的澄清、说明或补正。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highlight w:val="none"/>
        </w:rPr>
      </w:pPr>
      <w:r>
        <w:rPr>
          <w:rFonts w:hint="eastAsia" w:ascii="宋体" w:hAnsi="宋体" w:cs="宋体"/>
          <w:highlight w:val="none"/>
        </w:rPr>
        <w:t>3.3.2 澄清、说明和补正不得改变投标文件的实质性内容。投标人的书面澄清、说明和补正属于投标文件的组成部分。</w:t>
      </w:r>
    </w:p>
    <w:p>
      <w:pPr>
        <w:spacing w:line="360" w:lineRule="auto"/>
        <w:ind w:firstLine="420" w:firstLineChars="200"/>
        <w:rPr>
          <w:rFonts w:ascii="宋体" w:hAnsi="宋体" w:cs="宋体"/>
          <w:highlight w:val="none"/>
        </w:rPr>
      </w:pPr>
      <w:r>
        <w:rPr>
          <w:rFonts w:hint="eastAsia" w:ascii="宋体" w:hAnsi="宋体" w:cs="宋体"/>
          <w:highlight w:val="none"/>
        </w:rPr>
        <w:t>3.3.3 评标委员会对投标人提交的澄清、说明或补正有疑问的，可以要求投标人进一步澄清、说明或补正，直至满足评标委员会的要求。</w:t>
      </w:r>
    </w:p>
    <w:p>
      <w:pPr>
        <w:pStyle w:val="4"/>
        <w:spacing w:line="360" w:lineRule="auto"/>
        <w:rPr>
          <w:rFonts w:ascii="宋体" w:hAnsi="宋体" w:cs="宋体"/>
          <w:sz w:val="21"/>
          <w:szCs w:val="21"/>
          <w:highlight w:val="none"/>
        </w:rPr>
      </w:pPr>
      <w:bookmarkStart w:id="201" w:name="_Toc95"/>
      <w:bookmarkStart w:id="202" w:name="_Toc246996994"/>
      <w:bookmarkStart w:id="203" w:name="_Toc24653"/>
      <w:bookmarkStart w:id="204" w:name="_Toc144974576"/>
      <w:bookmarkStart w:id="205" w:name="_Toc152042386"/>
      <w:bookmarkStart w:id="206" w:name="_Toc152045608"/>
      <w:bookmarkStart w:id="207" w:name="_Toc179632626"/>
      <w:bookmarkStart w:id="208" w:name="_Toc247085766"/>
      <w:bookmarkStart w:id="209" w:name="_Toc246996251"/>
      <w:bookmarkStart w:id="210" w:name="_Toc2747"/>
      <w:bookmarkStart w:id="211" w:name="_Toc339890735"/>
      <w:r>
        <w:rPr>
          <w:rFonts w:hint="eastAsia" w:ascii="宋体" w:hAnsi="宋体" w:cs="宋体"/>
          <w:sz w:val="21"/>
          <w:szCs w:val="21"/>
          <w:highlight w:val="none"/>
        </w:rPr>
        <w:t>3.4 评标结果</w:t>
      </w:r>
      <w:bookmarkEnd w:id="201"/>
      <w:bookmarkEnd w:id="202"/>
      <w:bookmarkEnd w:id="203"/>
      <w:bookmarkEnd w:id="204"/>
      <w:bookmarkEnd w:id="205"/>
      <w:bookmarkEnd w:id="206"/>
      <w:bookmarkEnd w:id="207"/>
      <w:bookmarkEnd w:id="208"/>
      <w:bookmarkEnd w:id="209"/>
      <w:bookmarkEnd w:id="210"/>
      <w:bookmarkEnd w:id="211"/>
    </w:p>
    <w:p>
      <w:pPr>
        <w:spacing w:line="360" w:lineRule="auto"/>
        <w:ind w:firstLine="420" w:firstLineChars="200"/>
        <w:rPr>
          <w:rFonts w:ascii="宋体" w:hAnsi="宋体" w:cs="宋体"/>
          <w:highlight w:val="none"/>
        </w:rPr>
      </w:pPr>
      <w:r>
        <w:rPr>
          <w:rFonts w:hint="eastAsia" w:ascii="宋体" w:hAnsi="宋体" w:cs="宋体"/>
          <w:highlight w:val="none"/>
        </w:rPr>
        <w:t>3.4.1除第二章“投标人须知”前附表授权直接确定中标人外，评标委员会按照得分由高到低的顺序推荐中标候选人。</w:t>
      </w:r>
    </w:p>
    <w:p>
      <w:pPr>
        <w:spacing w:line="360" w:lineRule="auto"/>
        <w:ind w:firstLine="420" w:firstLineChars="200"/>
        <w:rPr>
          <w:rFonts w:ascii="宋体" w:hAnsi="宋体" w:cs="宋体"/>
          <w:highlight w:val="none"/>
        </w:rPr>
      </w:pPr>
      <w:r>
        <w:rPr>
          <w:rFonts w:hint="eastAsia" w:ascii="宋体" w:hAnsi="宋体" w:cs="宋体"/>
          <w:highlight w:val="none"/>
        </w:rPr>
        <w:t>3.4.2 评标委员会完成评标后，应当向招标人提交书面评标报告。</w:t>
      </w:r>
    </w:p>
    <w:p>
      <w:pPr>
        <w:pStyle w:val="2"/>
        <w:spacing w:line="360" w:lineRule="auto"/>
        <w:jc w:val="center"/>
        <w:rPr>
          <w:rFonts w:ascii="宋体" w:hAnsi="宋体" w:cs="宋体"/>
          <w:sz w:val="32"/>
          <w:szCs w:val="32"/>
          <w:highlight w:val="none"/>
        </w:rPr>
      </w:pPr>
      <w:r>
        <w:rPr>
          <w:rFonts w:hint="eastAsia" w:ascii="宋体" w:hAnsi="宋体" w:cs="宋体"/>
          <w:szCs w:val="21"/>
          <w:highlight w:val="none"/>
        </w:rPr>
        <w:br w:type="page"/>
      </w:r>
      <w:bookmarkStart w:id="212" w:name="_Toc3717"/>
      <w:r>
        <w:rPr>
          <w:rFonts w:hint="eastAsia" w:ascii="宋体" w:hAnsi="宋体" w:cs="宋体"/>
          <w:sz w:val="32"/>
          <w:szCs w:val="32"/>
          <w:highlight w:val="none"/>
        </w:rPr>
        <w:t>第四章 合同条款及格式</w:t>
      </w:r>
      <w:bookmarkEnd w:id="118"/>
      <w:bookmarkEnd w:id="212"/>
    </w:p>
    <w:p>
      <w:pPr>
        <w:pStyle w:val="29"/>
        <w:jc w:val="center"/>
        <w:rPr>
          <w:rFonts w:hint="default"/>
          <w:sz w:val="30"/>
          <w:szCs w:val="30"/>
          <w:highlight w:val="none"/>
        </w:rPr>
      </w:pPr>
      <w:r>
        <w:rPr>
          <w:sz w:val="30"/>
          <w:szCs w:val="30"/>
          <w:highlight w:val="none"/>
        </w:rPr>
        <w:t>（合同模板仅供参考，具体以实际签订为准）</w:t>
      </w:r>
    </w:p>
    <w:p>
      <w:pPr>
        <w:pStyle w:val="14"/>
        <w:spacing w:after="0"/>
        <w:jc w:val="center"/>
        <w:rPr>
          <w:rFonts w:ascii="宋体" w:hAnsi="宋体" w:cs="宋体"/>
          <w:b/>
          <w:bCs/>
          <w:spacing w:val="-20"/>
          <w:kern w:val="44"/>
          <w:sz w:val="48"/>
          <w:szCs w:val="48"/>
          <w:highlight w:val="none"/>
        </w:rPr>
      </w:pPr>
      <w:bookmarkStart w:id="213" w:name="_Toc184635134"/>
      <w:r>
        <w:rPr>
          <w:rFonts w:hint="eastAsia" w:ascii="宋体" w:hAnsi="宋体" w:cs="宋体"/>
          <w:b/>
          <w:bCs/>
          <w:spacing w:val="-20"/>
          <w:kern w:val="44"/>
          <w:sz w:val="48"/>
          <w:szCs w:val="48"/>
          <w:highlight w:val="none"/>
        </w:rPr>
        <w:t>政府采购货物买卖合同</w:t>
      </w:r>
    </w:p>
    <w:p>
      <w:pPr>
        <w:pStyle w:val="14"/>
        <w:spacing w:after="0"/>
        <w:jc w:val="center"/>
        <w:rPr>
          <w:rFonts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（试行）</w:t>
      </w:r>
    </w:p>
    <w:p>
      <w:pPr>
        <w:rPr>
          <w:rFonts w:ascii="宋体" w:hAnsi="宋体" w:cs="宋体"/>
          <w:b/>
          <w:bCs/>
          <w:spacing w:val="-20"/>
          <w:kern w:val="44"/>
          <w:sz w:val="40"/>
          <w:szCs w:val="40"/>
          <w:highlight w:val="none"/>
        </w:rPr>
      </w:pPr>
    </w:p>
    <w:p>
      <w:pPr>
        <w:rPr>
          <w:rFonts w:ascii="宋体" w:hAnsi="宋体" w:cs="宋体"/>
          <w:b/>
          <w:bCs/>
          <w:spacing w:val="-20"/>
          <w:kern w:val="44"/>
          <w:sz w:val="40"/>
          <w:szCs w:val="40"/>
          <w:highlight w:val="none"/>
        </w:rPr>
      </w:pPr>
    </w:p>
    <w:p>
      <w:pPr>
        <w:rPr>
          <w:rFonts w:ascii="宋体" w:hAnsi="宋体" w:cs="宋体"/>
          <w:b/>
          <w:bCs/>
          <w:spacing w:val="-20"/>
          <w:kern w:val="44"/>
          <w:sz w:val="40"/>
          <w:szCs w:val="40"/>
          <w:highlight w:val="none"/>
        </w:rPr>
      </w:pPr>
    </w:p>
    <w:p>
      <w:pPr>
        <w:spacing w:line="360" w:lineRule="auto"/>
        <w:ind w:left="420" w:leftChars="200"/>
        <w:rPr>
          <w:rFonts w:ascii="宋体" w:hAnsi="宋体" w:cs="宋体"/>
          <w:sz w:val="21"/>
          <w:szCs w:val="21"/>
          <w:highlight w:val="none"/>
        </w:rPr>
      </w:pPr>
      <w:r>
        <w:rPr>
          <w:rFonts w:hint="eastAsia" w:ascii="宋体" w:hAnsi="宋体" w:cs="宋体"/>
          <w:kern w:val="0"/>
          <w:sz w:val="21"/>
          <w:szCs w:val="21"/>
          <w:highlight w:val="none"/>
        </w:rPr>
        <w:t>项目名称：</w:t>
      </w:r>
      <w:r>
        <w:rPr>
          <w:rFonts w:hint="eastAsia" w:ascii="宋体" w:hAnsi="宋体" w:cs="宋体"/>
          <w:sz w:val="21"/>
          <w:szCs w:val="21"/>
          <w:highlight w:val="none"/>
          <w:u w:val="single"/>
        </w:rPr>
        <w:t xml:space="preserve">                             </w:t>
      </w:r>
    </w:p>
    <w:p>
      <w:pPr>
        <w:spacing w:line="360" w:lineRule="auto"/>
        <w:ind w:left="420" w:leftChars="200"/>
        <w:rPr>
          <w:rFonts w:ascii="宋体" w:hAnsi="宋体" w:cs="宋体"/>
          <w:sz w:val="21"/>
          <w:szCs w:val="21"/>
          <w:highlight w:val="none"/>
          <w:u w:val="single"/>
        </w:rPr>
      </w:pPr>
      <w:r>
        <w:rPr>
          <w:rFonts w:hint="eastAsia" w:ascii="宋体" w:hAnsi="宋体" w:cs="宋体"/>
          <w:sz w:val="21"/>
          <w:szCs w:val="21"/>
          <w:highlight w:val="none"/>
        </w:rPr>
        <w:t>合同编号：</w:t>
      </w:r>
      <w:r>
        <w:rPr>
          <w:rFonts w:hint="eastAsia" w:ascii="宋体" w:hAnsi="宋体" w:cs="宋体"/>
          <w:sz w:val="21"/>
          <w:szCs w:val="21"/>
          <w:highlight w:val="none"/>
          <w:u w:val="single"/>
        </w:rPr>
        <w:t xml:space="preserve">                             </w:t>
      </w:r>
    </w:p>
    <w:p>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甲    方：</w:t>
      </w:r>
      <w:r>
        <w:rPr>
          <w:rFonts w:hint="eastAsia" w:ascii="宋体" w:hAnsi="宋体" w:cs="宋体"/>
          <w:sz w:val="21"/>
          <w:szCs w:val="21"/>
          <w:highlight w:val="none"/>
          <w:u w:val="single"/>
        </w:rPr>
        <w:t xml:space="preserve">                             </w:t>
      </w:r>
    </w:p>
    <w:p>
      <w:pPr>
        <w:spacing w:line="360" w:lineRule="auto"/>
        <w:ind w:left="420" w:leftChars="200"/>
        <w:rPr>
          <w:rFonts w:ascii="宋体" w:hAnsi="宋体" w:cs="宋体"/>
          <w:sz w:val="21"/>
          <w:szCs w:val="21"/>
          <w:highlight w:val="none"/>
          <w:u w:val="single"/>
        </w:rPr>
      </w:pPr>
      <w:r>
        <w:rPr>
          <w:rFonts w:hint="eastAsia" w:ascii="宋体" w:hAnsi="宋体" w:cs="宋体"/>
          <w:sz w:val="21"/>
          <w:szCs w:val="21"/>
          <w:highlight w:val="none"/>
        </w:rPr>
        <w:t>乙    方：</w:t>
      </w:r>
      <w:r>
        <w:rPr>
          <w:rFonts w:hint="eastAsia" w:ascii="宋体" w:hAnsi="宋体" w:cs="宋体"/>
          <w:sz w:val="21"/>
          <w:szCs w:val="21"/>
          <w:highlight w:val="none"/>
          <w:u w:val="single"/>
        </w:rPr>
        <w:t xml:space="preserve">                             </w:t>
      </w:r>
    </w:p>
    <w:p>
      <w:pPr>
        <w:spacing w:line="360" w:lineRule="auto"/>
        <w:ind w:left="420" w:leftChars="200"/>
        <w:rPr>
          <w:rFonts w:ascii="宋体" w:hAnsi="宋体" w:cs="宋体"/>
          <w:sz w:val="21"/>
          <w:szCs w:val="21"/>
          <w:highlight w:val="none"/>
        </w:rPr>
      </w:pPr>
      <w:r>
        <w:rPr>
          <w:rFonts w:hint="eastAsia" w:ascii="宋体" w:hAnsi="宋体" w:cs="宋体"/>
          <w:sz w:val="21"/>
          <w:szCs w:val="21"/>
          <w:highlight w:val="none"/>
        </w:rPr>
        <w:t>签订时间：</w:t>
      </w:r>
      <w:r>
        <w:rPr>
          <w:rFonts w:hint="eastAsia" w:ascii="宋体" w:hAnsi="宋体" w:cs="宋体"/>
          <w:sz w:val="21"/>
          <w:szCs w:val="21"/>
          <w:highlight w:val="none"/>
          <w:u w:val="single"/>
        </w:rPr>
        <w:t xml:space="preserve">                             </w:t>
      </w:r>
    </w:p>
    <w:p>
      <w:pPr>
        <w:rPr>
          <w:rFonts w:ascii="宋体" w:hAnsi="宋体" w:cs="宋体"/>
          <w:sz w:val="21"/>
          <w:szCs w:val="21"/>
          <w:highlight w:val="none"/>
        </w:rPr>
      </w:pPr>
    </w:p>
    <w:p>
      <w:pPr>
        <w:rPr>
          <w:rFonts w:ascii="宋体" w:hAnsi="宋体" w:cs="宋体"/>
          <w:sz w:val="21"/>
          <w:szCs w:val="21"/>
          <w:highlight w:val="none"/>
        </w:rPr>
      </w:pPr>
      <w:r>
        <w:rPr>
          <w:rFonts w:hint="eastAsia" w:ascii="宋体" w:hAnsi="宋体" w:cs="宋体"/>
          <w:sz w:val="21"/>
          <w:szCs w:val="21"/>
          <w:highlight w:val="none"/>
        </w:rPr>
        <w:br w:type="page"/>
      </w:r>
    </w:p>
    <w:p>
      <w:pPr>
        <w:rPr>
          <w:rFonts w:ascii="宋体" w:hAnsi="宋体" w:cs="宋体"/>
          <w:sz w:val="21"/>
          <w:szCs w:val="21"/>
          <w:highlight w:val="none"/>
        </w:rPr>
      </w:pPr>
    </w:p>
    <w:p>
      <w:pPr>
        <w:rPr>
          <w:rFonts w:ascii="宋体" w:hAnsi="宋体" w:cs="宋体"/>
          <w:sz w:val="21"/>
          <w:szCs w:val="21"/>
          <w:highlight w:val="none"/>
        </w:rPr>
      </w:pPr>
    </w:p>
    <w:p>
      <w:pPr>
        <w:jc w:val="center"/>
        <w:rPr>
          <w:rFonts w:ascii="宋体" w:hAnsi="宋体" w:cs="宋体"/>
          <w:sz w:val="21"/>
          <w:szCs w:val="21"/>
          <w:highlight w:val="none"/>
        </w:rPr>
      </w:pPr>
      <w:r>
        <w:rPr>
          <w:rFonts w:hint="eastAsia" w:ascii="宋体" w:hAnsi="宋体" w:cs="宋体"/>
          <w:sz w:val="21"/>
          <w:szCs w:val="21"/>
          <w:highlight w:val="none"/>
        </w:rPr>
        <w:t>使 用 说 明</w:t>
      </w:r>
    </w:p>
    <w:p>
      <w:pPr>
        <w:ind w:firstLine="420" w:firstLineChars="200"/>
        <w:rPr>
          <w:rFonts w:ascii="宋体" w:hAnsi="宋体" w:cs="宋体"/>
          <w:sz w:val="21"/>
          <w:szCs w:val="21"/>
          <w:highlight w:val="none"/>
        </w:rPr>
      </w:pPr>
    </w:p>
    <w:p>
      <w:pPr>
        <w:ind w:firstLine="420" w:firstLineChars="200"/>
        <w:rPr>
          <w:rFonts w:ascii="宋体" w:hAnsi="宋体" w:cs="宋体"/>
          <w:sz w:val="21"/>
          <w:szCs w:val="21"/>
          <w:highlight w:val="none"/>
        </w:rPr>
      </w:pPr>
      <w:r>
        <w:rPr>
          <w:rFonts w:hint="eastAsia" w:ascii="宋体" w:hAnsi="宋体" w:cs="宋体"/>
          <w:sz w:val="21"/>
          <w:szCs w:val="21"/>
          <w:highlight w:val="none"/>
        </w:rPr>
        <w:t>1.本合同标准文本适用于购买现成货物的采购项目，不包括需要供应商定制开发、创新研发的货物采购项目。</w:t>
      </w:r>
    </w:p>
    <w:p>
      <w:pPr>
        <w:rPr>
          <w:rFonts w:ascii="宋体" w:hAnsi="宋体" w:cs="宋体"/>
          <w:sz w:val="21"/>
          <w:szCs w:val="21"/>
          <w:highlight w:val="none"/>
        </w:rPr>
      </w:pPr>
      <w:r>
        <w:rPr>
          <w:rFonts w:hint="eastAsia" w:ascii="宋体" w:hAnsi="宋体" w:cs="宋体"/>
          <w:sz w:val="21"/>
          <w:szCs w:val="21"/>
          <w:highlight w:val="none"/>
        </w:rPr>
        <w:t xml:space="preserve">   2.本合同标准文本为政府采购货物买卖合同编制提供参考，可以结合采购项目具体情况，对文本作必要的调整修订后使用。</w:t>
      </w:r>
    </w:p>
    <w:p>
      <w:pPr>
        <w:ind w:firstLine="420" w:firstLineChars="200"/>
        <w:rPr>
          <w:rFonts w:ascii="宋体" w:hAnsi="宋体" w:cs="宋体"/>
          <w:sz w:val="21"/>
          <w:szCs w:val="21"/>
          <w:highlight w:val="none"/>
        </w:rPr>
      </w:pPr>
      <w:r>
        <w:rPr>
          <w:rFonts w:hint="eastAsia" w:ascii="宋体" w:hAnsi="宋体" w:cs="宋体"/>
          <w:sz w:val="21"/>
          <w:szCs w:val="21"/>
          <w:highlight w:val="none"/>
        </w:rPr>
        <w:t>3.本合同标准文本各条款中，如涉及填写多家供应商、制造商，多种采购标的、分包主要内容等信息的，可根据采购项目具体情况添加信息项。</w:t>
      </w:r>
    </w:p>
    <w:p>
      <w:pPr>
        <w:ind w:firstLine="420" w:firstLineChars="200"/>
        <w:rPr>
          <w:rFonts w:ascii="宋体" w:hAnsi="宋体" w:cs="宋体"/>
          <w:sz w:val="21"/>
          <w:szCs w:val="21"/>
          <w:highlight w:val="none"/>
        </w:rPr>
        <w:sectPr>
          <w:headerReference r:id="rId14" w:type="default"/>
          <w:footerReference r:id="rId15" w:type="default"/>
          <w:pgSz w:w="11906" w:h="16838"/>
          <w:pgMar w:top="1440" w:right="1800" w:bottom="1440" w:left="1800" w:header="851" w:footer="992" w:gutter="0"/>
          <w:cols w:space="425" w:num="1"/>
          <w:docGrid w:type="lines" w:linePitch="312" w:charSpace="0"/>
        </w:sectPr>
      </w:pPr>
    </w:p>
    <w:p>
      <w:pPr>
        <w:pStyle w:val="3"/>
        <w:adjustRightInd w:val="0"/>
        <w:snapToGrid w:val="0"/>
        <w:spacing w:line="400" w:lineRule="exact"/>
        <w:jc w:val="center"/>
        <w:rPr>
          <w:rFonts w:ascii="宋体" w:hAnsi="宋体" w:eastAsia="宋体" w:cs="宋体"/>
          <w:sz w:val="28"/>
          <w:szCs w:val="28"/>
          <w:highlight w:val="none"/>
        </w:rPr>
      </w:pPr>
      <w:bookmarkStart w:id="214" w:name="_Toc22209"/>
    </w:p>
    <w:p>
      <w:pPr>
        <w:pStyle w:val="3"/>
        <w:adjustRightInd w:val="0"/>
        <w:snapToGrid w:val="0"/>
        <w:spacing w:line="400" w:lineRule="exact"/>
        <w:jc w:val="center"/>
        <w:rPr>
          <w:rFonts w:ascii="宋体" w:hAnsi="宋体" w:eastAsia="宋体" w:cs="宋体"/>
          <w:sz w:val="28"/>
          <w:szCs w:val="28"/>
          <w:highlight w:val="none"/>
        </w:rPr>
      </w:pPr>
      <w:r>
        <w:rPr>
          <w:rFonts w:hint="eastAsia" w:ascii="宋体" w:hAnsi="宋体" w:eastAsia="宋体" w:cs="宋体"/>
          <w:sz w:val="28"/>
          <w:szCs w:val="28"/>
          <w:highlight w:val="none"/>
        </w:rPr>
        <w:t>第一节 政府采购合同协议书</w:t>
      </w:r>
      <w:bookmarkEnd w:id="214"/>
    </w:p>
    <w:p>
      <w:pPr>
        <w:pStyle w:val="3"/>
        <w:adjustRightInd w:val="0"/>
        <w:snapToGrid w:val="0"/>
        <w:spacing w:line="400" w:lineRule="exact"/>
        <w:jc w:val="center"/>
        <w:rPr>
          <w:rFonts w:ascii="宋体" w:hAnsi="宋体" w:eastAsia="宋体" w:cs="宋体"/>
          <w:sz w:val="28"/>
          <w:szCs w:val="28"/>
          <w:highlight w:val="none"/>
        </w:rPr>
      </w:pP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甲方（全称）：</w:t>
      </w:r>
      <w:r>
        <w:rPr>
          <w:rFonts w:hint="eastAsia" w:ascii="宋体" w:hAnsi="宋体" w:cs="宋体"/>
          <w:szCs w:val="21"/>
          <w:highlight w:val="none"/>
          <w:u w:val="single"/>
        </w:rPr>
        <w:t xml:space="preserve">                        </w:t>
      </w:r>
      <w:r>
        <w:rPr>
          <w:rFonts w:hint="eastAsia" w:ascii="宋体" w:hAnsi="宋体" w:cs="宋体"/>
          <w:szCs w:val="21"/>
          <w:highlight w:val="none"/>
        </w:rPr>
        <w:t>（采购人、受采购人委托签订合同的单位或采购</w:t>
      </w:r>
      <w:r>
        <w:rPr>
          <w:rFonts w:hint="eastAsia" w:ascii="宋体" w:hAnsi="宋体" w:cs="宋体"/>
          <w:szCs w:val="21"/>
          <w:highlight w:val="none"/>
        </w:rPr>
        <w:tab/>
      </w:r>
      <w:r>
        <w:rPr>
          <w:rFonts w:hint="eastAsia" w:ascii="宋体" w:hAnsi="宋体" w:cs="宋体"/>
          <w:szCs w:val="21"/>
          <w:highlight w:val="none"/>
        </w:rPr>
        <w:t xml:space="preserve">                                   文件约定的合同甲方）</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乙方1（全称）：</w:t>
      </w:r>
      <w:r>
        <w:rPr>
          <w:rFonts w:hint="eastAsia" w:ascii="宋体" w:hAnsi="宋体" w:cs="宋体"/>
          <w:szCs w:val="21"/>
          <w:highlight w:val="none"/>
          <w:u w:val="single"/>
        </w:rPr>
        <w:t xml:space="preserve">                       </w:t>
      </w:r>
      <w:r>
        <w:rPr>
          <w:rFonts w:hint="eastAsia" w:ascii="宋体" w:hAnsi="宋体" w:cs="宋体"/>
          <w:szCs w:val="21"/>
          <w:highlight w:val="none"/>
        </w:rPr>
        <w:t>（供应商）</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乙方2（全称）：</w:t>
      </w:r>
      <w:r>
        <w:rPr>
          <w:rFonts w:hint="eastAsia" w:ascii="宋体" w:hAnsi="宋体" w:cs="宋体"/>
          <w:szCs w:val="21"/>
          <w:highlight w:val="none"/>
          <w:u w:val="single"/>
        </w:rPr>
        <w:t xml:space="preserve">                        </w:t>
      </w:r>
      <w:r>
        <w:rPr>
          <w:rFonts w:hint="eastAsia" w:ascii="宋体" w:hAnsi="宋体" w:cs="宋体"/>
          <w:szCs w:val="21"/>
          <w:highlight w:val="none"/>
        </w:rPr>
        <w:t>（联合体成员供应商或其他合同主体）（如有）</w:t>
      </w:r>
    </w:p>
    <w:p>
      <w:pPr>
        <w:adjustRightInd w:val="0"/>
        <w:snapToGrid w:val="0"/>
        <w:spacing w:line="400" w:lineRule="exact"/>
        <w:rPr>
          <w:rFonts w:ascii="宋体" w:hAnsi="宋体" w:cs="宋体"/>
          <w:szCs w:val="21"/>
          <w:highlight w:val="none"/>
        </w:rPr>
      </w:pPr>
      <w:r>
        <w:rPr>
          <w:rFonts w:hint="eastAsia" w:ascii="宋体" w:hAnsi="宋体" w:cs="宋体"/>
          <w:highlight w:val="none"/>
        </w:rPr>
        <w:t>乙方</w:t>
      </w:r>
      <w:r>
        <w:rPr>
          <w:rFonts w:hint="eastAsia" w:ascii="宋体" w:hAnsi="宋体" w:cs="宋体"/>
          <w:szCs w:val="21"/>
          <w:highlight w:val="none"/>
        </w:rPr>
        <w:t>3</w:t>
      </w:r>
      <w:r>
        <w:rPr>
          <w:rFonts w:hint="eastAsia" w:ascii="宋体" w:hAnsi="宋体" w:cs="宋体"/>
          <w:highlight w:val="none"/>
        </w:rPr>
        <w:t>（全称）</w:t>
      </w:r>
      <w:r>
        <w:rPr>
          <w:rFonts w:hint="eastAsia" w:ascii="宋体" w:hAnsi="宋体" w:cs="宋体"/>
          <w:szCs w:val="21"/>
          <w:highlight w:val="none"/>
          <w:u w:val="single"/>
        </w:rPr>
        <w:t xml:space="preserve">                          </w:t>
      </w:r>
      <w:r>
        <w:rPr>
          <w:rFonts w:hint="eastAsia" w:ascii="宋体" w:hAnsi="宋体" w:cs="宋体"/>
          <w:szCs w:val="21"/>
          <w:highlight w:val="none"/>
        </w:rPr>
        <w:t>（联合体成员供应商或其他合同主体）（如有）</w:t>
      </w:r>
    </w:p>
    <w:p>
      <w:pPr>
        <w:spacing w:line="400" w:lineRule="exact"/>
        <w:rPr>
          <w:rFonts w:ascii="宋体" w:hAnsi="宋体" w:cs="宋体"/>
          <w:highlight w:val="none"/>
        </w:rPr>
      </w:pPr>
    </w:p>
    <w:p>
      <w:pPr>
        <w:pStyle w:val="15"/>
        <w:adjustRightInd w:val="0"/>
        <w:snapToGrid w:val="0"/>
        <w:spacing w:after="0" w:line="400" w:lineRule="exact"/>
        <w:ind w:left="0" w:leftChars="0" w:firstLine="420" w:firstLineChars="200"/>
        <w:rPr>
          <w:rFonts w:ascii="宋体" w:hAnsi="宋体" w:cs="宋体"/>
          <w:szCs w:val="21"/>
          <w:highlight w:val="none"/>
        </w:rPr>
      </w:pPr>
      <w:r>
        <w:rPr>
          <w:rFonts w:hint="eastAsia" w:ascii="宋体" w:hAnsi="宋体" w:cs="宋体"/>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3"/>
        </w:numPr>
        <w:adjustRightInd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项目信息</w:t>
      </w:r>
    </w:p>
    <w:p>
      <w:pPr>
        <w:pStyle w:val="15"/>
        <w:numPr>
          <w:ilvl w:val="0"/>
          <w:numId w:val="4"/>
        </w:numPr>
        <w:adjustRightInd w:val="0"/>
        <w:snapToGrid w:val="0"/>
        <w:spacing w:after="0" w:line="400" w:lineRule="exact"/>
        <w:ind w:left="0" w:leftChars="0" w:firstLine="420" w:firstLineChars="200"/>
        <w:rPr>
          <w:rFonts w:ascii="宋体" w:hAnsi="宋体" w:cs="宋体"/>
          <w:szCs w:val="21"/>
          <w:highlight w:val="none"/>
          <w:u w:val="single"/>
        </w:rPr>
      </w:pPr>
      <w:r>
        <w:rPr>
          <w:rFonts w:hint="eastAsia" w:ascii="宋体" w:hAnsi="宋体" w:cs="宋体"/>
          <w:szCs w:val="21"/>
          <w:highlight w:val="none"/>
        </w:rPr>
        <w:t>采购项目名称：</w:t>
      </w:r>
      <w:r>
        <w:rPr>
          <w:rFonts w:hint="eastAsia" w:ascii="宋体" w:hAnsi="宋体" w:cs="宋体"/>
          <w:szCs w:val="21"/>
          <w:highlight w:val="none"/>
          <w:u w:val="single"/>
        </w:rPr>
        <w:t xml:space="preserve">                                          </w:t>
      </w:r>
    </w:p>
    <w:p>
      <w:pPr>
        <w:pStyle w:val="15"/>
        <w:numPr>
          <w:ilvl w:val="255"/>
          <w:numId w:val="0"/>
        </w:numPr>
        <w:tabs>
          <w:tab w:val="left" w:pos="999"/>
        </w:tabs>
        <w:adjustRightInd w:val="0"/>
        <w:snapToGrid w:val="0"/>
        <w:spacing w:after="0" w:line="400" w:lineRule="exact"/>
        <w:rPr>
          <w:rFonts w:ascii="宋体" w:hAnsi="宋体" w:cs="宋体"/>
          <w:szCs w:val="21"/>
          <w:highlight w:val="none"/>
        </w:rPr>
      </w:pPr>
      <w:r>
        <w:rPr>
          <w:rFonts w:hint="eastAsia" w:ascii="宋体" w:hAnsi="宋体" w:cs="宋体"/>
          <w:szCs w:val="21"/>
          <w:highlight w:val="none"/>
        </w:rPr>
        <w:t xml:space="preserve">         采购项目编号：</w:t>
      </w:r>
      <w:r>
        <w:rPr>
          <w:rFonts w:hint="eastAsia" w:ascii="宋体" w:hAnsi="宋体" w:cs="宋体"/>
          <w:szCs w:val="21"/>
          <w:highlight w:val="none"/>
          <w:u w:val="single"/>
        </w:rPr>
        <w:t xml:space="preserve">                                          </w:t>
      </w:r>
    </w:p>
    <w:p>
      <w:pPr>
        <w:pStyle w:val="15"/>
        <w:adjustRightInd w:val="0"/>
        <w:snapToGrid w:val="0"/>
        <w:spacing w:after="0" w:line="400" w:lineRule="exact"/>
        <w:ind w:left="0" w:leftChars="0" w:firstLine="420" w:firstLineChars="200"/>
        <w:rPr>
          <w:rFonts w:ascii="宋体" w:hAnsi="宋体" w:cs="宋体"/>
          <w:szCs w:val="21"/>
          <w:highlight w:val="none"/>
        </w:rPr>
      </w:pPr>
      <w:r>
        <w:rPr>
          <w:rFonts w:hint="eastAsia" w:ascii="宋体" w:hAnsi="宋体" w:cs="宋体"/>
          <w:szCs w:val="21"/>
          <w:highlight w:val="none"/>
        </w:rPr>
        <w:t>（2）采购计划编号：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（3）项目内容：</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采购标的及数量（台/套</w:t>
      </w:r>
      <w:r>
        <w:rPr>
          <w:rFonts w:hint="eastAsia" w:ascii="宋体" w:hAnsi="宋体" w:cs="宋体"/>
          <w:szCs w:val="21"/>
          <w:highlight w:val="none"/>
          <w:lang w:val="en"/>
        </w:rPr>
        <w:t>/个/架/组等</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numPr>
          <w:ilvl w:val="255"/>
          <w:numId w:val="0"/>
        </w:numPr>
        <w:adjustRightInd w:val="0"/>
        <w:snapToGrid w:val="0"/>
        <w:spacing w:line="400" w:lineRule="exact"/>
        <w:ind w:firstLine="420" w:firstLineChars="200"/>
        <w:rPr>
          <w:rFonts w:ascii="宋体" w:hAnsi="宋体" w:cs="宋体"/>
          <w:szCs w:val="21"/>
          <w:highlight w:val="none"/>
          <w:lang w:val="en"/>
        </w:rPr>
      </w:pP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hint="eastAsia" w:ascii="宋体" w:hAnsi="宋体" w:cs="宋体"/>
          <w:szCs w:val="21"/>
          <w:highlight w:val="none"/>
          <w:lang w:val="en"/>
        </w:rPr>
        <w:t xml:space="preserve">     </w:t>
      </w:r>
      <w:r>
        <w:rPr>
          <w:rFonts w:hint="eastAsia" w:ascii="宋体" w:hAnsi="宋体" w:cs="宋体"/>
          <w:szCs w:val="21"/>
          <w:highlight w:val="none"/>
        </w:rPr>
        <w:t>规格型号：</w:t>
      </w:r>
      <w:r>
        <w:rPr>
          <w:rFonts w:hint="eastAsia" w:ascii="宋体" w:hAnsi="宋体" w:cs="宋体"/>
          <w:szCs w:val="21"/>
          <w:highlight w:val="none"/>
          <w:u w:val="single"/>
        </w:rPr>
        <w:t xml:space="preserve">   </w:t>
      </w:r>
      <w:r>
        <w:rPr>
          <w:rFonts w:hint="eastAsia" w:ascii="宋体" w:hAnsi="宋体" w:cs="宋体"/>
          <w:szCs w:val="21"/>
          <w:highlight w:val="none"/>
          <w:u w:val="single"/>
          <w:lang w:val="e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en"/>
        </w:rPr>
        <w:t xml:space="preserve">   </w:t>
      </w:r>
    </w:p>
    <w:p>
      <w:pPr>
        <w:adjustRightInd w:val="0"/>
        <w:snapToGrid w:val="0"/>
        <w:spacing w:line="400" w:lineRule="exact"/>
        <w:ind w:firstLine="945" w:firstLineChars="450"/>
        <w:rPr>
          <w:rFonts w:ascii="宋体" w:hAnsi="宋体" w:cs="宋体"/>
          <w:szCs w:val="21"/>
          <w:highlight w:val="none"/>
          <w:u w:val="single"/>
        </w:rPr>
      </w:pPr>
      <w:r>
        <w:rPr>
          <w:rFonts w:hint="eastAsia" w:ascii="宋体" w:hAnsi="宋体" w:cs="宋体"/>
          <w:szCs w:val="21"/>
          <w:highlight w:val="none"/>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szCs w:val="21"/>
          <w:highlight w:val="none"/>
        </w:rPr>
      </w:pPr>
      <w:r>
        <w:rPr>
          <w:rFonts w:hint="eastAsia" w:ascii="宋体" w:hAnsi="宋体" w:cs="宋体"/>
          <w:szCs w:val="21"/>
          <w:highlight w:val="none"/>
        </w:rPr>
        <w:t>①涉及信息类产品，请填写该产品关键部件的品牌、型号：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kern w:val="0"/>
          <w:szCs w:val="21"/>
          <w:highlight w:val="none"/>
          <w:u w:val="single"/>
        </w:rPr>
      </w:pPr>
      <w:r>
        <w:rPr>
          <w:rFonts w:hint="eastAsia" w:ascii="宋体" w:hAnsi="宋体" w:cs="宋体"/>
          <w:szCs w:val="21"/>
          <w:highlight w:val="none"/>
        </w:rPr>
        <w:t xml:space="preserve">     标的名称：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
        </w:rPr>
        <w:t xml:space="preserve">               </w:t>
      </w:r>
      <w:r>
        <w:rPr>
          <w:rFonts w:hint="eastAsia" w:ascii="宋体" w:hAnsi="宋体" w:cs="宋体"/>
          <w:kern w:val="0"/>
          <w:szCs w:val="21"/>
          <w:highlight w:val="none"/>
          <w:u w:val="single"/>
        </w:rPr>
        <w:t xml:space="preserve">    </w:t>
      </w:r>
    </w:p>
    <w:p>
      <w:pPr>
        <w:numPr>
          <w:ilvl w:val="255"/>
          <w:numId w:val="0"/>
        </w:num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     关键部件：</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szCs w:val="21"/>
          <w:highlight w:val="none"/>
        </w:rPr>
        <w:t>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pStyle w:val="105"/>
        <w:ind w:firstLine="420"/>
        <w:rPr>
          <w:rFonts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关键部件</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pPr>
        <w:pStyle w:val="105"/>
        <w:ind w:firstLine="420"/>
        <w:rPr>
          <w:rFonts w:ascii="宋体" w:hAnsi="宋体" w:eastAsia="宋体" w:cs="宋体"/>
          <w:sz w:val="21"/>
          <w:highlight w:val="none"/>
        </w:rPr>
      </w:pPr>
      <w:r>
        <w:rPr>
          <w:rFonts w:hint="eastAsia" w:ascii="宋体" w:hAnsi="宋体" w:eastAsia="宋体" w:cs="宋体"/>
          <w:sz w:val="21"/>
          <w:highlight w:val="none"/>
        </w:rPr>
        <w:t xml:space="preserve">     关键部件：</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p>
    <w:p>
      <w:pPr>
        <w:pStyle w:val="105"/>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pStyle w:val="105"/>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②涉及车辆采购，请填写是否属于新能源汽车：</w:t>
      </w:r>
    </w:p>
    <w:p>
      <w:pPr>
        <w:pStyle w:val="105"/>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是，《政府采购品目分类目录》底级品目名称：</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数量：</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金额：</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pPr>
        <w:pStyle w:val="105"/>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否</w:t>
      </w:r>
    </w:p>
    <w:p>
      <w:pPr>
        <w:pStyle w:val="105"/>
        <w:numPr>
          <w:ilvl w:val="255"/>
          <w:numId w:val="0"/>
        </w:numPr>
        <w:snapToGrid w:val="0"/>
        <w:rPr>
          <w:rFonts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lang w:val="en"/>
        </w:rPr>
        <w:t>4</w:t>
      </w:r>
      <w:r>
        <w:rPr>
          <w:rFonts w:hint="eastAsia" w:ascii="宋体" w:hAnsi="宋体" w:eastAsia="宋体" w:cs="宋体"/>
          <w:sz w:val="21"/>
          <w:highlight w:val="none"/>
        </w:rPr>
        <w:t>）政府采购组织形式：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政府集中采购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部门集中采购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分散采购</w:t>
      </w:r>
    </w:p>
    <w:p>
      <w:pPr>
        <w:pStyle w:val="105"/>
        <w:numPr>
          <w:ilvl w:val="255"/>
          <w:numId w:val="0"/>
        </w:numPr>
        <w:snapToGrid w:val="0"/>
        <w:ind w:firstLine="420"/>
        <w:rPr>
          <w:rFonts w:ascii="宋体" w:hAnsi="宋体" w:eastAsia="宋体" w:cs="宋体"/>
          <w:sz w:val="21"/>
          <w:highlight w:val="none"/>
        </w:rPr>
      </w:pPr>
      <w:r>
        <w:rPr>
          <w:rFonts w:hint="eastAsia" w:ascii="宋体" w:hAnsi="宋体" w:eastAsia="宋体" w:cs="宋体"/>
          <w:sz w:val="21"/>
          <w:highlight w:val="none"/>
        </w:rPr>
        <w:t>（</w:t>
      </w:r>
      <w:r>
        <w:rPr>
          <w:rFonts w:hint="eastAsia" w:ascii="宋体" w:hAnsi="宋体" w:eastAsia="宋体" w:cs="宋体"/>
          <w:sz w:val="21"/>
          <w:highlight w:val="none"/>
          <w:lang w:val="en"/>
        </w:rPr>
        <w:t>5</w:t>
      </w:r>
      <w:r>
        <w:rPr>
          <w:rFonts w:hint="eastAsia" w:ascii="宋体" w:hAnsi="宋体" w:eastAsia="宋体" w:cs="宋体"/>
          <w:sz w:val="21"/>
          <w:highlight w:val="none"/>
        </w:rPr>
        <w:t>）政府采购方式：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公开招标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邀请招标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竞争性谈判 </w:t>
      </w:r>
      <w:r>
        <w:rPr>
          <w:rFonts w:hint="eastAsia" w:ascii="宋体" w:hAnsi="宋体" w:eastAsia="宋体" w:cs="宋体"/>
          <w:sz w:val="21"/>
          <w:highlight w:val="none"/>
        </w:rPr>
        <w:sym w:font="Wingdings" w:char="00A8"/>
      </w:r>
      <w:r>
        <w:rPr>
          <w:rFonts w:hint="eastAsia" w:ascii="宋体" w:hAnsi="宋体" w:eastAsia="宋体" w:cs="宋体"/>
          <w:sz w:val="21"/>
          <w:highlight w:val="none"/>
        </w:rPr>
        <w:t>竞争性磋商</w:t>
      </w:r>
    </w:p>
    <w:p>
      <w:pPr>
        <w:pStyle w:val="105"/>
        <w:numPr>
          <w:ilvl w:val="255"/>
          <w:numId w:val="0"/>
        </w:numPr>
        <w:snapToGrid w:val="0"/>
        <w:ind w:firstLine="420"/>
        <w:rPr>
          <w:rFonts w:ascii="宋体" w:hAnsi="宋体" w:eastAsia="宋体" w:cs="宋体"/>
          <w:sz w:val="21"/>
          <w:highlight w:val="none"/>
          <w:u w:val="single"/>
        </w:rPr>
      </w:pPr>
      <w:r>
        <w:rPr>
          <w:rFonts w:hint="eastAsia" w:ascii="宋体" w:hAnsi="宋体" w:eastAsia="宋体" w:cs="宋体"/>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询价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单一来源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框架协议 </w:t>
      </w:r>
      <w:r>
        <w:rPr>
          <w:rFonts w:hint="eastAsia" w:ascii="宋体" w:hAnsi="宋体" w:eastAsia="宋体" w:cs="宋体"/>
          <w:sz w:val="21"/>
          <w:highlight w:val="none"/>
        </w:rPr>
        <w:sym w:font="Wingdings" w:char="00A8"/>
      </w:r>
      <w:r>
        <w:rPr>
          <w:rFonts w:hint="eastAsia" w:ascii="宋体" w:hAnsi="宋体" w:eastAsia="宋体" w:cs="宋体"/>
          <w:sz w:val="21"/>
          <w:highlight w:val="none"/>
        </w:rPr>
        <w:t>其他：</w:t>
      </w:r>
      <w:r>
        <w:rPr>
          <w:rFonts w:hint="eastAsia" w:ascii="宋体" w:hAnsi="宋体" w:eastAsia="宋体" w:cs="宋体"/>
          <w:sz w:val="21"/>
          <w:highlight w:val="none"/>
          <w:u w:val="single"/>
        </w:rPr>
        <w:t xml:space="preserve">          </w:t>
      </w:r>
    </w:p>
    <w:p>
      <w:pPr>
        <w:pStyle w:val="105"/>
        <w:numPr>
          <w:ilvl w:val="255"/>
          <w:numId w:val="0"/>
        </w:numPr>
        <w:snapToGrid w:val="0"/>
        <w:ind w:firstLine="420"/>
        <w:rPr>
          <w:rFonts w:ascii="宋体" w:hAnsi="宋体" w:eastAsia="宋体" w:cs="宋体"/>
          <w:sz w:val="21"/>
          <w:highlight w:val="none"/>
        </w:rPr>
      </w:pPr>
      <w:r>
        <w:rPr>
          <w:rFonts w:hint="eastAsia" w:ascii="宋体" w:hAnsi="宋体" w:eastAsia="宋体" w:cs="宋体"/>
          <w:sz w:val="21"/>
          <w:highlight w:val="none"/>
        </w:rPr>
        <w:t>（注：在框架协议采购的第二阶段，可选择使用该合同文本）</w:t>
      </w:r>
    </w:p>
    <w:p>
      <w:pPr>
        <w:pStyle w:val="105"/>
        <w:numPr>
          <w:ilvl w:val="255"/>
          <w:numId w:val="0"/>
        </w:numPr>
        <w:snapToGrid w:val="0"/>
        <w:ind w:firstLine="220" w:firstLineChars="100"/>
        <w:rPr>
          <w:rFonts w:ascii="宋体" w:hAnsi="宋体" w:eastAsia="宋体" w:cs="宋体"/>
          <w:kern w:val="2"/>
          <w:sz w:val="21"/>
          <w:highlight w:val="none"/>
        </w:rPr>
      </w:pPr>
      <w:r>
        <w:rPr>
          <w:rFonts w:hint="eastAsia" w:ascii="宋体" w:hAnsi="宋体" w:eastAsia="宋体" w:cs="宋体"/>
          <w:highlight w:val="none"/>
        </w:rPr>
        <w:t xml:space="preserve"> （</w:t>
      </w:r>
      <w:r>
        <w:rPr>
          <w:rFonts w:hint="eastAsia" w:ascii="宋体" w:hAnsi="宋体" w:eastAsia="宋体" w:cs="宋体"/>
          <w:highlight w:val="none"/>
          <w:lang w:val="en"/>
        </w:rPr>
        <w:t>6</w:t>
      </w:r>
      <w:r>
        <w:rPr>
          <w:rFonts w:hint="eastAsia" w:ascii="宋体" w:hAnsi="宋体" w:eastAsia="宋体" w:cs="宋体"/>
          <w:highlight w:val="none"/>
        </w:rPr>
        <w:t>）</w:t>
      </w:r>
      <w:r>
        <w:rPr>
          <w:rFonts w:hint="eastAsia" w:ascii="宋体" w:hAnsi="宋体" w:eastAsia="宋体" w:cs="宋体"/>
          <w:kern w:val="2"/>
          <w:sz w:val="21"/>
          <w:highlight w:val="none"/>
        </w:rPr>
        <w:t>中标（成交）采购标的制造商是否为中小企业：</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 xml:space="preserve">是      </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否</w:t>
      </w:r>
    </w:p>
    <w:p>
      <w:pPr>
        <w:numPr>
          <w:ilvl w:val="255"/>
          <w:numId w:val="0"/>
        </w:numPr>
        <w:adjustRightInd w:val="0"/>
        <w:snapToGrid w:val="0"/>
        <w:spacing w:line="400" w:lineRule="exact"/>
        <w:rPr>
          <w:rFonts w:ascii="宋体" w:hAnsi="宋体" w:cs="宋体"/>
          <w:iCs/>
          <w:szCs w:val="21"/>
          <w:highlight w:val="none"/>
        </w:rPr>
      </w:pPr>
      <w:r>
        <w:rPr>
          <w:rFonts w:hint="eastAsia" w:ascii="宋体" w:hAnsi="宋体" w:cs="宋体"/>
          <w:szCs w:val="21"/>
          <w:highlight w:val="none"/>
        </w:rPr>
        <w:t xml:space="preserve">         本合同是否为专门面向中小企业的采购合同（中小企业预留合同）：</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numPr>
          <w:ilvl w:val="255"/>
          <w:numId w:val="0"/>
        </w:numPr>
        <w:adjustRightInd w:val="0"/>
        <w:snapToGrid w:val="0"/>
        <w:spacing w:line="400" w:lineRule="exact"/>
        <w:rPr>
          <w:rFonts w:ascii="宋体" w:hAnsi="宋体" w:cs="宋体"/>
          <w:iCs/>
          <w:szCs w:val="21"/>
          <w:highlight w:val="none"/>
        </w:rPr>
      </w:pPr>
      <w:r>
        <w:rPr>
          <w:rFonts w:hint="eastAsia" w:ascii="宋体" w:hAnsi="宋体" w:cs="宋体"/>
          <w:highlight w:val="none"/>
        </w:rPr>
        <w:t xml:space="preserve">         若本项目不专门面向中小企业采购，是否给予小微企业评审优惠：</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numPr>
          <w:ilvl w:val="255"/>
          <w:numId w:val="0"/>
        </w:numPr>
        <w:adjustRightInd w:val="0"/>
        <w:snapToGrid w:val="0"/>
        <w:spacing w:line="400" w:lineRule="exact"/>
        <w:rPr>
          <w:rFonts w:ascii="宋体" w:hAnsi="宋体" w:cs="宋体"/>
          <w:iCs/>
          <w:szCs w:val="21"/>
          <w:highlight w:val="none"/>
        </w:rPr>
      </w:pPr>
      <w:r>
        <w:rPr>
          <w:rFonts w:hint="eastAsia" w:ascii="宋体" w:hAnsi="宋体" w:cs="宋体"/>
          <w:highlight w:val="none"/>
        </w:rPr>
        <w:t xml:space="preserve">         中标（成交）采购标的制造商是否为残疾人福利性单位：</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snapToGrid w:val="0"/>
        <w:spacing w:line="400" w:lineRule="exact"/>
        <w:rPr>
          <w:rFonts w:ascii="宋体" w:hAnsi="宋体" w:cs="宋体"/>
          <w:highlight w:val="none"/>
        </w:rPr>
      </w:pPr>
      <w:r>
        <w:rPr>
          <w:rFonts w:hint="eastAsia" w:ascii="宋体" w:hAnsi="宋体" w:cs="宋体"/>
          <w:highlight w:val="none"/>
        </w:rPr>
        <w:t xml:space="preserve">         中标（成交）采购标的制造商是否为监狱企业：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
        </w:rPr>
        <w:t>7</w:t>
      </w:r>
      <w:r>
        <w:rPr>
          <w:rFonts w:hint="eastAsia" w:ascii="宋体" w:hAnsi="宋体" w:cs="宋体"/>
          <w:szCs w:val="21"/>
          <w:highlight w:val="none"/>
        </w:rPr>
        <w:t>）合同是否分包：</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adjustRightInd w:val="0"/>
        <w:snapToGrid w:val="0"/>
        <w:spacing w:line="400" w:lineRule="exact"/>
        <w:ind w:firstLine="840" w:firstLineChars="400"/>
        <w:rPr>
          <w:rFonts w:ascii="宋体" w:hAnsi="宋体" w:cs="宋体"/>
          <w:szCs w:val="21"/>
          <w:highlight w:val="none"/>
          <w:u w:val="single"/>
        </w:rPr>
      </w:pPr>
      <w:r>
        <w:rPr>
          <w:rFonts w:hint="eastAsia" w:ascii="宋体" w:hAnsi="宋体" w:cs="宋体"/>
          <w:szCs w:val="21"/>
          <w:highlight w:val="none"/>
        </w:rPr>
        <w:t xml:space="preserve"> 分包主要内容：</w:t>
      </w:r>
      <w:r>
        <w:rPr>
          <w:rFonts w:hint="eastAsia" w:ascii="宋体" w:hAnsi="宋体" w:cs="宋体"/>
          <w:szCs w:val="21"/>
          <w:highlight w:val="none"/>
          <w:u w:val="single"/>
        </w:rPr>
        <w:t xml:space="preserve">                                            </w:t>
      </w:r>
    </w:p>
    <w:p>
      <w:pPr>
        <w:adjustRightInd w:val="0"/>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t xml:space="preserve"> 分包供应商/制造商名称（如供应商和制造商不同，请分别填写）：</w:t>
      </w:r>
    </w:p>
    <w:p>
      <w:pPr>
        <w:adjustRightInd w:val="0"/>
        <w:snapToGrid w:val="0"/>
        <w:spacing w:line="400" w:lineRule="exact"/>
        <w:ind w:firstLine="840" w:firstLineChars="400"/>
        <w:rPr>
          <w:rFonts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pPr>
        <w:adjustRightInd w:val="0"/>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大型企业  </w:t>
      </w:r>
      <w:r>
        <w:rPr>
          <w:rFonts w:hint="eastAsia" w:ascii="宋体" w:hAnsi="宋体" w:cs="宋体"/>
          <w:iCs/>
          <w:szCs w:val="21"/>
          <w:highlight w:val="none"/>
        </w:rPr>
        <w:sym w:font="Wingdings" w:char="00A8"/>
      </w:r>
      <w:r>
        <w:rPr>
          <w:rFonts w:hint="eastAsia" w:ascii="宋体" w:hAnsi="宋体" w:cs="宋体"/>
          <w:iCs/>
          <w:szCs w:val="21"/>
          <w:highlight w:val="none"/>
        </w:rPr>
        <w:t xml:space="preserve">中型企业  </w:t>
      </w:r>
      <w:r>
        <w:rPr>
          <w:rFonts w:hint="eastAsia" w:ascii="宋体" w:hAnsi="宋体" w:cs="宋体"/>
          <w:iCs/>
          <w:szCs w:val="21"/>
          <w:highlight w:val="none"/>
        </w:rPr>
        <w:sym w:font="Wingdings" w:char="00A8"/>
      </w:r>
      <w:r>
        <w:rPr>
          <w:rFonts w:hint="eastAsia" w:ascii="宋体" w:hAnsi="宋体" w:cs="宋体"/>
          <w:iCs/>
          <w:szCs w:val="21"/>
          <w:highlight w:val="none"/>
        </w:rPr>
        <w:t xml:space="preserve">小微型企业  </w:t>
      </w:r>
    </w:p>
    <w:p>
      <w:pPr>
        <w:adjustRightInd w:val="0"/>
        <w:snapToGrid w:val="0"/>
        <w:spacing w:line="400" w:lineRule="exact"/>
        <w:ind w:firstLine="840" w:firstLineChars="400"/>
        <w:rPr>
          <w:rFonts w:ascii="宋体" w:hAnsi="宋体" w:cs="宋体"/>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残疾人福利性单位 </w:t>
      </w:r>
      <w:r>
        <w:rPr>
          <w:rFonts w:hint="eastAsia" w:ascii="宋体" w:hAnsi="宋体" w:cs="宋体"/>
          <w:iCs/>
          <w:szCs w:val="21"/>
          <w:highlight w:val="none"/>
        </w:rPr>
        <w:sym w:font="Wingdings" w:char="00A8"/>
      </w:r>
      <w:r>
        <w:rPr>
          <w:rFonts w:hint="eastAsia" w:ascii="宋体" w:hAnsi="宋体" w:cs="宋体"/>
          <w:iCs/>
          <w:szCs w:val="21"/>
          <w:highlight w:val="none"/>
        </w:rPr>
        <w:t xml:space="preserve">监狱企业 </w:t>
      </w:r>
      <w:r>
        <w:rPr>
          <w:rFonts w:hint="eastAsia" w:ascii="宋体" w:hAnsi="宋体" w:cs="宋体"/>
          <w:iCs/>
          <w:szCs w:val="21"/>
          <w:highlight w:val="none"/>
        </w:rPr>
        <w:sym w:font="Wingdings" w:char="00A8"/>
      </w:r>
      <w:r>
        <w:rPr>
          <w:rFonts w:hint="eastAsia" w:ascii="宋体" w:hAnsi="宋体" w:cs="宋体"/>
          <w:iCs/>
          <w:szCs w:val="21"/>
          <w:highlight w:val="none"/>
        </w:rPr>
        <w:t>其他</w:t>
      </w:r>
    </w:p>
    <w:p>
      <w:pPr>
        <w:numPr>
          <w:ilvl w:val="255"/>
          <w:numId w:val="0"/>
        </w:numPr>
        <w:adjustRightInd w:val="0"/>
        <w:snapToGrid w:val="0"/>
        <w:spacing w:line="400" w:lineRule="exact"/>
        <w:rPr>
          <w:rFonts w:ascii="宋体" w:hAnsi="宋体" w:cs="宋体"/>
          <w:iCs/>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
        </w:rPr>
        <w:t>8</w:t>
      </w:r>
      <w:r>
        <w:rPr>
          <w:rFonts w:hint="eastAsia" w:ascii="宋体" w:hAnsi="宋体" w:cs="宋体"/>
          <w:szCs w:val="21"/>
          <w:highlight w:val="none"/>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pPr>
        <w:pStyle w:val="105"/>
        <w:tabs>
          <w:tab w:val="left" w:pos="1340"/>
        </w:tabs>
        <w:ind w:firstLine="420"/>
        <w:rPr>
          <w:rFonts w:ascii="宋体" w:hAnsi="宋体" w:eastAsia="宋体" w:cs="宋体"/>
          <w:sz w:val="21"/>
          <w:highlight w:val="none"/>
          <w:u w:val="single"/>
        </w:rPr>
      </w:pPr>
      <w:r>
        <w:rPr>
          <w:rFonts w:hint="eastAsia" w:ascii="宋体" w:hAnsi="宋体" w:eastAsia="宋体" w:cs="宋体"/>
          <w:sz w:val="21"/>
          <w:highlight w:val="none"/>
        </w:rPr>
        <w:t xml:space="preserve">     外商投资企业类型：</w:t>
      </w:r>
      <w:r>
        <w:rPr>
          <w:rFonts w:hint="eastAsia" w:ascii="宋体" w:hAnsi="宋体" w:eastAsia="宋体" w:cs="宋体"/>
          <w:iCs/>
          <w:sz w:val="21"/>
          <w:highlight w:val="none"/>
        </w:rPr>
        <w:sym w:font="Wingdings" w:char="00A8"/>
      </w:r>
      <w:r>
        <w:rPr>
          <w:rFonts w:hint="eastAsia" w:ascii="宋体" w:hAnsi="宋体" w:eastAsia="宋体" w:cs="宋体"/>
          <w:sz w:val="21"/>
          <w:highlight w:val="none"/>
        </w:rPr>
        <w:t xml:space="preserve">全部由外国投资者投资  </w:t>
      </w:r>
      <w:r>
        <w:rPr>
          <w:rFonts w:hint="eastAsia" w:ascii="宋体" w:hAnsi="宋体" w:eastAsia="宋体" w:cs="宋体"/>
          <w:iCs/>
          <w:sz w:val="21"/>
          <w:highlight w:val="none"/>
        </w:rPr>
        <w:sym w:font="Wingdings" w:char="00A8"/>
      </w:r>
      <w:r>
        <w:rPr>
          <w:rFonts w:hint="eastAsia" w:ascii="宋体" w:hAnsi="宋体" w:eastAsia="宋体" w:cs="宋体"/>
          <w:iCs/>
          <w:sz w:val="21"/>
          <w:highlight w:val="none"/>
        </w:rPr>
        <w:t>部分由外国投资者投资</w:t>
      </w:r>
    </w:p>
    <w:p>
      <w:pPr>
        <w:numPr>
          <w:ilvl w:val="255"/>
          <w:numId w:val="0"/>
        </w:num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
        </w:rPr>
        <w:t>9</w:t>
      </w:r>
      <w:r>
        <w:rPr>
          <w:rFonts w:hint="eastAsia" w:ascii="宋体" w:hAnsi="宋体" w:cs="宋体"/>
          <w:szCs w:val="21"/>
          <w:highlight w:val="none"/>
        </w:rPr>
        <w:t>）是否涉及进口产品：</w:t>
      </w:r>
    </w:p>
    <w:p>
      <w:pPr>
        <w:numPr>
          <w:ilvl w:val="255"/>
          <w:numId w:val="0"/>
        </w:numPr>
        <w:adjustRightInd w:val="0"/>
        <w:snapToGrid w:val="0"/>
        <w:spacing w:line="400" w:lineRule="exact"/>
        <w:ind w:firstLine="840" w:firstLineChars="400"/>
        <w:rPr>
          <w:rFonts w:ascii="宋体" w:hAnsi="宋体" w:cs="宋体"/>
          <w:szCs w:val="21"/>
          <w:highlight w:val="none"/>
          <w:u w:val="singl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是，《政府采购品目分类目录》底级品目名称：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金额：</w:t>
      </w:r>
      <w:r>
        <w:rPr>
          <w:rFonts w:hint="eastAsia" w:ascii="宋体" w:hAnsi="宋体" w:cs="宋体"/>
          <w:szCs w:val="21"/>
          <w:highlight w:val="none"/>
          <w:u w:val="single"/>
        </w:rPr>
        <w:t xml:space="preserve">        </w:t>
      </w:r>
    </w:p>
    <w:p>
      <w:pPr>
        <w:numPr>
          <w:ilvl w:val="255"/>
          <w:numId w:val="0"/>
        </w:numPr>
        <w:adjustRightInd w:val="0"/>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t xml:space="preserve">        国别：</w:t>
      </w:r>
      <w:r>
        <w:rPr>
          <w:rFonts w:hint="eastAsia" w:ascii="宋体" w:hAnsi="宋体" w:cs="宋体"/>
          <w:szCs w:val="21"/>
          <w:highlight w:val="none"/>
          <w:u w:val="single"/>
        </w:rPr>
        <w:t xml:space="preserve">        </w:t>
      </w:r>
      <w:r>
        <w:rPr>
          <w:rFonts w:hint="eastAsia" w:ascii="宋体" w:hAnsi="宋体" w:cs="宋体"/>
          <w:szCs w:val="21"/>
          <w:highlight w:val="none"/>
        </w:rPr>
        <w:t xml:space="preserve"> 品牌：</w:t>
      </w:r>
      <w:r>
        <w:rPr>
          <w:rFonts w:hint="eastAsia" w:ascii="宋体" w:hAnsi="宋体" w:cs="宋体"/>
          <w:szCs w:val="21"/>
          <w:highlight w:val="none"/>
          <w:u w:val="single"/>
        </w:rPr>
        <w:t xml:space="preserve">        </w:t>
      </w:r>
      <w:r>
        <w:rPr>
          <w:rFonts w:hint="eastAsia" w:ascii="宋体" w:hAnsi="宋体" w:cs="宋体"/>
          <w:szCs w:val="21"/>
          <w:highlight w:val="none"/>
        </w:rPr>
        <w:t xml:space="preserve"> 规格型号：</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否</w:t>
      </w:r>
    </w:p>
    <w:p>
      <w:pPr>
        <w:numPr>
          <w:ilvl w:val="255"/>
          <w:numId w:val="0"/>
        </w:numPr>
        <w:tabs>
          <w:tab w:val="left" w:pos="740"/>
        </w:tabs>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（1</w:t>
      </w:r>
      <w:r>
        <w:rPr>
          <w:rFonts w:hint="eastAsia" w:ascii="宋体" w:hAnsi="宋体" w:cs="宋体"/>
          <w:szCs w:val="21"/>
          <w:highlight w:val="none"/>
          <w:lang w:val="en"/>
        </w:rPr>
        <w:t>0</w:t>
      </w:r>
      <w:r>
        <w:rPr>
          <w:rFonts w:hint="eastAsia" w:ascii="宋体" w:hAnsi="宋体" w:cs="宋体"/>
          <w:szCs w:val="21"/>
          <w:highlight w:val="none"/>
        </w:rPr>
        <w:t>）是否涉及节能产品：</w:t>
      </w:r>
    </w:p>
    <w:p>
      <w:pPr>
        <w:numPr>
          <w:ilvl w:val="255"/>
          <w:numId w:val="0"/>
        </w:numPr>
        <w:tabs>
          <w:tab w:val="left" w:pos="740"/>
        </w:tabs>
        <w:adjustRightInd w:val="0"/>
        <w:snapToGrid w:val="0"/>
        <w:spacing w:line="400" w:lineRule="exact"/>
        <w:rPr>
          <w:rFonts w:ascii="宋体" w:hAnsi="宋体" w:cs="宋体"/>
          <w:iCs/>
          <w:szCs w:val="21"/>
          <w:highlight w:val="non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是，《节能产品政府采购品目清单》的底级品目名称：</w:t>
      </w:r>
      <w:r>
        <w:rPr>
          <w:rFonts w:hint="eastAsia" w:ascii="宋体" w:hAnsi="宋体" w:cs="宋体"/>
          <w:szCs w:val="21"/>
          <w:highlight w:val="none"/>
          <w:u w:val="single"/>
        </w:rPr>
        <w:t xml:space="preserve">         </w:t>
      </w:r>
      <w:r>
        <w:rPr>
          <w:rFonts w:hint="eastAsia" w:ascii="宋体" w:hAnsi="宋体" w:cs="宋体"/>
          <w:iCs/>
          <w:szCs w:val="21"/>
          <w:highlight w:val="none"/>
        </w:rPr>
        <w:t xml:space="preserve">     </w:t>
      </w:r>
    </w:p>
    <w:p>
      <w:pPr>
        <w:numPr>
          <w:ilvl w:val="255"/>
          <w:numId w:val="0"/>
        </w:numPr>
        <w:tabs>
          <w:tab w:val="left" w:pos="740"/>
        </w:tabs>
        <w:adjustRightInd w:val="0"/>
        <w:snapToGrid w:val="0"/>
        <w:spacing w:line="400" w:lineRule="exact"/>
        <w:rPr>
          <w:rFonts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强制采购       </w:t>
      </w:r>
      <w:r>
        <w:rPr>
          <w:rFonts w:hint="eastAsia" w:ascii="宋体" w:hAnsi="宋体" w:cs="宋体"/>
          <w:iCs/>
          <w:szCs w:val="21"/>
          <w:highlight w:val="none"/>
        </w:rPr>
        <w:sym w:font="Wingdings" w:char="00A8"/>
      </w:r>
      <w:r>
        <w:rPr>
          <w:rFonts w:hint="eastAsia" w:ascii="宋体" w:hAnsi="宋体" w:cs="宋体"/>
          <w:iCs/>
          <w:szCs w:val="21"/>
          <w:highlight w:val="none"/>
        </w:rPr>
        <w:t xml:space="preserve">优先采购    </w:t>
      </w:r>
    </w:p>
    <w:p>
      <w:pPr>
        <w:numPr>
          <w:ilvl w:val="255"/>
          <w:numId w:val="0"/>
        </w:numPr>
        <w:tabs>
          <w:tab w:val="left" w:pos="740"/>
        </w:tabs>
        <w:adjustRightInd w:val="0"/>
        <w:snapToGrid w:val="0"/>
        <w:spacing w:line="400" w:lineRule="exact"/>
        <w:rPr>
          <w:rFonts w:ascii="宋体" w:hAnsi="宋体" w:cs="宋体"/>
          <w:szCs w:val="21"/>
          <w:highlight w:val="none"/>
        </w:rPr>
      </w:pPr>
      <w:r>
        <w:rPr>
          <w:rFonts w:hint="eastAsia" w:ascii="宋体" w:hAnsi="宋体" w:cs="宋体"/>
          <w:iCs/>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否</w:t>
      </w:r>
    </w:p>
    <w:p>
      <w:pPr>
        <w:numPr>
          <w:ilvl w:val="255"/>
          <w:numId w:val="0"/>
        </w:numPr>
        <w:tabs>
          <w:tab w:val="left" w:pos="740"/>
        </w:tabs>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是否涉及环境标志产品：</w:t>
      </w:r>
    </w:p>
    <w:p>
      <w:pPr>
        <w:numPr>
          <w:ilvl w:val="255"/>
          <w:numId w:val="0"/>
        </w:numPr>
        <w:tabs>
          <w:tab w:val="left" w:pos="740"/>
        </w:tabs>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是，《环境标志产品政府采购品目清单》的底级品目名称：</w:t>
      </w:r>
      <w:r>
        <w:rPr>
          <w:rFonts w:hint="eastAsia" w:ascii="宋体" w:hAnsi="宋体" w:cs="宋体"/>
          <w:szCs w:val="21"/>
          <w:highlight w:val="none"/>
          <w:u w:val="single"/>
        </w:rPr>
        <w:t xml:space="preserve">         </w:t>
      </w:r>
      <w:r>
        <w:rPr>
          <w:rFonts w:hint="eastAsia" w:ascii="宋体" w:hAnsi="宋体" w:cs="宋体"/>
          <w:iCs/>
          <w:szCs w:val="21"/>
          <w:highlight w:val="none"/>
        </w:rPr>
        <w:t xml:space="preserve"> </w:t>
      </w:r>
    </w:p>
    <w:p>
      <w:pPr>
        <w:numPr>
          <w:ilvl w:val="255"/>
          <w:numId w:val="0"/>
        </w:numPr>
        <w:tabs>
          <w:tab w:val="left" w:pos="740"/>
        </w:tabs>
        <w:adjustRightInd w:val="0"/>
        <w:snapToGrid w:val="0"/>
        <w:spacing w:line="400" w:lineRule="exact"/>
        <w:rPr>
          <w:rFonts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强制采购       </w:t>
      </w:r>
      <w:r>
        <w:rPr>
          <w:rFonts w:hint="eastAsia" w:ascii="宋体" w:hAnsi="宋体" w:cs="宋体"/>
          <w:iCs/>
          <w:szCs w:val="21"/>
          <w:highlight w:val="none"/>
        </w:rPr>
        <w:sym w:font="Wingdings" w:char="00A8"/>
      </w:r>
      <w:r>
        <w:rPr>
          <w:rFonts w:hint="eastAsia" w:ascii="宋体" w:hAnsi="宋体" w:cs="宋体"/>
          <w:iCs/>
          <w:szCs w:val="21"/>
          <w:highlight w:val="none"/>
        </w:rPr>
        <w:t xml:space="preserve">优先采购    </w:t>
      </w:r>
    </w:p>
    <w:p>
      <w:pPr>
        <w:numPr>
          <w:ilvl w:val="255"/>
          <w:numId w:val="0"/>
        </w:numPr>
        <w:tabs>
          <w:tab w:val="left" w:pos="740"/>
        </w:tabs>
        <w:adjustRightInd w:val="0"/>
        <w:snapToGrid w:val="0"/>
        <w:spacing w:line="400" w:lineRule="exact"/>
        <w:rPr>
          <w:rFonts w:ascii="宋体" w:hAnsi="宋体" w:cs="宋体"/>
          <w:szCs w:val="21"/>
          <w:highlight w:val="none"/>
        </w:rPr>
      </w:pPr>
      <w:r>
        <w:rPr>
          <w:rFonts w:hint="eastAsia" w:ascii="宋体" w:hAnsi="宋体" w:cs="宋体"/>
          <w:iCs/>
          <w:szCs w:val="21"/>
          <w:highlight w:val="none"/>
        </w:rPr>
        <w:t xml:space="preserve">         </w:t>
      </w:r>
      <w:r>
        <w:rPr>
          <w:rFonts w:hint="eastAsia" w:ascii="宋体" w:hAnsi="宋体" w:cs="宋体"/>
          <w:szCs w:val="21"/>
          <w:highlight w:val="none"/>
        </w:rPr>
        <w:sym w:font="Wingdings" w:char="00A8"/>
      </w:r>
      <w:r>
        <w:rPr>
          <w:rFonts w:hint="eastAsia" w:ascii="宋体" w:hAnsi="宋体" w:cs="宋体"/>
          <w:szCs w:val="21"/>
          <w:highlight w:val="none"/>
        </w:rPr>
        <w:t>否</w:t>
      </w:r>
    </w:p>
    <w:p>
      <w:pPr>
        <w:pStyle w:val="105"/>
        <w:numPr>
          <w:ilvl w:val="255"/>
          <w:numId w:val="0"/>
        </w:numPr>
        <w:snapToGrid w:val="0"/>
        <w:rPr>
          <w:rFonts w:ascii="宋体" w:hAnsi="宋体" w:eastAsia="宋体" w:cs="宋体"/>
          <w:kern w:val="2"/>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 xml:space="preserve">是否涉及绿色产品： </w:t>
      </w:r>
    </w:p>
    <w:p>
      <w:pPr>
        <w:pStyle w:val="105"/>
        <w:ind w:firstLine="420" w:firstLineChars="0"/>
        <w:rPr>
          <w:rFonts w:ascii="宋体" w:hAnsi="宋体" w:eastAsia="宋体" w:cs="宋体"/>
          <w:highlight w:val="none"/>
          <w:u w:val="single"/>
        </w:rPr>
      </w:pPr>
      <w:r>
        <w:rPr>
          <w:rFonts w:hint="eastAsia" w:ascii="宋体" w:hAnsi="宋体" w:eastAsia="宋体" w:cs="宋体"/>
          <w:kern w:val="2"/>
          <w:sz w:val="21"/>
          <w:highlight w:val="none"/>
        </w:rPr>
        <w:t xml:space="preserve">     </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是，绿色产品政府采购相关政策确定的底级品目名称：</w:t>
      </w:r>
      <w:r>
        <w:rPr>
          <w:rFonts w:hint="eastAsia" w:ascii="宋体" w:hAnsi="宋体" w:eastAsia="宋体" w:cs="宋体"/>
          <w:highlight w:val="none"/>
          <w:u w:val="single"/>
        </w:rPr>
        <w:t xml:space="preserve">         </w:t>
      </w:r>
    </w:p>
    <w:p>
      <w:pPr>
        <w:numPr>
          <w:ilvl w:val="255"/>
          <w:numId w:val="0"/>
        </w:numPr>
        <w:tabs>
          <w:tab w:val="left" w:pos="740"/>
        </w:tabs>
        <w:adjustRightInd w:val="0"/>
        <w:snapToGrid w:val="0"/>
        <w:spacing w:line="400" w:lineRule="exact"/>
        <w:rPr>
          <w:rFonts w:ascii="宋体" w:hAnsi="宋体" w:cs="宋体"/>
          <w:iCs/>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强制采购       </w:t>
      </w:r>
      <w:r>
        <w:rPr>
          <w:rFonts w:hint="eastAsia" w:ascii="宋体" w:hAnsi="宋体" w:cs="宋体"/>
          <w:iCs/>
          <w:szCs w:val="21"/>
          <w:highlight w:val="none"/>
        </w:rPr>
        <w:sym w:font="Wingdings" w:char="00A8"/>
      </w:r>
      <w:r>
        <w:rPr>
          <w:rFonts w:hint="eastAsia" w:ascii="宋体" w:hAnsi="宋体" w:cs="宋体"/>
          <w:iCs/>
          <w:szCs w:val="21"/>
          <w:highlight w:val="none"/>
        </w:rPr>
        <w:t xml:space="preserve">优先采购    </w:t>
      </w:r>
    </w:p>
    <w:p>
      <w:pPr>
        <w:pStyle w:val="105"/>
        <w:ind w:firstLine="420" w:firstLineChars="0"/>
        <w:rPr>
          <w:rFonts w:ascii="宋体" w:hAnsi="宋体" w:eastAsia="宋体" w:cs="宋体"/>
          <w:sz w:val="21"/>
          <w:highlight w:val="none"/>
        </w:rPr>
      </w:pPr>
      <w:r>
        <w:rPr>
          <w:rFonts w:hint="eastAsia" w:ascii="宋体" w:hAnsi="宋体" w:eastAsia="宋体" w:cs="宋体"/>
          <w:kern w:val="2"/>
          <w:sz w:val="21"/>
          <w:highlight w:val="none"/>
        </w:rPr>
        <w:t xml:space="preserve">     </w:t>
      </w:r>
      <w:r>
        <w:rPr>
          <w:rFonts w:hint="eastAsia" w:ascii="宋体" w:hAnsi="宋体" w:eastAsia="宋体" w:cs="宋体"/>
          <w:kern w:val="2"/>
          <w:sz w:val="21"/>
          <w:highlight w:val="none"/>
        </w:rPr>
        <w:sym w:font="Wingdings" w:char="00A8"/>
      </w:r>
      <w:r>
        <w:rPr>
          <w:rFonts w:hint="eastAsia" w:ascii="宋体" w:hAnsi="宋体" w:eastAsia="宋体" w:cs="宋体"/>
          <w:kern w:val="2"/>
          <w:sz w:val="21"/>
          <w:highlight w:val="none"/>
        </w:rPr>
        <w:t>否</w:t>
      </w:r>
    </w:p>
    <w:p>
      <w:pPr>
        <w:numPr>
          <w:ilvl w:val="255"/>
          <w:numId w:val="0"/>
        </w:num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（1</w:t>
      </w:r>
      <w:r>
        <w:rPr>
          <w:rFonts w:hint="eastAsia" w:ascii="宋体" w:hAnsi="宋体" w:cs="宋体"/>
          <w:szCs w:val="21"/>
          <w:highlight w:val="none"/>
          <w:lang w:val="en"/>
        </w:rPr>
        <w:t>1</w:t>
      </w:r>
      <w:r>
        <w:rPr>
          <w:rFonts w:hint="eastAsia" w:ascii="宋体" w:hAnsi="宋体" w:cs="宋体"/>
          <w:szCs w:val="21"/>
          <w:highlight w:val="none"/>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 xml:space="preserve">否      </w:t>
      </w:r>
      <w:r>
        <w:rPr>
          <w:rFonts w:hint="eastAsia" w:ascii="宋体" w:hAnsi="宋体" w:cs="宋体"/>
          <w:szCs w:val="21"/>
          <w:highlight w:val="none"/>
        </w:rPr>
        <w:sym w:font="Wingdings" w:char="00A8"/>
      </w:r>
      <w:r>
        <w:rPr>
          <w:rFonts w:hint="eastAsia" w:ascii="宋体" w:hAnsi="宋体" w:cs="宋体"/>
          <w:szCs w:val="21"/>
          <w:highlight w:val="none"/>
        </w:rPr>
        <w:t>不涉及</w:t>
      </w:r>
    </w:p>
    <w:p>
      <w:pPr>
        <w:numPr>
          <w:ilvl w:val="0"/>
          <w:numId w:val="3"/>
        </w:numPr>
        <w:adjustRightInd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合同金额</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（1）合同金额小写：</w:t>
      </w:r>
      <w:r>
        <w:rPr>
          <w:rFonts w:hint="eastAsia" w:ascii="宋体" w:hAnsi="宋体" w:cs="宋体"/>
          <w:szCs w:val="21"/>
          <w:highlight w:val="none"/>
          <w:u w:val="single"/>
        </w:rPr>
        <w:t xml:space="preserve">                           </w:t>
      </w:r>
    </w:p>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 xml:space="preserve">                 大写：</w:t>
      </w:r>
      <w:r>
        <w:rPr>
          <w:rFonts w:hint="eastAsia" w:ascii="宋体" w:hAnsi="宋体" w:cs="宋体"/>
          <w:szCs w:val="21"/>
          <w:highlight w:val="none"/>
          <w:u w:val="single"/>
        </w:rPr>
        <w:t xml:space="preserve">                           </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分包金额（如有）小写：</w:t>
      </w:r>
      <w:r>
        <w:rPr>
          <w:rFonts w:hint="eastAsia" w:ascii="宋体" w:hAnsi="宋体" w:cs="宋体"/>
          <w:szCs w:val="21"/>
          <w:highlight w:val="none"/>
          <w:u w:val="single"/>
        </w:rPr>
        <w:t xml:space="preserve">                   </w:t>
      </w:r>
    </w:p>
    <w:p>
      <w:pPr>
        <w:adjustRightInd w:val="0"/>
        <w:snapToGrid w:val="0"/>
        <w:spacing w:line="400" w:lineRule="exact"/>
        <w:rPr>
          <w:rFonts w:ascii="宋体" w:hAnsi="宋体" w:cs="宋体"/>
          <w:szCs w:val="21"/>
          <w:highlight w:val="none"/>
          <w:u w:val="single"/>
        </w:rPr>
      </w:pPr>
      <w:r>
        <w:rPr>
          <w:rFonts w:hint="eastAsia" w:ascii="宋体" w:hAnsi="宋体" w:cs="宋体"/>
          <w:szCs w:val="21"/>
          <w:highlight w:val="none"/>
        </w:rPr>
        <w:t xml:space="preserve">                     大写：</w:t>
      </w:r>
      <w:r>
        <w:rPr>
          <w:rFonts w:hint="eastAsia" w:ascii="宋体" w:hAnsi="宋体" w:cs="宋体"/>
          <w:szCs w:val="21"/>
          <w:highlight w:val="none"/>
          <w:u w:val="single"/>
        </w:rPr>
        <w:t xml:space="preserve">                       </w:t>
      </w: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（注：固定单价合同应填写单价和最高限价）</w:t>
      </w:r>
    </w:p>
    <w:p>
      <w:pPr>
        <w:numPr>
          <w:ilvl w:val="255"/>
          <w:numId w:val="0"/>
        </w:numPr>
        <w:adjustRightInd w:val="0"/>
        <w:snapToGrid w:val="0"/>
        <w:spacing w:line="400" w:lineRule="exact"/>
        <w:rPr>
          <w:rFonts w:ascii="宋体" w:hAnsi="宋体" w:cs="宋体"/>
          <w:szCs w:val="21"/>
          <w:highlight w:val="none"/>
        </w:rPr>
      </w:pPr>
      <w:r>
        <w:rPr>
          <w:rFonts w:hint="eastAsia" w:ascii="宋体" w:hAnsi="宋体" w:cs="宋体"/>
          <w:szCs w:val="21"/>
          <w:highlight w:val="none"/>
        </w:rPr>
        <w:t xml:space="preserve">    （2）合同定价方式（采用组合定价方式的，可以勾选多项）：</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iCs/>
          <w:szCs w:val="21"/>
          <w:highlight w:val="none"/>
        </w:rPr>
        <w:t xml:space="preserve">  </w:t>
      </w:r>
      <w:r>
        <w:rPr>
          <w:rFonts w:hint="eastAsia" w:ascii="宋体" w:hAnsi="宋体" w:cs="宋体"/>
          <w:iCs/>
          <w:szCs w:val="21"/>
          <w:highlight w:val="none"/>
        </w:rPr>
        <w:sym w:font="Wingdings" w:char="00A8"/>
      </w:r>
      <w:r>
        <w:rPr>
          <w:rFonts w:hint="eastAsia" w:ascii="宋体" w:hAnsi="宋体" w:cs="宋体"/>
          <w:iCs/>
          <w:szCs w:val="21"/>
          <w:highlight w:val="none"/>
        </w:rPr>
        <w:t xml:space="preserve">固定总价 </w:t>
      </w:r>
      <w:r>
        <w:rPr>
          <w:rFonts w:hint="eastAsia" w:ascii="宋体" w:hAnsi="宋体" w:cs="宋体"/>
          <w:iCs/>
          <w:szCs w:val="21"/>
          <w:highlight w:val="none"/>
        </w:rPr>
        <w:sym w:font="Wingdings" w:char="00A8"/>
      </w:r>
      <w:r>
        <w:rPr>
          <w:rFonts w:hint="eastAsia" w:ascii="宋体" w:hAnsi="宋体" w:cs="宋体"/>
          <w:iCs/>
          <w:szCs w:val="21"/>
          <w:highlight w:val="none"/>
        </w:rPr>
        <w:t xml:space="preserve">固定单价 </w:t>
      </w:r>
      <w:r>
        <w:rPr>
          <w:rFonts w:hint="eastAsia" w:ascii="宋体" w:hAnsi="宋体" w:cs="宋体"/>
          <w:iCs/>
          <w:szCs w:val="21"/>
          <w:highlight w:val="none"/>
        </w:rPr>
        <w:sym w:font="Wingdings" w:char="00A8"/>
      </w:r>
      <w:r>
        <w:rPr>
          <w:rFonts w:hint="eastAsia" w:ascii="宋体" w:hAnsi="宋体" w:cs="宋体"/>
          <w:iCs/>
          <w:szCs w:val="21"/>
          <w:highlight w:val="none"/>
        </w:rPr>
        <w:t xml:space="preserve">固定费率 </w:t>
      </w:r>
      <w:r>
        <w:rPr>
          <w:rFonts w:hint="eastAsia" w:ascii="宋体" w:hAnsi="宋体" w:cs="宋体"/>
          <w:iCs/>
          <w:szCs w:val="21"/>
          <w:highlight w:val="none"/>
        </w:rPr>
        <w:sym w:font="Wingdings" w:char="00A8"/>
      </w:r>
      <w:r>
        <w:rPr>
          <w:rFonts w:hint="eastAsia" w:ascii="宋体" w:hAnsi="宋体" w:cs="宋体"/>
          <w:iCs/>
          <w:szCs w:val="21"/>
          <w:highlight w:val="none"/>
        </w:rPr>
        <w:t xml:space="preserve">成本补偿 </w:t>
      </w:r>
      <w:r>
        <w:rPr>
          <w:rFonts w:hint="eastAsia" w:ascii="宋体" w:hAnsi="宋体" w:cs="宋体"/>
          <w:iCs/>
          <w:szCs w:val="21"/>
          <w:highlight w:val="none"/>
        </w:rPr>
        <w:sym w:font="Wingdings" w:char="00A8"/>
      </w:r>
      <w:r>
        <w:rPr>
          <w:rFonts w:hint="eastAsia" w:ascii="宋体" w:hAnsi="宋体" w:cs="宋体"/>
          <w:iCs/>
          <w:szCs w:val="21"/>
          <w:highlight w:val="none"/>
        </w:rPr>
        <w:t xml:space="preserve">绩效激励 </w:t>
      </w:r>
      <w:r>
        <w:rPr>
          <w:rFonts w:hint="eastAsia" w:ascii="宋体" w:hAnsi="宋体" w:cs="宋体"/>
          <w:iCs/>
          <w:szCs w:val="21"/>
          <w:highlight w:val="none"/>
        </w:rPr>
        <w:sym w:font="Wingdings" w:char="00A8"/>
      </w:r>
      <w:r>
        <w:rPr>
          <w:rFonts w:hint="eastAsia" w:ascii="宋体" w:hAnsi="宋体" w:cs="宋体"/>
          <w:iCs/>
          <w:szCs w:val="21"/>
          <w:highlight w:val="none"/>
        </w:rPr>
        <w:t>其他</w:t>
      </w:r>
      <w:r>
        <w:rPr>
          <w:rFonts w:hint="eastAsia" w:ascii="宋体" w:hAnsi="宋体" w:cs="宋体"/>
          <w:szCs w:val="21"/>
          <w:highlight w:val="none"/>
          <w:u w:val="single"/>
        </w:rPr>
        <w:t xml:space="preserve">       </w:t>
      </w:r>
    </w:p>
    <w:p>
      <w:pPr>
        <w:pStyle w:val="92"/>
        <w:spacing w:line="400" w:lineRule="exact"/>
        <w:rPr>
          <w:rFonts w:ascii="宋体" w:hAnsi="宋体" w:cs="宋体"/>
          <w:highlight w:val="none"/>
        </w:rPr>
      </w:pPr>
      <w:r>
        <w:rPr>
          <w:rFonts w:hint="eastAsia" w:ascii="宋体" w:hAnsi="宋体" w:cs="宋体"/>
          <w:highlight w:val="none"/>
        </w:rPr>
        <w:t>（3）付款方式（按项目实际勾选填写）：</w:t>
      </w:r>
    </w:p>
    <w:p>
      <w:pPr>
        <w:adjustRightInd w:val="0"/>
        <w:snapToGrid w:val="0"/>
        <w:spacing w:line="400" w:lineRule="exact"/>
        <w:ind w:firstLine="630" w:firstLineChars="300"/>
        <w:rPr>
          <w:rFonts w:ascii="宋体" w:hAnsi="宋体" w:cs="宋体"/>
          <w:szCs w:val="21"/>
          <w:highlight w:val="none"/>
          <w:u w:val="single"/>
        </w:rPr>
      </w:pPr>
      <w:r>
        <w:rPr>
          <w:rFonts w:hint="eastAsia" w:ascii="宋体" w:hAnsi="宋体" w:cs="宋体"/>
          <w:szCs w:val="21"/>
          <w:highlight w:val="none"/>
        </w:rPr>
        <w:sym w:font="Wingdings" w:char="00A8"/>
      </w:r>
      <w:r>
        <w:rPr>
          <w:rFonts w:hint="eastAsia" w:ascii="宋体" w:hAnsi="宋体" w:cs="宋体"/>
          <w:szCs w:val="21"/>
          <w:highlight w:val="none"/>
        </w:rPr>
        <w:t>全额付款：</w:t>
      </w:r>
      <w:r>
        <w:rPr>
          <w:rFonts w:hint="eastAsia" w:ascii="宋体" w:hAnsi="宋体" w:cs="宋体"/>
          <w:szCs w:val="21"/>
          <w:highlight w:val="none"/>
          <w:u w:val="single"/>
        </w:rPr>
        <w:t xml:space="preserve">     （应明确一次性支付合同款项的条件）                    </w:t>
      </w:r>
    </w:p>
    <w:p>
      <w:pPr>
        <w:snapToGrid w:val="0"/>
        <w:spacing w:line="400" w:lineRule="exact"/>
        <w:ind w:firstLine="630" w:firstLineChars="300"/>
        <w:rPr>
          <w:rFonts w:ascii="宋体" w:hAnsi="宋体" w:cs="宋体"/>
          <w:highlight w:val="none"/>
        </w:rPr>
      </w:pPr>
      <w:r>
        <w:rPr>
          <w:rFonts w:hint="eastAsia" w:ascii="宋体" w:hAnsi="宋体" w:cs="宋体"/>
          <w:szCs w:val="21"/>
          <w:highlight w:val="none"/>
        </w:rPr>
        <w:sym w:font="Wingdings" w:char="00A8"/>
      </w:r>
      <w:r>
        <w:rPr>
          <w:rFonts w:hint="eastAsia" w:ascii="宋体" w:hAnsi="宋体" w:cs="宋体"/>
          <w:szCs w:val="21"/>
          <w:highlight w:val="none"/>
        </w:rPr>
        <w:t>分期付款：</w:t>
      </w:r>
      <w:r>
        <w:rPr>
          <w:rFonts w:hint="eastAsia" w:ascii="宋体" w:hAnsi="宋体" w:cs="宋体"/>
          <w:szCs w:val="21"/>
          <w:highlight w:val="none"/>
          <w:u w:val="single"/>
        </w:rPr>
        <w:t xml:space="preserve">  （应明确分期支付合同款项的各期比例和支付条件，各期支付条件应与分期履约验收情况挂钩） </w:t>
      </w:r>
      <w:r>
        <w:rPr>
          <w:rFonts w:hint="eastAsia" w:ascii="宋体" w:hAnsi="宋体" w:cs="宋体"/>
          <w:szCs w:val="21"/>
          <w:highlight w:val="none"/>
        </w:rPr>
        <w:t>，其中涉及预付款的：</w:t>
      </w:r>
      <w:r>
        <w:rPr>
          <w:rFonts w:hint="eastAsia" w:ascii="宋体" w:hAnsi="宋体" w:cs="宋体"/>
          <w:szCs w:val="21"/>
          <w:highlight w:val="none"/>
          <w:u w:val="single"/>
        </w:rPr>
        <w:t xml:space="preserve"> （应明确预付款的支付比例和支付条件） </w:t>
      </w:r>
    </w:p>
    <w:p>
      <w:pPr>
        <w:adjustRightInd w:val="0"/>
        <w:snapToGrid w:val="0"/>
        <w:spacing w:line="400" w:lineRule="exact"/>
        <w:ind w:firstLine="630" w:firstLineChars="300"/>
        <w:rPr>
          <w:rFonts w:ascii="宋体" w:hAnsi="宋体" w:cs="宋体"/>
          <w:szCs w:val="21"/>
          <w:highlight w:val="none"/>
          <w:u w:val="single"/>
        </w:rPr>
      </w:pPr>
      <w:r>
        <w:rPr>
          <w:rFonts w:hint="eastAsia" w:ascii="宋体" w:hAnsi="宋体" w:cs="宋体"/>
          <w:szCs w:val="21"/>
          <w:highlight w:val="none"/>
        </w:rPr>
        <w:sym w:font="Wingdings" w:char="00A8"/>
      </w:r>
      <w:r>
        <w:rPr>
          <w:rFonts w:hint="eastAsia" w:ascii="宋体" w:hAnsi="宋体" w:cs="宋体"/>
          <w:szCs w:val="21"/>
          <w:highlight w:val="none"/>
        </w:rPr>
        <w:t>成本补偿：</w:t>
      </w:r>
      <w:r>
        <w:rPr>
          <w:rFonts w:hint="eastAsia" w:ascii="宋体" w:hAnsi="宋体" w:cs="宋体"/>
          <w:szCs w:val="21"/>
          <w:highlight w:val="none"/>
          <w:u w:val="single"/>
        </w:rPr>
        <w:t xml:space="preserve">      （应明确按照成本补偿方式的支付方式和支付条件）   </w:t>
      </w:r>
    </w:p>
    <w:p>
      <w:pPr>
        <w:adjustRightInd w:val="0"/>
        <w:snapToGrid w:val="0"/>
        <w:spacing w:line="400" w:lineRule="exact"/>
        <w:ind w:firstLine="630" w:firstLineChars="300"/>
        <w:rPr>
          <w:rFonts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绩效激励：</w:t>
      </w:r>
      <w:r>
        <w:rPr>
          <w:rFonts w:hint="eastAsia" w:ascii="宋体" w:hAnsi="宋体" w:cs="宋体"/>
          <w:szCs w:val="21"/>
          <w:highlight w:val="none"/>
          <w:u w:val="single"/>
        </w:rPr>
        <w:t xml:space="preserve">      （应明确按照绩效激励方式的支付方式和支付条件）   </w:t>
      </w:r>
    </w:p>
    <w:p>
      <w:pPr>
        <w:numPr>
          <w:ilvl w:val="0"/>
          <w:numId w:val="3"/>
        </w:numPr>
        <w:adjustRightInd w:val="0"/>
        <w:snapToGrid w:val="0"/>
        <w:spacing w:line="400" w:lineRule="exact"/>
        <w:ind w:firstLine="422" w:firstLineChars="200"/>
        <w:rPr>
          <w:rFonts w:ascii="宋体" w:hAnsi="宋体" w:cs="宋体"/>
          <w:b/>
          <w:szCs w:val="21"/>
          <w:highlight w:val="none"/>
          <w:u w:val="single"/>
        </w:rPr>
      </w:pPr>
      <w:r>
        <w:rPr>
          <w:rFonts w:hint="eastAsia" w:ascii="宋体" w:hAnsi="宋体" w:cs="宋体"/>
          <w:b/>
          <w:szCs w:val="21"/>
          <w:highlight w:val="none"/>
        </w:rPr>
        <w:t>合同履行</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szCs w:val="21"/>
          <w:highlight w:val="none"/>
        </w:rPr>
        <w:t>（2）履约地点</w:t>
      </w:r>
      <w:r>
        <w:rPr>
          <w:rFonts w:hint="eastAsia" w:ascii="宋体" w:hAnsi="宋体" w:cs="宋体"/>
          <w:bCs/>
          <w:szCs w:val="21"/>
          <w:highlight w:val="none"/>
        </w:rPr>
        <w:t>：</w:t>
      </w:r>
      <w:r>
        <w:rPr>
          <w:rFonts w:hint="eastAsia" w:ascii="宋体" w:hAnsi="宋体" w:cs="宋体"/>
          <w:szCs w:val="21"/>
          <w:highlight w:val="none"/>
          <w:u w:val="single"/>
        </w:rPr>
        <w:t xml:space="preserve">                             </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bCs/>
          <w:szCs w:val="21"/>
          <w:highlight w:val="none"/>
        </w:rPr>
        <w:t>（3）履约担保：</w:t>
      </w:r>
      <w:r>
        <w:rPr>
          <w:rFonts w:hint="eastAsia" w:ascii="宋体" w:hAnsi="宋体" w:cs="宋体"/>
          <w:highlight w:val="none"/>
        </w:rPr>
        <w:t>是否收取履约保证金：</w:t>
      </w:r>
      <w:r>
        <w:rPr>
          <w:rFonts w:hint="eastAsia" w:ascii="宋体" w:hAnsi="宋体" w:cs="宋体"/>
          <w:szCs w:val="21"/>
          <w:highlight w:val="none"/>
        </w:rPr>
        <w:sym w:font="Wingdings" w:char="00A8"/>
      </w:r>
      <w:r>
        <w:rPr>
          <w:rFonts w:hint="eastAsia" w:ascii="宋体" w:hAnsi="宋体" w:cs="宋体"/>
          <w:szCs w:val="21"/>
          <w:highlight w:val="none"/>
        </w:rPr>
        <w:t xml:space="preserve">是    </w:t>
      </w:r>
      <w:r>
        <w:rPr>
          <w:rFonts w:hint="eastAsia" w:ascii="宋体" w:hAnsi="宋体" w:cs="宋体"/>
          <w:szCs w:val="21"/>
          <w:highlight w:val="none"/>
        </w:rPr>
        <w:sym w:font="Wingdings" w:char="00A8"/>
      </w:r>
      <w:r>
        <w:rPr>
          <w:rFonts w:hint="eastAsia" w:ascii="宋体" w:hAnsi="宋体" w:cs="宋体"/>
          <w:szCs w:val="21"/>
          <w:highlight w:val="none"/>
        </w:rPr>
        <w:t>否</w:t>
      </w:r>
    </w:p>
    <w:p>
      <w:pPr>
        <w:pStyle w:val="105"/>
        <w:rPr>
          <w:rFonts w:ascii="宋体" w:hAnsi="宋体" w:eastAsia="宋体" w:cs="宋体"/>
          <w:sz w:val="21"/>
          <w:highlight w:val="none"/>
        </w:rPr>
      </w:pPr>
      <w:r>
        <w:rPr>
          <w:rFonts w:hint="eastAsia" w:ascii="宋体" w:hAnsi="宋体" w:eastAsia="宋体" w:cs="宋体"/>
          <w:bCs/>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pPr>
        <w:pStyle w:val="105"/>
        <w:ind w:firstLine="420"/>
        <w:rPr>
          <w:rFonts w:ascii="宋体" w:hAnsi="宋体" w:eastAsia="宋体" w:cs="宋体"/>
          <w:sz w:val="21"/>
          <w:highlight w:val="none"/>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w:t>
      </w:r>
    </w:p>
    <w:p>
      <w:pPr>
        <w:snapToGrid w:val="0"/>
        <w:spacing w:line="400" w:lineRule="exact"/>
        <w:ind w:firstLine="420" w:firstLineChars="200"/>
        <w:rPr>
          <w:rFonts w:ascii="宋体" w:hAnsi="宋体" w:cs="宋体"/>
          <w:highlight w:val="none"/>
        </w:rPr>
      </w:pPr>
      <w:r>
        <w:rPr>
          <w:rFonts w:hint="eastAsia" w:ascii="宋体" w:hAnsi="宋体" w:cs="宋体"/>
          <w:bCs/>
          <w:szCs w:val="21"/>
          <w:highlight w:val="none"/>
        </w:rPr>
        <w:t xml:space="preserve">    履约担保期限：</w:t>
      </w:r>
      <w:r>
        <w:rPr>
          <w:rFonts w:hint="eastAsia" w:ascii="宋体" w:hAnsi="宋体" w:cs="宋体"/>
          <w:bCs/>
          <w:szCs w:val="21"/>
          <w:highlight w:val="none"/>
          <w:u w:val="single"/>
        </w:rPr>
        <w:t xml:space="preserve">                                  </w:t>
      </w:r>
    </w:p>
    <w:p>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p>
    <w:p>
      <w:pPr>
        <w:adjustRightInd w:val="0"/>
        <w:snapToGrid w:val="0"/>
        <w:spacing w:line="400" w:lineRule="exact"/>
        <w:ind w:firstLine="420" w:firstLineChars="200"/>
        <w:rPr>
          <w:rFonts w:ascii="宋体" w:hAnsi="宋体" w:cs="宋体"/>
          <w:szCs w:val="21"/>
          <w:highlight w:val="none"/>
          <w:u w:val="single"/>
        </w:rPr>
      </w:pPr>
      <w:r>
        <w:rPr>
          <w:rFonts w:hint="eastAsia" w:ascii="宋体" w:hAnsi="宋体" w:cs="宋体"/>
          <w:bCs/>
          <w:szCs w:val="21"/>
          <w:highlight w:val="none"/>
        </w:rPr>
        <w:t>（5）风险处置措施和替代方案：</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pPr>
        <w:numPr>
          <w:ilvl w:val="0"/>
          <w:numId w:val="3"/>
        </w:numPr>
        <w:adjustRightInd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合同验收</w:t>
      </w:r>
    </w:p>
    <w:p>
      <w:pPr>
        <w:numPr>
          <w:ilvl w:val="0"/>
          <w:numId w:val="5"/>
        </w:num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验收组织方式：</w:t>
      </w:r>
      <w:r>
        <w:rPr>
          <w:rFonts w:hint="eastAsia" w:ascii="宋体" w:hAnsi="宋体" w:cs="宋体"/>
          <w:szCs w:val="21"/>
          <w:highlight w:val="none"/>
        </w:rPr>
        <w:sym w:font="Wingdings" w:char="00A8"/>
      </w:r>
      <w:r>
        <w:rPr>
          <w:rFonts w:hint="eastAsia" w:ascii="宋体" w:hAnsi="宋体" w:cs="宋体"/>
          <w:bCs/>
          <w:szCs w:val="21"/>
          <w:highlight w:val="none"/>
        </w:rPr>
        <w:t xml:space="preserve">自行组织 </w:t>
      </w:r>
      <w:r>
        <w:rPr>
          <w:rFonts w:hint="eastAsia" w:ascii="宋体" w:hAnsi="宋体" w:cs="宋体"/>
          <w:szCs w:val="21"/>
          <w:highlight w:val="none"/>
        </w:rPr>
        <w:sym w:font="Wingdings" w:char="00A8"/>
      </w:r>
      <w:r>
        <w:rPr>
          <w:rFonts w:hint="eastAsia" w:ascii="宋体" w:hAnsi="宋体" w:cs="宋体"/>
          <w:bCs/>
          <w:szCs w:val="21"/>
          <w:highlight w:val="none"/>
        </w:rPr>
        <w:t>委托第三方组织</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 xml:space="preserve">         验收主体：</w:t>
      </w:r>
      <w:r>
        <w:rPr>
          <w:rFonts w:hint="eastAsia" w:ascii="宋体" w:hAnsi="宋体" w:cs="宋体"/>
          <w:bCs/>
          <w:szCs w:val="21"/>
          <w:highlight w:val="none"/>
          <w:u w:val="single"/>
        </w:rPr>
        <w:t xml:space="preserve">                  </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 xml:space="preserve">        是否邀请本项目的其他供应商参加验收：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pPr>
        <w:adjustRightInd w:val="0"/>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是否邀请专家参加验收：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pPr>
        <w:adjustRightInd w:val="0"/>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是否邀请服务对象参加验收：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pPr>
        <w:adjustRightInd w:val="0"/>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是否邀请第三方检测机构参加验收：</w:t>
      </w:r>
      <w:r>
        <w:rPr>
          <w:rFonts w:hint="eastAsia" w:ascii="宋体" w:hAnsi="宋体" w:cs="宋体"/>
          <w:szCs w:val="21"/>
          <w:highlight w:val="none"/>
        </w:rPr>
        <w:sym w:font="Wingdings" w:char="00A8"/>
      </w:r>
      <w:r>
        <w:rPr>
          <w:rFonts w:hint="eastAsia" w:ascii="宋体" w:hAnsi="宋体" w:cs="宋体"/>
          <w:bCs/>
          <w:szCs w:val="21"/>
          <w:highlight w:val="none"/>
        </w:rPr>
        <w:t xml:space="preserve">是  </w:t>
      </w:r>
      <w:r>
        <w:rPr>
          <w:rFonts w:hint="eastAsia" w:ascii="宋体" w:hAnsi="宋体" w:cs="宋体"/>
          <w:szCs w:val="21"/>
          <w:highlight w:val="none"/>
        </w:rPr>
        <w:sym w:font="Wingdings" w:char="00A8"/>
      </w:r>
      <w:r>
        <w:rPr>
          <w:rFonts w:hint="eastAsia" w:ascii="宋体" w:hAnsi="宋体" w:cs="宋体"/>
          <w:bCs/>
          <w:szCs w:val="21"/>
          <w:highlight w:val="none"/>
        </w:rPr>
        <w:t>否</w:t>
      </w:r>
    </w:p>
    <w:p>
      <w:pPr>
        <w:adjustRightInd w:val="0"/>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是否进行抽查检测：</w:t>
      </w:r>
      <w:r>
        <w:rPr>
          <w:rFonts w:hint="eastAsia" w:ascii="宋体" w:hAnsi="宋体" w:cs="宋体"/>
          <w:szCs w:val="21"/>
          <w:highlight w:val="none"/>
        </w:rPr>
        <w:sym w:font="Wingdings" w:char="00A8"/>
      </w:r>
      <w:r>
        <w:rPr>
          <w:rFonts w:hint="eastAsia" w:ascii="宋体" w:hAnsi="宋体" w:cs="宋体"/>
          <w:bCs/>
          <w:szCs w:val="21"/>
          <w:highlight w:val="none"/>
        </w:rPr>
        <w:t>是，抽查比例：</w:t>
      </w:r>
      <w:r>
        <w:rPr>
          <w:rFonts w:hint="eastAsia" w:ascii="宋体" w:hAnsi="宋体" w:cs="宋体"/>
          <w:bCs/>
          <w:szCs w:val="21"/>
          <w:highlight w:val="none"/>
          <w:u w:val="single"/>
        </w:rPr>
        <w:t xml:space="preserve">        </w:t>
      </w:r>
      <w:r>
        <w:rPr>
          <w:rFonts w:hint="eastAsia" w:ascii="宋体" w:hAnsi="宋体" w:cs="宋体"/>
          <w:bCs/>
          <w:szCs w:val="21"/>
          <w:highlight w:val="none"/>
        </w:rPr>
        <w:t xml:space="preserve"> </w:t>
      </w:r>
      <w:r>
        <w:rPr>
          <w:rFonts w:hint="eastAsia" w:ascii="宋体" w:hAnsi="宋体" w:cs="宋体"/>
          <w:szCs w:val="21"/>
          <w:highlight w:val="none"/>
        </w:rPr>
        <w:sym w:font="Wingdings" w:char="00A8"/>
      </w:r>
      <w:r>
        <w:rPr>
          <w:rFonts w:hint="eastAsia" w:ascii="宋体" w:hAnsi="宋体" w:cs="宋体"/>
          <w:bCs/>
          <w:szCs w:val="21"/>
          <w:highlight w:val="none"/>
        </w:rPr>
        <w:t>否</w:t>
      </w:r>
    </w:p>
    <w:p>
      <w:pPr>
        <w:adjustRightInd w:val="0"/>
        <w:snapToGrid w:val="0"/>
        <w:spacing w:line="400" w:lineRule="exact"/>
        <w:ind w:firstLine="840" w:firstLineChars="400"/>
        <w:rPr>
          <w:rFonts w:ascii="宋体" w:hAnsi="宋体" w:cs="宋体"/>
          <w:bCs/>
          <w:szCs w:val="21"/>
          <w:highlight w:val="none"/>
          <w:u w:val="single"/>
        </w:rPr>
      </w:pPr>
      <w:r>
        <w:rPr>
          <w:rFonts w:hint="eastAsia" w:ascii="宋体" w:hAnsi="宋体" w:cs="宋体"/>
          <w:bCs/>
          <w:szCs w:val="21"/>
          <w:highlight w:val="none"/>
        </w:rPr>
        <w:t>是否存在破坏性检测：</w:t>
      </w:r>
      <w:r>
        <w:rPr>
          <w:rFonts w:hint="eastAsia" w:ascii="宋体" w:hAnsi="宋体" w:cs="宋体"/>
          <w:szCs w:val="21"/>
          <w:highlight w:val="none"/>
        </w:rPr>
        <w:sym w:font="Wingdings" w:char="00A8"/>
      </w:r>
      <w:r>
        <w:rPr>
          <w:rFonts w:hint="eastAsia" w:ascii="宋体" w:hAnsi="宋体" w:cs="宋体"/>
          <w:bCs/>
          <w:szCs w:val="21"/>
          <w:highlight w:val="none"/>
        </w:rPr>
        <w:t>是，</w:t>
      </w:r>
      <w:r>
        <w:rPr>
          <w:rFonts w:hint="eastAsia" w:ascii="宋体" w:hAnsi="宋体" w:cs="宋体"/>
          <w:bCs/>
          <w:szCs w:val="21"/>
          <w:highlight w:val="none"/>
          <w:u w:val="single"/>
        </w:rPr>
        <w:t>（应明确对被破坏的检测产品的处理方式）</w:t>
      </w:r>
    </w:p>
    <w:p>
      <w:pPr>
        <w:adjustRightInd w:val="0"/>
        <w:snapToGrid w:val="0"/>
        <w:spacing w:line="400" w:lineRule="exact"/>
        <w:ind w:firstLine="840" w:firstLineChars="400"/>
        <w:rPr>
          <w:rFonts w:ascii="宋体" w:hAnsi="宋体" w:cs="宋体"/>
          <w:bCs/>
          <w:szCs w:val="21"/>
          <w:highlight w:val="none"/>
        </w:rPr>
      </w:pPr>
      <w:r>
        <w:rPr>
          <w:rFonts w:hint="eastAsia" w:ascii="宋体" w:hAnsi="宋体" w:cs="宋体"/>
          <w:bCs/>
          <w:szCs w:val="21"/>
          <w:highlight w:val="none"/>
        </w:rPr>
        <w:t xml:space="preserve">                    </w:t>
      </w:r>
      <w:r>
        <w:rPr>
          <w:rFonts w:hint="eastAsia" w:ascii="宋体" w:hAnsi="宋体" w:cs="宋体"/>
          <w:szCs w:val="21"/>
          <w:highlight w:val="none"/>
        </w:rPr>
        <w:sym w:font="Wingdings" w:char="00A8"/>
      </w:r>
      <w:r>
        <w:rPr>
          <w:rFonts w:hint="eastAsia" w:ascii="宋体" w:hAnsi="宋体" w:cs="宋体"/>
          <w:bCs/>
          <w:szCs w:val="21"/>
          <w:highlight w:val="none"/>
        </w:rPr>
        <w:t>否</w:t>
      </w:r>
    </w:p>
    <w:p>
      <w:pPr>
        <w:adjustRightInd w:val="0"/>
        <w:snapToGrid w:val="0"/>
        <w:spacing w:line="400" w:lineRule="exact"/>
        <w:ind w:firstLine="840" w:firstLineChars="400"/>
        <w:rPr>
          <w:rFonts w:ascii="宋体" w:hAnsi="宋体" w:cs="宋体"/>
          <w:bCs/>
          <w:szCs w:val="21"/>
          <w:highlight w:val="none"/>
          <w:u w:val="single"/>
        </w:rPr>
      </w:pPr>
      <w:r>
        <w:rPr>
          <w:rFonts w:hint="eastAsia" w:ascii="宋体" w:hAnsi="宋体" w:cs="宋体"/>
          <w:bCs/>
          <w:szCs w:val="21"/>
          <w:highlight w:val="none"/>
        </w:rPr>
        <w:t>验收组织的其他事项：</w:t>
      </w:r>
      <w:r>
        <w:rPr>
          <w:rFonts w:hint="eastAsia" w:ascii="宋体" w:hAnsi="宋体" w:cs="宋体"/>
          <w:bCs/>
          <w:szCs w:val="21"/>
          <w:highlight w:val="none"/>
          <w:u w:val="single"/>
        </w:rPr>
        <w:t xml:space="preserve">                </w:t>
      </w:r>
    </w:p>
    <w:p>
      <w:pPr>
        <w:adjustRightInd w:val="0"/>
        <w:snapToGrid w:val="0"/>
        <w:spacing w:line="400" w:lineRule="exact"/>
        <w:ind w:firstLine="420" w:firstLineChars="200"/>
        <w:rPr>
          <w:rFonts w:ascii="宋体" w:hAnsi="宋体" w:cs="宋体"/>
          <w:bCs/>
          <w:szCs w:val="21"/>
          <w:highlight w:val="none"/>
          <w:u w:val="single"/>
        </w:rPr>
      </w:pPr>
      <w:r>
        <w:rPr>
          <w:rFonts w:hint="eastAsia" w:ascii="宋体" w:hAnsi="宋体" w:cs="宋体"/>
          <w:bCs/>
          <w:szCs w:val="21"/>
          <w:highlight w:val="none"/>
        </w:rPr>
        <w:t>（2）履约验收时间：</w:t>
      </w:r>
      <w:r>
        <w:rPr>
          <w:rFonts w:hint="eastAsia" w:ascii="宋体" w:hAnsi="宋体" w:cs="宋体"/>
          <w:bCs/>
          <w:szCs w:val="21"/>
          <w:highlight w:val="none"/>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（3）履约验收方式：</w:t>
      </w:r>
      <w:r>
        <w:rPr>
          <w:rFonts w:hint="eastAsia" w:ascii="宋体" w:hAnsi="宋体" w:cs="宋体"/>
          <w:szCs w:val="21"/>
          <w:highlight w:val="none"/>
        </w:rPr>
        <w:sym w:font="Wingdings" w:char="00A8"/>
      </w:r>
      <w:r>
        <w:rPr>
          <w:rFonts w:hint="eastAsia" w:ascii="宋体" w:hAnsi="宋体" w:cs="宋体"/>
          <w:bCs/>
          <w:szCs w:val="21"/>
          <w:highlight w:val="none"/>
        </w:rPr>
        <w:t xml:space="preserve">一次性验收         </w:t>
      </w:r>
    </w:p>
    <w:p>
      <w:pPr>
        <w:adjustRightInd w:val="0"/>
        <w:snapToGrid w:val="0"/>
        <w:spacing w:line="400" w:lineRule="exact"/>
        <w:rPr>
          <w:rFonts w:ascii="宋体" w:hAnsi="宋体" w:cs="宋体"/>
          <w:bCs/>
          <w:szCs w:val="21"/>
          <w:highlight w:val="none"/>
        </w:rPr>
      </w:pPr>
      <w:r>
        <w:rPr>
          <w:rFonts w:hint="eastAsia" w:ascii="宋体" w:hAnsi="宋体" w:cs="宋体"/>
          <w:bCs/>
          <w:szCs w:val="21"/>
          <w:highlight w:val="none"/>
        </w:rPr>
        <w:t xml:space="preserve">                       </w:t>
      </w:r>
      <w:r>
        <w:rPr>
          <w:rFonts w:hint="eastAsia" w:ascii="宋体" w:hAnsi="宋体" w:cs="宋体"/>
          <w:szCs w:val="21"/>
          <w:highlight w:val="none"/>
        </w:rPr>
        <w:sym w:font="Wingdings" w:char="00A8"/>
      </w:r>
      <w:r>
        <w:rPr>
          <w:rFonts w:hint="eastAsia" w:ascii="宋体" w:hAnsi="宋体" w:cs="宋体"/>
          <w:bCs/>
          <w:szCs w:val="21"/>
          <w:highlight w:val="none"/>
        </w:rPr>
        <w:t>分期/分项验收：</w:t>
      </w:r>
      <w:r>
        <w:rPr>
          <w:rFonts w:hint="eastAsia" w:ascii="宋体" w:hAnsi="宋体" w:cs="宋体"/>
          <w:bCs/>
          <w:szCs w:val="21"/>
          <w:highlight w:val="none"/>
          <w:u w:val="single"/>
        </w:rPr>
        <w:t xml:space="preserve"> （应明确分期</w:t>
      </w:r>
      <w:r>
        <w:rPr>
          <w:rFonts w:hint="eastAsia" w:ascii="宋体" w:hAnsi="宋体" w:cs="宋体"/>
          <w:bCs/>
          <w:szCs w:val="21"/>
          <w:highlight w:val="none"/>
          <w:u w:val="single"/>
          <w:lang w:val="en"/>
        </w:rPr>
        <w:t>/分项验收的工作安排</w:t>
      </w:r>
      <w:r>
        <w:rPr>
          <w:rFonts w:hint="eastAsia" w:ascii="宋体" w:hAnsi="宋体" w:cs="宋体"/>
          <w:bCs/>
          <w:szCs w:val="21"/>
          <w:highlight w:val="none"/>
          <w:u w:val="single"/>
        </w:rPr>
        <w:t xml:space="preserve">）  </w:t>
      </w:r>
    </w:p>
    <w:p>
      <w:pPr>
        <w:adjustRightInd w:val="0"/>
        <w:snapToGrid w:val="0"/>
        <w:spacing w:line="400" w:lineRule="exact"/>
        <w:ind w:firstLine="420" w:firstLineChars="200"/>
        <w:rPr>
          <w:rFonts w:ascii="宋体" w:hAnsi="宋体" w:cs="宋体"/>
          <w:bCs/>
          <w:szCs w:val="21"/>
          <w:highlight w:val="none"/>
        </w:rPr>
      </w:pPr>
      <w:r>
        <w:rPr>
          <w:rFonts w:hint="eastAsia" w:ascii="宋体" w:hAnsi="宋体" w:cs="宋体"/>
          <w:bCs/>
          <w:szCs w:val="21"/>
          <w:highlight w:val="none"/>
        </w:rPr>
        <w:t>（4）履约验收程序：</w:t>
      </w:r>
      <w:r>
        <w:rPr>
          <w:rFonts w:hint="eastAsia" w:ascii="宋体" w:hAnsi="宋体" w:cs="宋体"/>
          <w:bCs/>
          <w:szCs w:val="21"/>
          <w:highlight w:val="none"/>
          <w:u w:val="single"/>
        </w:rPr>
        <w:t xml:space="preserve">                                         </w:t>
      </w:r>
    </w:p>
    <w:p>
      <w:pPr>
        <w:adjustRightInd w:val="0"/>
        <w:snapToGrid w:val="0"/>
        <w:spacing w:line="400" w:lineRule="exact"/>
        <w:ind w:firstLine="420" w:firstLineChars="200"/>
        <w:rPr>
          <w:rFonts w:ascii="宋体" w:hAnsi="宋体" w:cs="宋体"/>
          <w:bCs/>
          <w:szCs w:val="21"/>
          <w:highlight w:val="none"/>
          <w:u w:val="single"/>
        </w:rPr>
      </w:pPr>
      <w:r>
        <w:rPr>
          <w:rFonts w:hint="eastAsia" w:ascii="宋体" w:hAnsi="宋体" w:cs="宋体"/>
          <w:bCs/>
          <w:szCs w:val="21"/>
          <w:highlight w:val="none"/>
        </w:rPr>
        <w:t>（5）履约验收的内容：</w:t>
      </w:r>
      <w:r>
        <w:rPr>
          <w:rFonts w:hint="eastAsia" w:ascii="宋体" w:hAnsi="宋体" w:cs="宋体"/>
          <w:bCs/>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cs="宋体"/>
          <w:bCs/>
          <w:szCs w:val="21"/>
          <w:highlight w:val="none"/>
          <w:u w:val="single"/>
        </w:rPr>
      </w:pPr>
      <w:r>
        <w:rPr>
          <w:rFonts w:hint="eastAsia" w:ascii="宋体" w:hAnsi="宋体" w:cs="宋体"/>
          <w:bCs/>
          <w:szCs w:val="21"/>
          <w:highlight w:val="none"/>
        </w:rPr>
        <w:t>（6）履约验收标准：</w:t>
      </w:r>
      <w:r>
        <w:rPr>
          <w:rFonts w:hint="eastAsia" w:ascii="宋体" w:hAnsi="宋体" w:cs="宋体"/>
          <w:bCs/>
          <w:szCs w:val="21"/>
          <w:highlight w:val="none"/>
          <w:u w:val="single"/>
        </w:rPr>
        <w:t xml:space="preserve">                                         </w:t>
      </w:r>
    </w:p>
    <w:p>
      <w:pPr>
        <w:pStyle w:val="105"/>
        <w:ind w:firstLine="420"/>
        <w:rPr>
          <w:rFonts w:ascii="宋体" w:hAnsi="宋体" w:eastAsia="宋体" w:cs="宋体"/>
          <w:sz w:val="21"/>
          <w:highlight w:val="none"/>
        </w:rPr>
      </w:pPr>
      <w:r>
        <w:rPr>
          <w:rFonts w:hint="eastAsia" w:ascii="宋体" w:hAnsi="宋体" w:eastAsia="宋体" w:cs="宋体"/>
          <w:bCs/>
          <w:sz w:val="21"/>
          <w:highlight w:val="none"/>
        </w:rPr>
        <w:t>（7）是否以采购活动中供应商提供的样品作为参考：</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 xml:space="preserve">是  </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否</w:t>
      </w:r>
    </w:p>
    <w:p>
      <w:pPr>
        <w:adjustRightInd w:val="0"/>
        <w:snapToGrid w:val="0"/>
        <w:spacing w:line="400" w:lineRule="exact"/>
        <w:ind w:firstLine="420" w:firstLineChars="200"/>
        <w:rPr>
          <w:rFonts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（产权过户登记等）          </w:t>
      </w:r>
    </w:p>
    <w:p>
      <w:pPr>
        <w:numPr>
          <w:ilvl w:val="0"/>
          <w:numId w:val="3"/>
        </w:numPr>
        <w:adjustRightInd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组成合同的文件</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（1）政府采购合同协议书及其变更、补充协议</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（2）政府采购合同专用条款</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（3）政府采购合同通用条款</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（4）中标（成交）通知书</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（5）投标（响应）文件</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（6）采购文件</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（7）有关技术文件，图纸</w:t>
      </w:r>
    </w:p>
    <w:p>
      <w:pPr>
        <w:pStyle w:val="105"/>
        <w:ind w:firstLine="420"/>
        <w:rPr>
          <w:rFonts w:ascii="宋体" w:hAnsi="宋体" w:eastAsia="宋体" w:cs="宋体"/>
          <w:kern w:val="2"/>
          <w:sz w:val="21"/>
          <w:highlight w:val="none"/>
        </w:rPr>
      </w:pPr>
      <w:r>
        <w:rPr>
          <w:rFonts w:hint="eastAsia" w:ascii="宋体" w:hAnsi="宋体" w:eastAsia="宋体" w:cs="宋体"/>
          <w:sz w:val="21"/>
          <w:highlight w:val="none"/>
        </w:rPr>
        <w:t>（8）</w:t>
      </w:r>
      <w:r>
        <w:rPr>
          <w:rFonts w:hint="eastAsia" w:ascii="宋体" w:hAnsi="宋体" w:eastAsia="宋体" w:cs="宋体"/>
          <w:color w:val="000000" w:themeColor="text1"/>
          <w:kern w:val="2"/>
          <w:sz w:val="21"/>
          <w:highlight w:val="none"/>
          <w14:textFill>
            <w14:solidFill>
              <w14:schemeClr w14:val="tx1"/>
            </w14:solidFill>
          </w14:textFill>
        </w:rPr>
        <w:t>国家法律、行政法规和规章制度规定或合同约定的作为合同组成部分的其他文件</w:t>
      </w:r>
    </w:p>
    <w:p>
      <w:pPr>
        <w:numPr>
          <w:ilvl w:val="0"/>
          <w:numId w:val="3"/>
        </w:numPr>
        <w:adjustRightInd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合同生效</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本合同自</w:t>
      </w:r>
      <w:r>
        <w:rPr>
          <w:rFonts w:hint="eastAsia" w:ascii="宋体" w:hAnsi="宋体" w:cs="宋体"/>
          <w:szCs w:val="21"/>
          <w:highlight w:val="none"/>
          <w:u w:val="single"/>
        </w:rPr>
        <w:t xml:space="preserve">                             </w:t>
      </w:r>
      <w:r>
        <w:rPr>
          <w:rFonts w:hint="eastAsia" w:ascii="宋体" w:hAnsi="宋体" w:cs="宋体"/>
          <w:szCs w:val="21"/>
          <w:highlight w:val="none"/>
        </w:rPr>
        <w:t>生效。</w:t>
      </w:r>
    </w:p>
    <w:p>
      <w:pPr>
        <w:numPr>
          <w:ilvl w:val="0"/>
          <w:numId w:val="3"/>
        </w:numPr>
        <w:adjustRightInd w:val="0"/>
        <w:snapToGrid w:val="0"/>
        <w:spacing w:line="400" w:lineRule="exact"/>
        <w:ind w:firstLine="422" w:firstLineChars="200"/>
        <w:rPr>
          <w:rFonts w:ascii="宋体" w:hAnsi="宋体" w:cs="宋体"/>
          <w:b/>
          <w:szCs w:val="21"/>
          <w:highlight w:val="none"/>
        </w:rPr>
      </w:pPr>
      <w:r>
        <w:rPr>
          <w:rFonts w:hint="eastAsia" w:ascii="宋体" w:hAnsi="宋体" w:cs="宋体"/>
          <w:b/>
          <w:szCs w:val="21"/>
          <w:highlight w:val="none"/>
        </w:rPr>
        <w:t>合同份数</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本合同一式</w:t>
      </w:r>
      <w:r>
        <w:rPr>
          <w:rFonts w:hint="eastAsia" w:ascii="宋体" w:hAnsi="宋体" w:cs="宋体"/>
          <w:szCs w:val="21"/>
          <w:highlight w:val="none"/>
          <w:u w:val="single"/>
        </w:rPr>
        <w:t xml:space="preserve">    </w:t>
      </w:r>
      <w:r>
        <w:rPr>
          <w:rFonts w:hint="eastAsia" w:ascii="宋体" w:hAnsi="宋体" w:cs="宋体"/>
          <w:szCs w:val="21"/>
          <w:highlight w:val="none"/>
        </w:rPr>
        <w:t>份，甲方执</w:t>
      </w:r>
      <w:r>
        <w:rPr>
          <w:rFonts w:hint="eastAsia" w:ascii="宋体" w:hAnsi="宋体" w:cs="宋体"/>
          <w:szCs w:val="21"/>
          <w:highlight w:val="none"/>
          <w:u w:val="single"/>
        </w:rPr>
        <w:t xml:space="preserve">    </w:t>
      </w:r>
      <w:r>
        <w:rPr>
          <w:rFonts w:hint="eastAsia" w:ascii="宋体" w:hAnsi="宋体" w:cs="宋体"/>
          <w:szCs w:val="21"/>
          <w:highlight w:val="none"/>
        </w:rPr>
        <w:t>份，乙方执</w:t>
      </w:r>
      <w:r>
        <w:rPr>
          <w:rFonts w:hint="eastAsia" w:ascii="宋体" w:hAnsi="宋体" w:cs="宋体"/>
          <w:szCs w:val="21"/>
          <w:highlight w:val="none"/>
          <w:u w:val="single"/>
        </w:rPr>
        <w:t xml:space="preserve">    </w:t>
      </w:r>
      <w:r>
        <w:rPr>
          <w:rFonts w:hint="eastAsia" w:ascii="宋体" w:hAnsi="宋体" w:cs="宋体"/>
          <w:szCs w:val="21"/>
          <w:highlight w:val="none"/>
        </w:rPr>
        <w:t>份，均具有同等法律效力。</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合同订立时间：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adjustRightInd w:val="0"/>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合同订立地点：</w:t>
      </w:r>
      <w:r>
        <w:rPr>
          <w:rFonts w:hint="eastAsia" w:ascii="宋体" w:hAnsi="宋体" w:cs="宋体"/>
          <w:szCs w:val="21"/>
          <w:highlight w:val="none"/>
          <w:u w:val="single"/>
        </w:rPr>
        <w:t xml:space="preserve">                           </w:t>
      </w:r>
    </w:p>
    <w:p>
      <w:pPr>
        <w:adjustRightInd w:val="0"/>
        <w:snapToGrid w:val="0"/>
        <w:spacing w:line="400" w:lineRule="exact"/>
        <w:ind w:firstLine="420" w:firstLineChars="200"/>
        <w:rPr>
          <w:rFonts w:ascii="宋体" w:hAnsi="宋体" w:cs="宋体"/>
          <w:highlight w:val="none"/>
        </w:rPr>
      </w:pPr>
      <w:r>
        <w:rPr>
          <w:rFonts w:hint="eastAsia" w:ascii="宋体" w:hAnsi="宋体" w:cs="宋体"/>
          <w:szCs w:val="21"/>
          <w:highlight w:val="none"/>
        </w:rPr>
        <w:t>附件：具体标的及其技术要求和商务要求、联合协议、分包意向协议等。</w:t>
      </w:r>
    </w:p>
    <w:p>
      <w:pPr>
        <w:pStyle w:val="92"/>
        <w:spacing w:line="400" w:lineRule="exact"/>
        <w:rPr>
          <w:rFonts w:ascii="宋体" w:hAnsi="宋体" w:cs="宋体"/>
          <w:highlight w:val="none"/>
        </w:rPr>
      </w:pPr>
    </w:p>
    <w:p>
      <w:pPr>
        <w:pStyle w:val="3"/>
        <w:spacing w:line="400" w:lineRule="exact"/>
        <w:rPr>
          <w:rFonts w:ascii="宋体" w:hAnsi="宋体" w:eastAsia="宋体" w:cs="宋体"/>
          <w:szCs w:val="21"/>
          <w:highlight w:val="none"/>
        </w:rPr>
      </w:pPr>
      <w:r>
        <w:rPr>
          <w:rFonts w:hint="eastAsia" w:ascii="宋体" w:hAnsi="宋体" w:eastAsia="宋体" w:cs="宋体"/>
          <w:highlight w:val="none"/>
          <w:lang w:val="en"/>
        </w:rPr>
        <w:t xml:space="preserve">   </w:t>
      </w:r>
    </w:p>
    <w:p>
      <w:pPr>
        <w:rPr>
          <w:rFonts w:ascii="宋体" w:hAnsi="宋体" w:cs="宋体"/>
          <w:highlight w:val="none"/>
        </w:rPr>
      </w:pPr>
      <w:r>
        <w:rPr>
          <w:rFonts w:hint="eastAsia" w:ascii="宋体" w:hAnsi="宋体" w:cs="宋体"/>
          <w:highlight w:val="none"/>
        </w:rPr>
        <w:br w:type="page"/>
      </w:r>
    </w:p>
    <w:p>
      <w:pPr>
        <w:pStyle w:val="92"/>
        <w:rPr>
          <w:rFonts w:ascii="宋体" w:hAnsi="宋体" w:cs="宋体"/>
          <w:highlight w:val="none"/>
        </w:rPr>
      </w:pPr>
    </w:p>
    <w:tbl>
      <w:tblPr>
        <w:tblStyle w:val="3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pPr>
              <w:adjustRightInd w:val="0"/>
              <w:snapToGrid w:val="0"/>
              <w:spacing w:line="300" w:lineRule="exact"/>
              <w:jc w:val="center"/>
              <w:rPr>
                <w:rFonts w:ascii="宋体" w:hAnsi="宋体" w:cs="宋体"/>
                <w:highlight w:val="none"/>
              </w:rPr>
            </w:pPr>
            <w:r>
              <w:rPr>
                <w:rFonts w:hint="eastAsia" w:ascii="宋体" w:hAnsi="宋体" w:cs="宋体"/>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pPr>
              <w:adjustRightInd w:val="0"/>
              <w:snapToGrid w:val="0"/>
              <w:spacing w:line="300" w:lineRule="exact"/>
              <w:jc w:val="center"/>
              <w:rPr>
                <w:rFonts w:ascii="宋体" w:hAnsi="宋体" w:cs="宋体"/>
                <w:highlight w:val="none"/>
              </w:rPr>
            </w:pPr>
            <w:r>
              <w:rPr>
                <w:rFonts w:hint="eastAsia" w:ascii="宋体" w:hAnsi="宋体" w:cs="宋体"/>
                <w:szCs w:val="21"/>
                <w:highlight w:val="none"/>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法定代表人</w:t>
            </w:r>
          </w:p>
          <w:p>
            <w:pPr>
              <w:adjustRightInd w:val="0"/>
              <w:snapToGrid w:val="0"/>
              <w:spacing w:line="300" w:lineRule="exact"/>
              <w:ind w:firstLine="100" w:firstLineChars="48"/>
              <w:jc w:val="center"/>
              <w:rPr>
                <w:rFonts w:ascii="宋体" w:hAnsi="宋体" w:cs="宋体"/>
                <w:szCs w:val="21"/>
                <w:highlight w:val="none"/>
              </w:rPr>
            </w:pPr>
            <w:r>
              <w:rPr>
                <w:rFonts w:hint="eastAsia" w:ascii="宋体" w:hAnsi="宋体" w:cs="宋体"/>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法定代表人</w:t>
            </w:r>
          </w:p>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拥有者性别</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住  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联 系 人</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联系电话</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通信地址</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邮政编码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电子邮箱</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开户名称</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开户银行</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ascii="宋体" w:hAnsi="宋体" w:cs="宋体"/>
                <w:szCs w:val="21"/>
                <w:highlight w:val="none"/>
              </w:rPr>
            </w:pPr>
            <w:r>
              <w:rPr>
                <w:rFonts w:hint="eastAsia" w:ascii="宋体" w:hAnsi="宋体" w:cs="宋体"/>
                <w:szCs w:val="21"/>
                <w:highlight w:val="none"/>
              </w:rPr>
              <w:t>银行账号</w:t>
            </w:r>
          </w:p>
        </w:tc>
        <w:tc>
          <w:tcPr>
            <w:tcW w:w="1259" w:type="pct"/>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ascii="宋体" w:hAnsi="宋体" w:cs="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pPr>
              <w:pStyle w:val="15"/>
              <w:adjustRightInd w:val="0"/>
              <w:snapToGrid w:val="0"/>
              <w:spacing w:before="156" w:beforeLines="50" w:after="0" w:line="360" w:lineRule="auto"/>
              <w:ind w:left="0" w:leftChars="0"/>
              <w:jc w:val="left"/>
              <w:rPr>
                <w:rFonts w:ascii="宋体" w:hAnsi="宋体" w:cs="宋体"/>
                <w:spacing w:val="20"/>
                <w:szCs w:val="21"/>
                <w:highlight w:val="none"/>
              </w:rPr>
            </w:pPr>
            <w:r>
              <w:rPr>
                <w:rFonts w:hint="eastAsia" w:ascii="宋体" w:hAnsi="宋体" w:cs="宋体"/>
                <w:szCs w:val="21"/>
                <w:highlight w:val="none"/>
              </w:rPr>
              <w:t>注：涉及联合体或其他合同主体的信息应按上表格式加列。</w:t>
            </w:r>
          </w:p>
        </w:tc>
      </w:tr>
    </w:tbl>
    <w:p>
      <w:pPr>
        <w:pStyle w:val="3"/>
        <w:adjustRightInd w:val="0"/>
        <w:snapToGrid w:val="0"/>
        <w:spacing w:before="156" w:beforeLines="50"/>
        <w:jc w:val="center"/>
        <w:rPr>
          <w:rFonts w:ascii="宋体" w:hAnsi="宋体" w:eastAsia="宋体" w:cs="宋体"/>
          <w:sz w:val="28"/>
          <w:szCs w:val="28"/>
          <w:highlight w:val="none"/>
        </w:rPr>
      </w:pPr>
      <w:r>
        <w:rPr>
          <w:rFonts w:hint="eastAsia" w:ascii="宋体" w:hAnsi="宋体" w:eastAsia="宋体" w:cs="宋体"/>
          <w:szCs w:val="21"/>
          <w:highlight w:val="none"/>
          <w:u w:val="single"/>
        </w:rPr>
        <w:br w:type="page"/>
      </w:r>
      <w:bookmarkStart w:id="215" w:name="_Toc27624"/>
      <w:r>
        <w:rPr>
          <w:rFonts w:hint="eastAsia" w:ascii="宋体" w:hAnsi="宋体" w:eastAsia="宋体" w:cs="宋体"/>
          <w:sz w:val="28"/>
          <w:szCs w:val="28"/>
          <w:highlight w:val="none"/>
        </w:rPr>
        <w:t>第二节 政府采购合同通用条款</w:t>
      </w:r>
      <w:bookmarkEnd w:id="215"/>
    </w:p>
    <w:p>
      <w:pPr>
        <w:tabs>
          <w:tab w:val="left" w:pos="8820"/>
          <w:tab w:val="left" w:pos="9345"/>
          <w:tab w:val="left" w:pos="9765"/>
        </w:tabs>
        <w:adjustRightInd w:val="0"/>
        <w:snapToGrid w:val="0"/>
        <w:spacing w:line="400" w:lineRule="exact"/>
        <w:jc w:val="left"/>
        <w:rPr>
          <w:rFonts w:ascii="宋体" w:hAnsi="宋体" w:cs="宋体"/>
          <w:b/>
          <w:bCs/>
          <w:sz w:val="24"/>
          <w:highlight w:val="none"/>
        </w:rPr>
      </w:pPr>
      <w:r>
        <w:rPr>
          <w:rFonts w:hint="eastAsia" w:ascii="宋体" w:hAnsi="宋体" w:cs="宋体"/>
          <w:b/>
          <w:sz w:val="24"/>
          <w:highlight w:val="none"/>
        </w:rPr>
        <w:t xml:space="preserve">1. </w:t>
      </w:r>
      <w:r>
        <w:rPr>
          <w:rFonts w:hint="eastAsia" w:ascii="宋体" w:hAnsi="宋体" w:cs="宋体"/>
          <w:b/>
          <w:bCs/>
          <w:sz w:val="24"/>
          <w:highlight w:val="none"/>
        </w:rPr>
        <w:t>定义</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1.1合同当事人</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（3）其他合同主体是指除采购人和供应商以外，</w:t>
      </w:r>
      <w:r>
        <w:rPr>
          <w:rFonts w:hint="eastAsia" w:ascii="宋体" w:hAnsi="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s="宋体"/>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1.2本合同下列术语应解释为：</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（1）“合同”系指</w:t>
      </w:r>
      <w:r>
        <w:rPr>
          <w:rFonts w:hint="eastAsia" w:ascii="宋体" w:hAnsi="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s="宋体"/>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highlight w:val="none"/>
          <w14:textFill>
            <w14:solidFill>
              <w14:schemeClr w14:val="tx1"/>
            </w14:solidFill>
          </w14:textFill>
        </w:rPr>
        <w:t>国家法律、行政法规和规章制度规定或合同约定的作为合同组成部分的其他文件</w:t>
      </w:r>
      <w:r>
        <w:rPr>
          <w:rFonts w:hint="eastAsia" w:ascii="宋体" w:hAnsi="宋体" w:cs="宋体"/>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szCs w:val="21"/>
          <w:highlight w:val="none"/>
        </w:rPr>
        <w:t>（3）“货物”系指乙方根据本合同规定须向甲方提供的各种形态和种类的物品，包括原材料、设备、产品（</w:t>
      </w:r>
      <w:r>
        <w:rPr>
          <w:rFonts w:hint="eastAsia" w:ascii="宋体" w:hAnsi="宋体" w:cs="宋体"/>
          <w:color w:val="000000" w:themeColor="text1"/>
          <w:szCs w:val="21"/>
          <w:highlight w:val="none"/>
          <w14:textFill>
            <w14:solidFill>
              <w14:schemeClr w14:val="tx1"/>
            </w14:solidFill>
          </w14:textFill>
        </w:rPr>
        <w:t>包括软件）及相关的其备品备件、工具、手册及</w:t>
      </w:r>
      <w:r>
        <w:rPr>
          <w:rFonts w:hint="eastAsia" w:ascii="宋体" w:hAnsi="宋体" w:cs="宋体"/>
          <w:color w:val="000000" w:themeColor="text1"/>
          <w:szCs w:val="21"/>
          <w:highlight w:val="none"/>
          <w:lang w:val="en"/>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技术资料和材料等。</w:t>
      </w:r>
    </w:p>
    <w:p>
      <w:pPr>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szCs w:val="21"/>
          <w:highlight w:val="none"/>
        </w:rPr>
        <w:t>相关</w:t>
      </w:r>
      <w:r>
        <w:rPr>
          <w:rFonts w:hint="eastAsia" w:ascii="宋体" w:hAnsi="宋体" w:cs="宋体"/>
          <w:color w:val="000000" w:themeColor="text1"/>
          <w:szCs w:val="21"/>
          <w:highlight w:val="none"/>
          <w14:textFill>
            <w14:solidFill>
              <w14:schemeClr w14:val="tx1"/>
            </w14:solidFill>
          </w14:textFill>
        </w:rPr>
        <w:t>服务”系指根据合同规定，乙方应提供的与货物有关的技术、管理和</w:t>
      </w:r>
      <w:r>
        <w:rPr>
          <w:rFonts w:hint="eastAsia" w:ascii="宋体" w:hAnsi="宋体" w:cs="宋体"/>
          <w:color w:val="000000" w:themeColor="text1"/>
          <w:szCs w:val="21"/>
          <w:highlight w:val="none"/>
          <w:lang w:val="en"/>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cs="宋体"/>
          <w:color w:val="000000" w:themeColor="text1"/>
          <w:szCs w:val="21"/>
          <w:highlight w:val="none"/>
          <w:lang w:val="en"/>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义务。</w:t>
      </w:r>
    </w:p>
    <w:p>
      <w:pPr>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szCs w:val="21"/>
          <w:highlight w:val="none"/>
        </w:rPr>
        <w:t>“联合体”系指由两个以上的自然人、法人或者非法人组织组成，以一个供应商的身份共同参加政府采购的主体</w:t>
      </w:r>
      <w:r>
        <w:rPr>
          <w:rFonts w:hint="eastAsia" w:ascii="宋体" w:hAnsi="宋体" w:cs="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000000" w:themeColor="text1"/>
          <w:szCs w:val="21"/>
          <w:highlight w:val="none"/>
          <w14:textFill>
            <w14:solidFill>
              <w14:schemeClr w14:val="tx1"/>
            </w14:solidFill>
          </w14:textFill>
        </w:rPr>
        <w:t>政府采购合同专用条款</w:t>
      </w:r>
      <w:r>
        <w:rPr>
          <w:rFonts w:hint="eastAsia" w:ascii="宋体" w:hAnsi="宋体" w:cs="宋体"/>
          <w:color w:val="000000" w:themeColor="text1"/>
          <w:szCs w:val="21"/>
          <w:highlight w:val="none"/>
          <w14:textFill>
            <w14:solidFill>
              <w14:schemeClr w14:val="tx1"/>
            </w14:solidFill>
          </w14:textFill>
        </w:rPr>
        <w:t>】。</w:t>
      </w:r>
    </w:p>
    <w:p>
      <w:pPr>
        <w:tabs>
          <w:tab w:val="left" w:pos="570"/>
          <w:tab w:val="left" w:pos="9240"/>
          <w:tab w:val="left" w:pos="9555"/>
        </w:tabs>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（7）其他术语解释，见【</w:t>
      </w:r>
      <w:r>
        <w:rPr>
          <w:rFonts w:hint="eastAsia" w:ascii="宋体" w:hAnsi="宋体" w:cs="宋体"/>
          <w:b/>
          <w:bCs/>
          <w:color w:val="000000" w:themeColor="text1"/>
          <w:szCs w:val="21"/>
          <w:highlight w:val="none"/>
          <w14:textFill>
            <w14:solidFill>
              <w14:schemeClr w14:val="tx1"/>
            </w14:solidFill>
          </w14:textFill>
        </w:rPr>
        <w:t>政府采购合同专用条款</w:t>
      </w:r>
      <w:r>
        <w:rPr>
          <w:rFonts w:hint="eastAsia" w:ascii="宋体" w:hAnsi="宋体" w:cs="宋体"/>
          <w:color w:val="000000" w:themeColor="text1"/>
          <w:szCs w:val="21"/>
          <w:highlight w:val="none"/>
          <w14:textFill>
            <w14:solidFill>
              <w14:schemeClr w14:val="tx1"/>
            </w14:solidFill>
          </w14:textFill>
        </w:rPr>
        <w:t>】。</w:t>
      </w:r>
    </w:p>
    <w:p>
      <w:pPr>
        <w:numPr>
          <w:ilvl w:val="0"/>
          <w:numId w:val="6"/>
        </w:numPr>
        <w:autoSpaceDE w:val="0"/>
        <w:autoSpaceDN w:val="0"/>
        <w:adjustRightInd w:val="0"/>
        <w:snapToGrid w:val="0"/>
        <w:spacing w:line="4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合同标的及金额</w:t>
      </w:r>
    </w:p>
    <w:p>
      <w:pPr>
        <w:autoSpaceDE w:val="0"/>
        <w:autoSpaceDN w:val="0"/>
        <w:adjustRightInd w:val="0"/>
        <w:snapToGrid w:val="0"/>
        <w:spacing w:line="400" w:lineRule="exact"/>
        <w:ind w:firstLine="420" w:firstLineChars="200"/>
        <w:jc w:val="left"/>
        <w:rPr>
          <w:rFonts w:ascii="宋体" w:hAnsi="宋体" w:cs="宋体"/>
          <w:b/>
          <w:bCs/>
          <w:i/>
          <w:i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cs="宋体"/>
          <w:color w:val="000000" w:themeColor="text1"/>
          <w:szCs w:val="21"/>
          <w:highlight w:val="none"/>
          <w:lang w:val="en"/>
          <w14:textFill>
            <w14:solidFill>
              <w14:schemeClr w14:val="tx1"/>
            </w14:solidFill>
          </w14:textFill>
        </w:rPr>
        <w:t>其他</w:t>
      </w:r>
      <w:r>
        <w:rPr>
          <w:rFonts w:hint="eastAsia" w:ascii="宋体" w:hAnsi="宋体" w:cs="宋体"/>
          <w:color w:val="000000" w:themeColor="text1"/>
          <w:szCs w:val="21"/>
          <w:highlight w:val="none"/>
          <w14:textFill>
            <w14:solidFill>
              <w14:schemeClr w14:val="tx1"/>
            </w14:solidFill>
          </w14:textFill>
        </w:rPr>
        <w:t>任何费用。</w:t>
      </w:r>
    </w:p>
    <w:p>
      <w:pPr>
        <w:adjustRightInd w:val="0"/>
        <w:snapToGrid w:val="0"/>
        <w:spacing w:line="400" w:lineRule="exact"/>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 履行合同的时间、地点和方式</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 </w:t>
      </w:r>
      <w:r>
        <w:rPr>
          <w:rFonts w:hint="eastAsia" w:ascii="宋体" w:hAnsi="宋体" w:cs="宋体"/>
          <w:szCs w:val="21"/>
          <w:highlight w:val="none"/>
        </w:rPr>
        <w:t>乙方应当在约定的时间、地点，按照约定方式履行合同。</w:t>
      </w:r>
    </w:p>
    <w:p>
      <w:pPr>
        <w:autoSpaceDE w:val="0"/>
        <w:autoSpaceDN w:val="0"/>
        <w:adjustRightInd w:val="0"/>
        <w:snapToGrid w:val="0"/>
        <w:spacing w:line="4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 甲方的权利和义务</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4.3 甲方有权要求乙方对缺陷部分予以修复，并按合同约定享有货物保修及其他合同约定的权利。</w:t>
      </w:r>
    </w:p>
    <w:p>
      <w:pPr>
        <w:snapToGrid w:val="0"/>
        <w:spacing w:line="400" w:lineRule="exact"/>
        <w:ind w:firstLine="420" w:firstLineChars="200"/>
        <w:rPr>
          <w:rFonts w:ascii="宋体" w:hAnsi="宋体" w:cs="宋体"/>
          <w:highlight w:val="none"/>
        </w:rPr>
      </w:pPr>
      <w:r>
        <w:rPr>
          <w:rFonts w:hint="eastAsia" w:ascii="宋体" w:hAnsi="宋体" w:cs="宋体"/>
          <w:color w:val="000000" w:themeColor="text1"/>
          <w:szCs w:val="21"/>
          <w:highlight w:val="none"/>
          <w14:textFill>
            <w14:solidFill>
              <w14:schemeClr w14:val="tx1"/>
            </w14:solidFill>
          </w14:textFill>
        </w:rPr>
        <w:t>4.4 甲方应当按照合同约定及时对交付的货物进行验收，</w:t>
      </w:r>
      <w:r>
        <w:rPr>
          <w:rFonts w:hint="eastAsia" w:ascii="宋体" w:hAnsi="宋体" w:cs="宋体"/>
          <w:szCs w:val="21"/>
          <w:highlight w:val="none"/>
        </w:rPr>
        <w:t>未</w:t>
      </w: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b/>
          <w:bCs/>
          <w:szCs w:val="21"/>
          <w:highlight w:val="none"/>
        </w:rPr>
        <w:t>【政府采购合同专用条款】</w:t>
      </w:r>
      <w:r>
        <w:rPr>
          <w:rFonts w:hint="eastAsia" w:ascii="宋体" w:hAnsi="宋体" w:cs="宋体"/>
          <w:szCs w:val="21"/>
          <w:highlight w:val="none"/>
        </w:rPr>
        <w:t>约定的期限内对乙方履约提出任何异议或者向乙方作出任何说明的，</w:t>
      </w:r>
      <w:r>
        <w:rPr>
          <w:rFonts w:hint="eastAsia" w:ascii="宋体" w:hAnsi="宋体" w:cs="宋体"/>
          <w:color w:val="000000" w:themeColor="text1"/>
          <w:szCs w:val="21"/>
          <w:highlight w:val="none"/>
          <w14:textFill>
            <w14:solidFill>
              <w14:schemeClr w14:val="tx1"/>
            </w14:solidFill>
          </w14:textFill>
        </w:rPr>
        <w:t>视为验收通过。</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 甲方应当根据合同约定及时向乙方支付合同价款，不得以内部人员变更、履行内部付款流程等为由，拒绝或迟延支付。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4.6 国家法律法规规定及</w:t>
      </w:r>
      <w:r>
        <w:rPr>
          <w:rFonts w:hint="eastAsia" w:ascii="宋体" w:hAnsi="宋体" w:cs="宋体"/>
          <w:b/>
          <w:bCs/>
          <w:szCs w:val="21"/>
          <w:highlight w:val="none"/>
        </w:rPr>
        <w:t>【政府采购合同专用条款】</w:t>
      </w:r>
      <w:r>
        <w:rPr>
          <w:rFonts w:hint="eastAsia" w:ascii="宋体" w:hAnsi="宋体" w:cs="宋体"/>
          <w:color w:val="000000" w:themeColor="text1"/>
          <w:szCs w:val="21"/>
          <w:highlight w:val="none"/>
          <w14:textFill>
            <w14:solidFill>
              <w14:schemeClr w14:val="tx1"/>
            </w14:solidFill>
          </w14:textFill>
        </w:rPr>
        <w:t>约定应由甲方承担的其他义务和责任。</w:t>
      </w:r>
    </w:p>
    <w:p>
      <w:pPr>
        <w:autoSpaceDE w:val="0"/>
        <w:autoSpaceDN w:val="0"/>
        <w:adjustRightInd w:val="0"/>
        <w:snapToGrid w:val="0"/>
        <w:spacing w:line="4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 乙方的权利和义务</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 签署合同后，乙方应确定项目负责人（或项目联系人），负责与本合同有关的事务。</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14"/>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5.3乙方有权根据合同约定向甲方收取合同价款。</w:t>
      </w:r>
    </w:p>
    <w:p>
      <w:pPr>
        <w:pStyle w:val="14"/>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5.4国家法律法规规定及</w:t>
      </w:r>
      <w:r>
        <w:rPr>
          <w:rFonts w:hint="eastAsia" w:ascii="宋体" w:hAnsi="宋体" w:cs="宋体"/>
          <w:b/>
          <w:bCs/>
          <w:szCs w:val="21"/>
          <w:highlight w:val="none"/>
        </w:rPr>
        <w:t>【政府采购合同专用条款】</w:t>
      </w:r>
      <w:r>
        <w:rPr>
          <w:rFonts w:hint="eastAsia" w:ascii="宋体" w:hAnsi="宋体" w:cs="宋体"/>
          <w:szCs w:val="21"/>
          <w:highlight w:val="none"/>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pPr>
        <w:numPr>
          <w:ilvl w:val="0"/>
          <w:numId w:val="7"/>
        </w:numPr>
        <w:autoSpaceDE w:val="0"/>
        <w:autoSpaceDN w:val="0"/>
        <w:adjustRightInd w:val="0"/>
        <w:snapToGrid w:val="0"/>
        <w:spacing w:line="4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合同履行</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 甲乙双方应当按照</w:t>
      </w:r>
      <w:r>
        <w:rPr>
          <w:rFonts w:hint="eastAsia" w:ascii="宋体" w:hAnsi="宋体" w:cs="宋体"/>
          <w:b/>
          <w:bCs/>
          <w:szCs w:val="21"/>
          <w:highlight w:val="none"/>
        </w:rPr>
        <w:t>【政府采购合同专用条款】</w:t>
      </w:r>
      <w:r>
        <w:rPr>
          <w:rFonts w:hint="eastAsia" w:ascii="宋体" w:hAnsi="宋体" w:cs="宋体"/>
          <w:color w:val="000000" w:themeColor="text1"/>
          <w:szCs w:val="21"/>
          <w:highlight w:val="none"/>
          <w14:textFill>
            <w14:solidFill>
              <w14:schemeClr w14:val="tx1"/>
            </w14:solidFill>
          </w14:textFill>
        </w:rPr>
        <w:t>约定顺序履行合同义务；如果没有先后顺序的，应当同时履行。</w:t>
      </w:r>
    </w:p>
    <w:p>
      <w:pPr>
        <w:autoSpaceDE w:val="0"/>
        <w:autoSpaceDN w:val="0"/>
        <w:adjustRightInd w:val="0"/>
        <w:snapToGrid w:val="0"/>
        <w:spacing w:line="400" w:lineRule="exact"/>
        <w:ind w:firstLine="420" w:firstLineChars="200"/>
        <w:jc w:val="left"/>
        <w:rPr>
          <w:rFonts w:ascii="宋体" w:hAnsi="宋体" w:cs="宋体"/>
          <w:highlight w:val="none"/>
        </w:rPr>
      </w:pPr>
      <w:r>
        <w:rPr>
          <w:rFonts w:hint="eastAsia" w:ascii="宋体" w:hAnsi="宋体" w:cs="宋体"/>
          <w:color w:val="000000" w:themeColor="text1"/>
          <w:szCs w:val="21"/>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 货物包装、运输、保险和交付要求</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 本合同</w:t>
      </w:r>
      <w:r>
        <w:rPr>
          <w:rFonts w:hint="eastAsia" w:ascii="宋体" w:hAnsi="宋体" w:cs="宋体"/>
          <w:bCs/>
          <w:color w:val="000000" w:themeColor="text1"/>
          <w:szCs w:val="21"/>
          <w:highlight w:val="none"/>
          <w14:textFill>
            <w14:solidFill>
              <w14:schemeClr w14:val="tx1"/>
            </w14:solidFill>
          </w14:textFill>
        </w:rPr>
        <w:t>涉及商品包装、快递包装的，</w:t>
      </w:r>
      <w:r>
        <w:rPr>
          <w:rFonts w:hint="eastAsia" w:ascii="宋体" w:hAnsi="宋体" w:cs="宋体"/>
          <w:color w:val="000000" w:themeColor="text1"/>
          <w:szCs w:val="21"/>
          <w:highlight w:val="none"/>
          <w14:textFill>
            <w14:solidFill>
              <w14:schemeClr w14:val="tx1"/>
            </w14:solidFill>
          </w14:textFill>
        </w:rPr>
        <w:t>除</w:t>
      </w:r>
      <w:r>
        <w:rPr>
          <w:rFonts w:hint="eastAsia" w:ascii="宋体" w:hAnsi="宋体" w:cs="宋体"/>
          <w:b/>
          <w:color w:val="000000" w:themeColor="text1"/>
          <w:szCs w:val="21"/>
          <w:highlight w:val="none"/>
          <w14:textFill>
            <w14:solidFill>
              <w14:schemeClr w14:val="tx1"/>
            </w14:solidFill>
          </w14:textFill>
        </w:rPr>
        <w:t>【政府采购合同专用条款】</w:t>
      </w:r>
      <w:r>
        <w:rPr>
          <w:rFonts w:hint="eastAsia" w:ascii="宋体" w:hAnsi="宋体" w:cs="宋体"/>
          <w:bCs/>
          <w:color w:val="000000" w:themeColor="text1"/>
          <w:szCs w:val="21"/>
          <w:highlight w:val="none"/>
          <w14:textFill>
            <w14:solidFill>
              <w14:schemeClr w14:val="tx1"/>
            </w14:solidFill>
          </w14:textFill>
        </w:rPr>
        <w:t>另有约定外，</w:t>
      </w:r>
      <w:r>
        <w:rPr>
          <w:rFonts w:hint="eastAsia" w:ascii="宋体" w:hAnsi="宋体" w:cs="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cs="宋体"/>
          <w:b/>
          <w:color w:val="000000" w:themeColor="text1"/>
          <w:szCs w:val="21"/>
          <w:highlight w:val="none"/>
          <w14:textFill>
            <w14:solidFill>
              <w14:schemeClr w14:val="tx1"/>
            </w14:solidFill>
          </w14:textFill>
        </w:rPr>
        <w:t>【政府采购合同专用条款】</w:t>
      </w:r>
      <w:r>
        <w:rPr>
          <w:rFonts w:hint="eastAsia" w:ascii="宋体" w:hAnsi="宋体" w:cs="宋体"/>
          <w:bCs/>
          <w:color w:val="000000" w:themeColor="text1"/>
          <w:szCs w:val="21"/>
          <w:highlight w:val="none"/>
          <w14:textFill>
            <w14:solidFill>
              <w14:schemeClr w14:val="tx1"/>
            </w14:solidFill>
          </w14:textFill>
        </w:rPr>
        <w:t>约定的</w:t>
      </w:r>
      <w:r>
        <w:rPr>
          <w:rFonts w:hint="eastAsia" w:ascii="宋体" w:hAnsi="宋体" w:cs="宋体"/>
          <w:color w:val="000000" w:themeColor="text1"/>
          <w:szCs w:val="21"/>
          <w:highlight w:val="none"/>
          <w14:textFill>
            <w14:solidFill>
              <w14:schemeClr w14:val="tx1"/>
            </w14:solidFill>
          </w14:textFill>
        </w:rPr>
        <w:t>指定现场。</w:t>
      </w:r>
    </w:p>
    <w:p>
      <w:pPr>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 除</w:t>
      </w:r>
      <w:r>
        <w:rPr>
          <w:rFonts w:hint="eastAsia" w:ascii="宋体" w:hAnsi="宋体" w:cs="宋体"/>
          <w:b/>
          <w:color w:val="000000" w:themeColor="text1"/>
          <w:szCs w:val="21"/>
          <w:highlight w:val="none"/>
          <w14:textFill>
            <w14:solidFill>
              <w14:schemeClr w14:val="tx1"/>
            </w14:solidFill>
          </w14:textFill>
        </w:rPr>
        <w:t>【政府采购合同专用条款】</w:t>
      </w:r>
      <w:r>
        <w:rPr>
          <w:rFonts w:hint="eastAsia" w:ascii="宋体" w:hAnsi="宋体" w:cs="宋体"/>
          <w:bCs/>
          <w:color w:val="000000" w:themeColor="text1"/>
          <w:szCs w:val="21"/>
          <w:highlight w:val="none"/>
          <w14:textFill>
            <w14:solidFill>
              <w14:schemeClr w14:val="tx1"/>
            </w14:solidFill>
          </w14:textFill>
        </w:rPr>
        <w:t>另有约定外，</w:t>
      </w:r>
      <w:r>
        <w:rPr>
          <w:rFonts w:hint="eastAsia" w:ascii="宋体" w:hAnsi="宋体" w:cs="宋体"/>
          <w:color w:val="000000" w:themeColor="text1"/>
          <w:szCs w:val="21"/>
          <w:highlight w:val="none"/>
          <w14:textFill>
            <w14:solidFill>
              <w14:schemeClr w14:val="tx1"/>
            </w14:solidFill>
          </w14:textFill>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 货物保险要求按</w:t>
      </w:r>
      <w:r>
        <w:rPr>
          <w:rFonts w:hint="eastAsia" w:ascii="宋体" w:hAnsi="宋体" w:cs="宋体"/>
          <w:b/>
          <w:color w:val="000000" w:themeColor="text1"/>
          <w:szCs w:val="21"/>
          <w:highlight w:val="none"/>
          <w14:textFill>
            <w14:solidFill>
              <w14:schemeClr w14:val="tx1"/>
            </w14:solidFill>
          </w14:textFill>
        </w:rPr>
        <w:t>【政府采购合同专用条款】</w:t>
      </w:r>
      <w:r>
        <w:rPr>
          <w:rFonts w:hint="eastAsia" w:ascii="宋体" w:hAnsi="宋体" w:cs="宋体"/>
          <w:bCs/>
          <w:color w:val="000000" w:themeColor="text1"/>
          <w:szCs w:val="21"/>
          <w:highlight w:val="none"/>
          <w14:textFill>
            <w14:solidFill>
              <w14:schemeClr w14:val="tx1"/>
            </w14:solidFill>
          </w14:textFill>
        </w:rPr>
        <w:t>规定执行</w:t>
      </w:r>
      <w:r>
        <w:rPr>
          <w:rFonts w:hint="eastAsia" w:ascii="宋体" w:hAnsi="宋体" w:cs="宋体"/>
          <w:color w:val="000000" w:themeColor="text1"/>
          <w:szCs w:val="21"/>
          <w:highlight w:val="none"/>
          <w14:textFill>
            <w14:solidFill>
              <w14:schemeClr w14:val="tx1"/>
            </w14:solidFill>
          </w14:textFill>
        </w:rPr>
        <w:t>。</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7.5 </w:t>
      </w:r>
      <w:r>
        <w:rPr>
          <w:rFonts w:hint="eastAsia" w:ascii="宋体" w:hAnsi="宋体" w:cs="宋体"/>
          <w:color w:val="000000"/>
          <w:szCs w:val="21"/>
          <w:highlight w:val="none"/>
        </w:rPr>
        <w:t>乙方在运输到达之前应提前通知甲方，并提示货物运输装卸的注意事项，甲方配合乙方做好货物的接收工作。</w:t>
      </w:r>
    </w:p>
    <w:p>
      <w:pPr>
        <w:pStyle w:val="105"/>
        <w:ind w:firstLine="420"/>
        <w:rPr>
          <w:rFonts w:ascii="宋体" w:hAnsi="宋体" w:eastAsia="宋体" w:cs="宋体"/>
          <w:sz w:val="21"/>
          <w:highlight w:val="none"/>
        </w:rPr>
      </w:pPr>
      <w:r>
        <w:rPr>
          <w:rFonts w:hint="eastAsia" w:ascii="宋体" w:hAnsi="宋体" w:eastAsia="宋体" w:cs="宋体"/>
          <w:color w:val="000000" w:themeColor="text1"/>
          <w:kern w:val="2"/>
          <w:sz w:val="21"/>
          <w:highlight w:val="none"/>
          <w14:textFill>
            <w14:solidFill>
              <w14:schemeClr w14:val="tx1"/>
            </w14:solidFill>
          </w14:textFill>
        </w:rPr>
        <w:t xml:space="preserve">7.6 </w:t>
      </w:r>
      <w:r>
        <w:rPr>
          <w:rFonts w:hint="eastAsia" w:ascii="宋体" w:hAnsi="宋体" w:eastAsia="宋体" w:cs="宋体"/>
          <w:color w:val="000000"/>
          <w:kern w:val="2"/>
          <w:sz w:val="21"/>
          <w:highlight w:val="none"/>
        </w:rPr>
        <w:t>如因包装、运输问题导致货物</w:t>
      </w:r>
      <w:r>
        <w:rPr>
          <w:rFonts w:hint="eastAsia" w:ascii="宋体" w:hAnsi="宋体" w:eastAsia="宋体" w:cs="宋体"/>
          <w:color w:val="000000" w:themeColor="text1"/>
          <w:kern w:val="2"/>
          <w:sz w:val="21"/>
          <w:highlight w:val="none"/>
          <w14:textFill>
            <w14:solidFill>
              <w14:schemeClr w14:val="tx1"/>
            </w14:solidFill>
          </w14:textFill>
        </w:rPr>
        <w:t>损毁、丢失</w:t>
      </w:r>
      <w:r>
        <w:rPr>
          <w:rFonts w:hint="eastAsia" w:ascii="宋体" w:hAnsi="宋体" w:eastAsia="宋体" w:cs="宋体"/>
          <w:color w:val="000000"/>
          <w:kern w:val="2"/>
          <w:sz w:val="21"/>
          <w:highlight w:val="none"/>
        </w:rPr>
        <w:t>或者品质下降，甲方有权要求降价、换货、拒收部分或整批货物，由此产生的费用和损失，均由乙方承担。</w:t>
      </w:r>
    </w:p>
    <w:p>
      <w:pPr>
        <w:adjustRightInd w:val="0"/>
        <w:snapToGrid w:val="0"/>
        <w:spacing w:line="400" w:lineRule="exact"/>
        <w:jc w:val="left"/>
        <w:rPr>
          <w:rFonts w:ascii="宋体" w:hAnsi="宋体" w:cs="宋体"/>
          <w:b/>
          <w:sz w:val="24"/>
          <w:highlight w:val="none"/>
        </w:rPr>
      </w:pPr>
      <w:r>
        <w:rPr>
          <w:rFonts w:hint="eastAsia" w:ascii="宋体" w:hAnsi="宋体" w:cs="宋体"/>
          <w:b/>
          <w:color w:val="000000" w:themeColor="text1"/>
          <w:sz w:val="24"/>
          <w:highlight w:val="none"/>
          <w14:textFill>
            <w14:solidFill>
              <w14:schemeClr w14:val="tx1"/>
            </w14:solidFill>
          </w14:textFill>
        </w:rPr>
        <w:t xml:space="preserve">8. </w:t>
      </w:r>
      <w:r>
        <w:rPr>
          <w:rFonts w:hint="eastAsia" w:ascii="宋体" w:hAnsi="宋体" w:cs="宋体"/>
          <w:b/>
          <w:sz w:val="24"/>
          <w:highlight w:val="none"/>
        </w:rPr>
        <w:t>质量标准和保证</w:t>
      </w:r>
    </w:p>
    <w:p>
      <w:pPr>
        <w:pStyle w:val="17"/>
        <w:adjustRightInd w:val="0"/>
        <w:snapToGrid w:val="0"/>
        <w:spacing w:line="400" w:lineRule="exact"/>
        <w:ind w:firstLine="420" w:firstLineChars="200"/>
        <w:jc w:val="left"/>
        <w:rPr>
          <w:rFonts w:hAnsi="宋体" w:cs="宋体"/>
          <w:b/>
          <w:highlight w:val="none"/>
        </w:rPr>
      </w:pPr>
      <w:r>
        <w:rPr>
          <w:rFonts w:hint="eastAsia" w:hAnsi="宋体" w:cs="宋体"/>
          <w:highlight w:val="none"/>
        </w:rPr>
        <w:t>8.1 质量标准</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（1）本合同下提供的货物应符合合同</w:t>
      </w:r>
      <w:r>
        <w:rPr>
          <w:rFonts w:hint="eastAsia" w:ascii="宋体" w:hAnsi="宋体" w:cs="宋体"/>
          <w:color w:val="000000"/>
          <w:szCs w:val="21"/>
          <w:highlight w:val="none"/>
        </w:rPr>
        <w:t>约定的</w:t>
      </w:r>
      <w:r>
        <w:rPr>
          <w:rFonts w:hint="eastAsia" w:ascii="宋体" w:hAnsi="宋体" w:cs="宋体"/>
          <w:szCs w:val="21"/>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7"/>
        <w:adjustRightInd w:val="0"/>
        <w:snapToGrid w:val="0"/>
        <w:spacing w:line="400" w:lineRule="exact"/>
        <w:ind w:firstLine="420" w:firstLineChars="200"/>
        <w:jc w:val="left"/>
        <w:rPr>
          <w:rFonts w:hAnsi="宋体" w:cs="宋体"/>
          <w:highlight w:val="none"/>
        </w:rPr>
      </w:pPr>
      <w:r>
        <w:rPr>
          <w:rFonts w:hint="eastAsia" w:hAnsi="宋体" w:cs="宋体"/>
          <w:highlight w:val="none"/>
        </w:rPr>
        <w:t>（2）采用中华人民共和国法定计量单位。</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8.2 保证</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szCs w:val="21"/>
          <w:highlight w:val="none"/>
        </w:rPr>
        <w:t>【政府采购合同专用条款】</w:t>
      </w:r>
      <w:r>
        <w:rPr>
          <w:rFonts w:hint="eastAsia" w:ascii="宋体" w:hAnsi="宋体" w:cs="宋体"/>
          <w:szCs w:val="21"/>
          <w:highlight w:val="none"/>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（3）乙方收到通知后，应在</w:t>
      </w:r>
      <w:r>
        <w:rPr>
          <w:rFonts w:hint="eastAsia" w:ascii="宋体" w:hAnsi="宋体" w:cs="宋体"/>
          <w:b/>
          <w:szCs w:val="21"/>
          <w:highlight w:val="none"/>
        </w:rPr>
        <w:t>【政府采购合同专用条款】</w:t>
      </w:r>
      <w:r>
        <w:rPr>
          <w:rFonts w:hint="eastAsia" w:ascii="宋体" w:hAnsi="宋体" w:cs="宋体"/>
          <w:szCs w:val="21"/>
          <w:highlight w:val="none"/>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szCs w:val="21"/>
          <w:highlight w:val="none"/>
        </w:rPr>
        <w:t>.1条规定以书面形式</w:t>
      </w:r>
      <w:r>
        <w:rPr>
          <w:rFonts w:hint="eastAsia" w:ascii="宋体" w:hAnsi="宋体" w:cs="宋体"/>
          <w:color w:val="000000" w:themeColor="text1"/>
          <w:szCs w:val="21"/>
          <w:highlight w:val="none"/>
          <w14:textFill>
            <w14:solidFill>
              <w14:schemeClr w14:val="tx1"/>
            </w14:solidFill>
          </w14:textFill>
        </w:rPr>
        <w:t>追究</w:t>
      </w:r>
      <w:r>
        <w:rPr>
          <w:rFonts w:hint="eastAsia" w:ascii="宋体" w:hAnsi="宋体" w:cs="宋体"/>
          <w:szCs w:val="21"/>
          <w:highlight w:val="none"/>
        </w:rPr>
        <w:t>乙方</w:t>
      </w:r>
      <w:r>
        <w:rPr>
          <w:rFonts w:hint="eastAsia" w:ascii="宋体" w:hAnsi="宋体" w:cs="宋体"/>
          <w:color w:val="000000" w:themeColor="text1"/>
          <w:szCs w:val="21"/>
          <w:highlight w:val="none"/>
          <w14:textFill>
            <w14:solidFill>
              <w14:schemeClr w14:val="tx1"/>
            </w14:solidFill>
          </w14:textFill>
        </w:rPr>
        <w:t>的违约责任</w:t>
      </w:r>
      <w:r>
        <w:rPr>
          <w:rFonts w:hint="eastAsia" w:ascii="宋体" w:hAnsi="宋体" w:cs="宋体"/>
          <w:szCs w:val="21"/>
          <w:highlight w:val="none"/>
        </w:rPr>
        <w:t>。</w:t>
      </w:r>
    </w:p>
    <w:p>
      <w:pPr>
        <w:adjustRightInd w:val="0"/>
        <w:snapToGrid w:val="0"/>
        <w:spacing w:line="400" w:lineRule="exact"/>
        <w:ind w:firstLine="420" w:firstLineChars="200"/>
        <w:jc w:val="left"/>
        <w:rPr>
          <w:rFonts w:ascii="宋体" w:hAnsi="宋体" w:cs="宋体"/>
          <w:highlight w:val="none"/>
        </w:rPr>
      </w:pPr>
      <w:r>
        <w:rPr>
          <w:rFonts w:hint="eastAsia" w:ascii="宋体" w:hAnsi="宋体" w:cs="宋体"/>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cs="宋体"/>
          <w:b/>
          <w:bCs/>
          <w:sz w:val="24"/>
          <w:highlight w:val="none"/>
        </w:rPr>
      </w:pPr>
      <w:r>
        <w:rPr>
          <w:rFonts w:hint="eastAsia" w:ascii="宋体" w:hAnsi="宋体" w:cs="宋体"/>
          <w:b/>
          <w:bCs/>
          <w:color w:val="000000" w:themeColor="text1"/>
          <w:sz w:val="24"/>
          <w:highlight w:val="none"/>
          <w14:textFill>
            <w14:solidFill>
              <w14:schemeClr w14:val="tx1"/>
            </w14:solidFill>
          </w14:textFill>
        </w:rPr>
        <w:t>9</w:t>
      </w:r>
      <w:r>
        <w:rPr>
          <w:rFonts w:hint="eastAsia" w:ascii="宋体" w:hAnsi="宋体" w:cs="宋体"/>
          <w:b/>
          <w:bCs/>
          <w:sz w:val="24"/>
          <w:highlight w:val="none"/>
        </w:rPr>
        <w:t>.</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bCs/>
          <w:sz w:val="24"/>
          <w:highlight w:val="none"/>
        </w:rPr>
        <w:t>权利瑕疵担保</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9.2 </w:t>
      </w:r>
      <w:r>
        <w:rPr>
          <w:rFonts w:hint="eastAsia" w:ascii="宋体" w:hAnsi="宋体" w:cs="宋体"/>
          <w:szCs w:val="15"/>
          <w:highlight w:val="none"/>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9.3 如甲方使用上述货物构成对第三人侵权的，则由乙方承担全部责任。</w:t>
      </w:r>
    </w:p>
    <w:p>
      <w:pPr>
        <w:autoSpaceDE w:val="0"/>
        <w:autoSpaceDN w:val="0"/>
        <w:adjustRightInd w:val="0"/>
        <w:snapToGrid w:val="0"/>
        <w:spacing w:line="400" w:lineRule="exact"/>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10. 知识产权保护</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10.1 乙方对其所销售的货物应当享有知识产权或经权利人合法授权，保证没有侵犯任</w:t>
      </w:r>
      <w:r>
        <w:rPr>
          <w:rFonts w:hint="eastAsia" w:ascii="宋体" w:hAnsi="宋体" w:cs="宋体"/>
          <w:szCs w:val="21"/>
          <w:highlight w:val="none"/>
        </w:rPr>
        <w:t>何第三人的知识产权等权利。</w:t>
      </w:r>
      <w:bookmarkStart w:id="216" w:name="_Hlk163047038"/>
      <w:r>
        <w:rPr>
          <w:rFonts w:hint="eastAsia" w:ascii="宋体" w:hAnsi="宋体" w:cs="宋体"/>
          <w:szCs w:val="15"/>
          <w:highlight w:val="none"/>
        </w:rPr>
        <w:t>因违反前述约定对第三人构成侵权的，应当由乙方向第三人承担法律责任；甲方依法向第三人赔偿后，有权向乙方追偿。甲方有其他损失的，乙方应当赔偿</w:t>
      </w:r>
      <w:bookmarkEnd w:id="216"/>
      <w:r>
        <w:rPr>
          <w:rFonts w:hint="eastAsia" w:ascii="宋体" w:hAnsi="宋体" w:cs="宋体"/>
          <w:szCs w:val="21"/>
          <w:highlight w:val="none"/>
        </w:rPr>
        <w:t>。</w:t>
      </w:r>
    </w:p>
    <w:p>
      <w:pPr>
        <w:autoSpaceDE w:val="0"/>
        <w:autoSpaceDN w:val="0"/>
        <w:adjustRightInd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11. 保密义务</w:t>
      </w:r>
    </w:p>
    <w:p>
      <w:pPr>
        <w:autoSpaceDE w:val="0"/>
        <w:autoSpaceDN w:val="0"/>
        <w:adjustRightInd w:val="0"/>
        <w:snapToGrid w:val="0"/>
        <w:spacing w:line="400" w:lineRule="exact"/>
        <w:ind w:firstLine="420" w:firstLineChars="200"/>
        <w:jc w:val="left"/>
        <w:rPr>
          <w:rFonts w:ascii="宋体" w:hAnsi="宋体" w:cs="宋体"/>
          <w:szCs w:val="15"/>
          <w:highlight w:val="none"/>
        </w:rPr>
      </w:pPr>
      <w:r>
        <w:rPr>
          <w:rFonts w:hint="eastAsia" w:ascii="宋体" w:hAnsi="宋体" w:cs="宋体"/>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highlight w:val="none"/>
        </w:rPr>
        <w:t>【政府采购合同专用条款】</w:t>
      </w:r>
      <w:r>
        <w:rPr>
          <w:rFonts w:hint="eastAsia" w:ascii="宋体" w:hAnsi="宋体" w:cs="宋体"/>
          <w:szCs w:val="15"/>
          <w:highlight w:val="none"/>
        </w:rPr>
        <w:t>中约定。</w:t>
      </w:r>
    </w:p>
    <w:p>
      <w:pPr>
        <w:autoSpaceDE w:val="0"/>
        <w:autoSpaceDN w:val="0"/>
        <w:adjustRightInd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12. 合同价款支付</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12.1 合同价款支付按照国库集中支付制度及财政管理相关规定执行。</w:t>
      </w:r>
    </w:p>
    <w:p>
      <w:pPr>
        <w:pStyle w:val="3"/>
        <w:spacing w:line="400" w:lineRule="exact"/>
        <w:ind w:firstLine="420" w:firstLineChars="200"/>
        <w:rPr>
          <w:rFonts w:ascii="宋体" w:hAnsi="宋体" w:eastAsia="宋体" w:cs="宋体"/>
          <w:highlight w:val="none"/>
        </w:rPr>
      </w:pPr>
      <w:r>
        <w:rPr>
          <w:rFonts w:hint="eastAsia" w:ascii="宋体" w:hAnsi="宋体" w:eastAsia="宋体" w:cs="宋体"/>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bCs/>
          <w:szCs w:val="21"/>
          <w:highlight w:val="none"/>
        </w:rPr>
        <w:t>政府采购合同专用条款</w:t>
      </w:r>
      <w:r>
        <w:rPr>
          <w:rFonts w:hint="eastAsia" w:ascii="宋体" w:hAnsi="宋体" w:eastAsia="宋体" w:cs="宋体"/>
          <w:szCs w:val="21"/>
          <w:highlight w:val="none"/>
        </w:rPr>
        <w:t>】中约定。</w:t>
      </w:r>
    </w:p>
    <w:p>
      <w:pPr>
        <w:pStyle w:val="14"/>
        <w:spacing w:after="0" w:line="400" w:lineRule="exact"/>
        <w:rPr>
          <w:rFonts w:ascii="宋体" w:hAnsi="宋体" w:cs="宋体"/>
          <w:b/>
          <w:bCs/>
          <w:sz w:val="24"/>
          <w:szCs w:val="24"/>
          <w:highlight w:val="none"/>
        </w:rPr>
      </w:pPr>
      <w:r>
        <w:rPr>
          <w:rFonts w:hint="eastAsia" w:ascii="宋体" w:hAnsi="宋体" w:cs="宋体"/>
          <w:b/>
          <w:bCs/>
          <w:sz w:val="24"/>
          <w:szCs w:val="24"/>
          <w:highlight w:val="none"/>
        </w:rPr>
        <w:t>13. 履约保证金</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13.1 </w:t>
      </w:r>
      <w:r>
        <w:rPr>
          <w:rFonts w:hint="eastAsia" w:ascii="宋体" w:hAnsi="宋体" w:cs="宋体"/>
          <w:szCs w:val="15"/>
          <w:highlight w:val="none"/>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13.2 如果乙方出现</w:t>
      </w:r>
      <w:r>
        <w:rPr>
          <w:rFonts w:hint="eastAsia" w:ascii="宋体" w:hAnsi="宋体" w:cs="宋体"/>
          <w:b/>
          <w:bCs/>
          <w:szCs w:val="15"/>
          <w:highlight w:val="none"/>
        </w:rPr>
        <w:t>【政府采购合同专用条款】</w:t>
      </w:r>
      <w:r>
        <w:rPr>
          <w:rFonts w:hint="eastAsia" w:ascii="宋体" w:hAnsi="宋体" w:cs="宋体"/>
          <w:szCs w:val="15"/>
          <w:highlight w:val="none"/>
        </w:rPr>
        <w:t>约定情形的</w:t>
      </w:r>
      <w:r>
        <w:rPr>
          <w:rFonts w:hint="eastAsia" w:ascii="宋体" w:hAnsi="宋体" w:cs="宋体"/>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ascii="宋体" w:hAnsi="宋体" w:cs="宋体"/>
          <w:highlight w:val="none"/>
        </w:rPr>
      </w:pPr>
      <w:r>
        <w:rPr>
          <w:rFonts w:hint="eastAsia" w:ascii="宋体" w:hAnsi="宋体" w:cs="宋体"/>
          <w:szCs w:val="21"/>
          <w:highlight w:val="none"/>
        </w:rPr>
        <w:t>13.3 甲方在项目通过验收后按照</w:t>
      </w:r>
      <w:r>
        <w:rPr>
          <w:rFonts w:hint="eastAsia" w:ascii="宋体" w:hAnsi="宋体" w:cs="宋体"/>
          <w:b/>
          <w:szCs w:val="21"/>
          <w:highlight w:val="none"/>
        </w:rPr>
        <w:t>【政府采购合同专用条款】</w:t>
      </w:r>
      <w:r>
        <w:rPr>
          <w:rFonts w:hint="eastAsia" w:ascii="宋体" w:hAnsi="宋体" w:cs="宋体"/>
          <w:szCs w:val="21"/>
          <w:highlight w:val="none"/>
        </w:rPr>
        <w:t>规定的时间内将履约保证金退还乙方；逾期退还的，乙方可要求甲方支付违约金，违约金按照</w:t>
      </w:r>
      <w:r>
        <w:rPr>
          <w:rFonts w:hint="eastAsia" w:ascii="宋体" w:hAnsi="宋体" w:cs="宋体"/>
          <w:b/>
          <w:szCs w:val="21"/>
          <w:highlight w:val="none"/>
        </w:rPr>
        <w:t>【政府采购合同专用条款】</w:t>
      </w:r>
      <w:r>
        <w:rPr>
          <w:rFonts w:hint="eastAsia" w:ascii="宋体" w:hAnsi="宋体" w:cs="宋体"/>
          <w:szCs w:val="21"/>
          <w:highlight w:val="none"/>
        </w:rPr>
        <w:t>规定支付。</w:t>
      </w:r>
    </w:p>
    <w:p>
      <w:pPr>
        <w:autoSpaceDE w:val="0"/>
        <w:autoSpaceDN w:val="0"/>
        <w:adjustRightInd w:val="0"/>
        <w:snapToGrid w:val="0"/>
        <w:spacing w:line="400" w:lineRule="exact"/>
        <w:jc w:val="left"/>
        <w:rPr>
          <w:rFonts w:ascii="宋体" w:hAnsi="宋体" w:cs="宋体"/>
          <w:b/>
          <w:sz w:val="24"/>
          <w:highlight w:val="none"/>
        </w:rPr>
      </w:pPr>
      <w:r>
        <w:rPr>
          <w:rFonts w:hint="eastAsia" w:ascii="宋体" w:hAnsi="宋体" w:cs="宋体"/>
          <w:b/>
          <w:bCs/>
          <w:sz w:val="24"/>
          <w:highlight w:val="none"/>
        </w:rPr>
        <w:t xml:space="preserve">14. </w:t>
      </w:r>
      <w:r>
        <w:rPr>
          <w:rFonts w:hint="eastAsia" w:ascii="宋体" w:hAnsi="宋体" w:cs="宋体"/>
          <w:b/>
          <w:sz w:val="24"/>
          <w:highlight w:val="none"/>
        </w:rPr>
        <w:t>售后服务</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（3）在</w:t>
      </w:r>
      <w:r>
        <w:rPr>
          <w:rFonts w:hint="eastAsia" w:ascii="宋体" w:hAnsi="宋体" w:cs="宋体"/>
          <w:b/>
          <w:bCs/>
          <w:szCs w:val="15"/>
          <w:highlight w:val="none"/>
        </w:rPr>
        <w:t>【政府采购合同专用条款】</w:t>
      </w:r>
      <w:r>
        <w:rPr>
          <w:rFonts w:hint="eastAsia" w:ascii="宋体" w:hAnsi="宋体" w:cs="宋体"/>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（4）在制造商所在地或指定现场就货物的安装、启动、运营、维护、废弃处置等对甲方操作人员进行培训</w:t>
      </w:r>
      <w:r>
        <w:rPr>
          <w:rFonts w:hint="eastAsia" w:ascii="宋体" w:hAnsi="宋体" w:cs="宋体"/>
          <w:szCs w:val="15"/>
          <w:highlight w:val="none"/>
        </w:rPr>
        <w:t>；</w:t>
      </w:r>
    </w:p>
    <w:p>
      <w:pPr>
        <w:pStyle w:val="105"/>
        <w:ind w:firstLine="420"/>
        <w:rPr>
          <w:rFonts w:ascii="宋体" w:hAnsi="宋体" w:eastAsia="宋体" w:cs="宋体"/>
          <w:sz w:val="21"/>
          <w:highlight w:val="none"/>
        </w:rPr>
      </w:pPr>
      <w:r>
        <w:rPr>
          <w:rFonts w:hint="eastAsia" w:ascii="宋体" w:hAnsi="宋体" w:eastAsia="宋体" w:cs="宋体"/>
          <w:sz w:val="21"/>
          <w:highlight w:val="none"/>
        </w:rPr>
        <w:t>（5）依照法律、行政法规的规定或者按照</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（6）</w:t>
      </w:r>
      <w:r>
        <w:rPr>
          <w:rFonts w:hint="eastAsia" w:ascii="宋体" w:hAnsi="宋体" w:cs="宋体"/>
          <w:b/>
          <w:szCs w:val="21"/>
          <w:highlight w:val="none"/>
        </w:rPr>
        <w:t>【政府采购合同专用条款】</w:t>
      </w:r>
      <w:r>
        <w:rPr>
          <w:rFonts w:hint="eastAsia" w:ascii="宋体" w:hAnsi="宋体" w:cs="宋体"/>
          <w:szCs w:val="21"/>
          <w:highlight w:val="none"/>
        </w:rPr>
        <w:t>规定由乙方提供的其他服务。</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14.2 乙方提供的售后服务的费用已包含在合同价款中，甲方不再另行支付。</w:t>
      </w:r>
    </w:p>
    <w:p>
      <w:pPr>
        <w:adjustRightInd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15. 违约责任</w:t>
      </w:r>
    </w:p>
    <w:p>
      <w:pPr>
        <w:adjustRightInd w:val="0"/>
        <w:snapToGrid w:val="0"/>
        <w:spacing w:line="400" w:lineRule="exact"/>
        <w:ind w:firstLine="420" w:firstLineChars="200"/>
        <w:jc w:val="left"/>
        <w:rPr>
          <w:rFonts w:ascii="宋体" w:hAnsi="宋体" w:cs="宋体"/>
          <w:bCs/>
          <w:szCs w:val="21"/>
          <w:highlight w:val="none"/>
        </w:rPr>
      </w:pPr>
      <w:r>
        <w:rPr>
          <w:rFonts w:hint="eastAsia" w:ascii="宋体" w:hAnsi="宋体" w:cs="宋体"/>
          <w:bCs/>
          <w:szCs w:val="21"/>
          <w:highlight w:val="none"/>
        </w:rPr>
        <w:t>15.1质量瑕疵的违约责任</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乙方提供的产品不符合合同约定的质量标准或存在产品质量缺陷，甲方有权要求乙方根据</w:t>
      </w:r>
      <w:r>
        <w:rPr>
          <w:rFonts w:hint="eastAsia" w:ascii="宋体" w:hAnsi="宋体" w:cs="宋体"/>
          <w:b/>
          <w:szCs w:val="21"/>
          <w:highlight w:val="none"/>
        </w:rPr>
        <w:t>【政府采购合同专用条款】</w:t>
      </w:r>
      <w:r>
        <w:rPr>
          <w:rFonts w:hint="eastAsia" w:ascii="宋体" w:hAnsi="宋体" w:cs="宋体"/>
          <w:bCs/>
          <w:szCs w:val="21"/>
          <w:highlight w:val="none"/>
        </w:rPr>
        <w:t>要求</w:t>
      </w:r>
      <w:r>
        <w:rPr>
          <w:rFonts w:hint="eastAsia" w:ascii="宋体" w:hAnsi="宋体" w:cs="宋体"/>
          <w:szCs w:val="21"/>
          <w:highlight w:val="none"/>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cs="宋体"/>
          <w:bCs/>
          <w:szCs w:val="21"/>
          <w:highlight w:val="none"/>
        </w:rPr>
      </w:pPr>
      <w:r>
        <w:rPr>
          <w:rFonts w:hint="eastAsia" w:ascii="宋体" w:hAnsi="宋体" w:cs="宋体"/>
          <w:bCs/>
          <w:szCs w:val="21"/>
          <w:highlight w:val="none"/>
        </w:rPr>
        <w:t>15.2 迟延交货的违约责任</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（2）如果乙方没有按照合同规定的时间交货和提供相关服务，甲方有权从货款中扣除误期赔偿费而不影响合同项下的其他补救方法，赔偿费按</w:t>
      </w:r>
      <w:r>
        <w:rPr>
          <w:rFonts w:hint="eastAsia" w:ascii="宋体" w:hAnsi="宋体" w:cs="宋体"/>
          <w:b/>
          <w:szCs w:val="21"/>
          <w:highlight w:val="none"/>
        </w:rPr>
        <w:t>【政府采购合同专用条款】</w:t>
      </w:r>
      <w:r>
        <w:rPr>
          <w:rFonts w:hint="eastAsia" w:ascii="宋体" w:hAnsi="宋体" w:cs="宋体"/>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15.3 迟延支付的违约责任</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甲方存在迟延支付乙方合同款项的，应当承担</w:t>
      </w:r>
      <w:r>
        <w:rPr>
          <w:rFonts w:hint="eastAsia" w:ascii="宋体" w:hAnsi="宋体" w:cs="宋体"/>
          <w:b/>
          <w:bCs/>
          <w:szCs w:val="21"/>
          <w:highlight w:val="none"/>
        </w:rPr>
        <w:t>【政府采购合同专用条款】</w:t>
      </w:r>
      <w:r>
        <w:rPr>
          <w:rFonts w:hint="eastAsia" w:ascii="宋体" w:hAnsi="宋体" w:cs="宋体"/>
          <w:szCs w:val="21"/>
          <w:highlight w:val="none"/>
        </w:rPr>
        <w:t>规定的逾期付款利息。</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bCs/>
          <w:szCs w:val="21"/>
          <w:highlight w:val="none"/>
        </w:rPr>
        <w:t>15.4其他违约责任根据项目实际需要按</w:t>
      </w:r>
      <w:r>
        <w:rPr>
          <w:rFonts w:hint="eastAsia" w:ascii="宋体" w:hAnsi="宋体" w:cs="宋体"/>
          <w:b/>
          <w:bCs/>
          <w:szCs w:val="21"/>
          <w:highlight w:val="none"/>
        </w:rPr>
        <w:t>【政府采购合同专用条款】</w:t>
      </w:r>
      <w:r>
        <w:rPr>
          <w:rFonts w:hint="eastAsia" w:ascii="宋体" w:hAnsi="宋体" w:cs="宋体"/>
          <w:szCs w:val="21"/>
          <w:highlight w:val="none"/>
        </w:rPr>
        <w:t>规定执行。</w:t>
      </w:r>
    </w:p>
    <w:p>
      <w:pPr>
        <w:numPr>
          <w:ilvl w:val="0"/>
          <w:numId w:val="8"/>
        </w:numPr>
        <w:autoSpaceDE w:val="0"/>
        <w:autoSpaceDN w:val="0"/>
        <w:adjustRightInd w:val="0"/>
        <w:snapToGrid w:val="0"/>
        <w:spacing w:line="400" w:lineRule="exact"/>
        <w:jc w:val="left"/>
        <w:rPr>
          <w:rFonts w:ascii="宋体" w:hAnsi="宋体" w:cs="宋体"/>
          <w:b/>
          <w:sz w:val="24"/>
          <w:highlight w:val="none"/>
        </w:rPr>
      </w:pPr>
      <w:r>
        <w:rPr>
          <w:rFonts w:hint="eastAsia" w:ascii="宋体" w:hAnsi="宋体" w:cs="宋体"/>
          <w:b/>
          <w:sz w:val="24"/>
          <w:highlight w:val="none"/>
        </w:rPr>
        <w:t>合同变更、中止与终止</w:t>
      </w:r>
    </w:p>
    <w:p>
      <w:pPr>
        <w:adjustRightInd w:val="0"/>
        <w:snapToGrid w:val="0"/>
        <w:spacing w:line="400" w:lineRule="exact"/>
        <w:jc w:val="left"/>
        <w:rPr>
          <w:rFonts w:ascii="宋体" w:hAnsi="宋体" w:cs="宋体"/>
          <w:szCs w:val="21"/>
          <w:highlight w:val="none"/>
        </w:rPr>
      </w:pPr>
      <w:r>
        <w:rPr>
          <w:rFonts w:hint="eastAsia" w:ascii="宋体" w:hAnsi="宋体" w:cs="宋体"/>
          <w:szCs w:val="21"/>
          <w:highlight w:val="none"/>
        </w:rPr>
        <w:t xml:space="preserve">    16.1合同的变更</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16.2合同的中止</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105"/>
        <w:ind w:firstLine="420"/>
        <w:jc w:val="both"/>
        <w:rPr>
          <w:rFonts w:ascii="宋体" w:hAnsi="宋体" w:eastAsia="宋体" w:cs="宋体"/>
          <w:sz w:val="21"/>
          <w:highlight w:val="none"/>
        </w:rPr>
      </w:pPr>
      <w:r>
        <w:rPr>
          <w:rFonts w:hint="eastAsia" w:ascii="宋体" w:hAnsi="宋体" w:eastAsia="宋体" w:cs="宋体"/>
          <w:sz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ascii="宋体" w:hAnsi="宋体" w:cs="宋体"/>
          <w:highlight w:val="none"/>
        </w:rPr>
      </w:pPr>
      <w:r>
        <w:rPr>
          <w:rFonts w:hint="eastAsia" w:ascii="宋体" w:hAnsi="宋体" w:cs="宋体"/>
          <w:szCs w:val="21"/>
          <w:highlight w:val="none"/>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16.3合同的终止</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（1）合同因有效期限届满而终止；</w:t>
      </w:r>
    </w:p>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（2）乙方未按合同约定履行，构成根本性违约的，甲方有权终止合同，并追究乙方的违约责任。</w:t>
      </w:r>
    </w:p>
    <w:p>
      <w:pPr>
        <w:pStyle w:val="105"/>
        <w:rPr>
          <w:rFonts w:ascii="宋体" w:hAnsi="宋体" w:eastAsia="宋体" w:cs="宋体"/>
          <w:highlight w:val="none"/>
        </w:rPr>
      </w:pPr>
      <w:r>
        <w:rPr>
          <w:rFonts w:hint="eastAsia" w:ascii="宋体" w:hAnsi="宋体" w:eastAsia="宋体" w:cs="宋体"/>
          <w:highlight w:val="none"/>
        </w:rPr>
        <w:t xml:space="preserve">16.4 </w:t>
      </w:r>
      <w:r>
        <w:rPr>
          <w:rFonts w:hint="eastAsia" w:ascii="宋体" w:hAnsi="宋体" w:eastAsia="宋体" w:cs="宋体"/>
          <w:kern w:val="2"/>
          <w:sz w:val="21"/>
          <w:highlight w:val="none"/>
        </w:rPr>
        <w:t>涉及国家利益、社会公共利益的情形</w:t>
      </w:r>
    </w:p>
    <w:p>
      <w:pPr>
        <w:pStyle w:val="105"/>
        <w:ind w:firstLine="420"/>
        <w:jc w:val="both"/>
        <w:rPr>
          <w:rFonts w:ascii="宋体" w:hAnsi="宋体" w:eastAsia="宋体" w:cs="宋体"/>
          <w:sz w:val="21"/>
          <w:highlight w:val="none"/>
        </w:rPr>
      </w:pPr>
      <w:r>
        <w:rPr>
          <w:rFonts w:hint="eastAsia" w:ascii="宋体" w:hAnsi="宋体" w:eastAsia="宋体" w:cs="宋体"/>
          <w:sz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17. 合同分包</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18. 不可抗力</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19. 解决争议的方法</w:t>
      </w:r>
    </w:p>
    <w:p>
      <w:pPr>
        <w:pStyle w:val="105"/>
        <w:ind w:firstLine="420"/>
        <w:jc w:val="both"/>
        <w:rPr>
          <w:rFonts w:ascii="宋体" w:hAnsi="宋体" w:eastAsia="宋体" w:cs="宋体"/>
          <w:sz w:val="21"/>
          <w:highlight w:val="none"/>
        </w:rPr>
      </w:pPr>
      <w:r>
        <w:rPr>
          <w:rFonts w:hint="eastAsia" w:ascii="宋体" w:hAnsi="宋体" w:eastAsia="宋体" w:cs="宋体"/>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pStyle w:val="105"/>
        <w:ind w:firstLine="420"/>
        <w:jc w:val="both"/>
        <w:rPr>
          <w:rFonts w:ascii="宋体" w:hAnsi="宋体" w:eastAsia="宋体" w:cs="宋体"/>
          <w:sz w:val="21"/>
          <w:highlight w:val="none"/>
        </w:rPr>
      </w:pPr>
      <w:r>
        <w:rPr>
          <w:rFonts w:hint="eastAsia" w:ascii="宋体" w:hAnsi="宋体" w:eastAsia="宋体" w:cs="宋体"/>
          <w:sz w:val="21"/>
          <w:highlight w:val="none"/>
        </w:rPr>
        <w:t>19.2 选择仲裁的，应在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pPr>
        <w:pStyle w:val="105"/>
        <w:ind w:firstLine="420"/>
        <w:jc w:val="both"/>
        <w:rPr>
          <w:rFonts w:ascii="宋体" w:hAnsi="宋体" w:eastAsia="宋体" w:cs="宋体"/>
          <w:sz w:val="21"/>
          <w:highlight w:val="none"/>
        </w:rPr>
      </w:pPr>
      <w:r>
        <w:rPr>
          <w:rFonts w:hint="eastAsia" w:ascii="宋体" w:hAnsi="宋体" w:eastAsia="宋体" w:cs="宋体"/>
          <w:sz w:val="21"/>
          <w:highlight w:val="none"/>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cs="宋体"/>
          <w:sz w:val="24"/>
          <w:highlight w:val="none"/>
        </w:rPr>
      </w:pPr>
      <w:r>
        <w:rPr>
          <w:rFonts w:hint="eastAsia" w:ascii="宋体" w:hAnsi="宋体" w:cs="宋体"/>
          <w:b/>
          <w:sz w:val="24"/>
          <w:highlight w:val="none"/>
        </w:rPr>
        <w:t>20. 政府采购政策</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20.1 </w:t>
      </w:r>
      <w:r>
        <w:rPr>
          <w:rFonts w:hint="eastAsia" w:ascii="宋体" w:hAnsi="宋体" w:cs="宋体"/>
          <w:highlight w:val="none"/>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20.2 本合同依法执行政府采购政策的方式和内容，属于合同履约验收的范围。</w:t>
      </w:r>
      <w:r>
        <w:rPr>
          <w:rFonts w:hint="eastAsia" w:ascii="宋体" w:hAnsi="宋体" w:cs="宋体"/>
          <w:highlight w:val="none"/>
        </w:rPr>
        <w:t>甲乙双方</w:t>
      </w:r>
      <w:r>
        <w:rPr>
          <w:rFonts w:hint="eastAsia" w:ascii="宋体" w:hAnsi="宋体" w:cs="宋体"/>
          <w:highlight w:val="none"/>
          <w:lang w:val="en-GB"/>
        </w:rPr>
        <w:t>未按规定要求执行政府采购政策造成损失的</w:t>
      </w:r>
      <w:r>
        <w:rPr>
          <w:rFonts w:hint="eastAsia" w:ascii="宋体" w:hAnsi="宋体" w:cs="宋体"/>
          <w:szCs w:val="21"/>
          <w:highlight w:val="none"/>
        </w:rPr>
        <w:t>，有过错的一方应当承担赔偿责任，双方都有过错的，各自承担相应的责任。</w:t>
      </w:r>
    </w:p>
    <w:p>
      <w:pPr>
        <w:pStyle w:val="14"/>
        <w:spacing w:after="0" w:line="400" w:lineRule="exact"/>
        <w:ind w:firstLine="420" w:firstLineChars="200"/>
        <w:rPr>
          <w:rFonts w:ascii="宋体" w:hAnsi="宋体" w:cs="宋体"/>
          <w:highlight w:val="none"/>
        </w:rPr>
      </w:pPr>
      <w:r>
        <w:rPr>
          <w:rFonts w:hint="eastAsia" w:ascii="宋体" w:hAnsi="宋体" w:cs="宋体"/>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cs="宋体"/>
          <w:b/>
          <w:sz w:val="24"/>
          <w:highlight w:val="none"/>
        </w:rPr>
      </w:pPr>
      <w:r>
        <w:rPr>
          <w:rFonts w:hint="eastAsia" w:ascii="宋体" w:hAnsi="宋体" w:cs="宋体"/>
          <w:b/>
          <w:sz w:val="24"/>
          <w:highlight w:val="none"/>
        </w:rPr>
        <w:t>21. 法律适用</w:t>
      </w:r>
    </w:p>
    <w:p>
      <w:pPr>
        <w:pStyle w:val="105"/>
        <w:ind w:firstLine="420"/>
        <w:jc w:val="both"/>
        <w:rPr>
          <w:rFonts w:ascii="宋体" w:hAnsi="宋体" w:eastAsia="宋体" w:cs="宋体"/>
          <w:sz w:val="21"/>
          <w:highlight w:val="none"/>
        </w:rPr>
      </w:pPr>
      <w:r>
        <w:rPr>
          <w:rFonts w:hint="eastAsia" w:ascii="宋体" w:hAnsi="宋体" w:eastAsia="宋体" w:cs="宋体"/>
          <w:sz w:val="21"/>
          <w:highlight w:val="none"/>
        </w:rPr>
        <w:t>21.1 本合同的订立、生效、解释、履行及与本合同有关的争议解决，均适用法律、行政法规。</w:t>
      </w:r>
    </w:p>
    <w:p>
      <w:pPr>
        <w:pStyle w:val="105"/>
        <w:ind w:firstLine="420"/>
        <w:jc w:val="both"/>
        <w:rPr>
          <w:rFonts w:ascii="宋体" w:hAnsi="宋体" w:eastAsia="宋体" w:cs="宋体"/>
          <w:sz w:val="21"/>
          <w:highlight w:val="none"/>
        </w:rPr>
      </w:pPr>
      <w:r>
        <w:rPr>
          <w:rFonts w:hint="eastAsia" w:ascii="宋体" w:hAnsi="宋体" w:eastAsia="宋体" w:cs="宋体"/>
          <w:sz w:val="21"/>
          <w:highlight w:val="none"/>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hAnsi="宋体" w:cs="宋体"/>
          <w:b/>
          <w:sz w:val="24"/>
          <w:highlight w:val="none"/>
        </w:rPr>
      </w:pPr>
      <w:r>
        <w:rPr>
          <w:rFonts w:hint="eastAsia" w:ascii="宋体" w:hAnsi="宋体" w:cs="宋体"/>
          <w:b/>
          <w:sz w:val="24"/>
          <w:highlight w:val="none"/>
        </w:rPr>
        <w:t>22. 通知</w:t>
      </w:r>
    </w:p>
    <w:p>
      <w:pPr>
        <w:pStyle w:val="105"/>
        <w:ind w:firstLine="420"/>
        <w:jc w:val="both"/>
        <w:rPr>
          <w:rFonts w:ascii="宋体" w:hAnsi="宋体" w:eastAsia="宋体" w:cs="宋体"/>
          <w:sz w:val="21"/>
          <w:highlight w:val="none"/>
        </w:rPr>
      </w:pPr>
      <w:r>
        <w:rPr>
          <w:rFonts w:hint="eastAsia" w:ascii="宋体" w:hAnsi="宋体" w:eastAsia="宋体" w:cs="宋体"/>
          <w:sz w:val="21"/>
          <w:highlight w:val="none"/>
        </w:rPr>
        <w:t>22.1 本合同任何一方向对方发出的通知、信件、数据电文等，应当发送至本合同第一部分《政府采购合同协议书》所约定的通讯地址、联系人、联系电话或电子邮箱。</w:t>
      </w:r>
    </w:p>
    <w:p>
      <w:pPr>
        <w:pStyle w:val="105"/>
        <w:ind w:firstLine="0" w:firstLineChars="0"/>
        <w:jc w:val="both"/>
        <w:rPr>
          <w:rFonts w:ascii="宋体" w:hAnsi="宋体" w:eastAsia="宋体" w:cs="宋体"/>
          <w:sz w:val="21"/>
          <w:highlight w:val="none"/>
        </w:rPr>
      </w:pPr>
      <w:r>
        <w:rPr>
          <w:rFonts w:hint="eastAsia" w:ascii="宋体" w:hAnsi="宋体" w:eastAsia="宋体" w:cs="宋体"/>
          <w:sz w:val="21"/>
          <w:highlight w:val="none"/>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22.4通知以送达之日或通知书中规定的生效之日起生效，两者中以较迟之日为准。</w:t>
      </w:r>
    </w:p>
    <w:p>
      <w:pPr>
        <w:numPr>
          <w:ilvl w:val="0"/>
          <w:numId w:val="9"/>
        </w:numPr>
        <w:adjustRightInd w:val="0"/>
        <w:snapToGrid w:val="0"/>
        <w:spacing w:line="400" w:lineRule="exact"/>
        <w:jc w:val="left"/>
        <w:rPr>
          <w:rFonts w:ascii="宋体" w:hAnsi="宋体" w:cs="宋体"/>
          <w:b/>
          <w:bCs/>
          <w:sz w:val="24"/>
          <w:highlight w:val="none"/>
        </w:rPr>
      </w:pPr>
      <w:r>
        <w:rPr>
          <w:rFonts w:hint="eastAsia" w:ascii="宋体" w:hAnsi="宋体" w:cs="宋体"/>
          <w:b/>
          <w:bCs/>
          <w:sz w:val="24"/>
          <w:highlight w:val="none"/>
        </w:rPr>
        <w:t>合同未尽事项</w:t>
      </w:r>
    </w:p>
    <w:p>
      <w:pPr>
        <w:adjustRightInd w:val="0"/>
        <w:snapToGrid w:val="0"/>
        <w:spacing w:line="400" w:lineRule="exact"/>
        <w:ind w:firstLine="420" w:firstLineChars="200"/>
        <w:jc w:val="left"/>
        <w:rPr>
          <w:rFonts w:ascii="宋体" w:hAnsi="宋体" w:cs="宋体"/>
          <w:bCs/>
          <w:szCs w:val="21"/>
          <w:highlight w:val="none"/>
        </w:rPr>
      </w:pPr>
      <w:r>
        <w:rPr>
          <w:rFonts w:hint="eastAsia" w:ascii="宋体" w:hAnsi="宋体" w:cs="宋体"/>
          <w:bCs/>
          <w:szCs w:val="21"/>
          <w:highlight w:val="none"/>
        </w:rPr>
        <w:t>23.1合同未尽事项见</w:t>
      </w:r>
      <w:r>
        <w:rPr>
          <w:rFonts w:hint="eastAsia" w:ascii="宋体" w:hAnsi="宋体" w:cs="宋体"/>
          <w:b/>
          <w:szCs w:val="21"/>
          <w:highlight w:val="none"/>
        </w:rPr>
        <w:t>【政府采购合同专用条款】</w:t>
      </w:r>
      <w:r>
        <w:rPr>
          <w:rFonts w:hint="eastAsia" w:ascii="宋体" w:hAnsi="宋体" w:cs="宋体"/>
          <w:bCs/>
          <w:szCs w:val="21"/>
          <w:highlight w:val="none"/>
        </w:rPr>
        <w:t>。</w:t>
      </w:r>
    </w:p>
    <w:p>
      <w:pPr>
        <w:adjustRightInd w:val="0"/>
        <w:snapToGrid w:val="0"/>
        <w:spacing w:line="400" w:lineRule="exact"/>
        <w:jc w:val="left"/>
        <w:rPr>
          <w:rFonts w:ascii="宋体" w:hAnsi="宋体" w:cs="宋体"/>
          <w:sz w:val="28"/>
          <w:szCs w:val="28"/>
          <w:highlight w:val="none"/>
        </w:rPr>
      </w:pPr>
      <w:r>
        <w:rPr>
          <w:rFonts w:hint="eastAsia" w:ascii="宋体" w:hAnsi="宋体" w:cs="宋体"/>
          <w:bCs/>
          <w:szCs w:val="21"/>
          <w:highlight w:val="none"/>
        </w:rPr>
        <w:t xml:space="preserve">    23.2 合同附件与合同正文具有同等的法律效力。</w:t>
      </w:r>
      <w:bookmarkStart w:id="217" w:name="_Toc20313"/>
    </w:p>
    <w:p>
      <w:pPr>
        <w:adjustRightInd w:val="0"/>
        <w:snapToGrid w:val="0"/>
        <w:jc w:val="center"/>
        <w:rPr>
          <w:rFonts w:ascii="宋体" w:hAnsi="宋体" w:cs="宋体"/>
          <w:sz w:val="28"/>
          <w:szCs w:val="28"/>
          <w:highlight w:val="none"/>
        </w:rPr>
      </w:pPr>
      <w:r>
        <w:rPr>
          <w:rFonts w:hint="eastAsia" w:ascii="宋体" w:hAnsi="宋体" w:cs="宋体"/>
          <w:sz w:val="28"/>
          <w:szCs w:val="28"/>
          <w:highlight w:val="none"/>
        </w:rPr>
        <w:br w:type="page"/>
      </w:r>
    </w:p>
    <w:p>
      <w:pPr>
        <w:pStyle w:val="3"/>
        <w:adjustRightInd w:val="0"/>
        <w:snapToGrid w:val="0"/>
        <w:jc w:val="center"/>
        <w:rPr>
          <w:rFonts w:ascii="宋体" w:hAnsi="宋体" w:eastAsia="宋体" w:cs="宋体"/>
          <w:sz w:val="28"/>
          <w:szCs w:val="28"/>
          <w:highlight w:val="none"/>
        </w:rPr>
      </w:pPr>
      <w:r>
        <w:rPr>
          <w:rFonts w:hint="eastAsia" w:ascii="宋体" w:hAnsi="宋体" w:eastAsia="宋体" w:cs="宋体"/>
          <w:sz w:val="28"/>
          <w:szCs w:val="28"/>
          <w:highlight w:val="none"/>
        </w:rPr>
        <w:t>第三节 政府采购合同专用条款</w:t>
      </w:r>
      <w:bookmarkEnd w:id="217"/>
    </w:p>
    <w:tbl>
      <w:tblPr>
        <w:tblStyle w:val="33"/>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第1.2（6）项</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联合体具体要求</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第1.2（7）项</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其他术语解释</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第4.4款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履约验收中甲方提出异议或作出说明的期限</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第4.6款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约定甲方承担的其他义务和责任</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snapToGrid w:val="0"/>
              <w:jc w:val="center"/>
              <w:rPr>
                <w:rFonts w:ascii="宋体" w:hAnsi="宋体" w:cs="宋体"/>
                <w:highlight w:val="none"/>
              </w:rPr>
            </w:pPr>
            <w:r>
              <w:rPr>
                <w:rFonts w:hint="eastAsia" w:ascii="宋体" w:hAnsi="宋体" w:cs="宋体"/>
                <w:szCs w:val="21"/>
                <w:highlight w:val="none"/>
              </w:rPr>
              <w:t>第5.4款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约定乙方承担的其他义务和责任</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snapToGrid w:val="0"/>
              <w:jc w:val="center"/>
              <w:rPr>
                <w:rFonts w:ascii="宋体" w:hAnsi="宋体" w:cs="宋体"/>
                <w:szCs w:val="21"/>
                <w:highlight w:val="none"/>
              </w:rPr>
            </w:pPr>
            <w:r>
              <w:rPr>
                <w:rFonts w:hint="eastAsia" w:ascii="宋体" w:hAnsi="宋体" w:cs="宋体"/>
                <w:szCs w:val="21"/>
                <w:highlight w:val="none"/>
              </w:rPr>
              <w:t>第6.1款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履行合同义务的顺序</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第7.1款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包装特殊要求</w:t>
            </w:r>
          </w:p>
        </w:tc>
        <w:tc>
          <w:tcPr>
            <w:tcW w:w="5170" w:type="dxa"/>
            <w:vAlign w:val="center"/>
          </w:tcPr>
          <w:p>
            <w:pPr>
              <w:rPr>
                <w:rFonts w:ascii="宋体" w:hAnsi="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pPr>
              <w:adjustRightInd w:val="0"/>
              <w:snapToGrid w:val="0"/>
              <w:jc w:val="center"/>
              <w:rPr>
                <w:rFonts w:ascii="宋体" w:hAnsi="宋体" w:cs="宋体"/>
                <w:szCs w:val="21"/>
                <w:highlight w:val="none"/>
              </w:rPr>
            </w:pP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指定现场</w:t>
            </w:r>
          </w:p>
        </w:tc>
        <w:tc>
          <w:tcPr>
            <w:tcW w:w="5170" w:type="dxa"/>
            <w:vAlign w:val="center"/>
          </w:tcPr>
          <w:p>
            <w:pPr>
              <w:rPr>
                <w:rFonts w:ascii="宋体" w:hAnsi="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第7.2款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运输特殊要求</w:t>
            </w:r>
          </w:p>
        </w:tc>
        <w:tc>
          <w:tcPr>
            <w:tcW w:w="5170" w:type="dxa"/>
            <w:vAlign w:val="center"/>
          </w:tcPr>
          <w:p>
            <w:pPr>
              <w:rPr>
                <w:rFonts w:ascii="宋体" w:hAnsi="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第7.3款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保险要求</w:t>
            </w:r>
          </w:p>
        </w:tc>
        <w:tc>
          <w:tcPr>
            <w:tcW w:w="5170" w:type="dxa"/>
            <w:vAlign w:val="center"/>
          </w:tcPr>
          <w:p>
            <w:pPr>
              <w:rPr>
                <w:rFonts w:ascii="宋体" w:hAnsi="宋体" w:cs="宋体"/>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第8.2（1）项</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质量保证期</w:t>
            </w:r>
          </w:p>
        </w:tc>
        <w:tc>
          <w:tcPr>
            <w:tcW w:w="5170" w:type="dxa"/>
            <w:vAlign w:val="center"/>
          </w:tcPr>
          <w:p>
            <w:pPr>
              <w:autoSpaceDE w:val="0"/>
              <w:autoSpaceDN w:val="0"/>
              <w:adjustRightInd w:val="0"/>
              <w:snapToGrid w:val="0"/>
              <w:ind w:firstLine="420" w:firstLineChars="20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第8.2（3）项</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货物质量缺陷</w:t>
            </w:r>
          </w:p>
          <w:p>
            <w:pPr>
              <w:adjustRightInd w:val="0"/>
              <w:snapToGrid w:val="0"/>
              <w:jc w:val="left"/>
              <w:rPr>
                <w:rFonts w:ascii="宋体" w:hAnsi="宋体" w:cs="宋体"/>
                <w:szCs w:val="21"/>
                <w:highlight w:val="none"/>
              </w:rPr>
            </w:pPr>
            <w:r>
              <w:rPr>
                <w:rFonts w:hint="eastAsia" w:ascii="宋体" w:hAnsi="宋体" w:cs="宋体"/>
                <w:szCs w:val="21"/>
                <w:highlight w:val="none"/>
              </w:rPr>
              <w:t>响应时间</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snapToGrid w:val="0"/>
              <w:jc w:val="center"/>
              <w:rPr>
                <w:rFonts w:ascii="宋体" w:hAnsi="宋体" w:cs="宋体"/>
                <w:szCs w:val="21"/>
                <w:highlight w:val="none"/>
              </w:rPr>
            </w:pPr>
            <w:r>
              <w:rPr>
                <w:rFonts w:hint="eastAsia" w:ascii="宋体" w:hAnsi="宋体" w:cs="宋体"/>
                <w:szCs w:val="21"/>
                <w:highlight w:val="none"/>
              </w:rPr>
              <w:t>第二节</w:t>
            </w:r>
          </w:p>
          <w:p>
            <w:pPr>
              <w:pStyle w:val="105"/>
              <w:ind w:firstLine="0" w:firstLineChars="0"/>
              <w:jc w:val="center"/>
              <w:rPr>
                <w:rFonts w:ascii="宋体" w:hAnsi="宋体" w:eastAsia="宋体" w:cs="宋体"/>
                <w:highlight w:val="none"/>
              </w:rPr>
            </w:pPr>
            <w:r>
              <w:rPr>
                <w:rFonts w:hint="eastAsia" w:ascii="宋体" w:hAnsi="宋体" w:eastAsia="宋体" w:cs="宋体"/>
                <w:highlight w:val="none"/>
              </w:rPr>
              <w:t>第11.1款</w:t>
            </w:r>
          </w:p>
        </w:tc>
        <w:tc>
          <w:tcPr>
            <w:tcW w:w="1742" w:type="dxa"/>
            <w:vAlign w:val="center"/>
          </w:tcPr>
          <w:p>
            <w:pPr>
              <w:adjustRightInd w:val="0"/>
              <w:snapToGrid w:val="0"/>
              <w:rPr>
                <w:rFonts w:ascii="宋体" w:hAnsi="宋体" w:cs="宋体"/>
                <w:szCs w:val="21"/>
                <w:highlight w:val="none"/>
              </w:rPr>
            </w:pPr>
            <w:r>
              <w:rPr>
                <w:rFonts w:hint="eastAsia" w:ascii="宋体" w:hAnsi="宋体" w:cs="宋体"/>
                <w:szCs w:val="21"/>
                <w:highlight w:val="none"/>
              </w:rPr>
              <w:t>其他应当保密的信息</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第12.2款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合同价款支付时间</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第13.2款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履约保证金不予退还的情形</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第13.3款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履约保证金退还时间及逾期退还的违约金</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第14.1（3）项</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运行监督、维修期限</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第14.1（5）项</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货物回收的约定</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第14.1（6）项</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乙方提供的其他服务</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第15.1款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修理、重作、更换相关具体规定</w:t>
            </w:r>
          </w:p>
        </w:tc>
        <w:tc>
          <w:tcPr>
            <w:tcW w:w="5170" w:type="dxa"/>
            <w:vAlign w:val="center"/>
          </w:tcPr>
          <w:p>
            <w:pPr>
              <w:adjustRightInd w:val="0"/>
              <w:snapToGrid w:val="0"/>
              <w:jc w:val="left"/>
              <w:rPr>
                <w:rFonts w:ascii="宋体" w:hAnsi="宋体" w:cs="宋体"/>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第15.2（2）项</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迟延交货赔偿费</w:t>
            </w:r>
          </w:p>
        </w:tc>
        <w:tc>
          <w:tcPr>
            <w:tcW w:w="5170" w:type="dxa"/>
            <w:vAlign w:val="center"/>
          </w:tcPr>
          <w:p>
            <w:pPr>
              <w:adjustRightInd w:val="0"/>
              <w:snapToGrid w:val="0"/>
              <w:jc w:val="left"/>
              <w:rPr>
                <w:rFonts w:ascii="宋体" w:hAnsi="宋体" w:cs="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第15.3款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逾期付款利息</w:t>
            </w:r>
          </w:p>
        </w:tc>
        <w:tc>
          <w:tcPr>
            <w:tcW w:w="5170" w:type="dxa"/>
            <w:vAlign w:val="center"/>
          </w:tcPr>
          <w:p>
            <w:pPr>
              <w:adjustRightInd w:val="0"/>
              <w:snapToGrid w:val="0"/>
              <w:jc w:val="left"/>
              <w:rPr>
                <w:rFonts w:ascii="宋体" w:hAnsi="宋体" w:cs="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cs="宋体"/>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cs="宋体"/>
                <w:szCs w:val="21"/>
                <w:highlight w:val="none"/>
              </w:rPr>
            </w:pPr>
            <w:r>
              <w:rPr>
                <w:rFonts w:hint="eastAsia" w:ascii="宋体" w:hAnsi="宋体" w:cs="宋体"/>
                <w:szCs w:val="21"/>
                <w:highlight w:val="none"/>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szCs w:val="21"/>
                <w:highlight w:val="none"/>
              </w:rPr>
            </w:pPr>
            <w:r>
              <w:rPr>
                <w:rFonts w:hint="eastAsia" w:ascii="宋体" w:hAnsi="宋体" w:cs="宋体"/>
                <w:iCs/>
                <w:szCs w:val="21"/>
                <w:highlight w:val="none"/>
              </w:rPr>
              <w:t>因本合同及合同有关事项发生的争议，按下列第</w:t>
            </w:r>
            <w:r>
              <w:rPr>
                <w:rFonts w:hint="eastAsia" w:ascii="宋体" w:hAnsi="宋体" w:cs="宋体"/>
                <w:iCs/>
                <w:szCs w:val="21"/>
                <w:highlight w:val="none"/>
                <w:u w:val="single"/>
              </w:rPr>
              <w:t xml:space="preserve">   </w:t>
            </w:r>
            <w:r>
              <w:rPr>
                <w:rFonts w:hint="eastAsia" w:ascii="宋体" w:hAnsi="宋体" w:cs="宋体"/>
                <w:iCs/>
                <w:szCs w:val="21"/>
                <w:highlight w:val="none"/>
              </w:rPr>
              <w:t>种方式解决：</w:t>
            </w:r>
          </w:p>
          <w:p>
            <w:pPr>
              <w:autoSpaceDE w:val="0"/>
              <w:autoSpaceDN w:val="0"/>
              <w:adjustRightInd w:val="0"/>
              <w:snapToGrid w:val="0"/>
              <w:spacing w:line="400" w:lineRule="exact"/>
              <w:jc w:val="left"/>
              <w:rPr>
                <w:rFonts w:ascii="宋体" w:hAnsi="宋体" w:cs="宋体"/>
                <w:iCs/>
                <w:szCs w:val="21"/>
                <w:highlight w:val="none"/>
              </w:rPr>
            </w:pPr>
            <w:r>
              <w:rPr>
                <w:rFonts w:hint="eastAsia" w:ascii="宋体" w:hAnsi="宋体" w:cs="宋体"/>
                <w:iCs/>
                <w:szCs w:val="21"/>
                <w:highlight w:val="none"/>
              </w:rPr>
              <w:t>（1）向</w:t>
            </w:r>
            <w:r>
              <w:rPr>
                <w:rFonts w:hint="eastAsia" w:ascii="宋体" w:hAnsi="宋体" w:cs="宋体"/>
                <w:iCs/>
                <w:szCs w:val="21"/>
                <w:highlight w:val="none"/>
                <w:u w:val="single"/>
              </w:rPr>
              <w:t xml:space="preserve">                    </w:t>
            </w:r>
            <w:r>
              <w:rPr>
                <w:rFonts w:hint="eastAsia" w:ascii="宋体" w:hAnsi="宋体" w:cs="宋体"/>
                <w:iCs/>
                <w:szCs w:val="21"/>
                <w:highlight w:val="none"/>
              </w:rPr>
              <w:t>仲裁委员会申请仲裁，仲裁地点为</w:t>
            </w:r>
            <w:r>
              <w:rPr>
                <w:rFonts w:hint="eastAsia" w:ascii="宋体" w:hAnsi="宋体" w:cs="宋体"/>
                <w:iCs/>
                <w:szCs w:val="21"/>
                <w:highlight w:val="none"/>
                <w:u w:val="single"/>
              </w:rPr>
              <w:t xml:space="preserve">           </w:t>
            </w:r>
            <w:r>
              <w:rPr>
                <w:rFonts w:hint="eastAsia" w:ascii="宋体" w:hAnsi="宋体" w:cs="宋体"/>
                <w:iCs/>
                <w:szCs w:val="21"/>
                <w:highlight w:val="none"/>
              </w:rPr>
              <w:t>；</w:t>
            </w:r>
          </w:p>
          <w:p>
            <w:pPr>
              <w:adjustRightInd w:val="0"/>
              <w:snapToGrid w:val="0"/>
              <w:jc w:val="left"/>
              <w:rPr>
                <w:rFonts w:ascii="宋体" w:hAnsi="宋体" w:cs="宋体"/>
                <w:szCs w:val="21"/>
                <w:highlight w:val="none"/>
                <w:u w:val="single"/>
              </w:rPr>
            </w:pPr>
            <w:r>
              <w:rPr>
                <w:rFonts w:hint="eastAsia" w:ascii="宋体" w:hAnsi="宋体" w:cs="宋体"/>
                <w:iCs/>
                <w:szCs w:val="21"/>
                <w:highlight w:val="none"/>
              </w:rPr>
              <w:t>（2）向</w:t>
            </w:r>
            <w:r>
              <w:rPr>
                <w:rFonts w:hint="eastAsia" w:ascii="宋体" w:hAnsi="宋体" w:cs="宋体"/>
                <w:iCs/>
                <w:szCs w:val="21"/>
                <w:highlight w:val="none"/>
                <w:u w:val="single"/>
              </w:rPr>
              <w:t xml:space="preserve">                    </w:t>
            </w:r>
            <w:r>
              <w:rPr>
                <w:rFonts w:hint="eastAsia" w:ascii="宋体" w:hAnsi="宋体" w:cs="宋体"/>
                <w:iCs/>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第二节</w:t>
            </w:r>
          </w:p>
          <w:p>
            <w:pPr>
              <w:adjustRightInd w:val="0"/>
              <w:snapToGrid w:val="0"/>
              <w:jc w:val="center"/>
              <w:rPr>
                <w:rFonts w:ascii="宋体" w:hAnsi="宋体" w:cs="宋体"/>
                <w:szCs w:val="21"/>
                <w:highlight w:val="none"/>
              </w:rPr>
            </w:pPr>
            <w:r>
              <w:rPr>
                <w:rFonts w:hint="eastAsia" w:ascii="宋体" w:hAnsi="宋体" w:cs="宋体"/>
                <w:szCs w:val="21"/>
                <w:highlight w:val="none"/>
              </w:rPr>
              <w:t>第23.1款</w:t>
            </w:r>
          </w:p>
        </w:tc>
        <w:tc>
          <w:tcPr>
            <w:tcW w:w="1742" w:type="dxa"/>
            <w:vAlign w:val="center"/>
          </w:tcPr>
          <w:p>
            <w:pPr>
              <w:adjustRightInd w:val="0"/>
              <w:snapToGrid w:val="0"/>
              <w:jc w:val="left"/>
              <w:rPr>
                <w:rFonts w:ascii="宋体" w:hAnsi="宋体" w:cs="宋体"/>
                <w:szCs w:val="21"/>
                <w:highlight w:val="none"/>
              </w:rPr>
            </w:pPr>
            <w:r>
              <w:rPr>
                <w:rFonts w:hint="eastAsia" w:ascii="宋体" w:hAnsi="宋体" w:cs="宋体"/>
                <w:bCs/>
                <w:szCs w:val="21"/>
                <w:highlight w:val="none"/>
              </w:rPr>
              <w:t>其他专用条款</w:t>
            </w:r>
          </w:p>
        </w:tc>
        <w:tc>
          <w:tcPr>
            <w:tcW w:w="5170" w:type="dxa"/>
            <w:vAlign w:val="center"/>
          </w:tcPr>
          <w:p>
            <w:pPr>
              <w:adjustRightInd w:val="0"/>
              <w:snapToGrid w:val="0"/>
              <w:jc w:val="left"/>
              <w:rPr>
                <w:rFonts w:ascii="宋体" w:hAnsi="宋体" w:cs="宋体"/>
                <w:szCs w:val="21"/>
                <w:highlight w:val="none"/>
              </w:rPr>
            </w:pPr>
          </w:p>
        </w:tc>
      </w:tr>
    </w:tbl>
    <w:p>
      <w:pPr>
        <w:rPr>
          <w:rFonts w:ascii="宋体" w:hAnsi="宋体" w:cs="宋体"/>
          <w:highlight w:val="none"/>
        </w:rPr>
      </w:pPr>
      <w:r>
        <w:rPr>
          <w:rFonts w:hint="eastAsia" w:ascii="宋体" w:hAnsi="宋体" w:cs="宋体"/>
          <w:highlight w:val="none"/>
        </w:rPr>
        <w:br w:type="page"/>
      </w:r>
    </w:p>
    <w:p>
      <w:pPr>
        <w:rPr>
          <w:rFonts w:ascii="宋体" w:hAnsi="宋体" w:cs="宋体"/>
          <w:highlight w:val="none"/>
        </w:rPr>
        <w:sectPr>
          <w:pgSz w:w="11906" w:h="16838"/>
          <w:pgMar w:top="1418" w:right="1134" w:bottom="1418" w:left="1134" w:header="851" w:footer="992" w:gutter="0"/>
          <w:cols w:space="720" w:num="1"/>
          <w:docGrid w:type="lines" w:linePitch="312" w:charSpace="0"/>
        </w:sectPr>
      </w:pPr>
    </w:p>
    <w:p>
      <w:pPr>
        <w:pStyle w:val="8"/>
        <w:rPr>
          <w:rFonts w:hAnsi="宋体"/>
          <w:sz w:val="21"/>
          <w:szCs w:val="21"/>
          <w:highlight w:val="none"/>
        </w:rPr>
      </w:pPr>
    </w:p>
    <w:p>
      <w:pPr>
        <w:pStyle w:val="2"/>
        <w:keepNext w:val="0"/>
        <w:spacing w:line="360" w:lineRule="auto"/>
        <w:jc w:val="center"/>
        <w:rPr>
          <w:rFonts w:ascii="宋体" w:hAnsi="宋体" w:cs="宋体"/>
          <w:sz w:val="32"/>
          <w:szCs w:val="32"/>
          <w:highlight w:val="none"/>
        </w:rPr>
      </w:pPr>
      <w:bookmarkStart w:id="218" w:name="_Toc11850"/>
      <w:bookmarkStart w:id="219" w:name="_Toc28209"/>
      <w:r>
        <w:rPr>
          <w:rFonts w:hint="eastAsia" w:ascii="宋体" w:hAnsi="宋体" w:cs="宋体"/>
          <w:sz w:val="32"/>
          <w:szCs w:val="32"/>
          <w:highlight w:val="none"/>
        </w:rPr>
        <w:t xml:space="preserve">第五章  </w:t>
      </w:r>
      <w:bookmarkEnd w:id="213"/>
      <w:bookmarkEnd w:id="218"/>
      <w:r>
        <w:rPr>
          <w:rFonts w:hint="eastAsia" w:ascii="宋体" w:hAnsi="宋体" w:cs="宋体"/>
          <w:sz w:val="32"/>
          <w:szCs w:val="32"/>
          <w:highlight w:val="none"/>
        </w:rPr>
        <w:t>技术参数及要求</w:t>
      </w:r>
      <w:bookmarkEnd w:id="219"/>
    </w:p>
    <w:p>
      <w:pPr>
        <w:spacing w:line="360" w:lineRule="auto"/>
        <w:ind w:firstLine="883" w:firstLineChars="200"/>
        <w:jc w:val="center"/>
        <w:rPr>
          <w:b/>
          <w:bCs/>
          <w:sz w:val="44"/>
          <w:szCs w:val="44"/>
          <w:highlight w:val="none"/>
        </w:rPr>
      </w:pPr>
      <w:bookmarkStart w:id="220" w:name="_Toc184635136"/>
      <w:r>
        <w:rPr>
          <w:rFonts w:hint="eastAsia"/>
          <w:b/>
          <w:bCs/>
          <w:sz w:val="44"/>
          <w:szCs w:val="44"/>
          <w:highlight w:val="none"/>
        </w:rPr>
        <w:t>一标段：</w:t>
      </w:r>
    </w:p>
    <w:p>
      <w:pPr>
        <w:spacing w:line="360" w:lineRule="auto"/>
        <w:ind w:left="6"/>
        <w:rPr>
          <w:rFonts w:ascii="宋体" w:hAnsi="宋体" w:cs="宋体"/>
          <w:spacing w:val="8"/>
          <w:sz w:val="20"/>
          <w:szCs w:val="20"/>
          <w:highlight w:val="none"/>
        </w:rPr>
      </w:pPr>
    </w:p>
    <w:tbl>
      <w:tblPr>
        <w:tblStyle w:val="33"/>
        <w:tblW w:w="5449" w:type="pct"/>
        <w:tblInd w:w="-360" w:type="dxa"/>
        <w:tblLayout w:type="fixed"/>
        <w:tblCellMar>
          <w:top w:w="0" w:type="dxa"/>
          <w:left w:w="108" w:type="dxa"/>
          <w:bottom w:w="0" w:type="dxa"/>
          <w:right w:w="108" w:type="dxa"/>
        </w:tblCellMar>
      </w:tblPr>
      <w:tblGrid>
        <w:gridCol w:w="1112"/>
        <w:gridCol w:w="759"/>
        <w:gridCol w:w="1279"/>
        <w:gridCol w:w="1646"/>
        <w:gridCol w:w="2035"/>
        <w:gridCol w:w="7538"/>
        <w:gridCol w:w="1125"/>
      </w:tblGrid>
      <w:tr>
        <w:tblPrEx>
          <w:tblCellMar>
            <w:top w:w="0" w:type="dxa"/>
            <w:left w:w="108" w:type="dxa"/>
            <w:bottom w:w="0" w:type="dxa"/>
            <w:right w:w="108" w:type="dxa"/>
          </w:tblCellMar>
        </w:tblPrEx>
        <w:trPr>
          <w:trHeight w:val="720" w:hRule="atLeast"/>
          <w:tblHead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
                <w:kern w:val="0"/>
                <w:sz w:val="18"/>
                <w:szCs w:val="18"/>
                <w:highlight w:val="none"/>
                <w:lang w:bidi="ar"/>
              </w:rPr>
            </w:pPr>
            <w:r>
              <w:rPr>
                <w:rFonts w:hint="eastAsia" w:ascii="宋体" w:hAnsi="宋体" w:cs="宋体"/>
                <w:b/>
                <w:kern w:val="0"/>
                <w:sz w:val="18"/>
                <w:szCs w:val="18"/>
                <w:highlight w:val="none"/>
                <w:lang w:bidi="ar"/>
              </w:rPr>
              <w:t>序号</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
                <w:kern w:val="0"/>
                <w:sz w:val="18"/>
                <w:szCs w:val="18"/>
                <w:highlight w:val="none"/>
                <w:lang w:bidi="ar"/>
              </w:rPr>
            </w:pPr>
            <w:r>
              <w:rPr>
                <w:rFonts w:hint="eastAsia" w:ascii="宋体" w:hAnsi="宋体" w:cs="宋体"/>
                <w:b/>
                <w:kern w:val="0"/>
                <w:sz w:val="18"/>
                <w:szCs w:val="18"/>
                <w:highlight w:val="none"/>
                <w:lang w:bidi="ar"/>
              </w:rPr>
              <w:t>类型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
                <w:kern w:val="0"/>
                <w:sz w:val="18"/>
                <w:szCs w:val="18"/>
                <w:highlight w:val="none"/>
                <w:lang w:bidi="ar"/>
              </w:rPr>
            </w:pPr>
            <w:r>
              <w:rPr>
                <w:rFonts w:hint="eastAsia" w:ascii="宋体" w:hAnsi="宋体" w:cs="宋体"/>
                <w:b/>
                <w:kern w:val="0"/>
                <w:sz w:val="18"/>
                <w:szCs w:val="18"/>
                <w:highlight w:val="none"/>
                <w:lang w:bidi="ar"/>
              </w:rPr>
              <w:t>一级功能</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
                <w:kern w:val="0"/>
                <w:sz w:val="18"/>
                <w:szCs w:val="18"/>
                <w:highlight w:val="none"/>
                <w:lang w:bidi="ar"/>
              </w:rPr>
            </w:pPr>
            <w:r>
              <w:rPr>
                <w:rFonts w:hint="eastAsia" w:ascii="宋体" w:hAnsi="宋体" w:cs="宋体"/>
                <w:b/>
                <w:kern w:val="0"/>
                <w:sz w:val="18"/>
                <w:szCs w:val="18"/>
                <w:highlight w:val="none"/>
                <w:lang w:bidi="ar"/>
              </w:rPr>
              <w:t>二级功能</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
                <w:kern w:val="0"/>
                <w:sz w:val="18"/>
                <w:szCs w:val="18"/>
                <w:highlight w:val="none"/>
                <w:lang w:bidi="ar"/>
              </w:rPr>
            </w:pPr>
            <w:r>
              <w:rPr>
                <w:rFonts w:hint="eastAsia" w:ascii="宋体" w:hAnsi="宋体" w:cs="宋体"/>
                <w:b/>
                <w:kern w:val="0"/>
                <w:sz w:val="18"/>
                <w:szCs w:val="18"/>
                <w:highlight w:val="none"/>
                <w:lang w:bidi="ar"/>
              </w:rPr>
              <w:t>三级功能</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宋体" w:hAnsi="宋体" w:cs="宋体"/>
                <w:b/>
                <w:kern w:val="0"/>
                <w:sz w:val="18"/>
                <w:szCs w:val="18"/>
                <w:highlight w:val="none"/>
                <w:lang w:bidi="ar"/>
              </w:rPr>
            </w:pPr>
            <w:r>
              <w:rPr>
                <w:rFonts w:ascii="宋体" w:hAnsi="宋体" w:cs="宋体"/>
                <w:b/>
                <w:kern w:val="0"/>
                <w:sz w:val="18"/>
                <w:szCs w:val="18"/>
                <w:highlight w:val="none"/>
                <w:lang w:bidi="ar"/>
              </w:rPr>
              <w:t>规格参数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
                <w:kern w:val="0"/>
                <w:sz w:val="18"/>
                <w:szCs w:val="18"/>
                <w:highlight w:val="none"/>
                <w:lang w:bidi="ar"/>
              </w:rPr>
            </w:pPr>
            <w:r>
              <w:rPr>
                <w:rFonts w:hint="eastAsia" w:ascii="宋体" w:hAnsi="宋体" w:cs="宋体"/>
                <w:b/>
                <w:kern w:val="0"/>
                <w:sz w:val="18"/>
                <w:szCs w:val="18"/>
                <w:highlight w:val="none"/>
                <w:lang w:bidi="ar"/>
              </w:rPr>
              <w:t>备注</w:t>
            </w: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w:t>
            </w:r>
          </w:p>
        </w:tc>
        <w:tc>
          <w:tcPr>
            <w:tcW w:w="526" w:type="dxa"/>
            <w:vMerge w:val="restart"/>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r>
              <w:rPr>
                <w:highlight w:val="none"/>
              </w:rPr>
              <w:fldChar w:fldCharType="begin"/>
            </w:r>
            <w:r>
              <w:rPr>
                <w:highlight w:val="none"/>
              </w:rPr>
              <w:instrText xml:space="preserve"> HYPERLINK \l "_Toc24738" </w:instrText>
            </w:r>
            <w:r>
              <w:rPr>
                <w:highlight w:val="none"/>
              </w:rPr>
              <w:fldChar w:fldCharType="separate"/>
            </w:r>
            <w:r>
              <w:rPr>
                <w:rFonts w:hint="eastAsia" w:ascii="宋体" w:hAnsi="宋体" w:cs="宋体"/>
                <w:bCs/>
                <w:kern w:val="0"/>
                <w:sz w:val="18"/>
                <w:szCs w:val="18"/>
                <w:highlight w:val="none"/>
                <w:lang w:bidi="ar"/>
              </w:rPr>
              <w:t>基础平台设计</w:t>
            </w:r>
            <w:r>
              <w:rPr>
                <w:rFonts w:hint="eastAsia" w:ascii="宋体" w:hAnsi="宋体" w:cs="宋体"/>
                <w:bCs/>
                <w:kern w:val="0"/>
                <w:sz w:val="18"/>
                <w:szCs w:val="18"/>
                <w:highlight w:val="none"/>
                <w:lang w:bidi="ar"/>
              </w:rPr>
              <w:fldChar w:fldCharType="end"/>
            </w:r>
          </w:p>
        </w:tc>
        <w:tc>
          <w:tcPr>
            <w:tcW w:w="88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highlight w:val="none"/>
              </w:rPr>
              <w:fldChar w:fldCharType="begin"/>
            </w:r>
            <w:r>
              <w:rPr>
                <w:highlight w:val="none"/>
              </w:rPr>
              <w:instrText xml:space="preserve"> HYPERLINK \l "_Toc29234" </w:instrText>
            </w:r>
            <w:r>
              <w:rPr>
                <w:highlight w:val="none"/>
              </w:rPr>
              <w:fldChar w:fldCharType="separate"/>
            </w:r>
            <w:r>
              <w:rPr>
                <w:rFonts w:hint="eastAsia" w:ascii="宋体" w:hAnsi="宋体" w:cs="宋体"/>
                <w:bCs/>
                <w:kern w:val="0"/>
                <w:sz w:val="18"/>
                <w:szCs w:val="18"/>
                <w:highlight w:val="none"/>
                <w:lang w:bidi="ar"/>
              </w:rPr>
              <w:t>数据资源中心</w:t>
            </w:r>
            <w:r>
              <w:rPr>
                <w:rFonts w:hint="eastAsia" w:ascii="宋体" w:hAnsi="宋体" w:cs="宋体"/>
                <w:bCs/>
                <w:kern w:val="0"/>
                <w:sz w:val="18"/>
                <w:szCs w:val="18"/>
                <w:highlight w:val="none"/>
                <w:lang w:bidi="ar"/>
              </w:rPr>
              <w:fldChar w:fldCharType="end"/>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全民健康信息资源中心</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全员人口库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rPr>
              <w:t>确</w:t>
            </w:r>
            <w:r>
              <w:rPr>
                <w:rFonts w:hint="eastAsia" w:asciiTheme="minorEastAsia" w:hAnsiTheme="minorEastAsia" w:eastAsiaTheme="minorEastAsia" w:cstheme="minorEastAsia"/>
                <w:sz w:val="18"/>
                <w:szCs w:val="18"/>
                <w:highlight w:val="none"/>
                <w:lang w:val="zh-CN"/>
              </w:rPr>
              <w:t>立以居民身份证号码为标识、以居民身份证信息为主要内容的人口基础信息库。通过全员人口信息库实现全员人口信息的实时动态管理，为促进人口与经济社会、资源环境全面协调可持续发展提供决策依据；实现相关部门人口信息资源的实时共享，为区域人口全生命周期管理服务。全员人口信息库覆盖区域内所有户籍人口和流入人口的全员人口个案数据，包括人口数量、质量、结构、分布以及人口的婚、孕、产、育和生殖健康等信息。对接数据包括（但不限于）：人口个案信息；育龄妇女及生育情况信息；计划生育管理相关信息；出生人口信息；计划生育特殊家庭信息；生育登记服务信息；人口月报、年报，各类名册登记和登记册以及国家检测要求的人口数据。</w:t>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sz w:val="18"/>
                <w:szCs w:val="18"/>
                <w:highlight w:val="none"/>
                <w:lang w:val="zh-CN"/>
              </w:rPr>
              <w:t>为育龄妇女、流动人口、孕情监测、技术服务、利益导向、医疗服务、公共卫生、医疗保障等医疗卫生和计划生育等各项业务应用宏观决策和科学管理提供数据支撑，实现和上级全员人口信息库的数据共享和动态更新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健康档案资源库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平台健康档案数据库应是覆盖全生命周期的，是以居民个人健康为核心、贯穿整个生命过程、涵盖各种健康相关因素、实现信息多渠道动态收集、满足居民自身需要和健康管理的信息资源（文件记录）。</w:t>
            </w:r>
          </w:p>
          <w:p>
            <w:pPr>
              <w:ind w:firstLine="540" w:firstLineChars="30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电子健康档案库是对全民健康信息平台数据中心的健康档案数据进行抽取、汇总、整理。同时，结合医疗机构个人诊疗记录形成。</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健康档案信息内容包括一是个人基本信息包括人口学和社会经济学等基础信息以及基本健康信息。二是主要卫生服务记录，是从居民个人一生中所发生的重要卫生事件的详细记录中动态抽取的重要信息。</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主要卫生服务记录包括健康体检：健康体检信息、儿童保健、妇女保健、疾病控制、疾病管理、医疗服务。</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1）健康体检：健康体检信息，在各级、各类医疗卫生机构的健康体检记录。</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2）儿童保健：新生儿家庭访视信息、儿童健康体检信息、出生医学证明信</w:t>
            </w:r>
          </w:p>
          <w:p>
            <w:pP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息等；</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3）妇女保健：首次产前随访服务信息、产前随访服务信息、产后访视服务</w:t>
            </w:r>
          </w:p>
          <w:p>
            <w:pP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信息、产后 42 天健康体检信息等；</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4）疾病控制：预防接种卡信息、传染病报告卡信息、职业病报告卡信息、疫苗接种、食源性疾病报告卡信息等；</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5）疾病管理：高血压患者随访信息、2 型糖尿病患者随访信息、重性精神疾病患者管理信息、重性精神疾病患者个人信息登记、重性精神病患者随访服务等；</w:t>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sz w:val="18"/>
                <w:szCs w:val="18"/>
                <w:highlight w:val="none"/>
              </w:rPr>
              <w:t>6）医疗服务：门诊摘要信息、住院摘要信息、会诊信息、转院（诊）信息等。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电子病历资源库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电子病历是医疗机构对门诊、住院患者（或保健对象）临床诊疗和指导干预、数字化的医疗服务工作记录。是记录医疗诊治对象健康状况及相关医疗服务活动记录的信息资源库。</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电子病历信息包括诊断、处方、检验结果、检查结果、影像图像以及住院病案、出院小结等内容。其中影像图像信息将以分布式存储的方式分别存在各家医疗机构本地数据库中，数据中心电子病历数据库集中存放诊断、处方、检验结果、检查结果等信息。</w:t>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sz w:val="18"/>
                <w:szCs w:val="18"/>
                <w:highlight w:val="none"/>
              </w:rPr>
              <w:t>根据电子病历的基本概念和系统架构，结合卫健委、国家中医药管理局关于《病历书写基本规范（试行）》和《中医、中西医结合病历书写基本规范（试行）》相关要求，电子病历的基本内容由：病历概要、门（急）诊疗记录、住院诊疗记录、健康体检记录、转诊（院）记录、法定医学证明及报告、医疗机构信息等七个业务领域的临床信息记录构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基础资源库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Theme="minorEastAsia" w:hAnsiTheme="minorEastAsia" w:eastAsiaTheme="minorEastAsia" w:cstheme="minorEastAsia"/>
                <w:sz w:val="18"/>
                <w:szCs w:val="18"/>
                <w:highlight w:val="none"/>
              </w:rPr>
              <w:t>基础信息资源库实现对</w:t>
            </w:r>
            <w:r>
              <w:rPr>
                <w:rFonts w:hint="eastAsia" w:asciiTheme="majorEastAsia" w:hAnsiTheme="majorEastAsia" w:eastAsiaTheme="majorEastAsia" w:cstheme="majorEastAsia"/>
                <w:sz w:val="18"/>
                <w:szCs w:val="18"/>
                <w:highlight w:val="none"/>
              </w:rPr>
              <w:t>市</w:t>
            </w:r>
            <w:r>
              <w:rPr>
                <w:rFonts w:hint="eastAsia" w:asciiTheme="minorEastAsia" w:hAnsiTheme="minorEastAsia" w:eastAsiaTheme="minorEastAsia" w:cstheme="minorEastAsia"/>
                <w:sz w:val="18"/>
                <w:szCs w:val="18"/>
                <w:highlight w:val="none"/>
              </w:rPr>
              <w:t>域各类医疗卫生机构基础资源的登记管理，内容涵盖各类机构信息、房产土地信息、病房床位信息、设备器械信息、药品耗材信息、从业人员信息等内容，便于卫生健康行政管理部门合理配置资源，为科学决策提供依据。机构人员资源管理包括医疗卫生机构和从业人员的监督管理；设备管理包括对医疗卫生设备及物资的使用情况、运行状况的监督管理；床位信息库是对床位的数量、医疗机构的使用面积等信息的掌控，医疗卫生经济资源主要是针对医疗卫生机构的资金投入、支出等有关信息的掌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医共体数据中心</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基础数据库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基础数据库汇聚了为医共体内牵头医院和各成员单位提供基础信息服务的相关信息集合。基础信息库总体上包括机构信息、科室信息、术语字典、医疗卫生服务人员信息等。通过对基础数据的统一管理，实现基础数据的唯一标识和一致性，同时满足医共体内各医疗卫生机构的互联互通要求。</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（1）机构信息。主要是指医共体内牵头医院和成员单位的基本信息，以综合管理目录形式管理所有机构的唯一标识，保证机构在区域范围内的唯一性，解决居民所获取的医疗卫生服务场所唯一性识别问题。</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科室信息。主要是指医共体内各科室的基本信息，系统为每个科室分配唯一标识，对科室基本信息的统一管理，从而保证在维护居民健康信息的不同系统中使用统一的规范化的标识符，也可以向患者提供最完整的科室特色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人员信息。主要是指医共体内部所有医疗服务人员的基本信息，系统为每一位医疗卫生人员分配一个唯一的标识，可以实现对医疗服务人力资源的全面掌控、统一管理、合理配置。医疗服务人员包括全科医生、专科医生、护士、实验室医师、医学影像专业人员、疾病预防控制专业人员、妇幼保健人员及其他从事与居民医疗健康服务相关的从业人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运营数据库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运营数据库是医共体信息化的主要组成部分之一。运营数据库是在临床数据、医院管理类数据以及财务类数据采集的基础上对各类数据进行归类整合，并加以数据挖掘分析利用。</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运营数据库数据来源于医共体内各业务领域中实际产生的业务及管理数据，同时通过分析系统实现对管理、对业务提供数据服务与支持，方便其进行医疗服务运营分析、综合管理决策分析、医疗服务监管、绩效考核管理等运营管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构建医共体运营管理数据库，主要包括机构财务信息、绩效考核信息、医疗质量信息、运行效率信息及医保信息等。</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（1）机构财务信息。主要是指医共体内荥阳市牵头医院和各成员单位的资产、负债、净资产、收入、费用和预算收入、预算支出、预算结余等信息。</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绩效考核信息。主要是指通过一定的方法和客观的关键考核指标（KPI）标准，包括社会效益、管理有效、发展持续和年度重点任务等情况，对机构、科室及医疗卫生服务人员在服务满意度、费用适宜、综合质量、人力效率等方面进行的综合评价的信息。</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医疗质量信息。主要是指医共体利用医疗质量控制指标、标准和质量管理要求，包括手术质量情况、诊断符合情况、危重患者抢救情况、转归情况等，按照手术切口愈合等级、术前术后诊断符合率、危重患者抢救成功率、治愈率、死亡率、质控检查结果等，对临床、药学、护理和医技等科室的医疗质量进行分析和评估的医疗质量控制信息。</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运行效率信息。主要是指对医共体的床位利用情况、收治病人情况、医技科室工作量情况等方面，从出院病人平均住院日、平均每张床位工作日、床位使用率、床位周转次数、医师每门诊担负门诊人次数、医师每急诊担负急诊人次数、医师日均担负住院床日、检验人次、检查人次等进行分析的结果信息，以此评判各医疗机构的医疗效率高低、医疗资源是否充足、医师负担是否过重及医疗设备的利用效能等情况。</w:t>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sz w:val="18"/>
                <w:szCs w:val="18"/>
                <w:highlight w:val="none"/>
              </w:rPr>
              <w:t>（5）医保信息。主要是指对接医保系统后获取的患者医保报销数据及医保资金使用数据等，对医保进行事前、事中及事后的管理。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医疗资源库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疗资源库主要汇聚医共体内部所有提供医疗服务的生产要素信息，包括专家资源、床位资源、检查资源、药品资源、检验（病理）资源等各类医疗资源，以便医共体按照居民患者实际需求，合理分配、公平有效利用医疗资源，促进医疗服务共享，提高医疗资源利用效率。</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（1）专家（号源）资源。汇聚、整合医共体所有专家（号源）资源，主要包括专家的年龄、性别、照片、所属单位科室、专长、持证情况、联系方式等信息，实现专家的信息展示、查询、预约等服务。</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（2）床位资源。汇聚、整合医共体所有床位资源，主要包括来源医院、所属科室、病区分类、病床基础信息，运转情况，各类病床对应的医生团队、护理团体等信息，实现床位的信息展示、查询、预约等服务。</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（3）检查资源。汇聚、整合医共体所有检查资源，主要包括来源医院、检查设备、检查项目、检查排班、检查价格、检查时长、注意事项、辅助检查等信息，实现检查资源的信息展示、查询、预约等服务。</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（4）药品资源。医共体内各类药品统一编码，规范药品术语，完成智能</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配码，统一映射编码和医药信息互通。药品资源主要包括提供医疗机构、药品类型、药品名称、药品库存、药品生产批号、有效期等信息，支撑处方共享与药品配送服务。</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检验（病理）资源。整合、规范医共体中的检验（病理）资源数据，统一分配与管理医疗机构临床检验代码等，支撑医共体内的检验（病理）中心的服务。检验（病理）资源主要包括检验（病理）的项目，检验（病理）的申请情况，检验（病理）处理进度等信息，实现医共体中的共享医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临床数据库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临床数据库是医共体信息平台中的核心组成部分，是医共体为支持临床诊疗，以患者为中心重新构建的新的一层数据存储结构，临床数据库基于标准结构，将不同的协议传输数据、不同的格式存储信息进行结构性优化处理以达到快速提取的目的，可以更加高效地把任意来源的任何数据转换成为广泛应用的标准医疗行业格式，进行临床诊疗活动的操作、存储、编排、浏览以及统计汇总。</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临床数据库是一个整合多个来源的临床数据集，提供以患者为中心的统一视图的数据库，通过受控医学词汇表（CMV）保证所有人对临床数据语义理解的一致，以提高临床数据库的数据质量。在临床数据库中，诊疗数据是围绕患者为中心进行组织的，临床用户可以从多个角度查询、浏览和分析数据。</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临床数据库是一个面向主题的、集成的、可变的、当前的细节数据集合，用于支持即时性的、操作性的、集成的全体信息的需求。临床数据库数据集主要包括居民患者基本信息、病历概要、门（急）诊诊疗记录、住院诊疗记录、健康体检记录、转诊（院）记录、法定医学证明及报告等。</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（1）居民患者基本信息。主要包括人口学信息、社会经济学信息、亲属（联系人）信息、社会保障信息和个体生物学标识等基本内容。</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（2）病历概要。主要包括基本健康信息、卫生事件摘要、医疗费用记录等基本内容。</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（3）门（急）诊诊疗记录。主要包括门（急）诊病历、门（急）诊处方、门（急）诊治疗处理记录、门（急）诊护理记录、检查检验记录、知情告知信息等基本内容。</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（4）住院诊疗记录。主要包括住院病案首页、住院志、住院病程记录、住院医嘱、住院治疗处理记录、住院护理记录、检查检验记录、出院记录、知情告知信息等基本内容。</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（5）健康体检记录。主要指医疗机构开展的，以健康监测、预防保健为主要目的（非因病就诊）的一般常规健康体检记录。</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（6）转诊（院）记录。主要指医疗机构之间进行患者转诊（转入或转出）的主要工作记录。</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法定医学证明及报告。指医疗机构负责签发的各类法定医学证明信息，或必须依法向有关业务部门上报的各类法定医学报告信息。主要包括：出生医学证明、死亡医学证明、传染病报告、出生缺陷儿登记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数据交换平台</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数据采集系统</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数据采集管理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系统支持采集端管理、采集模板、采集来源配置、采集任务配置、采集策略管理、接口管理以及时间同步服务的配置管理。</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21" w:name="_Toc468011867"/>
            <w:r>
              <w:rPr>
                <w:rFonts w:hint="eastAsia" w:asciiTheme="minorEastAsia" w:hAnsiTheme="minorEastAsia" w:eastAsiaTheme="minorEastAsia" w:cstheme="minorEastAsia"/>
                <w:b/>
                <w:bCs/>
                <w:kern w:val="0"/>
                <w:sz w:val="18"/>
                <w:szCs w:val="18"/>
                <w:highlight w:val="none"/>
              </w:rPr>
              <w:t>采集端管理</w:t>
            </w:r>
            <w:bookmarkEnd w:id="221"/>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采集端管理能够动态的监控各个采集端的运行状态，通过对采集模板、来源模板和推送模板的配置能够实时更新运行中采集端的采集数据映射结构，在发现目标采集业务发生变化时及时的变更采集策略。所有的采集端都采用精确化的参数配置，能够根据不同的运行环境，不同的服务器性能进行可视化的流程配置，对采集的时间频率、采集结果的翻译数量、采集端质控运行频率和日志队列等进行按需配置，保证采集端能够动态的适应于各种不同的采集环境。</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22" w:name="_Toc468011868"/>
            <w:r>
              <w:rPr>
                <w:rFonts w:hint="eastAsia" w:asciiTheme="minorEastAsia" w:hAnsiTheme="minorEastAsia" w:eastAsiaTheme="minorEastAsia" w:cstheme="minorEastAsia"/>
                <w:b/>
                <w:bCs/>
                <w:kern w:val="0"/>
                <w:sz w:val="18"/>
                <w:szCs w:val="18"/>
                <w:highlight w:val="none"/>
              </w:rPr>
              <w:t>采集模板</w:t>
            </w:r>
            <w:bookmarkEnd w:id="222"/>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采集模板从数据的来源和目标出发，形成整套的可以复用的数据结构体系。以往的操作系统均为来了一个采集端就为其设置一次，那么采集模板的作用在于减少设置量。模板数据中有两方面:来源、目标，那么模板还需要设置来源（数据集）到目标（数据集）的映射关系。采集日志也可以以模板的形式存在在系统</w:t>
            </w:r>
            <w:r>
              <w:rPr>
                <w:rFonts w:hint="eastAsia" w:asciiTheme="minorEastAsia" w:hAnsiTheme="minorEastAsia" w:cstheme="minorEastAsia"/>
                <w:kern w:val="0"/>
                <w:sz w:val="18"/>
                <w:szCs w:val="18"/>
                <w:highlight w:val="none"/>
              </w:rPr>
              <w:t>中</w:t>
            </w:r>
            <w:r>
              <w:rPr>
                <w:rFonts w:hint="eastAsia" w:asciiTheme="minorEastAsia" w:hAnsiTheme="minorEastAsia" w:eastAsiaTheme="minorEastAsia" w:cstheme="minorEastAsia"/>
                <w:kern w:val="0"/>
                <w:sz w:val="18"/>
                <w:szCs w:val="18"/>
                <w:highlight w:val="none"/>
              </w:rPr>
              <w:t>。</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23" w:name="_Toc468011869"/>
            <w:r>
              <w:rPr>
                <w:rFonts w:hint="eastAsia" w:asciiTheme="minorEastAsia" w:hAnsiTheme="minorEastAsia" w:eastAsiaTheme="minorEastAsia" w:cstheme="minorEastAsia"/>
                <w:b/>
                <w:bCs/>
                <w:kern w:val="0"/>
                <w:sz w:val="18"/>
                <w:szCs w:val="18"/>
                <w:highlight w:val="none"/>
              </w:rPr>
              <w:t>采集来源配置</w:t>
            </w:r>
            <w:bookmarkEnd w:id="223"/>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在数据采集的过程中，根据不同的采集环境可能存在数据库直接访问、接口等多种形式。一个采集来源配置可以被多个采集端重用。</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24" w:name="_Toc468011870"/>
            <w:r>
              <w:rPr>
                <w:rFonts w:hint="eastAsia" w:asciiTheme="minorEastAsia" w:hAnsiTheme="minorEastAsia" w:eastAsiaTheme="minorEastAsia" w:cstheme="minorEastAsia"/>
                <w:b/>
                <w:bCs/>
                <w:kern w:val="0"/>
                <w:sz w:val="18"/>
                <w:szCs w:val="18"/>
                <w:highlight w:val="none"/>
              </w:rPr>
              <w:t>采集任务配置</w:t>
            </w:r>
            <w:bookmarkEnd w:id="224"/>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为了对数据采集过程提供精细化的管理，对同个采集目标可以进行多个任务的配置。每个采集目标管辖不同域的数据，通过阶段性的采集任务配置更好的切分数据模块，最大限度的避免因为采集端异常导致的重复工作量。</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25" w:name="_Toc468011871"/>
            <w:r>
              <w:rPr>
                <w:rFonts w:hint="eastAsia" w:asciiTheme="minorEastAsia" w:hAnsiTheme="minorEastAsia" w:eastAsiaTheme="minorEastAsia" w:cstheme="minorEastAsia"/>
                <w:b/>
                <w:bCs/>
                <w:kern w:val="0"/>
                <w:sz w:val="18"/>
                <w:szCs w:val="18"/>
                <w:highlight w:val="none"/>
              </w:rPr>
              <w:t>采集策略管理</w:t>
            </w:r>
            <w:bookmarkEnd w:id="225"/>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在数据采集的过程中，由于多种外在物理环境的影像，如硬件、网络、目标服务器等因素导致效率下降，因此我们需要一个提交队列，来减缓对目标服务的压力，而且可以减缓采集服务器的压力。通过调整采集队列的执行调度规则和执行时间，来合理的设置采集策略，避免因为过度采集导致数据环境不理想。</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26" w:name="_Toc468011872"/>
            <w:r>
              <w:rPr>
                <w:rFonts w:hint="eastAsia" w:asciiTheme="minorEastAsia" w:hAnsiTheme="minorEastAsia" w:eastAsiaTheme="minorEastAsia" w:cstheme="minorEastAsia"/>
                <w:b/>
                <w:bCs/>
                <w:kern w:val="0"/>
                <w:sz w:val="18"/>
                <w:szCs w:val="18"/>
                <w:highlight w:val="none"/>
              </w:rPr>
              <w:t>接口配置</w:t>
            </w:r>
            <w:bookmarkEnd w:id="226"/>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在数据采集和推送的过程中，由于不同物理环境的限制导致不能直接对数据库进行访问，需要通过接口来实现对数据的读取和推送。系统支持SOAP协议的WebService服务，可以在采集端运行的过程中定时的从配置接口从获取变更数据，及时推送。</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27" w:name="_Toc493621612"/>
            <w:bookmarkStart w:id="228" w:name="_Toc468011873"/>
            <w:bookmarkStart w:id="229" w:name="_Toc467575730"/>
            <w:bookmarkStart w:id="230" w:name="_Toc491528696"/>
            <w:r>
              <w:rPr>
                <w:rFonts w:hint="eastAsia" w:asciiTheme="minorEastAsia" w:hAnsiTheme="minorEastAsia" w:eastAsiaTheme="minorEastAsia" w:cstheme="minorEastAsia"/>
                <w:b/>
                <w:bCs/>
                <w:kern w:val="0"/>
                <w:sz w:val="18"/>
                <w:szCs w:val="18"/>
                <w:highlight w:val="none"/>
              </w:rPr>
              <w:t>数据采集服务部署</w:t>
            </w:r>
            <w:bookmarkEnd w:id="227"/>
            <w:bookmarkEnd w:id="228"/>
            <w:bookmarkEnd w:id="229"/>
            <w:bookmarkEnd w:id="230"/>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数据采集服务部署主要按照数据的管理范围和客户端数据量进行分配。客户端相对较多的范围由一个数据采集端负责数据采集，而客户端相对较少的范围可由一个数据采集端负责多个范围的数据采集，做到数据按范围和客户端数量的合理分配。</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31" w:name="_Toc468011874"/>
            <w:r>
              <w:rPr>
                <w:rFonts w:hint="eastAsia" w:asciiTheme="minorEastAsia" w:hAnsiTheme="minorEastAsia" w:eastAsiaTheme="minorEastAsia" w:cstheme="minorEastAsia"/>
                <w:b/>
                <w:bCs/>
                <w:kern w:val="0"/>
                <w:sz w:val="18"/>
                <w:szCs w:val="18"/>
                <w:highlight w:val="none"/>
              </w:rPr>
              <w:t>数据采集客户端/服务器端部署</w:t>
            </w:r>
            <w:bookmarkEnd w:id="231"/>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数据采集方式中大部分情况需要在客户端和服务器端同时部署程序并对采集端进行合法化校验。</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日志/文件等数据采集需要在客户端部署代理进程，实时监控数据/文件的变化，并即时上传给服务器端部署的收集器处理。</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32" w:name="_Toc468011875"/>
            <w:r>
              <w:rPr>
                <w:rFonts w:hint="eastAsia" w:asciiTheme="minorEastAsia" w:hAnsiTheme="minorEastAsia" w:eastAsiaTheme="minorEastAsia" w:cstheme="minorEastAsia"/>
                <w:b/>
                <w:bCs/>
                <w:kern w:val="0"/>
                <w:sz w:val="18"/>
                <w:szCs w:val="18"/>
                <w:highlight w:val="none"/>
              </w:rPr>
              <w:t>负载均衡部署配置</w:t>
            </w:r>
            <w:bookmarkEnd w:id="232"/>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负载均衡部署配置的主要目的是提高系统的高可用性、可扩展性和负载均衡能力。在数据采集过程中，根据不同的数据类型采取不同的负载均衡部署配置方式。</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33" w:name="_Toc491528697"/>
            <w:bookmarkStart w:id="234" w:name="_Toc468011876"/>
            <w:bookmarkStart w:id="235" w:name="_Toc467575731"/>
            <w:bookmarkStart w:id="236" w:name="_Toc493621613"/>
            <w:r>
              <w:rPr>
                <w:rFonts w:hint="eastAsia" w:asciiTheme="minorEastAsia" w:hAnsiTheme="minorEastAsia" w:eastAsiaTheme="minorEastAsia" w:cstheme="minorEastAsia"/>
                <w:b/>
                <w:bCs/>
                <w:kern w:val="0"/>
                <w:sz w:val="18"/>
                <w:szCs w:val="18"/>
                <w:highlight w:val="none"/>
              </w:rPr>
              <w:t>数据采集监控管理</w:t>
            </w:r>
            <w:bookmarkEnd w:id="233"/>
            <w:bookmarkEnd w:id="234"/>
            <w:bookmarkEnd w:id="235"/>
            <w:bookmarkEnd w:id="236"/>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数据采集监控管理支持对数据接口系统接口程序的发布（部署）和修改、运行配置和数据校验告警等功能。</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37" w:name="_Toc468011877"/>
            <w:r>
              <w:rPr>
                <w:rFonts w:hint="eastAsia" w:asciiTheme="minorEastAsia" w:hAnsiTheme="minorEastAsia" w:eastAsiaTheme="minorEastAsia" w:cstheme="minorEastAsia"/>
                <w:b/>
                <w:bCs/>
                <w:kern w:val="0"/>
                <w:sz w:val="18"/>
                <w:szCs w:val="18"/>
                <w:highlight w:val="none"/>
              </w:rPr>
              <w:t>采集进度监控</w:t>
            </w:r>
            <w:bookmarkEnd w:id="237"/>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数据从来源到目标的采集过程当中，实时的对当前采集的进度进行监控，当进度小于100%时，需要进行人工排错或者人工干预。</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38" w:name="_Toc468011878"/>
            <w:r>
              <w:rPr>
                <w:rFonts w:hint="eastAsia" w:asciiTheme="minorEastAsia" w:hAnsiTheme="minorEastAsia" w:eastAsiaTheme="minorEastAsia" w:cstheme="minorEastAsia"/>
                <w:b/>
                <w:bCs/>
                <w:kern w:val="0"/>
                <w:sz w:val="18"/>
                <w:szCs w:val="18"/>
                <w:highlight w:val="none"/>
              </w:rPr>
              <w:t>状态监测</w:t>
            </w:r>
            <w:bookmarkEnd w:id="238"/>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对数据接口系统中部署的所有数据源接口进行监控，监控内容包括：进程状态、运行时间、网络状态、连接情况、应用状态、异常状态等。</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对于程序的运行，提供程序级别的运行资源监控，包括运行时常、使用cpu时常、使用总内存（物理、虚拟）、读取磁盘IO、读取HDFS的IO等。</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对采集端的监测，包括是否正常运行、在线离线的监测以及异常的环境汇总。</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39" w:name="_Toc468011879"/>
            <w:r>
              <w:rPr>
                <w:rFonts w:hint="eastAsia" w:asciiTheme="minorEastAsia" w:hAnsiTheme="minorEastAsia" w:eastAsiaTheme="minorEastAsia" w:cstheme="minorEastAsia"/>
                <w:b/>
                <w:bCs/>
                <w:kern w:val="0"/>
                <w:sz w:val="18"/>
                <w:szCs w:val="18"/>
                <w:highlight w:val="none"/>
              </w:rPr>
              <w:t>安全管理</w:t>
            </w:r>
            <w:bookmarkEnd w:id="239"/>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数据接口系统的数据源接入，需要具备“警卫”和检查能力，当数据源越多，对数据的保护就越重要。这意味着不仅要安全有效地控制网络外部的数据提供，还必须做好网络内部的数据访问控制。依据数据的敏感程度，要确保数据使用人员能看到的数据是脱敏后可使用的数据。具备数据上传和下载管理（支持数据加密），实现数据双向交换、异步/同步 传送，以及数据传输过程中的加密、解密和完整性。</w:t>
            </w:r>
          </w:p>
          <w:p>
            <w:pPr>
              <w:pStyle w:val="83"/>
              <w:ind w:left="426" w:firstLine="0" w:firstLineChars="0"/>
              <w:rPr>
                <w:rFonts w:asciiTheme="minorEastAsia" w:hAnsiTheme="minorEastAsia" w:eastAsiaTheme="minorEastAsia" w:cstheme="minorEastAsia"/>
                <w:b/>
                <w:bCs/>
                <w:kern w:val="0"/>
                <w:sz w:val="18"/>
                <w:szCs w:val="18"/>
                <w:highlight w:val="none"/>
              </w:rPr>
            </w:pPr>
            <w:bookmarkStart w:id="240" w:name="_Toc468011880"/>
            <w:r>
              <w:rPr>
                <w:rFonts w:hint="eastAsia" w:asciiTheme="minorEastAsia" w:hAnsiTheme="minorEastAsia" w:eastAsiaTheme="minorEastAsia" w:cstheme="minorEastAsia"/>
                <w:b/>
                <w:bCs/>
                <w:kern w:val="0"/>
                <w:sz w:val="18"/>
                <w:szCs w:val="18"/>
                <w:highlight w:val="none"/>
              </w:rPr>
              <w:t>异常处理</w:t>
            </w:r>
            <w:bookmarkEnd w:id="240"/>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提供数据接口所有任务的运行监控功能、异常日志分析工具、异常任务处理和恢复功能。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主数据管理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主数据管理（MDM Master Data Management）描述了一组规程、技术和解决方案，这些规程、技术和解决方案用于为所有利益相关方（如用户、应用程序、数据仓库、流程以及合作伙伴）创建并维护业务数据的一致性、完整性、相关性和精确性。</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主数据管理功能包括：医疗机构管理、医生管理、护士管理、药师管理、技师管理、科室管理、统计分析、日志查询、系统管理等。</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主数据管理主要包括以下四个任务：</w:t>
            </w:r>
          </w:p>
          <w:p>
            <w:pPr>
              <w:ind w:firstLine="480"/>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主数据编码平台</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以大数据中心平台建设需求和业务协作对主数据编码的需求为起点，建设一个对居民人口、卫生机构、医疗物资等核心主数据进行全生命周期管理的平台，通过平台实现对主数据编码规则及管理流程的支撑，实现居民人口、卫生机构、医疗物资等主数据编码的标准化。</w:t>
            </w:r>
          </w:p>
          <w:p>
            <w:pPr>
              <w:ind w:firstLine="480"/>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不同主题的主数据编码数据库</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以居民人口、卫生机构、医疗物资等为不同的主题，来开展建立主题编码数据库，保证涉及的主数据编码及相应的应用范围内能够满足平台对主数据编码的需求。</w:t>
            </w:r>
          </w:p>
          <w:p>
            <w:pPr>
              <w:ind w:firstLine="480"/>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主数据编码的管理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主数据平台提供丰富的功能实现对主数据编码进行统一管理和维护，提供主数据编码规则及</w:t>
            </w:r>
            <w:r>
              <w:rPr>
                <w:rFonts w:hint="eastAsia" w:asciiTheme="minorEastAsia" w:hAnsiTheme="minorEastAsia" w:eastAsiaTheme="minorEastAsia" w:cstheme="minorEastAsia"/>
                <w:sz w:val="18"/>
                <w:szCs w:val="18"/>
                <w:highlight w:val="none"/>
                <w:lang w:eastAsia="zh-Hans"/>
              </w:rPr>
              <w:t>审核、发布</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主数据平台与应用的数据集成</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主数据平台提供丰富的数据集成接口，实现应用系统的数据集成，提供高质量的主数据服务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数据质量管理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为提高数据的采集质量，数据交换平台中包含一整套完整的接口数据质量评估体系。该质量评估主要针对各联网医疗机构的数据上传质量情况。它包括上传质量以及上传的稳定程度两个部分。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医疗机构提交数据的质量，包括数据提交的关联性、准确性、完整性。准确性是指上传数据符合接口规范要求的程度，以及数据之间关系的满足程度；完整性用于判断上传数据是否为接口所要求上传的全部数据。</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（2）医疗机构提交数据的稳定、及时的程度，包括数据提交的稳定性、及时性。稳定性用于反映数据上传动作的正常工作状态时间与失效状态时间的比例关系；及时性用于反映数据上传的时效是否满足要求。</w:t>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sz w:val="18"/>
                <w:szCs w:val="18"/>
                <w:highlight w:val="none"/>
              </w:rPr>
              <w:t>在</w:t>
            </w:r>
            <w:r>
              <w:rPr>
                <w:rFonts w:hint="eastAsia" w:asciiTheme="majorEastAsia" w:hAnsiTheme="majorEastAsia" w:eastAsiaTheme="majorEastAsia" w:cstheme="majorEastAsia"/>
                <w:sz w:val="18"/>
                <w:szCs w:val="18"/>
                <w:highlight w:val="none"/>
              </w:rPr>
              <w:t>市</w:t>
            </w:r>
            <w:r>
              <w:rPr>
                <w:rFonts w:hint="eastAsia" w:asciiTheme="minorEastAsia" w:hAnsiTheme="minorEastAsia" w:eastAsiaTheme="minorEastAsia" w:cstheme="minorEastAsia"/>
                <w:sz w:val="18"/>
                <w:szCs w:val="18"/>
                <w:highlight w:val="none"/>
              </w:rPr>
              <w:t>平台前置机进行数据质量查询，数据质量管理系统可以开放给医院自己，让医院看到自己的数据质量情况。数据质量符合标准的数据进入中心库，不符合的数据出具数据质量报告，通知相关人员，进行修改重传。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数据采集时效管理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各业务条线系统通过内部信息系统自动生成数据并定时批量提交到前置机的提交数据缓冲存储区。</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各业务条线系统的信息系统应在每日二十四点以前完成将数据提交到前置机的工作（业务系统可根据本单位情况安排上传时间），然后前置机进行数据整合、匹配的工作，最后数据交换中心从业务系统的前置机采集数据。说明：在技术可行的情况下建议业务系统尽可能做到每日提交当天的全量数据；若技术上有难度，则应做到提交前一日的全量数据，如1日二十四点前上传1日0点—24点所有的业务数据。</w:t>
            </w:r>
          </w:p>
          <w:p>
            <w:pPr>
              <w:ind w:firstLine="405" w:firstLineChars="225"/>
              <w:rPr>
                <w:rFonts w:ascii="宋体" w:hAnsi="宋体" w:cs="宋体"/>
                <w:color w:val="000000"/>
                <w:kern w:val="0"/>
                <w:sz w:val="18"/>
                <w:szCs w:val="18"/>
                <w:highlight w:val="none"/>
                <w:lang w:bidi="ar"/>
              </w:rPr>
            </w:pPr>
            <w:r>
              <w:rPr>
                <w:rFonts w:hint="eastAsia" w:asciiTheme="minorEastAsia" w:hAnsiTheme="minorEastAsia" w:eastAsiaTheme="minorEastAsia" w:cstheme="minorEastAsia"/>
                <w:kern w:val="0"/>
                <w:sz w:val="18"/>
                <w:szCs w:val="18"/>
                <w:highlight w:val="none"/>
              </w:rPr>
              <w:t>交换网关每天定点将前一天各业务条线信息系统填报提交在前置机的数据上传数据交换中心交换区中，从而完成从各业务条线信息系统中获取数据的整个采集过程。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数据采集方式</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 xml:space="preserve">数据采集管理包含了关系型数据采集、非关系型数据采集、HTTP采集、Webservice采集、FTP采集等多种数据采集方式。 </w:t>
            </w:r>
          </w:p>
          <w:p>
            <w:pPr>
              <w:ind w:firstLine="407" w:firstLineChars="225"/>
              <w:rPr>
                <w:rFonts w:asciiTheme="minorEastAsia" w:hAnsiTheme="minorEastAsia" w:eastAsiaTheme="minorEastAsia" w:cstheme="minorEastAsia"/>
                <w:b/>
                <w:bCs/>
                <w:kern w:val="0"/>
                <w:sz w:val="18"/>
                <w:szCs w:val="18"/>
                <w:highlight w:val="none"/>
              </w:rPr>
            </w:pPr>
            <w:bookmarkStart w:id="241" w:name="_Toc468011850"/>
            <w:r>
              <w:rPr>
                <w:rFonts w:hint="eastAsia" w:asciiTheme="minorEastAsia" w:hAnsiTheme="minorEastAsia" w:eastAsiaTheme="minorEastAsia" w:cstheme="minorEastAsia"/>
                <w:b/>
                <w:bCs/>
                <w:kern w:val="0"/>
                <w:sz w:val="18"/>
                <w:szCs w:val="18"/>
                <w:highlight w:val="none"/>
              </w:rPr>
              <w:t>采集模式</w:t>
            </w:r>
            <w:bookmarkEnd w:id="241"/>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提供多种类型的采集手段，以满足健康医疗大</w:t>
            </w:r>
            <w:r>
              <w:rPr>
                <w:rFonts w:hint="eastAsia" w:asciiTheme="minorEastAsia" w:hAnsiTheme="minorEastAsia" w:cstheme="minorEastAsia"/>
                <w:kern w:val="0"/>
                <w:sz w:val="18"/>
                <w:szCs w:val="18"/>
                <w:highlight w:val="none"/>
              </w:rPr>
              <w:t>数据中心</w:t>
            </w:r>
            <w:r>
              <w:rPr>
                <w:rFonts w:hint="eastAsia" w:asciiTheme="minorEastAsia" w:hAnsiTheme="minorEastAsia" w:eastAsiaTheme="minorEastAsia" w:cstheme="minorEastAsia"/>
                <w:kern w:val="0"/>
                <w:sz w:val="18"/>
                <w:szCs w:val="18"/>
                <w:highlight w:val="none"/>
              </w:rPr>
              <w:t>对数据采集现状的要求。采集手段可包括“推”模式、“拉”模式、web上传模式、直连模式等。</w:t>
            </w:r>
          </w:p>
          <w:p>
            <w:pPr>
              <w:ind w:firstLine="407" w:firstLineChars="225"/>
              <w:rPr>
                <w:rFonts w:asciiTheme="minorEastAsia" w:hAnsiTheme="minorEastAsia" w:eastAsiaTheme="minorEastAsia" w:cstheme="minorEastAsia"/>
                <w:b/>
                <w:bCs/>
                <w:kern w:val="0"/>
                <w:sz w:val="18"/>
                <w:szCs w:val="18"/>
                <w:highlight w:val="none"/>
              </w:rPr>
            </w:pPr>
            <w:bookmarkStart w:id="242" w:name="_Toc468011851"/>
            <w:r>
              <w:rPr>
                <w:rFonts w:hint="eastAsia" w:asciiTheme="minorEastAsia" w:hAnsiTheme="minorEastAsia" w:eastAsiaTheme="minorEastAsia" w:cstheme="minorEastAsia"/>
                <w:b/>
                <w:bCs/>
                <w:kern w:val="0"/>
                <w:sz w:val="18"/>
                <w:szCs w:val="18"/>
                <w:highlight w:val="none"/>
              </w:rPr>
              <w:t>关系型数据采集</w:t>
            </w:r>
            <w:bookmarkEnd w:id="242"/>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关系型数据一般存储在关系型数据库中，关系数据采集模块使用元数据模型来判断数据类型并在数据从数据源转移到大数据平台时确保类型安全的数据处理。关系数据采集模块专为大数据批量传输设计，能够自动分割数据集，并进行分布式处理。能够对主流的关系型数据库如Oracle、Sqlserver、Mysql、国产数据库等之间进行数据采集。</w:t>
            </w:r>
          </w:p>
          <w:p>
            <w:pPr>
              <w:ind w:firstLine="407" w:firstLineChars="225"/>
              <w:rPr>
                <w:rFonts w:asciiTheme="minorEastAsia" w:hAnsiTheme="minorEastAsia" w:eastAsiaTheme="minorEastAsia" w:cstheme="minorEastAsia"/>
                <w:b/>
                <w:bCs/>
                <w:kern w:val="0"/>
                <w:sz w:val="18"/>
                <w:szCs w:val="18"/>
                <w:highlight w:val="none"/>
              </w:rPr>
            </w:pPr>
            <w:bookmarkStart w:id="243" w:name="_Toc468011852"/>
            <w:r>
              <w:rPr>
                <w:rFonts w:hint="eastAsia" w:asciiTheme="minorEastAsia" w:hAnsiTheme="minorEastAsia" w:eastAsiaTheme="minorEastAsia" w:cstheme="minorEastAsia"/>
                <w:b/>
                <w:bCs/>
                <w:kern w:val="0"/>
                <w:sz w:val="18"/>
                <w:szCs w:val="18"/>
                <w:highlight w:val="none"/>
              </w:rPr>
              <w:t>非关系型数据采集</w:t>
            </w:r>
            <w:bookmarkEnd w:id="243"/>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非关系型数据为平台及计算提供良好的支持，需要将关系型数据库相关数据采集至非关系型数据库内，非关系型数据采集为该场景设计。能够将Oracle、Sqlserver、Mysql、国产数据库等与Hadoop进行数据交换采集。</w:t>
            </w:r>
          </w:p>
          <w:p>
            <w:pPr>
              <w:ind w:firstLine="407" w:firstLineChars="225"/>
              <w:rPr>
                <w:rFonts w:asciiTheme="minorEastAsia" w:hAnsiTheme="minorEastAsia" w:eastAsiaTheme="minorEastAsia" w:cstheme="minorEastAsia"/>
                <w:b/>
                <w:bCs/>
                <w:kern w:val="0"/>
                <w:sz w:val="18"/>
                <w:szCs w:val="18"/>
                <w:highlight w:val="none"/>
              </w:rPr>
            </w:pPr>
            <w:bookmarkStart w:id="244" w:name="_Toc468011853"/>
            <w:r>
              <w:rPr>
                <w:rFonts w:hint="eastAsia" w:asciiTheme="minorEastAsia" w:hAnsiTheme="minorEastAsia" w:eastAsiaTheme="minorEastAsia" w:cstheme="minorEastAsia"/>
                <w:b/>
                <w:bCs/>
                <w:kern w:val="0"/>
                <w:sz w:val="18"/>
                <w:szCs w:val="18"/>
                <w:highlight w:val="none"/>
              </w:rPr>
              <w:t>HTTP采集</w:t>
            </w:r>
            <w:bookmarkEnd w:id="244"/>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对于公布在互联网的非政府系统内数据，可以利用HTTP采集方式定期按时对指定url进行自动抓取，通过数据解析规则将数据进行预处理并存储，作为政务数据的有益补充。</w:t>
            </w:r>
          </w:p>
          <w:p>
            <w:pPr>
              <w:ind w:firstLine="407" w:firstLineChars="225"/>
              <w:rPr>
                <w:rFonts w:asciiTheme="minorEastAsia" w:hAnsiTheme="minorEastAsia" w:eastAsiaTheme="minorEastAsia" w:cstheme="minorEastAsia"/>
                <w:b/>
                <w:bCs/>
                <w:kern w:val="0"/>
                <w:sz w:val="18"/>
                <w:szCs w:val="18"/>
                <w:highlight w:val="none"/>
              </w:rPr>
            </w:pPr>
            <w:bookmarkStart w:id="245" w:name="_Toc468011854"/>
            <w:r>
              <w:rPr>
                <w:rFonts w:hint="eastAsia" w:asciiTheme="minorEastAsia" w:hAnsiTheme="minorEastAsia" w:eastAsiaTheme="minorEastAsia" w:cstheme="minorEastAsia"/>
                <w:b/>
                <w:bCs/>
                <w:kern w:val="0"/>
                <w:sz w:val="18"/>
                <w:szCs w:val="18"/>
                <w:highlight w:val="none"/>
              </w:rPr>
              <w:t>WebService接口采集</w:t>
            </w:r>
            <w:bookmarkEnd w:id="245"/>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在传输链路和消息层面的数据安全得到保证的情况下，异构、存量系统或者不迁入数据云服务平台的系统可以通过改造，针对接入数据的要求提供统一Webservice接口，数据采集平台通过定制的WebService接口来采集这些系统的数据。</w:t>
            </w:r>
          </w:p>
          <w:p>
            <w:pPr>
              <w:ind w:firstLine="407" w:firstLineChars="225"/>
              <w:rPr>
                <w:rFonts w:asciiTheme="minorEastAsia" w:hAnsiTheme="minorEastAsia" w:eastAsiaTheme="minorEastAsia" w:cstheme="minorEastAsia"/>
                <w:b/>
                <w:bCs/>
                <w:kern w:val="0"/>
                <w:sz w:val="18"/>
                <w:szCs w:val="18"/>
                <w:highlight w:val="none"/>
              </w:rPr>
            </w:pPr>
            <w:bookmarkStart w:id="246" w:name="_Toc468011855"/>
            <w:r>
              <w:rPr>
                <w:rFonts w:hint="eastAsia" w:asciiTheme="minorEastAsia" w:hAnsiTheme="minorEastAsia" w:eastAsiaTheme="minorEastAsia" w:cstheme="minorEastAsia"/>
                <w:b/>
                <w:bCs/>
                <w:kern w:val="0"/>
                <w:sz w:val="18"/>
                <w:szCs w:val="18"/>
                <w:highlight w:val="none"/>
              </w:rPr>
              <w:t>FTP批量文件接口采集</w:t>
            </w:r>
            <w:bookmarkEnd w:id="246"/>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FTP批量文件采集接口</w:t>
            </w:r>
            <w:r>
              <w:rPr>
                <w:rFonts w:hint="eastAsia" w:asciiTheme="minorEastAsia" w:hAnsiTheme="minorEastAsia" w:cstheme="minorEastAsia"/>
                <w:kern w:val="0"/>
                <w:sz w:val="18"/>
                <w:szCs w:val="18"/>
                <w:highlight w:val="none"/>
              </w:rPr>
              <w:t>支持</w:t>
            </w:r>
            <w:r>
              <w:rPr>
                <w:rFonts w:hint="eastAsia" w:asciiTheme="minorEastAsia" w:hAnsiTheme="minorEastAsia" w:eastAsiaTheme="minorEastAsia" w:cstheme="minorEastAsia"/>
                <w:kern w:val="0"/>
                <w:sz w:val="18"/>
                <w:szCs w:val="18"/>
                <w:highlight w:val="none"/>
              </w:rPr>
              <w:t>主动采集、被动接收批量文件，并对文件的格式、命名等提供相关校验功能。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399"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企业数据服务总线（ESB）</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服务总线功能</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ESB企业服务总线的主要功能包括：</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资源定位：ESB有助于从服务消费</w:t>
            </w:r>
            <w:r>
              <w:rPr>
                <w:rFonts w:hint="eastAsia" w:asciiTheme="minorEastAsia" w:hAnsiTheme="minorEastAsia" w:cstheme="minorEastAsia"/>
                <w:kern w:val="0"/>
                <w:sz w:val="18"/>
                <w:szCs w:val="18"/>
                <w:highlight w:val="none"/>
              </w:rPr>
              <w:t>者与</w:t>
            </w:r>
            <w:r>
              <w:rPr>
                <w:rFonts w:hint="eastAsia" w:asciiTheme="minorEastAsia" w:hAnsiTheme="minorEastAsia" w:eastAsiaTheme="minorEastAsia" w:cstheme="minorEastAsia"/>
                <w:kern w:val="0"/>
                <w:sz w:val="18"/>
                <w:szCs w:val="18"/>
                <w:highlight w:val="none"/>
              </w:rPr>
              <w:t>服务提供者之间解耦。ESB提供了一个集中的平台使任何应用程序进行相互通信，使消息发送者到消息接收者解耦。</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协议转换：ESB能够无缝地集成不同传输协议应用程序如HTTP，JMS，FTP，文件批处理和SMTP，TCP，</w:t>
            </w:r>
            <w:r>
              <w:rPr>
                <w:rFonts w:asciiTheme="minorEastAsia" w:hAnsiTheme="minorEastAsia" w:eastAsiaTheme="minorEastAsia" w:cstheme="minorEastAsia"/>
                <w:kern w:val="0"/>
                <w:sz w:val="18"/>
                <w:szCs w:val="18"/>
                <w:highlight w:val="none"/>
              </w:rPr>
              <w:t>SQL</w:t>
            </w:r>
            <w:r>
              <w:rPr>
                <w:rFonts w:hint="eastAsia" w:asciiTheme="minorEastAsia" w:hAnsiTheme="minorEastAsia" w:eastAsiaTheme="minorEastAsia" w:cstheme="minorEastAsia"/>
                <w:kern w:val="0"/>
                <w:sz w:val="18"/>
                <w:szCs w:val="18"/>
                <w:highlight w:val="none"/>
                <w:lang w:eastAsia="zh-Hans"/>
              </w:rPr>
              <w:t>模式</w:t>
            </w:r>
            <w:r>
              <w:rPr>
                <w:rFonts w:hint="eastAsia" w:asciiTheme="minorEastAsia" w:hAnsiTheme="minorEastAsia" w:eastAsiaTheme="minorEastAsia" w:cstheme="minorEastAsia"/>
                <w:kern w:val="0"/>
                <w:sz w:val="18"/>
                <w:szCs w:val="18"/>
                <w:highlight w:val="none"/>
              </w:rPr>
              <w:t>。</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消息转换：ESB提供将消息从一种格式转换为其他基于开放的标准，如XLST、Xpath、</w:t>
            </w:r>
            <w:r>
              <w:rPr>
                <w:rFonts w:asciiTheme="minorEastAsia" w:hAnsiTheme="minorEastAsia" w:eastAsiaTheme="minorEastAsia" w:cstheme="minorEastAsia"/>
                <w:kern w:val="0"/>
                <w:sz w:val="18"/>
                <w:szCs w:val="18"/>
                <w:highlight w:val="none"/>
              </w:rPr>
              <w:t>XML</w:t>
            </w:r>
            <w:r>
              <w:rPr>
                <w:rFonts w:hint="eastAsia" w:asciiTheme="minorEastAsia" w:hAnsiTheme="minorEastAsia" w:eastAsiaTheme="minorEastAsia" w:cstheme="minorEastAsia"/>
                <w:kern w:val="0"/>
                <w:sz w:val="18"/>
                <w:szCs w:val="18"/>
                <w:highlight w:val="none"/>
              </w:rPr>
              <w:t>、</w:t>
            </w:r>
            <w:r>
              <w:rPr>
                <w:rFonts w:asciiTheme="minorEastAsia" w:hAnsiTheme="minorEastAsia" w:eastAsiaTheme="minorEastAsia" w:cstheme="minorEastAsia"/>
                <w:kern w:val="0"/>
                <w:sz w:val="18"/>
                <w:szCs w:val="18"/>
                <w:highlight w:val="none"/>
                <w:lang w:eastAsia="zh-Hans"/>
              </w:rPr>
              <w:t>JSON</w:t>
            </w:r>
            <w:r>
              <w:rPr>
                <w:rFonts w:hint="eastAsia" w:asciiTheme="minorEastAsia" w:hAnsiTheme="minorEastAsia" w:eastAsiaTheme="minorEastAsia" w:cstheme="minorEastAsia"/>
                <w:kern w:val="0"/>
                <w:sz w:val="18"/>
                <w:szCs w:val="18"/>
                <w:highlight w:val="none"/>
              </w:rPr>
              <w:t>。</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消息路由：ESB一个重要的功能是决定传入消息的最终目的地，通常这归类为消息路由。</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消息增强：ESB提供</w:t>
            </w:r>
            <w:r>
              <w:rPr>
                <w:rFonts w:hint="eastAsia" w:asciiTheme="minorEastAsia" w:hAnsiTheme="minorEastAsia" w:eastAsiaTheme="minorEastAsia" w:cstheme="minorEastAsia"/>
                <w:kern w:val="0"/>
                <w:sz w:val="18"/>
                <w:szCs w:val="18"/>
                <w:highlight w:val="none"/>
                <w:lang w:eastAsia="zh-Hans"/>
              </w:rPr>
              <w:t>消息体数据处理增强，实现消息字符处理功能</w:t>
            </w:r>
            <w:r>
              <w:rPr>
                <w:rFonts w:hint="eastAsia" w:asciiTheme="minorEastAsia" w:hAnsiTheme="minorEastAsia" w:eastAsiaTheme="minorEastAsia" w:cstheme="minorEastAsia"/>
                <w:kern w:val="0"/>
                <w:sz w:val="18"/>
                <w:szCs w:val="18"/>
                <w:highlight w:val="none"/>
              </w:rPr>
              <w:t>.</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安全：身份验证，授权与加密功能，为确保传入的消息安全, 防止有人恶意使用的ESB，以满足服务提供者信息安全。</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监控与管理：监控和管理环境可配置高性能和可靠的特性，并且还可以监视。</w:t>
            </w:r>
          </w:p>
          <w:p>
            <w:pPr>
              <w:ind w:firstLine="405" w:firstLineChars="225"/>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任务计划：</w:t>
            </w:r>
            <w:r>
              <w:rPr>
                <w:rFonts w:hint="eastAsia" w:asciiTheme="minorEastAsia" w:hAnsiTheme="minorEastAsia" w:eastAsiaTheme="minorEastAsia" w:cstheme="minorEastAsia"/>
                <w:kern w:val="0"/>
                <w:sz w:val="18"/>
                <w:szCs w:val="18"/>
                <w:highlight w:val="none"/>
                <w:lang w:eastAsia="zh-Hans"/>
              </w:rPr>
              <w:t>提供任务计划定时器功能，能够定时执行任务计划</w:t>
            </w:r>
            <w:r>
              <w:rPr>
                <w:rFonts w:hint="eastAsia" w:asciiTheme="minorEastAsia" w:hAnsiTheme="minorEastAsia" w:eastAsiaTheme="minorEastAsia" w:cstheme="minorEastAsia"/>
                <w:kern w:val="0"/>
                <w:sz w:val="18"/>
                <w:szCs w:val="18"/>
                <w:highlight w:val="none"/>
              </w:rPr>
              <w:t>。</w:t>
            </w:r>
          </w:p>
          <w:p>
            <w:pPr>
              <w:widowControl/>
              <w:jc w:val="left"/>
              <w:textAlignment w:val="bottom"/>
              <w:rPr>
                <w:rFonts w:asciiTheme="minorEastAsia" w:hAnsi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支持集群部署、支持流量控制、支持数据缓存以及发布订阅服务</w:t>
            </w:r>
            <w:r>
              <w:rPr>
                <w:rFonts w:hint="eastAsia" w:asciiTheme="minorEastAsia" w:hAnsiTheme="minorEastAsia" w:cstheme="minorEastAsia"/>
                <w:kern w:val="0"/>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基于ESB的文档服务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0"/>
              </w:numPr>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文档共享服务</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文档共享模块分为文档存储库和文档注册库。从文档源向文档存储库上传文档时需同时上传文档和文档的元数据，文档存储库用于存储文档，而文档注册库用于存储文档元数据。文档元数据用于描述文档的相关信息，包括文档的作者、创建机构、文档类型、文档格式、患者标识等信息。</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w:t>
            </w:r>
            <w:r>
              <w:rPr>
                <w:rFonts w:hint="eastAsia" w:asciiTheme="minorEastAsia" w:hAnsiTheme="minorEastAsia" w:eastAsiaTheme="minorEastAsia" w:cstheme="minorEastAsia"/>
                <w:kern w:val="0"/>
                <w:sz w:val="18"/>
                <w:szCs w:val="18"/>
                <w:highlight w:val="none"/>
              </w:rPr>
              <w:tab/>
            </w:r>
            <w:r>
              <w:rPr>
                <w:rFonts w:hint="eastAsia" w:asciiTheme="minorEastAsia" w:hAnsiTheme="minorEastAsia" w:eastAsiaTheme="minorEastAsia" w:cstheme="minorEastAsia"/>
                <w:kern w:val="0"/>
                <w:sz w:val="18"/>
                <w:szCs w:val="18"/>
                <w:highlight w:val="none"/>
              </w:rPr>
              <w:t>文档订阅服务</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文档订阅模块用于对文档元数据进行分发操作。首先对某类文档有需求的系统向文档订阅模块发起订阅操作，当文档共享模块收到文档后会将文档的元数据发布给文档订阅模块，文档订阅模块然后将文档元数据通知给已订阅该文档的系统。</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w:t>
            </w:r>
            <w:r>
              <w:rPr>
                <w:rFonts w:hint="eastAsia" w:asciiTheme="minorEastAsia" w:hAnsiTheme="minorEastAsia" w:eastAsiaTheme="minorEastAsia" w:cstheme="minorEastAsia"/>
                <w:kern w:val="0"/>
                <w:sz w:val="18"/>
                <w:szCs w:val="18"/>
                <w:highlight w:val="none"/>
              </w:rPr>
              <w:tab/>
            </w:r>
            <w:r>
              <w:rPr>
                <w:rFonts w:hint="eastAsia" w:asciiTheme="minorEastAsia" w:hAnsiTheme="minorEastAsia" w:eastAsiaTheme="minorEastAsia" w:cstheme="minorEastAsia"/>
                <w:kern w:val="0"/>
                <w:sz w:val="18"/>
                <w:szCs w:val="18"/>
                <w:highlight w:val="none"/>
              </w:rPr>
              <w:t>任务调度服务</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任务调度是指基于给定时间点、给定时间间隔、给定执行次数自动执行任务。该模块主要用于对任务执行进行可控配置，每个任务都可以动态的新增、修改、启动、停止。</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w:t>
            </w:r>
            <w:r>
              <w:rPr>
                <w:rFonts w:hint="eastAsia" w:asciiTheme="minorEastAsia" w:hAnsiTheme="minorEastAsia" w:eastAsiaTheme="minorEastAsia" w:cstheme="minorEastAsia"/>
                <w:kern w:val="0"/>
                <w:sz w:val="18"/>
                <w:szCs w:val="18"/>
                <w:highlight w:val="none"/>
              </w:rPr>
              <w:tab/>
            </w:r>
            <w:r>
              <w:rPr>
                <w:rFonts w:hint="eastAsia" w:asciiTheme="minorEastAsia" w:hAnsiTheme="minorEastAsia" w:eastAsiaTheme="minorEastAsia" w:cstheme="minorEastAsia"/>
                <w:kern w:val="0"/>
                <w:sz w:val="18"/>
                <w:szCs w:val="18"/>
                <w:highlight w:val="none"/>
              </w:rPr>
              <w:t>通用消息服务</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通用消息服务用于对消息通讯进行以服务通讯形式进行封装。遵循统一的消息头(Message Header)格式定义。能够通过消息头的目标对消息服务进行</w:t>
            </w:r>
            <w:r>
              <w:rPr>
                <w:rFonts w:hint="eastAsia" w:asciiTheme="minorEastAsia" w:hAnsiTheme="minorEastAsia" w:eastAsiaTheme="minorEastAsia" w:cstheme="minorEastAsia"/>
                <w:kern w:val="0"/>
                <w:sz w:val="18"/>
                <w:szCs w:val="18"/>
                <w:highlight w:val="none"/>
                <w:lang w:eastAsia="zh-Hans"/>
              </w:rPr>
              <w:t>路由</w:t>
            </w:r>
            <w:r>
              <w:rPr>
                <w:rFonts w:hint="eastAsia" w:asciiTheme="minorEastAsia" w:hAnsiTheme="minorEastAsia" w:eastAsiaTheme="minorEastAsia" w:cstheme="minorEastAsia"/>
                <w:kern w:val="0"/>
                <w:sz w:val="18"/>
                <w:szCs w:val="18"/>
                <w:highlight w:val="none"/>
              </w:rPr>
              <w:t>定向。</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w:t>
            </w:r>
            <w:r>
              <w:rPr>
                <w:rFonts w:hint="eastAsia" w:asciiTheme="minorEastAsia" w:hAnsiTheme="minorEastAsia" w:eastAsiaTheme="minorEastAsia" w:cstheme="minorEastAsia"/>
                <w:kern w:val="0"/>
                <w:sz w:val="18"/>
                <w:szCs w:val="18"/>
                <w:highlight w:val="none"/>
              </w:rPr>
              <w:tab/>
            </w:r>
            <w:r>
              <w:rPr>
                <w:rFonts w:hint="eastAsia" w:asciiTheme="minorEastAsia" w:hAnsiTheme="minorEastAsia" w:eastAsiaTheme="minorEastAsia" w:cstheme="minorEastAsia"/>
                <w:kern w:val="0"/>
                <w:sz w:val="18"/>
                <w:szCs w:val="18"/>
                <w:highlight w:val="none"/>
              </w:rPr>
              <w:t>文档转换工具</w:t>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kern w:val="0"/>
                <w:sz w:val="18"/>
                <w:szCs w:val="18"/>
                <w:highlight w:val="none"/>
              </w:rPr>
              <w:t>文档转换工具负责从固定格式的数据库中抽取数据，并将这些数据转换为符合卫生信息标准化规范中的共享文档格式，然后将该共享文档</w:t>
            </w:r>
            <w:r>
              <w:rPr>
                <w:rFonts w:hint="eastAsia" w:asciiTheme="minorEastAsia" w:hAnsiTheme="minorEastAsia" w:cstheme="minorEastAsia"/>
                <w:kern w:val="0"/>
                <w:sz w:val="18"/>
                <w:szCs w:val="18"/>
                <w:highlight w:val="none"/>
              </w:rPr>
              <w:t>下载</w:t>
            </w:r>
            <w:r>
              <w:rPr>
                <w:rFonts w:hint="eastAsia" w:asciiTheme="minorEastAsia" w:hAnsiTheme="minorEastAsia" w:eastAsiaTheme="minorEastAsia" w:cstheme="minorEastAsia"/>
                <w:kern w:val="0"/>
                <w:sz w:val="18"/>
                <w:szCs w:val="18"/>
                <w:highlight w:val="none"/>
              </w:rPr>
              <w:t>或者上传到指定的存储位置。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共享文档引擎</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共享文档引擎实现了共享文档的模板化，编辑生成共享文档，同时能够解析共享文档和浏览共享文档，更高一级要求还包括共享文档的结构和内容的标准化验证。</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1.可视化的共享文档编辑器</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基于共享文档五级架构可对文件夹、文档、章节、条目及元模板进行编辑和管理</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2.共享文档生成服务</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根据标准共享文档模板将一般数据对象转化为标准共享文档</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3.文档解析服务</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对于标准共享文档实现结构解析和内容提取，并提供共享文档可视化浏览</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4.共享文档验证服务</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对平台接收或生成的各类共享文档进行结构和内容的标准化验证。</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5.共享文档导出及匿名化服务</w:t>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kern w:val="0"/>
                <w:sz w:val="18"/>
                <w:szCs w:val="18"/>
                <w:highlight w:val="none"/>
              </w:rPr>
              <w:t>该服务将选定的共享文档</w:t>
            </w:r>
            <w:r>
              <w:rPr>
                <w:rFonts w:hint="eastAsia" w:asciiTheme="minorEastAsia" w:hAnsiTheme="minorEastAsia" w:cstheme="minorEastAsia"/>
                <w:kern w:val="0"/>
                <w:sz w:val="18"/>
                <w:szCs w:val="18"/>
                <w:highlight w:val="none"/>
              </w:rPr>
              <w:t>下载</w:t>
            </w:r>
            <w:r>
              <w:rPr>
                <w:rFonts w:hint="eastAsia" w:asciiTheme="minorEastAsia" w:hAnsiTheme="minorEastAsia" w:eastAsiaTheme="minorEastAsia" w:cstheme="minorEastAsia"/>
                <w:kern w:val="0"/>
                <w:sz w:val="18"/>
                <w:szCs w:val="18"/>
                <w:highlight w:val="none"/>
              </w:rPr>
              <w:t>或者上传到指定的存储位置，同时能够对文档中敏感信息做匿名化处理。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监控日志服务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监控日志服务用来记录系统中</w:t>
            </w:r>
            <w:r>
              <w:rPr>
                <w:rFonts w:hint="eastAsia" w:asciiTheme="minorEastAsia" w:hAnsiTheme="minorEastAsia" w:eastAsiaTheme="minorEastAsia" w:cstheme="minorEastAsia"/>
                <w:kern w:val="0"/>
                <w:sz w:val="18"/>
                <w:szCs w:val="18"/>
                <w:highlight w:val="none"/>
                <w:lang w:eastAsia="zh-Hans"/>
              </w:rPr>
              <w:t>交互</w:t>
            </w:r>
            <w:r>
              <w:rPr>
                <w:rFonts w:hint="eastAsia" w:asciiTheme="minorEastAsia" w:hAnsiTheme="minorEastAsia" w:eastAsiaTheme="minorEastAsia" w:cstheme="minorEastAsia"/>
                <w:kern w:val="0"/>
                <w:sz w:val="18"/>
                <w:szCs w:val="18"/>
                <w:highlight w:val="none"/>
              </w:rPr>
              <w:t>业务</w:t>
            </w:r>
            <w:r>
              <w:rPr>
                <w:rFonts w:hint="eastAsia" w:asciiTheme="minorEastAsia" w:hAnsiTheme="minorEastAsia" w:eastAsiaTheme="minorEastAsia" w:cstheme="minorEastAsia"/>
                <w:kern w:val="0"/>
                <w:sz w:val="18"/>
                <w:szCs w:val="18"/>
                <w:highlight w:val="none"/>
                <w:lang w:eastAsia="zh-Hans"/>
              </w:rPr>
              <w:t>服务日志</w:t>
            </w:r>
            <w:r>
              <w:rPr>
                <w:rFonts w:hint="eastAsia" w:asciiTheme="minorEastAsia" w:hAnsiTheme="minorEastAsia" w:eastAsiaTheme="minorEastAsia" w:cstheme="minorEastAsia"/>
                <w:kern w:val="0"/>
                <w:sz w:val="18"/>
                <w:szCs w:val="18"/>
                <w:highlight w:val="none"/>
              </w:rPr>
              <w:t>，用户可以通过统一界面配置和浏览所记录的事件。</w:t>
            </w:r>
            <w:r>
              <w:rPr>
                <w:rFonts w:hint="eastAsia" w:asciiTheme="minorEastAsia" w:hAnsiTheme="minorEastAsia" w:eastAsiaTheme="minorEastAsia" w:cstheme="minorEastAsia"/>
                <w:kern w:val="0"/>
                <w:sz w:val="18"/>
                <w:szCs w:val="18"/>
                <w:highlight w:val="none"/>
                <w:lang w:eastAsia="zh-Hans"/>
              </w:rPr>
              <w:t>通过对</w:t>
            </w:r>
            <w:r>
              <w:rPr>
                <w:rFonts w:asciiTheme="minorEastAsia" w:hAnsiTheme="minorEastAsia" w:eastAsiaTheme="minorEastAsia" w:cstheme="minorEastAsia"/>
                <w:kern w:val="0"/>
                <w:sz w:val="18"/>
                <w:szCs w:val="18"/>
                <w:highlight w:val="none"/>
                <w:lang w:eastAsia="zh-Hans"/>
              </w:rPr>
              <w:t>ESB</w:t>
            </w:r>
            <w:r>
              <w:rPr>
                <w:rFonts w:hint="eastAsia" w:asciiTheme="minorEastAsia" w:hAnsiTheme="minorEastAsia" w:eastAsiaTheme="minorEastAsia" w:cstheme="minorEastAsia"/>
                <w:kern w:val="0"/>
                <w:sz w:val="18"/>
                <w:szCs w:val="18"/>
                <w:highlight w:val="none"/>
                <w:lang w:eastAsia="zh-Hans"/>
              </w:rPr>
              <w:t>的服务器监控、服务交互的日志进行记录，</w:t>
            </w:r>
            <w:r>
              <w:rPr>
                <w:rFonts w:hint="eastAsia" w:asciiTheme="minorEastAsia" w:hAnsiTheme="minorEastAsia" w:eastAsiaTheme="minorEastAsia" w:cstheme="minorEastAsia"/>
                <w:kern w:val="0"/>
                <w:sz w:val="18"/>
                <w:szCs w:val="18"/>
                <w:highlight w:val="none"/>
              </w:rPr>
              <w:t>同时将提供一个集中式监控日志浏览</w:t>
            </w:r>
            <w:r>
              <w:rPr>
                <w:rFonts w:hint="eastAsia" w:asciiTheme="minorEastAsia" w:hAnsiTheme="minorEastAsia" w:eastAsiaTheme="minorEastAsia" w:cstheme="minorEastAsia"/>
                <w:kern w:val="0"/>
                <w:sz w:val="18"/>
                <w:szCs w:val="18"/>
                <w:highlight w:val="none"/>
                <w:lang w:eastAsia="zh-Hans"/>
              </w:rPr>
              <w:t>，提供服务调用量、错误量、调用趋势分析</w:t>
            </w:r>
            <w:r>
              <w:rPr>
                <w:rFonts w:hint="eastAsia" w:asciiTheme="minorEastAsia" w:hAnsiTheme="minorEastAsia" w:eastAsiaTheme="minorEastAsia" w:cstheme="minorEastAsia"/>
                <w:kern w:val="0"/>
                <w:sz w:val="18"/>
                <w:szCs w:val="18"/>
                <w:highlight w:val="none"/>
              </w:rPr>
              <w:t>，用网页界面方式供用户查询和浏览。</w:t>
            </w:r>
            <w:bookmarkStart w:id="247" w:name="_Toc438303530"/>
          </w:p>
          <w:p>
            <w:pPr>
              <w:ind w:firstLine="480"/>
              <w:rPr>
                <w:rFonts w:asciiTheme="minorEastAsia" w:hAnsiTheme="minorEastAsia" w:eastAsiaTheme="minorEastAsia" w:cstheme="minorEastAsia"/>
                <w:bCs/>
                <w:kern w:val="0"/>
                <w:sz w:val="18"/>
                <w:szCs w:val="18"/>
                <w:highlight w:val="none"/>
              </w:rPr>
            </w:pPr>
            <w:r>
              <w:rPr>
                <w:rFonts w:hint="eastAsia" w:asciiTheme="minorEastAsia" w:hAnsiTheme="minorEastAsia" w:eastAsiaTheme="minorEastAsia" w:cstheme="minorEastAsia"/>
                <w:bCs/>
                <w:kern w:val="0"/>
                <w:sz w:val="18"/>
                <w:szCs w:val="18"/>
                <w:highlight w:val="none"/>
              </w:rPr>
              <w:t>1.数据共享API管理</w:t>
            </w:r>
            <w:bookmarkEnd w:id="247"/>
          </w:p>
          <w:p>
            <w:pPr>
              <w:ind w:firstLine="480"/>
              <w:rPr>
                <w:rFonts w:asciiTheme="minorEastAsia" w:hAnsiTheme="minorEastAsia" w:eastAsiaTheme="minorEastAsia" w:cstheme="minorEastAsia"/>
                <w:bCs/>
                <w:kern w:val="0"/>
                <w:sz w:val="18"/>
                <w:szCs w:val="18"/>
                <w:highlight w:val="none"/>
              </w:rPr>
            </w:pPr>
            <w:r>
              <w:rPr>
                <w:rFonts w:hint="eastAsia" w:asciiTheme="minorEastAsia" w:hAnsiTheme="minorEastAsia" w:eastAsiaTheme="minorEastAsia" w:cstheme="minorEastAsia"/>
                <w:bCs/>
                <w:kern w:val="0"/>
                <w:sz w:val="18"/>
                <w:szCs w:val="18"/>
                <w:highlight w:val="none"/>
              </w:rPr>
              <w:t>统一管理平台向不同机构提供的业务数据共享API服务。在已有的数据基础上，通过多维度分析技术、即席查询技术进行对数据的获取，并可根据用户对于数据的需求，在数据安全的基础上，开放用户定制的数据API接口，使得用户能够方便使用数据。</w:t>
            </w:r>
          </w:p>
          <w:p>
            <w:pPr>
              <w:ind w:firstLine="480"/>
              <w:rPr>
                <w:rFonts w:asciiTheme="minorEastAsia" w:hAnsiTheme="minorEastAsia" w:eastAsiaTheme="minorEastAsia" w:cstheme="minorEastAsia"/>
                <w:bCs/>
                <w:kern w:val="0"/>
                <w:sz w:val="18"/>
                <w:szCs w:val="18"/>
                <w:highlight w:val="none"/>
              </w:rPr>
            </w:pPr>
            <w:bookmarkStart w:id="248" w:name="_Toc438303532"/>
            <w:r>
              <w:rPr>
                <w:rFonts w:hint="eastAsia" w:asciiTheme="minorEastAsia" w:hAnsiTheme="minorEastAsia" w:eastAsiaTheme="minorEastAsia" w:cstheme="minorEastAsia"/>
                <w:bCs/>
                <w:kern w:val="0"/>
                <w:sz w:val="18"/>
                <w:szCs w:val="18"/>
                <w:highlight w:val="none"/>
              </w:rPr>
              <w:t>2.消息管理模块</w:t>
            </w:r>
            <w:bookmarkEnd w:id="248"/>
          </w:p>
          <w:p>
            <w:pPr>
              <w:ind w:firstLine="480"/>
              <w:rPr>
                <w:rFonts w:asciiTheme="minorEastAsia" w:hAnsiTheme="minorEastAsia" w:eastAsiaTheme="minorEastAsia" w:cstheme="minorEastAsia"/>
                <w:bCs/>
                <w:kern w:val="0"/>
                <w:sz w:val="18"/>
                <w:szCs w:val="18"/>
                <w:highlight w:val="none"/>
              </w:rPr>
            </w:pPr>
            <w:r>
              <w:rPr>
                <w:rFonts w:hint="eastAsia" w:asciiTheme="minorEastAsia" w:hAnsiTheme="minorEastAsia" w:eastAsiaTheme="minorEastAsia" w:cstheme="minorEastAsia"/>
                <w:bCs/>
                <w:kern w:val="0"/>
                <w:sz w:val="18"/>
                <w:szCs w:val="18"/>
                <w:highlight w:val="none"/>
              </w:rPr>
              <w:t>消息缓存：消息缓存服务在数据交换共享过程中提供一个消息</w:t>
            </w:r>
            <w:r>
              <w:rPr>
                <w:rFonts w:hint="eastAsia" w:asciiTheme="minorEastAsia" w:hAnsiTheme="minorEastAsia" w:eastAsiaTheme="minorEastAsia" w:cstheme="minorEastAsia"/>
                <w:bCs/>
                <w:kern w:val="0"/>
                <w:sz w:val="18"/>
                <w:szCs w:val="18"/>
                <w:highlight w:val="none"/>
                <w:lang w:eastAsia="zh-Hans"/>
              </w:rPr>
              <w:t>存储</w:t>
            </w:r>
            <w:r>
              <w:rPr>
                <w:rFonts w:hint="eastAsia" w:asciiTheme="minorEastAsia" w:hAnsiTheme="minorEastAsia" w:eastAsiaTheme="minorEastAsia" w:cstheme="minorEastAsia"/>
                <w:bCs/>
                <w:kern w:val="0"/>
                <w:sz w:val="18"/>
                <w:szCs w:val="18"/>
                <w:highlight w:val="none"/>
              </w:rPr>
              <w:t>机制，大批量数据在进行交换共享时，保证了数据服务的响应时间和稳定性。</w:t>
            </w:r>
          </w:p>
          <w:p>
            <w:pPr>
              <w:ind w:firstLine="480"/>
              <w:rPr>
                <w:rFonts w:asciiTheme="minorEastAsia" w:hAnsiTheme="minorEastAsia" w:eastAsiaTheme="minorEastAsia" w:cstheme="minorEastAsia"/>
                <w:bCs/>
                <w:kern w:val="0"/>
                <w:sz w:val="18"/>
                <w:szCs w:val="18"/>
                <w:highlight w:val="none"/>
              </w:rPr>
            </w:pPr>
            <w:r>
              <w:rPr>
                <w:rFonts w:hint="eastAsia" w:asciiTheme="minorEastAsia" w:hAnsiTheme="minorEastAsia" w:eastAsiaTheme="minorEastAsia" w:cstheme="minorEastAsia"/>
                <w:bCs/>
                <w:kern w:val="0"/>
                <w:sz w:val="18"/>
                <w:szCs w:val="18"/>
                <w:highlight w:val="none"/>
              </w:rPr>
              <w:t>消息解析：能够对不同的通讯协议，采用对应的处理方式，能将交换共享的数据获取。消息的解析包括实现对共享文档内容的解析、自定义消息内容的解析、HL7消息内容的解析。</w:t>
            </w:r>
          </w:p>
          <w:p>
            <w:pPr>
              <w:ind w:firstLine="480"/>
              <w:rPr>
                <w:rFonts w:asciiTheme="minorEastAsia" w:hAnsiTheme="minorEastAsia" w:eastAsiaTheme="minorEastAsia" w:cstheme="minorEastAsia"/>
                <w:bCs/>
                <w:kern w:val="0"/>
                <w:sz w:val="18"/>
                <w:szCs w:val="18"/>
                <w:highlight w:val="none"/>
              </w:rPr>
            </w:pPr>
            <w:r>
              <w:rPr>
                <w:rFonts w:hint="eastAsia" w:asciiTheme="minorEastAsia" w:hAnsiTheme="minorEastAsia" w:eastAsiaTheme="minorEastAsia" w:cstheme="minorEastAsia"/>
                <w:bCs/>
                <w:kern w:val="0"/>
                <w:sz w:val="18"/>
                <w:szCs w:val="18"/>
                <w:highlight w:val="none"/>
              </w:rPr>
              <w:t>消息增强：提供</w:t>
            </w:r>
            <w:r>
              <w:rPr>
                <w:rFonts w:hint="eastAsia" w:asciiTheme="minorEastAsia" w:hAnsiTheme="minorEastAsia" w:eastAsiaTheme="minorEastAsia" w:cstheme="minorEastAsia"/>
                <w:bCs/>
                <w:kern w:val="0"/>
                <w:sz w:val="18"/>
                <w:szCs w:val="18"/>
                <w:highlight w:val="none"/>
                <w:lang w:eastAsia="zh-Hans"/>
              </w:rPr>
              <w:t>消息体数据处理增强，实现消息字符处理功能</w:t>
            </w:r>
            <w:r>
              <w:rPr>
                <w:rFonts w:hint="eastAsia" w:asciiTheme="minorEastAsia" w:hAnsiTheme="minorEastAsia" w:eastAsiaTheme="minorEastAsia" w:cstheme="minorEastAsia"/>
                <w:bCs/>
                <w:kern w:val="0"/>
                <w:sz w:val="18"/>
                <w:szCs w:val="18"/>
                <w:highlight w:val="none"/>
              </w:rPr>
              <w:t>。</w:t>
            </w:r>
          </w:p>
          <w:p>
            <w:pPr>
              <w:ind w:firstLine="480"/>
              <w:rPr>
                <w:rFonts w:asciiTheme="minorEastAsia" w:hAnsiTheme="minorEastAsia" w:eastAsiaTheme="minorEastAsia" w:cstheme="minorEastAsia"/>
                <w:bCs/>
                <w:kern w:val="0"/>
                <w:sz w:val="18"/>
                <w:szCs w:val="18"/>
                <w:highlight w:val="none"/>
              </w:rPr>
            </w:pPr>
            <w:r>
              <w:rPr>
                <w:rFonts w:hint="eastAsia" w:asciiTheme="minorEastAsia" w:hAnsiTheme="minorEastAsia" w:eastAsiaTheme="minorEastAsia" w:cstheme="minorEastAsia"/>
                <w:bCs/>
                <w:kern w:val="0"/>
                <w:sz w:val="18"/>
                <w:szCs w:val="18"/>
                <w:highlight w:val="none"/>
              </w:rPr>
              <w:t>消息路由：能够针对不同的消息，及其路由配置规则，实现不同目的地的转发。</w:t>
            </w:r>
          </w:p>
          <w:p>
            <w:pPr>
              <w:ind w:firstLine="480"/>
              <w:rPr>
                <w:rFonts w:asciiTheme="minorEastAsia" w:hAnsiTheme="minorEastAsia" w:eastAsiaTheme="minorEastAsia" w:cstheme="minorEastAsia"/>
                <w:bCs/>
                <w:kern w:val="0"/>
                <w:sz w:val="18"/>
                <w:szCs w:val="18"/>
                <w:highlight w:val="none"/>
              </w:rPr>
            </w:pPr>
            <w:r>
              <w:rPr>
                <w:rFonts w:hint="eastAsia" w:asciiTheme="minorEastAsia" w:hAnsiTheme="minorEastAsia" w:eastAsiaTheme="minorEastAsia" w:cstheme="minorEastAsia"/>
                <w:bCs/>
                <w:kern w:val="0"/>
                <w:sz w:val="18"/>
                <w:szCs w:val="18"/>
                <w:highlight w:val="none"/>
              </w:rPr>
              <w:t>消息解密/加密：能够根据不同的加密/解密算法，</w:t>
            </w:r>
            <w:r>
              <w:rPr>
                <w:rFonts w:hint="eastAsia" w:asciiTheme="minorEastAsia" w:hAnsiTheme="minorEastAsia" w:eastAsiaTheme="minorEastAsia" w:cstheme="minorEastAsia"/>
                <w:bCs/>
                <w:kern w:val="0"/>
                <w:sz w:val="18"/>
                <w:szCs w:val="18"/>
                <w:highlight w:val="none"/>
                <w:lang w:eastAsia="zh-Hans"/>
              </w:rPr>
              <w:t>数据加密组件</w:t>
            </w:r>
            <w:r>
              <w:rPr>
                <w:rFonts w:hint="eastAsia" w:asciiTheme="minorEastAsia" w:hAnsiTheme="minorEastAsia" w:eastAsiaTheme="minorEastAsia" w:cstheme="minorEastAsia"/>
                <w:bCs/>
                <w:kern w:val="0"/>
                <w:sz w:val="18"/>
                <w:szCs w:val="18"/>
                <w:highlight w:val="none"/>
              </w:rPr>
              <w:t>实现消息的解密/加密。</w:t>
            </w:r>
          </w:p>
          <w:p>
            <w:pPr>
              <w:ind w:firstLine="480"/>
              <w:rPr>
                <w:rFonts w:asciiTheme="minorEastAsia" w:hAnsiTheme="minorEastAsia" w:eastAsiaTheme="minorEastAsia" w:cstheme="minorEastAsia"/>
                <w:bCs/>
                <w:kern w:val="0"/>
                <w:sz w:val="18"/>
                <w:szCs w:val="18"/>
                <w:highlight w:val="none"/>
              </w:rPr>
            </w:pPr>
            <w:bookmarkStart w:id="249" w:name="_Toc438303534"/>
            <w:r>
              <w:rPr>
                <w:rFonts w:hint="eastAsia" w:asciiTheme="minorEastAsia" w:hAnsiTheme="minorEastAsia" w:eastAsiaTheme="minorEastAsia" w:cstheme="minorEastAsia"/>
                <w:bCs/>
                <w:kern w:val="0"/>
                <w:sz w:val="18"/>
                <w:szCs w:val="18"/>
                <w:highlight w:val="none"/>
              </w:rPr>
              <w:t>3.业务流程编排管理模块</w:t>
            </w:r>
            <w:bookmarkEnd w:id="249"/>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业务流程编排管理：在业务流程编排管理中，定义业务执行先后顺序规则。通过编排服务引擎，有步骤的执行完一个数据交换共享的过程。</w:t>
            </w:r>
          </w:p>
          <w:p>
            <w:pPr>
              <w:ind w:firstLine="480"/>
              <w:rPr>
                <w:rFonts w:asciiTheme="minorEastAsia" w:hAnsiTheme="minorEastAsia" w:eastAsiaTheme="minorEastAsia" w:cstheme="minorEastAsia"/>
                <w:bCs/>
                <w:kern w:val="0"/>
                <w:sz w:val="18"/>
                <w:szCs w:val="18"/>
                <w:highlight w:val="none"/>
              </w:rPr>
            </w:pPr>
            <w:bookmarkStart w:id="250" w:name="_Toc438303531"/>
            <w:r>
              <w:rPr>
                <w:rFonts w:hint="eastAsia" w:asciiTheme="minorEastAsia" w:hAnsiTheme="minorEastAsia" w:eastAsiaTheme="minorEastAsia" w:cstheme="minorEastAsia"/>
                <w:bCs/>
                <w:kern w:val="0"/>
                <w:sz w:val="18"/>
                <w:szCs w:val="18"/>
                <w:highlight w:val="none"/>
              </w:rPr>
              <w:t>4.安全监控管理模块</w:t>
            </w:r>
            <w:bookmarkEnd w:id="250"/>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权限管理：对不同的用户具有不同的权限，根据全</w:t>
            </w:r>
            <w:r>
              <w:rPr>
                <w:rFonts w:hint="eastAsia" w:asciiTheme="majorEastAsia" w:hAnsiTheme="majorEastAsia" w:eastAsiaTheme="majorEastAsia" w:cstheme="majorEastAsia"/>
                <w:sz w:val="18"/>
                <w:szCs w:val="18"/>
                <w:highlight w:val="none"/>
              </w:rPr>
              <w:t>市</w:t>
            </w:r>
            <w:r>
              <w:rPr>
                <w:rFonts w:hint="eastAsia" w:asciiTheme="minorEastAsia" w:hAnsiTheme="minorEastAsia" w:eastAsiaTheme="minorEastAsia" w:cstheme="minorEastAsia"/>
                <w:kern w:val="0"/>
                <w:sz w:val="18"/>
                <w:szCs w:val="18"/>
                <w:highlight w:val="none"/>
              </w:rPr>
              <w:t>登录不同的管理界面。系统应该根据用户权限的不同，使用不同级别的功能，访问不同级别的消息内容。这样保证了系统的安全性、可靠性和稳定性，以及数据的隐私。</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日志记录服务：日志记录服务用来记录系统中所处理的业务事件，用户可以通过统一界面配置和浏览所记录的事件。日志记录服务将针对</w:t>
            </w:r>
            <w:r>
              <w:rPr>
                <w:rFonts w:hint="eastAsia" w:asciiTheme="minorEastAsia" w:hAnsiTheme="minorEastAsia" w:eastAsiaTheme="minorEastAsia" w:cstheme="minorEastAsia"/>
                <w:kern w:val="0"/>
                <w:sz w:val="18"/>
                <w:szCs w:val="18"/>
                <w:highlight w:val="none"/>
                <w:lang w:eastAsia="zh-Hans"/>
              </w:rPr>
              <w:t>平台内服务交换日志</w:t>
            </w:r>
            <w:r>
              <w:rPr>
                <w:rFonts w:hint="eastAsia" w:asciiTheme="minorEastAsia" w:hAnsiTheme="minorEastAsia" w:eastAsiaTheme="minorEastAsia" w:cstheme="minorEastAsia"/>
                <w:kern w:val="0"/>
                <w:sz w:val="18"/>
                <w:szCs w:val="18"/>
                <w:highlight w:val="none"/>
              </w:rPr>
              <w:t>进行记录。日志记录日常用户使用的情况，跟踪每一笔数据交换过程后进行的所有操作。如操作流水号、院区、系统名称、发送时间、接收时间、</w:t>
            </w:r>
            <w:r>
              <w:rPr>
                <w:rFonts w:hint="eastAsia" w:asciiTheme="minorEastAsia" w:hAnsiTheme="minorEastAsia" w:eastAsiaTheme="minorEastAsia" w:cstheme="minorEastAsia"/>
                <w:kern w:val="0"/>
                <w:sz w:val="18"/>
                <w:szCs w:val="18"/>
                <w:highlight w:val="none"/>
                <w:lang w:eastAsia="zh-Hans"/>
              </w:rPr>
              <w:t>服务</w:t>
            </w:r>
            <w:r>
              <w:rPr>
                <w:rFonts w:hint="eastAsia" w:asciiTheme="minorEastAsia" w:hAnsiTheme="minorEastAsia" w:eastAsiaTheme="minorEastAsia" w:cstheme="minorEastAsia"/>
                <w:kern w:val="0"/>
                <w:sz w:val="18"/>
                <w:szCs w:val="18"/>
                <w:highlight w:val="none"/>
              </w:rPr>
              <w:t>名称等，用以提高系统的安全性，跟踪非法操作与越权操作，统计接口的执行频度。系统同时将提供一个集中式监控日志浏览接口，用网页界面方式供用户查询和浏览。</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日志审计：日志审计反映了每个服务的生命周期的痕迹。它记录了从消息代理、服务解析，到服务排队、服务路由每个检查点的状态。能使系统管理人员了解和掌握系统的运行和使用情况，达到监控系统运行状态的目的。</w:t>
            </w:r>
          </w:p>
          <w:p>
            <w:pPr>
              <w:ind w:firstLine="480"/>
              <w:rPr>
                <w:rFonts w:asciiTheme="minorEastAsia" w:hAnsiTheme="minorEastAsia" w:eastAsiaTheme="minorEastAsia" w:cstheme="minorEastAsia"/>
                <w:kern w:val="0"/>
                <w:sz w:val="18"/>
                <w:szCs w:val="18"/>
                <w:highlight w:val="none"/>
              </w:rPr>
            </w:pPr>
            <w:r>
              <w:rPr>
                <w:rFonts w:hint="eastAsia" w:asciiTheme="minorEastAsia" w:hAnsiTheme="minorEastAsia" w:eastAsiaTheme="minorEastAsia" w:cstheme="minorEastAsia"/>
                <w:kern w:val="0"/>
                <w:sz w:val="18"/>
                <w:szCs w:val="18"/>
                <w:highlight w:val="none"/>
              </w:rPr>
              <w:t>异常服务的维护管理：为平台运维人员提供异常服务的维护手段。系统无法根据现有处理规则对数据进行自动的处理时，会自动的将这些异常业务数据及其说明等信息维护到系统中的日志库中。数据维护人员通过异常服务的维护管理功能浏览、查询这些异常数据。</w:t>
            </w:r>
          </w:p>
          <w:p>
            <w:pPr>
              <w:ind w:firstLine="480"/>
              <w:rPr>
                <w:rFonts w:ascii="宋体" w:hAnsi="宋体" w:cs="宋体"/>
                <w:color w:val="000000"/>
                <w:kern w:val="0"/>
                <w:sz w:val="18"/>
                <w:szCs w:val="18"/>
                <w:highlight w:val="none"/>
                <w:lang w:bidi="ar"/>
              </w:rPr>
            </w:pPr>
            <w:bookmarkStart w:id="251" w:name="_Toc343260259"/>
            <w:r>
              <w:rPr>
                <w:rFonts w:hint="eastAsia" w:asciiTheme="minorEastAsia" w:hAnsiTheme="minorEastAsia" w:eastAsiaTheme="minorEastAsia" w:cstheme="minorEastAsia"/>
                <w:kern w:val="0"/>
                <w:sz w:val="18"/>
                <w:szCs w:val="18"/>
                <w:highlight w:val="none"/>
                <w:lang w:eastAsia="zh-Hans"/>
              </w:rPr>
              <w:t>加密</w:t>
            </w:r>
            <w:r>
              <w:rPr>
                <w:rFonts w:hint="eastAsia" w:asciiTheme="minorEastAsia" w:hAnsiTheme="minorEastAsia" w:eastAsiaTheme="minorEastAsia" w:cstheme="minorEastAsia"/>
                <w:kern w:val="0"/>
                <w:sz w:val="18"/>
                <w:szCs w:val="18"/>
                <w:highlight w:val="none"/>
              </w:rPr>
              <w:t>管理</w:t>
            </w:r>
            <w:bookmarkEnd w:id="251"/>
            <w:r>
              <w:rPr>
                <w:rFonts w:hint="eastAsia" w:asciiTheme="minorEastAsia" w:hAnsiTheme="minorEastAsia" w:eastAsiaTheme="minorEastAsia" w:cstheme="minorEastAsia"/>
                <w:kern w:val="0"/>
                <w:sz w:val="18"/>
                <w:szCs w:val="18"/>
                <w:highlight w:val="none"/>
              </w:rPr>
              <w:t>：协调平台将与异构平台进行交互的</w:t>
            </w:r>
            <w:r>
              <w:rPr>
                <w:rFonts w:hint="eastAsia" w:asciiTheme="minorEastAsia" w:hAnsiTheme="minorEastAsia" w:eastAsiaTheme="minorEastAsia" w:cstheme="minorEastAsia"/>
                <w:kern w:val="0"/>
                <w:sz w:val="18"/>
                <w:szCs w:val="18"/>
                <w:highlight w:val="none"/>
                <w:lang w:eastAsia="zh-Hans"/>
              </w:rPr>
              <w:t>统一加密</w:t>
            </w:r>
            <w:r>
              <w:rPr>
                <w:rFonts w:hint="eastAsia" w:asciiTheme="minorEastAsia" w:hAnsiTheme="minorEastAsia" w:eastAsiaTheme="minorEastAsia" w:cstheme="minorEastAsia"/>
                <w:kern w:val="0"/>
                <w:sz w:val="18"/>
                <w:szCs w:val="18"/>
                <w:highlight w:val="none"/>
              </w:rPr>
              <w:t>管理。</w:t>
            </w:r>
            <w:r>
              <w:rPr>
                <w:rFonts w:hint="eastAsia" w:asciiTheme="minorEastAsia" w:hAnsiTheme="minorEastAsia" w:eastAsiaTheme="minorEastAsia" w:cstheme="minorEastAsia"/>
                <w:kern w:val="0"/>
                <w:sz w:val="18"/>
                <w:szCs w:val="18"/>
                <w:highlight w:val="none"/>
                <w:lang w:eastAsia="zh-Hans"/>
              </w:rPr>
              <w:t>提供加密组件，确保在数据传输过程中能够实现加密处理</w:t>
            </w:r>
            <w:r>
              <w:rPr>
                <w:rFonts w:hint="eastAsia" w:asciiTheme="minorEastAsia" w:hAnsiTheme="minorEastAsia" w:eastAsiaTheme="minorEastAsia" w:cstheme="minorEastAsia"/>
                <w:kern w:val="0"/>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数据质量管理系统</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数据集成接入模块</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sz w:val="18"/>
                <w:szCs w:val="18"/>
                <w:highlight w:val="none"/>
              </w:rPr>
            </w:pPr>
            <w:r>
              <w:rPr>
                <w:rFonts w:hint="eastAsia"/>
                <w:sz w:val="18"/>
                <w:szCs w:val="18"/>
                <w:highlight w:val="none"/>
              </w:rPr>
              <w:t>本项目将根据需要采集数据的范围及要求，以病人为中心集成患者数据。历史数据集成将在医院提供的备份库进行数据集成，实时数据采集将使用数据库复制技术对生产系统数据库业务数据表进行复制，在建立的复制库上进行数据抽取，保证对生成系统数据库性能无影响。数据集成采用ETL技术对业务系统源数据进行数据深度清洗、标准化转换、结构化存储到科研数据中心中。</w:t>
            </w:r>
          </w:p>
          <w:p>
            <w:pPr>
              <w:jc w:val="left"/>
              <w:rPr>
                <w:rFonts w:ascii="宋体" w:hAnsi="宋体"/>
                <w:sz w:val="18"/>
                <w:szCs w:val="18"/>
                <w:highlight w:val="none"/>
                <w:lang w:eastAsia="zh-Hans"/>
              </w:rPr>
            </w:pPr>
            <w:r>
              <w:rPr>
                <w:rFonts w:hint="eastAsia" w:ascii="宋体" w:hAnsi="宋体"/>
                <w:sz w:val="18"/>
                <w:szCs w:val="18"/>
                <w:highlight w:val="none"/>
              </w:rPr>
              <w:t>通</w:t>
            </w:r>
            <w:r>
              <w:rPr>
                <w:rFonts w:hint="eastAsia" w:ascii="宋体" w:hAnsi="宋体"/>
                <w:sz w:val="18"/>
                <w:szCs w:val="18"/>
                <w:highlight w:val="none"/>
                <w:lang w:eastAsia="zh-Hans"/>
              </w:rPr>
              <w:t>过CDC</w:t>
            </w:r>
            <w:r>
              <w:rPr>
                <w:rFonts w:ascii="宋体" w:hAnsi="宋体"/>
                <w:sz w:val="18"/>
                <w:szCs w:val="18"/>
                <w:highlight w:val="none"/>
                <w:lang w:eastAsia="zh-Hans"/>
              </w:rPr>
              <w:t>(</w:t>
            </w:r>
            <w:r>
              <w:rPr>
                <w:rFonts w:hint="eastAsia" w:ascii="宋体" w:hAnsi="宋体"/>
                <w:sz w:val="18"/>
                <w:szCs w:val="18"/>
                <w:highlight w:val="none"/>
              </w:rPr>
              <w:t>change data capture,</w:t>
            </w:r>
            <w:r>
              <w:rPr>
                <w:rFonts w:ascii="宋体" w:hAnsi="宋体"/>
                <w:sz w:val="18"/>
                <w:szCs w:val="18"/>
                <w:highlight w:val="none"/>
              </w:rPr>
              <w:t>CDC</w:t>
            </w:r>
            <w:r>
              <w:rPr>
                <w:rFonts w:ascii="宋体" w:hAnsi="宋体"/>
                <w:sz w:val="18"/>
                <w:szCs w:val="18"/>
                <w:highlight w:val="none"/>
                <w:lang w:eastAsia="zh-Hans"/>
              </w:rPr>
              <w:t>)</w:t>
            </w:r>
            <w:r>
              <w:rPr>
                <w:rFonts w:hint="eastAsia" w:ascii="宋体" w:hAnsi="宋体"/>
                <w:sz w:val="18"/>
                <w:szCs w:val="18"/>
                <w:highlight w:val="none"/>
                <w:lang w:eastAsia="zh-Hans"/>
              </w:rPr>
              <w:t>+ETL</w:t>
            </w:r>
            <w:r>
              <w:rPr>
                <w:rFonts w:ascii="宋体" w:hAnsi="宋体"/>
                <w:sz w:val="18"/>
                <w:szCs w:val="18"/>
                <w:highlight w:val="none"/>
                <w:lang w:eastAsia="zh-Hans"/>
              </w:rPr>
              <w:t>(</w:t>
            </w:r>
            <w:r>
              <w:rPr>
                <w:rFonts w:hint="eastAsia" w:ascii="宋体" w:hAnsi="宋体"/>
                <w:sz w:val="18"/>
                <w:szCs w:val="18"/>
                <w:highlight w:val="none"/>
              </w:rPr>
              <w:t>Extract-Transform-Load</w:t>
            </w:r>
            <w:r>
              <w:rPr>
                <w:rFonts w:ascii="宋体" w:hAnsi="宋体"/>
                <w:sz w:val="18"/>
                <w:szCs w:val="18"/>
                <w:highlight w:val="none"/>
                <w:lang w:eastAsia="zh-Hans"/>
              </w:rPr>
              <w:t>)</w:t>
            </w:r>
            <w:r>
              <w:rPr>
                <w:rFonts w:hint="eastAsia" w:ascii="宋体" w:hAnsi="宋体"/>
                <w:sz w:val="18"/>
                <w:szCs w:val="18"/>
                <w:highlight w:val="none"/>
                <w:lang w:eastAsia="zh-Hans"/>
              </w:rPr>
              <w:t>技术，对原生成系统进行数据作业，构建业务数据实时缓存集。该库的数据为实时性，保证与源库数据保持一致，能够为集成平台服务开放、查询、统计、数据中心等应用提供数据基础。其数据结构必须可以保证能够同时收纳不同业务系统间的数据，并且可以为上层数据仓库提供综合的、面向不同主题域的明细数据。</w:t>
            </w:r>
          </w:p>
          <w:p>
            <w:pPr>
              <w:ind w:firstLine="480"/>
              <w:rPr>
                <w:rFonts w:ascii="宋体" w:hAnsi="宋体"/>
                <w:sz w:val="18"/>
                <w:szCs w:val="18"/>
                <w:highlight w:val="none"/>
                <w:lang w:eastAsia="zh-Hans"/>
              </w:rPr>
            </w:pPr>
            <w:r>
              <w:rPr>
                <w:rFonts w:hint="eastAsia" w:ascii="宋体" w:hAnsi="宋体"/>
                <w:sz w:val="18"/>
                <w:szCs w:val="18"/>
                <w:highlight w:val="none"/>
                <w:lang w:eastAsia="zh-Hans"/>
              </w:rPr>
              <w:t>通过</w:t>
            </w:r>
            <w:r>
              <w:rPr>
                <w:rFonts w:ascii="宋体" w:hAnsi="宋体"/>
                <w:sz w:val="18"/>
                <w:szCs w:val="18"/>
                <w:highlight w:val="none"/>
                <w:lang w:eastAsia="zh-Hans"/>
              </w:rPr>
              <w:t>CDC</w:t>
            </w:r>
            <w:r>
              <w:rPr>
                <w:rFonts w:hint="eastAsia" w:ascii="宋体" w:hAnsi="宋体"/>
                <w:sz w:val="18"/>
                <w:szCs w:val="18"/>
                <w:highlight w:val="none"/>
                <w:lang w:eastAsia="zh-Hans"/>
              </w:rPr>
              <w:t>实时数据同步可以实现如下的采集功能：</w:t>
            </w:r>
          </w:p>
          <w:p>
            <w:pPr>
              <w:ind w:firstLine="480"/>
              <w:rPr>
                <w:rFonts w:ascii="宋体" w:hAnsi="宋体"/>
                <w:sz w:val="18"/>
                <w:szCs w:val="18"/>
                <w:highlight w:val="none"/>
              </w:rPr>
            </w:pPr>
            <w:r>
              <w:rPr>
                <w:rFonts w:ascii="宋体" w:hAnsi="宋体"/>
                <w:sz w:val="18"/>
                <w:szCs w:val="18"/>
                <w:highlight w:val="none"/>
                <w:lang w:eastAsia="zh-Hans"/>
              </w:rPr>
              <w:t>1</w:t>
            </w:r>
            <w:r>
              <w:rPr>
                <w:rFonts w:hint="eastAsia" w:ascii="宋体" w:hAnsi="宋体"/>
                <w:sz w:val="18"/>
                <w:szCs w:val="18"/>
                <w:highlight w:val="none"/>
                <w:lang w:eastAsia="zh-Hans"/>
              </w:rPr>
              <w:t>）</w:t>
            </w:r>
            <w:r>
              <w:rPr>
                <w:rFonts w:hint="eastAsia" w:ascii="宋体" w:hAnsi="宋体"/>
                <w:sz w:val="18"/>
                <w:szCs w:val="18"/>
                <w:highlight w:val="none"/>
              </w:rPr>
              <w:t>平台通过图形化的配置界面实现分布的、异构的、跨网络的各</w:t>
            </w:r>
            <w:r>
              <w:rPr>
                <w:rFonts w:hint="eastAsia" w:ascii="宋体" w:hAnsi="宋体"/>
                <w:sz w:val="18"/>
                <w:szCs w:val="18"/>
                <w:highlight w:val="none"/>
                <w:lang w:eastAsia="zh-Hans"/>
              </w:rPr>
              <w:t>业务</w:t>
            </w:r>
            <w:r>
              <w:rPr>
                <w:rFonts w:hint="eastAsia" w:ascii="宋体" w:hAnsi="宋体"/>
                <w:sz w:val="18"/>
                <w:szCs w:val="18"/>
                <w:highlight w:val="none"/>
              </w:rPr>
              <w:t>数据信息资源的交换汇聚，通过单一平台就可以完成各部门各类数据信息资源的汇聚。汇聚的过程中,可以按照指定的标准、行业标准、国标对数据资源进行标准化,从而利于汇聚后的数据对外提供服务，使数据按一定业务规则成为可复用的信息资源服务</w:t>
            </w:r>
            <w:r>
              <w:rPr>
                <w:rFonts w:hint="eastAsia" w:ascii="宋体" w:hAnsi="宋体"/>
                <w:sz w:val="18"/>
                <w:szCs w:val="18"/>
                <w:highlight w:val="none"/>
                <w:lang w:eastAsia="zh-Hans"/>
              </w:rPr>
              <w:t>。</w:t>
            </w:r>
          </w:p>
          <w:p>
            <w:pPr>
              <w:ind w:firstLine="480"/>
              <w:rPr>
                <w:rFonts w:ascii="宋体" w:hAnsi="宋体"/>
                <w:sz w:val="18"/>
                <w:szCs w:val="18"/>
                <w:highlight w:val="none"/>
                <w:lang w:eastAsia="zh-Hans"/>
              </w:rPr>
            </w:pPr>
            <w:r>
              <w:rPr>
                <w:rFonts w:ascii="宋体" w:hAnsi="宋体"/>
                <w:sz w:val="18"/>
                <w:szCs w:val="18"/>
                <w:highlight w:val="none"/>
              </w:rPr>
              <w:t>2</w:t>
            </w:r>
            <w:r>
              <w:rPr>
                <w:rFonts w:hint="eastAsia" w:ascii="宋体" w:hAnsi="宋体"/>
                <w:sz w:val="18"/>
                <w:szCs w:val="18"/>
                <w:highlight w:val="none"/>
                <w:lang w:eastAsia="zh-Hans"/>
              </w:rPr>
              <w:t>）</w:t>
            </w:r>
            <w:r>
              <w:rPr>
                <w:rFonts w:hint="eastAsia" w:ascii="宋体" w:hAnsi="宋体"/>
                <w:sz w:val="18"/>
                <w:szCs w:val="18"/>
                <w:highlight w:val="none"/>
              </w:rPr>
              <w:t>支持</w:t>
            </w:r>
            <w:r>
              <w:rPr>
                <w:rFonts w:hint="eastAsia" w:ascii="宋体" w:hAnsi="宋体"/>
                <w:sz w:val="18"/>
                <w:szCs w:val="18"/>
                <w:highlight w:val="none"/>
                <w:lang w:eastAsia="zh-Hans"/>
              </w:rPr>
              <w:t>丰富</w:t>
            </w:r>
            <w:r>
              <w:rPr>
                <w:rFonts w:hint="eastAsia" w:ascii="宋体" w:hAnsi="宋体"/>
                <w:sz w:val="18"/>
                <w:szCs w:val="18"/>
                <w:highlight w:val="none"/>
              </w:rPr>
              <w:t>的数据源和目标源,可以为ODS的数据提供良好的互联互通</w:t>
            </w:r>
            <w:r>
              <w:rPr>
                <w:rFonts w:hint="eastAsia" w:ascii="宋体" w:hAnsi="宋体"/>
                <w:sz w:val="18"/>
                <w:szCs w:val="18"/>
                <w:highlight w:val="none"/>
                <w:lang w:eastAsia="zh-Hans"/>
              </w:rPr>
              <w:t>，实现业务库镜像的建设，同时实现全量和增量的数据同步功能，如：</w:t>
            </w:r>
            <w:r>
              <w:rPr>
                <w:rFonts w:ascii="宋体" w:hAnsi="宋体"/>
                <w:sz w:val="18"/>
                <w:szCs w:val="18"/>
                <w:highlight w:val="none"/>
              </w:rPr>
              <w:t>Oracle/DB2/SQL Server/Mysql/Sybase/ postgresql/cache/</w:t>
            </w:r>
            <w:r>
              <w:rPr>
                <w:rFonts w:hint="eastAsia" w:ascii="宋体" w:hAnsi="宋体"/>
                <w:sz w:val="18"/>
                <w:szCs w:val="18"/>
                <w:highlight w:val="none"/>
              </w:rPr>
              <w:t>达梦等</w:t>
            </w:r>
            <w:r>
              <w:rPr>
                <w:rFonts w:hint="eastAsia" w:ascii="宋体" w:hAnsi="宋体"/>
                <w:sz w:val="18"/>
                <w:szCs w:val="18"/>
                <w:highlight w:val="none"/>
                <w:lang w:eastAsia="zh-Hans"/>
              </w:rPr>
              <w:t>。</w:t>
            </w:r>
          </w:p>
          <w:p>
            <w:pPr>
              <w:ind w:firstLine="4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lang w:eastAsia="zh-Hans"/>
              </w:rPr>
              <w:t>）实现</w:t>
            </w:r>
            <w:r>
              <w:rPr>
                <w:rFonts w:hint="eastAsia" w:ascii="宋体" w:hAnsi="宋体"/>
                <w:sz w:val="18"/>
                <w:szCs w:val="18"/>
                <w:highlight w:val="none"/>
              </w:rPr>
              <w:t>不同的数据库类型数据能够同步到异构数据库中，会出现数据类型不一致的情况，需要提供保证数据类型转换功能，实现数据同步；针对所有同步数据需要追加更新时间戳字段以及操作类型字段，用于记录数据实现发生变更的时间以及操作；实现字段级、表级的映射；在建设过程中，会出现不断完善ODS数据的情况，</w:t>
            </w:r>
            <w:r>
              <w:rPr>
                <w:rFonts w:hint="eastAsia" w:ascii="宋体" w:hAnsi="宋体"/>
                <w:sz w:val="18"/>
                <w:szCs w:val="18"/>
                <w:highlight w:val="none"/>
                <w:lang w:eastAsia="zh-Hans"/>
              </w:rPr>
              <w:t>能</w:t>
            </w:r>
            <w:r>
              <w:rPr>
                <w:rFonts w:hint="eastAsia" w:ascii="宋体" w:hAnsi="宋体"/>
                <w:sz w:val="18"/>
                <w:szCs w:val="18"/>
                <w:highlight w:val="none"/>
              </w:rPr>
              <w:t>实现动态扩展表、字段映射功能</w:t>
            </w:r>
            <w:r>
              <w:rPr>
                <w:rFonts w:hint="eastAsia" w:ascii="宋体" w:hAnsi="宋体"/>
                <w:sz w:val="18"/>
                <w:szCs w:val="18"/>
                <w:highlight w:val="none"/>
                <w:lang w:eastAsia="zh-Hans"/>
              </w:rPr>
              <w:t>。</w:t>
            </w:r>
          </w:p>
          <w:p>
            <w:pPr>
              <w:ind w:firstLine="480"/>
              <w:rPr>
                <w:rFonts w:ascii="宋体" w:hAnsi="宋体"/>
                <w:sz w:val="18"/>
                <w:szCs w:val="18"/>
                <w:highlight w:val="none"/>
              </w:rPr>
            </w:pPr>
            <w:r>
              <w:rPr>
                <w:rFonts w:ascii="宋体" w:hAnsi="宋体"/>
                <w:sz w:val="18"/>
                <w:szCs w:val="18"/>
                <w:highlight w:val="none"/>
                <w:lang w:eastAsia="zh-Hans"/>
              </w:rPr>
              <w:t>4</w:t>
            </w:r>
            <w:r>
              <w:rPr>
                <w:rFonts w:hint="eastAsia" w:ascii="宋体" w:hAnsi="宋体"/>
                <w:sz w:val="18"/>
                <w:szCs w:val="18"/>
                <w:highlight w:val="none"/>
                <w:lang w:eastAsia="zh-Hans"/>
              </w:rPr>
              <w:t>）</w:t>
            </w:r>
            <w:r>
              <w:rPr>
                <w:rFonts w:hint="eastAsia" w:ascii="宋体" w:hAnsi="宋体"/>
                <w:sz w:val="18"/>
                <w:szCs w:val="18"/>
                <w:highlight w:val="none"/>
              </w:rPr>
              <w:t>平台支持各种数据流向,均可以通过配置大屏</w:t>
            </w:r>
            <w:r>
              <w:rPr>
                <w:rFonts w:hint="eastAsia" w:ascii="宋体" w:hAnsi="宋体"/>
                <w:sz w:val="18"/>
                <w:szCs w:val="18"/>
                <w:highlight w:val="none"/>
                <w:lang w:eastAsia="zh-CN"/>
              </w:rPr>
              <w:t>将</w:t>
            </w:r>
            <w:r>
              <w:rPr>
                <w:rFonts w:hint="eastAsia" w:ascii="宋体" w:hAnsi="宋体"/>
                <w:sz w:val="18"/>
                <w:szCs w:val="18"/>
                <w:highlight w:val="none"/>
              </w:rPr>
              <w:t>数据流动的信息展现出来,展现的形式可以根据用户的需求定制。用户可以通过数据可视化,从宏观上看到平台中管理数据的健康状态、数据发展的意识形态。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医疗术语标准规范管理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ascii="宋体" w:hAnsi="宋体"/>
                <w:sz w:val="18"/>
                <w:szCs w:val="18"/>
                <w:highlight w:val="none"/>
              </w:rPr>
            </w:pPr>
            <w:r>
              <w:rPr>
                <w:rFonts w:hint="eastAsia" w:ascii="宋体" w:hAnsi="宋体"/>
                <w:sz w:val="18"/>
                <w:szCs w:val="18"/>
                <w:highlight w:val="none"/>
                <w:lang w:bidi="ar"/>
              </w:rPr>
              <w:t>临床术语字典包含对</w:t>
            </w:r>
            <w:r>
              <w:rPr>
                <w:rFonts w:ascii="宋体" w:hAnsi="宋体"/>
                <w:sz w:val="18"/>
                <w:szCs w:val="18"/>
                <w:highlight w:val="none"/>
                <w:lang w:bidi="ar"/>
              </w:rPr>
              <w:t>LOINC</w:t>
            </w:r>
            <w:r>
              <w:rPr>
                <w:rFonts w:hint="eastAsia" w:ascii="宋体" w:hAnsi="宋体"/>
                <w:sz w:val="18"/>
                <w:szCs w:val="18"/>
                <w:highlight w:val="none"/>
                <w:lang w:bidi="ar"/>
              </w:rPr>
              <w:t>、药品</w:t>
            </w:r>
            <w:r>
              <w:rPr>
                <w:rFonts w:hint="eastAsia" w:ascii="宋体" w:hAnsi="宋体"/>
                <w:sz w:val="18"/>
                <w:szCs w:val="18"/>
                <w:highlight w:val="none"/>
              </w:rPr>
              <w:t>ATC、SNOMED CT</w:t>
            </w:r>
            <w:r>
              <w:rPr>
                <w:rFonts w:ascii="宋体" w:hAnsi="宋体"/>
                <w:sz w:val="18"/>
                <w:szCs w:val="18"/>
                <w:highlight w:val="none"/>
              </w:rPr>
              <w:t> </w:t>
            </w:r>
            <w:r>
              <w:rPr>
                <w:rFonts w:hint="eastAsia" w:ascii="宋体" w:hAnsi="宋体"/>
                <w:sz w:val="18"/>
                <w:szCs w:val="18"/>
                <w:highlight w:val="none"/>
              </w:rPr>
              <w:t>的管理。</w:t>
            </w:r>
          </w:p>
          <w:p>
            <w:pPr>
              <w:pStyle w:val="83"/>
              <w:ind w:firstLine="360"/>
              <w:rPr>
                <w:rFonts w:ascii="宋体" w:hAnsi="宋体"/>
                <w:sz w:val="18"/>
                <w:szCs w:val="18"/>
                <w:highlight w:val="none"/>
              </w:rPr>
            </w:pPr>
            <w:r>
              <w:rPr>
                <w:rFonts w:hint="eastAsia" w:ascii="宋体" w:hAnsi="宋体"/>
                <w:sz w:val="18"/>
                <w:szCs w:val="18"/>
                <w:highlight w:val="none"/>
              </w:rPr>
              <w:t>LOINC指的是观测指标标识符逻辑命名与编码系统（Logical Observation Identifiers Names and Codes，LOINC）， 是一部数据库和通用标准，用于标识检验医学及临床观测指标。主数据管理系统对LOINC数据库进行了维护，用户可通过此功能促进临床观测指标结果的交换与共享。</w:t>
            </w:r>
          </w:p>
          <w:p>
            <w:pPr>
              <w:pStyle w:val="83"/>
              <w:ind w:firstLine="360"/>
              <w:rPr>
                <w:rFonts w:ascii="宋体" w:hAnsi="宋体"/>
                <w:sz w:val="18"/>
                <w:szCs w:val="18"/>
                <w:highlight w:val="none"/>
              </w:rPr>
            </w:pPr>
            <w:r>
              <w:rPr>
                <w:rFonts w:hint="eastAsia" w:ascii="宋体" w:hAnsi="宋体"/>
                <w:sz w:val="18"/>
                <w:szCs w:val="18"/>
                <w:highlight w:val="none"/>
              </w:rPr>
              <w:t>ATC是一种药物系统分级分类法，ATC代码共有7位，其中第1、3、4位为字母，第2、5、6、7位为数字；ATC系统将药物</w:t>
            </w:r>
            <w:r>
              <w:rPr>
                <w:rFonts w:hint="eastAsia"/>
                <w:sz w:val="18"/>
                <w:szCs w:val="18"/>
                <w:highlight w:val="none"/>
              </w:rPr>
              <w:t>分为</w:t>
            </w:r>
            <w:r>
              <w:rPr>
                <w:rFonts w:hint="eastAsia" w:ascii="宋体" w:hAnsi="宋体"/>
                <w:sz w:val="18"/>
                <w:szCs w:val="18"/>
                <w:highlight w:val="none"/>
              </w:rPr>
              <w:t>5个级别，第一级为一位字母，表示解剖学上的分类，共有14个组别，第二级为两位数字，表示治疗学上的分类，第三级为一位字母，表示药理学上的分类，第四级为一位字母，表示化学上的分类，第五级为两位数字，表示化合物上的分类。用户可通过此系统确定一个药物产品，包括有效物质、用药途径和相关的剂量。</w:t>
            </w:r>
          </w:p>
          <w:p>
            <w:pPr>
              <w:pStyle w:val="83"/>
              <w:ind w:firstLine="360"/>
              <w:rPr>
                <w:rFonts w:ascii="宋体" w:hAnsi="宋体"/>
                <w:sz w:val="18"/>
                <w:szCs w:val="18"/>
                <w:highlight w:val="none"/>
              </w:rPr>
            </w:pPr>
            <w:r>
              <w:rPr>
                <w:rFonts w:hint="eastAsia" w:ascii="宋体" w:hAnsi="宋体"/>
                <w:sz w:val="18"/>
                <w:szCs w:val="18"/>
                <w:highlight w:val="none"/>
              </w:rPr>
              <w:t>SNOMED CT指的是医学系统命名法－临床术语，是当前国际上广为使用的一种临床医学术语标准。这套术语集提供了一套全面统一的医学术语系统，涵盖大多数方面的临床信息，如疾病、所见、操作、微生物、药物等，可以协调一致地在不同的学科、专业和照护地点之间实现对于临床数据的标引、存储、检索和聚合，便于计算机处理。同时，它还有助于组织病历内容，减少临床照护和科学研究工作中数据采集、编码及使用方式的变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数据治理引擎</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ind w:firstLine="482"/>
              <w:rPr>
                <w:rFonts w:cs="华文宋体" w:asciiTheme="minorEastAsia" w:hAnsiTheme="minorEastAsia" w:eastAsiaTheme="minorEastAsia"/>
                <w:b/>
                <w:kern w:val="0"/>
                <w:sz w:val="18"/>
                <w:szCs w:val="18"/>
                <w:highlight w:val="none"/>
                <w:lang w:bidi="ar"/>
              </w:rPr>
            </w:pPr>
            <w:r>
              <w:rPr>
                <w:rFonts w:hint="eastAsia" w:cs="华文宋体" w:asciiTheme="minorEastAsia" w:hAnsiTheme="minorEastAsia" w:eastAsiaTheme="minorEastAsia"/>
                <w:b/>
                <w:kern w:val="0"/>
                <w:sz w:val="18"/>
                <w:szCs w:val="18"/>
                <w:highlight w:val="none"/>
                <w:lang w:bidi="ar"/>
              </w:rPr>
              <w:t>数据质量管理首页</w:t>
            </w:r>
          </w:p>
          <w:p>
            <w:pPr>
              <w:widowControl/>
              <w:snapToGrid w:val="0"/>
              <w:ind w:firstLine="480"/>
              <w:rPr>
                <w:rFonts w:cs="华文宋体" w:asciiTheme="minorEastAsia" w:hAnsiTheme="minorEastAsia" w:eastAsiaTheme="minorEastAsia"/>
                <w:kern w:val="0"/>
                <w:sz w:val="18"/>
                <w:szCs w:val="18"/>
                <w:highlight w:val="none"/>
                <w:lang w:eastAsia="zh-Hans" w:bidi="ar"/>
              </w:rPr>
            </w:pPr>
            <w:r>
              <w:rPr>
                <w:rFonts w:hint="eastAsia" w:cs="华文宋体" w:asciiTheme="minorEastAsia" w:hAnsiTheme="minorEastAsia" w:eastAsiaTheme="minorEastAsia"/>
                <w:kern w:val="0"/>
                <w:sz w:val="18"/>
                <w:szCs w:val="18"/>
                <w:highlight w:val="none"/>
                <w:lang w:bidi="ar"/>
              </w:rPr>
              <w:t>数据质量管理首页展示了数据质量相关数据分析，包括：得分排名，维度得分，错误率等相关数据分析</w:t>
            </w:r>
            <w:r>
              <w:rPr>
                <w:rFonts w:hint="eastAsia" w:cs="华文宋体" w:asciiTheme="minorEastAsia" w:hAnsiTheme="minorEastAsia" w:eastAsiaTheme="minorEastAsia"/>
                <w:kern w:val="0"/>
                <w:sz w:val="18"/>
                <w:szCs w:val="18"/>
                <w:highlight w:val="none"/>
                <w:lang w:eastAsia="zh-Hans" w:bidi="ar"/>
              </w:rPr>
              <w:t>。</w:t>
            </w:r>
          </w:p>
          <w:p>
            <w:pPr>
              <w:widowControl/>
              <w:snapToGrid w:val="0"/>
              <w:ind w:firstLine="482"/>
              <w:rPr>
                <w:rFonts w:cs="华文宋体" w:asciiTheme="minorEastAsia" w:hAnsiTheme="minorEastAsia" w:eastAsiaTheme="minorEastAsia"/>
                <w:b/>
                <w:kern w:val="0"/>
                <w:sz w:val="18"/>
                <w:szCs w:val="18"/>
                <w:highlight w:val="none"/>
                <w:lang w:bidi="ar"/>
              </w:rPr>
            </w:pPr>
            <w:r>
              <w:rPr>
                <w:rFonts w:hint="eastAsia" w:cs="华文宋体" w:asciiTheme="minorEastAsia" w:hAnsiTheme="minorEastAsia" w:eastAsiaTheme="minorEastAsia"/>
                <w:b/>
                <w:kern w:val="0"/>
                <w:sz w:val="18"/>
                <w:szCs w:val="18"/>
                <w:highlight w:val="none"/>
                <w:lang w:bidi="ar"/>
              </w:rPr>
              <w:t>机构总体概览</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机构管理者能够通过首页了解当前机构数据质量情况，由此来发现问题，对问题进行跟踪和分析。</w:t>
            </w:r>
          </w:p>
          <w:p>
            <w:pPr>
              <w:widowControl/>
              <w:snapToGrid w:val="0"/>
              <w:ind w:firstLine="482"/>
              <w:rPr>
                <w:rFonts w:cs="华文宋体" w:asciiTheme="minorEastAsia" w:hAnsiTheme="minorEastAsia" w:eastAsiaTheme="minorEastAsia"/>
                <w:b/>
                <w:kern w:val="0"/>
                <w:sz w:val="18"/>
                <w:szCs w:val="18"/>
                <w:highlight w:val="none"/>
                <w:lang w:bidi="ar"/>
              </w:rPr>
            </w:pPr>
            <w:r>
              <w:rPr>
                <w:rFonts w:hint="eastAsia" w:cs="华文宋体" w:asciiTheme="minorEastAsia" w:hAnsiTheme="minorEastAsia" w:eastAsiaTheme="minorEastAsia"/>
                <w:b/>
                <w:kern w:val="0"/>
                <w:sz w:val="18"/>
                <w:szCs w:val="18"/>
                <w:highlight w:val="none"/>
                <w:lang w:bidi="ar"/>
              </w:rPr>
              <w:t>数据质量报告</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（1）质量报告管理</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质控报告的管理，主要包括历次质控报告的查询、下发、删除等功能。区域卫健委管理用户在质控结果查看界面可以根据各种查询条件获取的质控结果然后点击生成质控报告按钮后生成相应的质控报告，并进行发布管理。质控报告的下发对象默认为质控报告内容所涉及的相关医疗单位及行政单位。质控报告进行下发后，系统会以消息提醒方式告知所有下发对象。</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（2）综合报告</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机构用户登录，查看</w:t>
            </w:r>
            <w:r>
              <w:rPr>
                <w:rFonts w:hint="eastAsia" w:cs="华文宋体" w:asciiTheme="minorEastAsia" w:hAnsiTheme="minorEastAsia" w:eastAsiaTheme="minorEastAsia"/>
                <w:kern w:val="0"/>
                <w:sz w:val="18"/>
                <w:szCs w:val="18"/>
                <w:highlight w:val="none"/>
                <w:lang w:eastAsia="zh-Hans" w:bidi="ar"/>
              </w:rPr>
              <w:t>对应的综合</w:t>
            </w:r>
            <w:r>
              <w:rPr>
                <w:rFonts w:hint="eastAsia" w:cs="华文宋体" w:asciiTheme="minorEastAsia" w:hAnsiTheme="minorEastAsia" w:eastAsiaTheme="minorEastAsia"/>
                <w:kern w:val="0"/>
                <w:sz w:val="18"/>
                <w:szCs w:val="18"/>
                <w:highlight w:val="none"/>
                <w:lang w:bidi="ar"/>
              </w:rPr>
              <w:t>质控报告。</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（3）明细报告</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各个纬度查看具体数据质量报告，并可查看详细的错误明细。</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（4）专项报告</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根据专项考核方案生成的专项考核报告。</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（5）问题数据报告</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在数据质量报告的基础上，进一步展示数据质量系数明细数据。在选定时间范围内，展示统计不同维度组合下，每一条规则内容的质量系数，以及规则内容对应的稽核条目（质量系数计算的最小单元）的计算项值、质量系数，可具体看到哪个稽核条目引起的数据质量问题，以及问题数据条数。</w:t>
            </w:r>
          </w:p>
          <w:p>
            <w:pPr>
              <w:widowControl/>
              <w:snapToGrid w:val="0"/>
              <w:ind w:firstLine="482"/>
              <w:rPr>
                <w:rFonts w:cs="华文宋体" w:asciiTheme="minorEastAsia" w:hAnsiTheme="minorEastAsia" w:eastAsiaTheme="minorEastAsia"/>
                <w:b/>
                <w:kern w:val="0"/>
                <w:sz w:val="18"/>
                <w:szCs w:val="18"/>
                <w:highlight w:val="none"/>
                <w:lang w:bidi="ar"/>
              </w:rPr>
            </w:pPr>
            <w:r>
              <w:rPr>
                <w:rFonts w:hint="eastAsia" w:cs="华文宋体" w:asciiTheme="minorEastAsia" w:hAnsiTheme="minorEastAsia" w:eastAsiaTheme="minorEastAsia"/>
                <w:b/>
                <w:kern w:val="0"/>
                <w:sz w:val="18"/>
                <w:szCs w:val="18"/>
                <w:highlight w:val="none"/>
                <w:lang w:bidi="ar"/>
              </w:rPr>
              <w:t>数据质量统计分析</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数据质量统计分析报表支持汇总时间范围内数据质量评价的相关数据，支持结果导出，形成上报材料或称为决策辅助材料，通过统计分析能够查看不同统计分析报表和图表，主要统计分析报表包含：日校验报告，业务量数据统计，检查检验报告，错误日志，机构综合分析。</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（1）校验报告</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查询任意某天某个质控规则的数据质控结果</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（2）综合分析</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根据维度名、统计周期、统计日期展示维度得分图表情况。</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（3）规则趋势分析</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cs="华文宋体" w:asciiTheme="minorEastAsia" w:hAnsiTheme="minorEastAsia" w:eastAsiaTheme="minorEastAsia"/>
                <w:kern w:val="0"/>
                <w:sz w:val="18"/>
                <w:szCs w:val="18"/>
                <w:highlight w:val="none"/>
                <w:lang w:bidi="ar"/>
              </w:rPr>
              <w:t>根据维度名、统计周期、统计日期展示规则得分图表情况。</w:t>
            </w:r>
          </w:p>
          <w:p>
            <w:pPr>
              <w:widowControl/>
              <w:snapToGrid w:val="0"/>
              <w:ind w:firstLine="482"/>
              <w:rPr>
                <w:rFonts w:cs="华文宋体" w:asciiTheme="minorEastAsia" w:hAnsiTheme="minorEastAsia" w:eastAsiaTheme="minorEastAsia"/>
                <w:b/>
                <w:kern w:val="0"/>
                <w:sz w:val="18"/>
                <w:szCs w:val="18"/>
                <w:highlight w:val="none"/>
                <w:lang w:bidi="ar"/>
              </w:rPr>
            </w:pPr>
            <w:r>
              <w:rPr>
                <w:rFonts w:hint="eastAsia" w:cs="华文宋体" w:asciiTheme="minorEastAsia" w:hAnsiTheme="minorEastAsia" w:eastAsiaTheme="minorEastAsia"/>
                <w:b/>
                <w:kern w:val="0"/>
                <w:sz w:val="18"/>
                <w:szCs w:val="18"/>
                <w:highlight w:val="none"/>
                <w:lang w:bidi="ar"/>
              </w:rPr>
              <w:t>评价规则体系</w:t>
            </w:r>
          </w:p>
          <w:p>
            <w:pPr>
              <w:widowControl/>
              <w:snapToGrid w:val="0"/>
              <w:ind w:firstLine="480"/>
              <w:rPr>
                <w:rFonts w:cs="华文宋体" w:asciiTheme="minorEastAsia" w:hAnsiTheme="minorEastAsia" w:eastAsiaTheme="minorEastAsia"/>
                <w:kern w:val="0"/>
                <w:sz w:val="18"/>
                <w:szCs w:val="18"/>
                <w:highlight w:val="none"/>
                <w:lang w:bidi="ar"/>
              </w:rPr>
            </w:pPr>
            <w:r>
              <w:rPr>
                <w:rFonts w:hint="eastAsia" w:asciiTheme="minorEastAsia" w:hAnsiTheme="minorEastAsia" w:eastAsiaTheme="minorEastAsia"/>
                <w:kern w:val="0"/>
                <w:sz w:val="18"/>
                <w:szCs w:val="18"/>
                <w:highlight w:val="none"/>
              </w:rPr>
              <w:t>基</w:t>
            </w:r>
            <w:r>
              <w:rPr>
                <w:rFonts w:hint="eastAsia" w:cs="华文宋体" w:asciiTheme="minorEastAsia" w:hAnsiTheme="minorEastAsia" w:eastAsiaTheme="minorEastAsia"/>
                <w:kern w:val="0"/>
                <w:sz w:val="18"/>
                <w:szCs w:val="18"/>
                <w:highlight w:val="none"/>
                <w:lang w:bidi="ar"/>
              </w:rPr>
              <w:t>于数据质量基础评价指标，结合数据标准，形成自定义、动态扩展的规则体系。</w:t>
            </w:r>
          </w:p>
          <w:p>
            <w:pPr>
              <w:snapToGrid w:val="0"/>
              <w:ind w:firstLine="480"/>
              <w:rPr>
                <w:rFonts w:cs="华文宋体" w:asciiTheme="minorEastAsia" w:hAnsiTheme="minorEastAsia" w:eastAsiaTheme="minorEastAsia"/>
                <w:kern w:val="0"/>
                <w:sz w:val="18"/>
                <w:szCs w:val="18"/>
                <w:highlight w:val="none"/>
              </w:rPr>
            </w:pPr>
            <w:r>
              <w:rPr>
                <w:rFonts w:hint="eastAsia" w:cs="华文宋体" w:asciiTheme="minorEastAsia" w:hAnsiTheme="minorEastAsia" w:eastAsiaTheme="minorEastAsia"/>
                <w:kern w:val="0"/>
                <w:sz w:val="18"/>
                <w:szCs w:val="18"/>
                <w:highlight w:val="none"/>
                <w:lang w:bidi="ar"/>
              </w:rPr>
              <w:t>自</w:t>
            </w:r>
            <w:r>
              <w:rPr>
                <w:rFonts w:hint="eastAsia" w:cs="华文宋体" w:asciiTheme="minorEastAsia" w:hAnsiTheme="minorEastAsia" w:eastAsiaTheme="minorEastAsia"/>
                <w:kern w:val="0"/>
                <w:sz w:val="18"/>
                <w:szCs w:val="18"/>
                <w:highlight w:val="none"/>
              </w:rPr>
              <w:t>定义逻辑性指标：逻辑性，业务子事件报告可以按照一定的规则追溯到业务父事件报告。如：出院记录逻辑性，即拥有出院记录的记录一定拥有入院记录。支持用户自定义逻辑性指标。</w:t>
            </w:r>
          </w:p>
          <w:p>
            <w:pPr>
              <w:snapToGrid w:val="0"/>
              <w:ind w:firstLine="480"/>
              <w:jc w:val="left"/>
              <w:rPr>
                <w:rFonts w:asciiTheme="minorEastAsia" w:hAnsiTheme="minorEastAsia" w:eastAsiaTheme="minorEastAsia"/>
                <w:kern w:val="0"/>
                <w:sz w:val="18"/>
                <w:szCs w:val="18"/>
                <w:highlight w:val="none"/>
              </w:rPr>
            </w:pPr>
            <w:r>
              <w:rPr>
                <w:rFonts w:hint="eastAsia" w:cs="华文宋体" w:asciiTheme="minorEastAsia" w:hAnsiTheme="minorEastAsia" w:eastAsiaTheme="minorEastAsia"/>
                <w:kern w:val="0"/>
                <w:sz w:val="18"/>
                <w:szCs w:val="18"/>
                <w:highlight w:val="none"/>
              </w:rPr>
              <w:t>动态扩展的指标体系：数据质量监控系统的指标体系与数据标准相关联，每个数据集可以拥有准确性、及时性、一致性、逻辑性四项指标。通过数据集与评价基础指标的松耦合，实现评价指标体系的动态扩展。</w:t>
            </w:r>
          </w:p>
          <w:p>
            <w:pPr>
              <w:widowControl/>
              <w:snapToGrid w:val="0"/>
              <w:ind w:firstLine="480"/>
              <w:rPr>
                <w:rFonts w:cs="华文宋体" w:asciiTheme="minorEastAsia" w:hAnsiTheme="minorEastAsia" w:eastAsiaTheme="minorEastAsia"/>
                <w:kern w:val="0"/>
                <w:sz w:val="18"/>
                <w:szCs w:val="18"/>
                <w:highlight w:val="none"/>
              </w:rPr>
            </w:pPr>
            <w:r>
              <w:rPr>
                <w:rFonts w:hint="eastAsia" w:cs="华文宋体" w:asciiTheme="minorEastAsia" w:hAnsiTheme="minorEastAsia" w:eastAsiaTheme="minorEastAsia"/>
                <w:kern w:val="0"/>
                <w:sz w:val="18"/>
                <w:szCs w:val="18"/>
                <w:highlight w:val="none"/>
              </w:rPr>
              <w:t>系统通过可初始化方式，设置同一纬度指标的评分方式，复制到各个数据集标准中，由于不同数据集管理要求不同，可自定义调整某一数据集的评分公式。</w:t>
            </w:r>
          </w:p>
          <w:p>
            <w:pPr>
              <w:widowControl/>
              <w:snapToGrid w:val="0"/>
              <w:ind w:firstLine="482"/>
              <w:rPr>
                <w:rFonts w:cs="华文宋体" w:asciiTheme="minorEastAsia" w:hAnsiTheme="minorEastAsia" w:eastAsiaTheme="minorEastAsia"/>
                <w:b/>
                <w:kern w:val="0"/>
                <w:sz w:val="18"/>
                <w:szCs w:val="18"/>
                <w:highlight w:val="none"/>
                <w:lang w:bidi="ar"/>
              </w:rPr>
            </w:pPr>
            <w:r>
              <w:rPr>
                <w:rFonts w:hint="eastAsia" w:cs="华文宋体" w:asciiTheme="minorEastAsia" w:hAnsiTheme="minorEastAsia" w:eastAsiaTheme="minorEastAsia"/>
                <w:b/>
                <w:kern w:val="0"/>
                <w:sz w:val="18"/>
                <w:szCs w:val="18"/>
                <w:highlight w:val="none"/>
                <w:lang w:bidi="ar"/>
              </w:rPr>
              <w:t>评价方法</w:t>
            </w:r>
          </w:p>
          <w:p>
            <w:pPr>
              <w:ind w:firstLine="360" w:firstLineChars="200"/>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按照考核要求，对机构按不同时间维度（周/月/季/年）分别对各监测指标进行评估</w:t>
            </w:r>
            <w:r>
              <w:rPr>
                <w:rFonts w:hint="eastAsia" w:asciiTheme="minorEastAsia" w:hAnsiTheme="minorEastAsia" w:eastAsiaTheme="minorEastAsia"/>
                <w:sz w:val="18"/>
                <w:szCs w:val="18"/>
                <w:highlight w:val="none"/>
                <w:lang w:eastAsia="zh-Hans"/>
              </w:rPr>
              <w:t>。</w:t>
            </w:r>
          </w:p>
          <w:p>
            <w:pPr>
              <w:widowControl/>
              <w:snapToGrid w:val="0"/>
              <w:ind w:firstLine="482"/>
              <w:rPr>
                <w:rFonts w:cs="华文宋体" w:asciiTheme="minorEastAsia" w:hAnsiTheme="minorEastAsia" w:eastAsiaTheme="minorEastAsia"/>
                <w:b/>
                <w:kern w:val="0"/>
                <w:sz w:val="18"/>
                <w:szCs w:val="18"/>
                <w:highlight w:val="none"/>
                <w:lang w:bidi="ar"/>
              </w:rPr>
            </w:pPr>
            <w:r>
              <w:rPr>
                <w:rFonts w:hint="eastAsia" w:cs="华文宋体" w:asciiTheme="minorEastAsia" w:hAnsiTheme="minorEastAsia" w:eastAsiaTheme="minorEastAsia"/>
                <w:b/>
                <w:kern w:val="0"/>
                <w:sz w:val="18"/>
                <w:szCs w:val="18"/>
                <w:highlight w:val="none"/>
                <w:lang w:bidi="ar"/>
              </w:rPr>
              <w:t>指标权重管理</w:t>
            </w:r>
          </w:p>
          <w:p>
            <w:pPr>
              <w:snapToGrid w:val="0"/>
              <w:ind w:firstLine="480"/>
              <w:rPr>
                <w:rFonts w:cs="华文宋体" w:asciiTheme="minorEastAsia" w:hAnsiTheme="minorEastAsia" w:eastAsiaTheme="minorEastAsia"/>
                <w:kern w:val="0"/>
                <w:sz w:val="18"/>
                <w:szCs w:val="18"/>
                <w:highlight w:val="none"/>
              </w:rPr>
            </w:pPr>
            <w:r>
              <w:rPr>
                <w:rFonts w:hint="eastAsia" w:cs="华文宋体" w:asciiTheme="minorEastAsia" w:hAnsiTheme="minorEastAsia" w:eastAsiaTheme="minorEastAsia"/>
                <w:kern w:val="0"/>
                <w:sz w:val="18"/>
                <w:szCs w:val="18"/>
                <w:highlight w:val="none"/>
              </w:rPr>
              <w:t>通过设置不用指标所占权重的大小，满足不同时期，不同数据质量管理要求。</w:t>
            </w:r>
          </w:p>
          <w:p>
            <w:pPr>
              <w:widowControl/>
              <w:snapToGrid w:val="0"/>
              <w:ind w:firstLine="482"/>
              <w:rPr>
                <w:rFonts w:cs="华文宋体" w:asciiTheme="minorEastAsia" w:hAnsiTheme="minorEastAsia" w:eastAsiaTheme="minorEastAsia"/>
                <w:b/>
                <w:kern w:val="0"/>
                <w:sz w:val="18"/>
                <w:szCs w:val="18"/>
                <w:highlight w:val="none"/>
                <w:lang w:bidi="ar"/>
              </w:rPr>
            </w:pPr>
            <w:r>
              <w:rPr>
                <w:rFonts w:hint="eastAsia" w:cs="华文宋体" w:asciiTheme="minorEastAsia" w:hAnsiTheme="minorEastAsia" w:eastAsiaTheme="minorEastAsia"/>
                <w:b/>
                <w:kern w:val="0"/>
                <w:sz w:val="18"/>
                <w:szCs w:val="18"/>
                <w:highlight w:val="none"/>
                <w:lang w:bidi="ar"/>
              </w:rPr>
              <w:t>质量评价方案</w:t>
            </w:r>
          </w:p>
          <w:p>
            <w:pPr>
              <w:snapToGrid w:val="0"/>
              <w:ind w:firstLine="480"/>
              <w:rPr>
                <w:rFonts w:cs="华文宋体" w:asciiTheme="minorEastAsia" w:hAnsiTheme="minorEastAsia" w:eastAsiaTheme="minorEastAsia"/>
                <w:kern w:val="0"/>
                <w:sz w:val="18"/>
                <w:szCs w:val="18"/>
                <w:highlight w:val="none"/>
              </w:rPr>
            </w:pPr>
            <w:r>
              <w:rPr>
                <w:rFonts w:hint="eastAsia" w:cs="华文宋体" w:asciiTheme="minorEastAsia" w:hAnsiTheme="minorEastAsia" w:eastAsiaTheme="minorEastAsia"/>
                <w:kern w:val="0"/>
                <w:sz w:val="18"/>
                <w:szCs w:val="18"/>
                <w:highlight w:val="none"/>
              </w:rPr>
              <w:t>方案管理：：通过对不用类型机构的评价方案个性化定制，实现重点数据监控的目的。制定可配置、可管理、可灵活评价的方案，根据不同维度、权重、规则、时间、版本制定个性化方案，对机构的业务数据好坏考核、评估、分析。</w:t>
            </w:r>
          </w:p>
          <w:p>
            <w:pPr>
              <w:snapToGrid w:val="0"/>
              <w:ind w:firstLine="480"/>
              <w:rPr>
                <w:rFonts w:cs="华文宋体" w:asciiTheme="minorEastAsia" w:hAnsiTheme="minorEastAsia" w:eastAsiaTheme="minorEastAsia"/>
                <w:kern w:val="0"/>
                <w:sz w:val="18"/>
                <w:szCs w:val="18"/>
                <w:highlight w:val="none"/>
              </w:rPr>
            </w:pPr>
            <w:r>
              <w:rPr>
                <w:rFonts w:hint="eastAsia" w:cs="华文宋体" w:asciiTheme="minorEastAsia" w:hAnsiTheme="minorEastAsia" w:eastAsiaTheme="minorEastAsia"/>
                <w:kern w:val="0"/>
                <w:sz w:val="18"/>
                <w:szCs w:val="18"/>
                <w:highlight w:val="none"/>
              </w:rPr>
              <w:t>制定的方案，包括所需数据集，数据集下的规则、规则权重、维度名称、维度权重、评分方法、规则算法（加权平均</w:t>
            </w:r>
            <w:r>
              <w:rPr>
                <w:rFonts w:cs="华文宋体" w:asciiTheme="minorEastAsia" w:hAnsiTheme="minorEastAsia" w:eastAsiaTheme="minorEastAsia"/>
                <w:kern w:val="0"/>
                <w:sz w:val="18"/>
                <w:szCs w:val="18"/>
                <w:highlight w:val="none"/>
              </w:rPr>
              <w:t>or算数平均）及比分等。</w:t>
            </w:r>
          </w:p>
          <w:p>
            <w:pPr>
              <w:snapToGrid w:val="0"/>
              <w:ind w:firstLine="480"/>
              <w:rPr>
                <w:rFonts w:cs="华文宋体" w:asciiTheme="minorEastAsia" w:hAnsiTheme="minorEastAsia" w:eastAsiaTheme="minorEastAsia"/>
                <w:kern w:val="0"/>
                <w:sz w:val="18"/>
                <w:szCs w:val="18"/>
                <w:highlight w:val="none"/>
              </w:rPr>
            </w:pPr>
            <w:r>
              <w:rPr>
                <w:rFonts w:hint="eastAsia" w:cs="华文宋体" w:asciiTheme="minorEastAsia" w:hAnsiTheme="minorEastAsia" w:eastAsiaTheme="minorEastAsia"/>
                <w:kern w:val="0"/>
                <w:sz w:val="18"/>
                <w:szCs w:val="18"/>
                <w:highlight w:val="none"/>
              </w:rPr>
              <w:t>方案分配：根据不同的情况，制定预设计划，分配给下属机构，可不定期考察数据质量稳定情况。一段时间内计划不启用或者关闭，也制定下一个阶段计划分配给下属机构。</w:t>
            </w:r>
          </w:p>
          <w:p>
            <w:pPr>
              <w:snapToGrid w:val="0"/>
              <w:ind w:firstLine="480"/>
              <w:rPr>
                <w:rFonts w:cs="华文宋体" w:asciiTheme="minorEastAsia" w:hAnsiTheme="minorEastAsia" w:eastAsiaTheme="minorEastAsia"/>
                <w:b/>
                <w:bCs/>
                <w:kern w:val="0"/>
                <w:sz w:val="18"/>
                <w:szCs w:val="18"/>
                <w:highlight w:val="none"/>
              </w:rPr>
            </w:pPr>
            <w:r>
              <w:rPr>
                <w:rFonts w:hint="eastAsia" w:cs="华文宋体" w:asciiTheme="minorEastAsia" w:hAnsiTheme="minorEastAsia" w:eastAsiaTheme="minorEastAsia"/>
                <w:b/>
                <w:bCs/>
                <w:kern w:val="0"/>
                <w:sz w:val="18"/>
                <w:szCs w:val="18"/>
                <w:highlight w:val="none"/>
              </w:rPr>
              <w:t>质量计划管理</w:t>
            </w:r>
          </w:p>
          <w:p>
            <w:pPr>
              <w:snapToGrid w:val="0"/>
              <w:ind w:firstLine="480"/>
              <w:rPr>
                <w:rFonts w:cs="华文宋体" w:asciiTheme="minorEastAsia" w:hAnsiTheme="minorEastAsia" w:eastAsiaTheme="minorEastAsia"/>
                <w:kern w:val="0"/>
                <w:sz w:val="18"/>
                <w:szCs w:val="18"/>
                <w:highlight w:val="none"/>
              </w:rPr>
            </w:pPr>
            <w:r>
              <w:rPr>
                <w:rFonts w:hint="eastAsia" w:cs="华文宋体" w:asciiTheme="minorEastAsia" w:hAnsiTheme="minorEastAsia" w:eastAsiaTheme="minorEastAsia"/>
                <w:kern w:val="0"/>
                <w:sz w:val="18"/>
                <w:szCs w:val="18"/>
                <w:highlight w:val="none"/>
              </w:rPr>
              <w:t>配置</w:t>
            </w:r>
            <w:r>
              <w:rPr>
                <w:rFonts w:hint="eastAsia" w:cs="华文宋体" w:asciiTheme="minorEastAsia" w:hAnsiTheme="minorEastAsia" w:eastAsiaTheme="minorEastAsia"/>
                <w:kern w:val="0"/>
                <w:sz w:val="18"/>
                <w:szCs w:val="18"/>
                <w:highlight w:val="none"/>
                <w:lang w:eastAsia="zh-Hans"/>
              </w:rPr>
              <w:t>数据中心</w:t>
            </w:r>
            <w:r>
              <w:rPr>
                <w:rFonts w:hint="eastAsia" w:cs="华文宋体" w:asciiTheme="minorEastAsia" w:hAnsiTheme="minorEastAsia" w:eastAsiaTheme="minorEastAsia"/>
                <w:kern w:val="0"/>
                <w:sz w:val="18"/>
                <w:szCs w:val="18"/>
                <w:highlight w:val="none"/>
              </w:rPr>
              <w:t>上质控校验程序的运行计划以及质控结果上传计划。默认质控计划是</w:t>
            </w:r>
            <w:r>
              <w:rPr>
                <w:rFonts w:hint="eastAsia" w:cs="华文宋体" w:asciiTheme="minorEastAsia" w:hAnsiTheme="minorEastAsia" w:eastAsiaTheme="minorEastAsia"/>
                <w:kern w:val="0"/>
                <w:sz w:val="18"/>
                <w:szCs w:val="18"/>
                <w:highlight w:val="none"/>
                <w:lang w:eastAsia="zh-Hans"/>
              </w:rPr>
              <w:t>定时</w:t>
            </w:r>
            <w:r>
              <w:rPr>
                <w:rFonts w:hint="eastAsia" w:cs="华文宋体" w:asciiTheme="minorEastAsia" w:hAnsiTheme="minorEastAsia" w:eastAsiaTheme="minorEastAsia"/>
                <w:kern w:val="0"/>
                <w:sz w:val="18"/>
                <w:szCs w:val="18"/>
                <w:highlight w:val="none"/>
              </w:rPr>
              <w:t>开始对前一天的交换数据进行质量校验，校验结束后及时上传质控结果到质控中心。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数据安全和隐私保护管理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ascii="宋体" w:hAnsi="宋体"/>
                <w:sz w:val="18"/>
                <w:szCs w:val="18"/>
                <w:highlight w:val="none"/>
                <w:lang w:eastAsia="zh-Hans"/>
              </w:rPr>
            </w:pPr>
            <w:r>
              <w:rPr>
                <w:rFonts w:hint="eastAsia" w:ascii="宋体" w:hAnsi="宋体"/>
                <w:sz w:val="18"/>
                <w:szCs w:val="18"/>
                <w:highlight w:val="none"/>
                <w:lang w:eastAsia="zh-Hans"/>
              </w:rPr>
              <w:t>医疗健康数据具有隐私强相关、高敏感、生命健</w:t>
            </w:r>
            <w:r>
              <w:rPr>
                <w:rFonts w:hint="eastAsia" w:ascii="宋体" w:hAnsi="宋体"/>
                <w:sz w:val="18"/>
                <w:szCs w:val="18"/>
                <w:highlight w:val="none"/>
              </w:rPr>
              <w:t>康</w:t>
            </w:r>
            <w:r>
              <w:rPr>
                <w:rFonts w:hint="eastAsia" w:ascii="宋体" w:hAnsi="宋体"/>
                <w:sz w:val="18"/>
                <w:szCs w:val="18"/>
                <w:highlight w:val="none"/>
                <w:lang w:eastAsia="zh-Hans"/>
              </w:rPr>
              <w:t>强相关、国家安全相关、专业性强等特点，对医疗健康数据的搜集、处理、访问等关键环节均需要指引与约束，通过完善的数据安全管理体系，对数据安全保障、正当使用等进行管理与约束。面向医院数据中心的数据在开放共享的基础上，需要对患者数据进行数据访问权限、数据加密、数据脱敏等防护策略，为患者数据实现保驾护航。</w:t>
            </w:r>
          </w:p>
          <w:p>
            <w:pPr>
              <w:ind w:firstLine="480"/>
              <w:rPr>
                <w:rFonts w:ascii="宋体" w:hAnsi="宋体"/>
                <w:sz w:val="18"/>
                <w:szCs w:val="18"/>
                <w:highlight w:val="none"/>
                <w:lang w:eastAsia="zh-Hans"/>
              </w:rPr>
            </w:pPr>
            <w:r>
              <w:rPr>
                <w:rFonts w:hint="eastAsia" w:ascii="宋体" w:hAnsi="宋体"/>
                <w:sz w:val="18"/>
                <w:szCs w:val="18"/>
                <w:highlight w:val="none"/>
                <w:lang w:eastAsia="zh-Hans"/>
              </w:rPr>
              <w:t>医疗健康数据具有隐私强相关、高敏感、生命健</w:t>
            </w:r>
            <w:r>
              <w:rPr>
                <w:rFonts w:hint="eastAsia" w:ascii="宋体" w:hAnsi="宋体"/>
                <w:sz w:val="18"/>
                <w:szCs w:val="18"/>
                <w:highlight w:val="none"/>
              </w:rPr>
              <w:t>康</w:t>
            </w:r>
            <w:r>
              <w:rPr>
                <w:rFonts w:hint="eastAsia" w:ascii="宋体" w:hAnsi="宋体"/>
                <w:sz w:val="18"/>
                <w:szCs w:val="18"/>
                <w:highlight w:val="none"/>
                <w:lang w:eastAsia="zh-Hans"/>
              </w:rPr>
              <w:t>强相关、国家安全相关、专业性强等特点，对医疗健康数据的搜集、处理、访问等关键环节均需要指引与约束，通过完善的数据安全管理体系，对数据安全保障、正当使用等进行管理与约束。面向医院数据中心的数据在开放共享的基础上，需要对患者数据进行数据访问权限、数据加密、数据脱敏等防护策略，为患者数据实现保驾护航。</w:t>
            </w:r>
          </w:p>
          <w:p>
            <w:pPr>
              <w:ind w:firstLine="148" w:firstLineChars="82"/>
              <w:rPr>
                <w:rFonts w:ascii="宋体" w:hAnsi="宋体"/>
                <w:b/>
                <w:sz w:val="18"/>
                <w:szCs w:val="18"/>
                <w:highlight w:val="none"/>
                <w:lang w:eastAsia="zh-Hans"/>
              </w:rPr>
            </w:pPr>
            <w:r>
              <w:rPr>
                <w:rFonts w:hint="eastAsia" w:ascii="宋体" w:hAnsi="宋体"/>
                <w:b/>
                <w:sz w:val="18"/>
                <w:szCs w:val="18"/>
                <w:highlight w:val="none"/>
                <w:lang w:eastAsia="zh-Hans"/>
              </w:rPr>
              <w:t>数据权限管理</w:t>
            </w:r>
          </w:p>
          <w:p>
            <w:pPr>
              <w:pStyle w:val="32"/>
              <w:spacing w:after="240"/>
              <w:ind w:firstLineChars="0"/>
              <w:rPr>
                <w:rFonts w:ascii="宋体" w:hAnsi="宋体"/>
                <w:sz w:val="18"/>
                <w:szCs w:val="18"/>
                <w:highlight w:val="none"/>
                <w:lang w:eastAsia="zh-Hans"/>
              </w:rPr>
            </w:pPr>
            <w:r>
              <w:rPr>
                <w:rFonts w:hint="eastAsia" w:ascii="宋体" w:hAnsi="宋体"/>
                <w:sz w:val="18"/>
                <w:szCs w:val="18"/>
                <w:highlight w:val="none"/>
                <w:lang w:eastAsia="zh-Hans"/>
              </w:rPr>
              <w:t>面对医疗健康数据，应根据不同人员对临床数据进行不同的权限设置功能，可采用token令牌、用户名</w:t>
            </w:r>
            <w:r>
              <w:rPr>
                <w:rFonts w:ascii="宋体" w:hAnsi="宋体"/>
                <w:sz w:val="18"/>
                <w:szCs w:val="18"/>
                <w:highlight w:val="none"/>
                <w:lang w:eastAsia="zh-Hans"/>
              </w:rPr>
              <w:t>/</w:t>
            </w:r>
            <w:r>
              <w:rPr>
                <w:rFonts w:hint="eastAsia" w:ascii="宋体" w:hAnsi="宋体"/>
                <w:sz w:val="18"/>
                <w:szCs w:val="18"/>
                <w:highlight w:val="none"/>
                <w:lang w:eastAsia="zh-Hans"/>
              </w:rPr>
              <w:t>密码、加密密钥等方式进行访问管理。可支持机构级、系统级、用户级等多层级的访问权限控制，支持数据对象从患者到病历的权限管控功能，能够实现基于国家电子病历数据集标准的文档访问权限管理。</w:t>
            </w:r>
          </w:p>
          <w:p>
            <w:pPr>
              <w:ind w:firstLine="148" w:firstLineChars="82"/>
              <w:rPr>
                <w:rFonts w:ascii="宋体" w:hAnsi="宋体"/>
                <w:b/>
                <w:sz w:val="18"/>
                <w:szCs w:val="18"/>
                <w:highlight w:val="none"/>
                <w:lang w:eastAsia="zh-Hans"/>
              </w:rPr>
            </w:pPr>
            <w:r>
              <w:rPr>
                <w:rFonts w:hint="eastAsia" w:ascii="宋体" w:hAnsi="宋体"/>
                <w:b/>
                <w:sz w:val="18"/>
                <w:szCs w:val="18"/>
                <w:highlight w:val="none"/>
                <w:lang w:eastAsia="zh-Hans"/>
              </w:rPr>
              <w:t>数据脱敏管理</w:t>
            </w:r>
          </w:p>
          <w:p>
            <w:pPr>
              <w:pStyle w:val="32"/>
              <w:spacing w:after="240"/>
              <w:ind w:firstLineChars="0"/>
              <w:rPr>
                <w:rFonts w:ascii="宋体" w:hAnsi="宋体"/>
                <w:sz w:val="18"/>
                <w:szCs w:val="18"/>
                <w:highlight w:val="none"/>
              </w:rPr>
            </w:pPr>
            <w:r>
              <w:rPr>
                <w:rFonts w:hint="eastAsia" w:ascii="宋体" w:hAnsi="宋体"/>
                <w:sz w:val="18"/>
                <w:szCs w:val="18"/>
                <w:highlight w:val="none"/>
                <w:lang w:eastAsia="zh-Hans"/>
              </w:rPr>
              <w:t>数据脱敏是对某些敏感信息通过脱敏规则进行数据变形，实现对个人数据的隐私保护，是目前应用最广泛的隐私保护技术，主要可通过随机干扰、乱序、打码、可逆置换算法进行脱敏处理；针对临床数据，数据敏感程度、敏感层级不同，需要能够根据电子病历数据集、数据建模结构实现到字段级的脱敏处理，并提供多种脱敏的处理方式，确保脱敏的有效性；同时需要能够针对脱敏的特定人群进行规则匹配，可实现针对不同的人群实现不同信息的脱敏，不同人员实现不同的脱敏规则，为临床数据能够提供给科研方面做好数据安全支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基础服务组件</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主索引服务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建立县域内人员、组织机构、药品、患者、物资等主索引注册和管理服务。使用索引可快速访问数据库表中的人员、组织机构、药品、患者、物资信息。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索引信息注册：系统通过把一个索引加入交叉索引系统，并向交叉索引系统传送请求注册消息，消息中包含待注册的信息，主要包括：基本信息（患者姓名、性别、出生日期、身份证号），扩展信息（住址、电话、联系人姓名、出生地、民族、婚姻状况等）。</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信息匹配：在平台接收到其他系统登记的请求信息后，交叉索引系统首先会进行定向查找，如果存在精确匹配的索引，只需要对原索引信息进行更新即可，如果没有，则需要根据其他信息和系统中的记录进行匹配。</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（3）更新主索引：用过对交叉索引系统新增或更新一个索引信息以及对主索引进行更新。</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（4）记录潜在重复</w:t>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sz w:val="18"/>
                <w:szCs w:val="18"/>
                <w:highlight w:val="none"/>
              </w:rPr>
              <w:t>匹配引擎检测到申请登记的信息和现存索引存在潜在重复时，需要对潜在重复的情况进行记录，并返回给业务系统或系统管理员进行处理。</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（5）发布主索引：业务系统可以向交叉索引系统订阅主索引，便于在以后的应用中加快应用，提高信息准确性，交叉索引系统在对一个主索引更新或增加新索引后，需要向订阅主索引的业务系统发布更新。</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（6）获取交叉索引：交叉索引系统的主要功能是为业务系统提供业务系统交叉索引表，业务系统可以通过两种方式获取交叉索引：通过全局标识获取、通过索引信息获取。</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获取主索引信息：交叉索引系统存储了在多个系统中的标识信息，并由此维护一个主索引，记录最准确的基本信息，该信息可以提供给业务系统使用，提高业务系统中信息的质量。获取主索引信息的使用方法要求与获取交叉索引类似，可以由业务系统提供全局标识获取，也可以由业务系统提供本地信息获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注册服务</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医疗卫生机构注册服务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通过建立医疗卫生机构注册库，提供本区域内所有医疗卫生机构的综合目录，相关的机构包括县级医院、乡镇卫生院、卫生室等。系统为每个机构分配唯一的标识，可以解决居民所获取的医疗卫生服务场所唯一性识别问题，从而保证在维护居民健康信息的不同系统中使用统一的规范化的标识符，同时也满足全民健康信息平台内互联互通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nil"/>
              <w:left w:val="nil"/>
              <w:bottom w:val="nil"/>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医疗卫生人员注册服务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医疗卫生从业人员注册库，是一个单一的目录服务，为本区域内所有医疗卫生机构的医疗服务提供者，包括全科医生、专科医生、护士、实验室医师、医学影像专业人员、疾病预防控制专业人员、妇幼保健人员及其他从事与医疗卫生服务相关的从业人员，系统为每一位医疗卫生从业人员分配一个唯一的标识，并提供给平台以及与平 台交互的系统和用户所使用。</w:t>
            </w:r>
            <w:r>
              <w:rPr>
                <w:rFonts w:hint="eastAsia" w:ascii="宋体" w:hAnsi="宋体"/>
                <w:sz w:val="18"/>
                <w:szCs w:val="18"/>
                <w:highlight w:val="none"/>
              </w:rPr>
              <w:t>该功能的基本流程为，各医院、社区和公共卫生机构系统将医疗卫生人员基础信息通过平台接口进行注册。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个人注册服务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个人注册服务是在一定区域范围内，用于安全地保存和维护个人的健康标识号、基本信息，提供给全民健康信息平台其他组件使用，并可为医疗就诊及相关的业务系统提供人员身份识别功能的服务组件，注意保存历史信息，及时更新数据及唯一性。</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个人注册服务是平台中最主要的服务之一，其主要功能是维护和提供医疗服务的接受者（比如患者等）的唯一标识信息、个人信息和与外部系统中的标识映射信息。对于电子健康档案信息来说，必须针对每一个个人实体在系统中拥有一个唯一的标识，也就是个人唯一标识。个人唯一标识被广泛地</w:t>
            </w:r>
            <w:r>
              <w:rPr>
                <w:rFonts w:hint="eastAsia" w:asciiTheme="minorEastAsia" w:hAnsiTheme="minorEastAsia" w:cstheme="minorEastAsia"/>
                <w:sz w:val="18"/>
                <w:szCs w:val="18"/>
                <w:highlight w:val="none"/>
              </w:rPr>
              <w:t>用于</w:t>
            </w:r>
            <w:r>
              <w:rPr>
                <w:rFonts w:hint="eastAsia" w:asciiTheme="minorEastAsia" w:hAnsiTheme="minorEastAsia" w:eastAsiaTheme="minorEastAsia" w:cstheme="minorEastAsia"/>
                <w:sz w:val="18"/>
                <w:szCs w:val="18"/>
                <w:highlight w:val="none"/>
              </w:rPr>
              <w:t>系统中与个人相关的所有信息中，比如共享医疗档案，医疗影像库等。同时，系统中还需要存放个人的相关信息，比如名字、性别、年龄、籍贯等等，这些信息将和个人唯一标识绑定，存放在个人注册数据库中。个人唯一标识和相关信息的使用可以有效地防止歧义，保障长期医疗信息的一致性，并可以用来提供个人搜索等服务。</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由于健康档案采集于各个医疗服务机构，无法被强制统一地上传原始的医疗记录中的个人标识。当原始医疗记录被规范成中心标准格式后，此记录需要对应到中心的相关记录中。个人注册服务的个人标识映射功能就是用来将不同来源记录中的个人标识映射为中心的个人唯一标识。此类映射可以分为自动映射和人工干预映射两种。个人注册服务提供的主要服务包括：</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搜索个人：从输入的个人信息搜索个人唯一标识和相关个人信息；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增加新个人：创建一个新的个人唯一标识和相关个人信息；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合并个人：合并两个或多个个人唯一标识和相关个人信息；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搜索中心标识：根据输入的来源信息和来源标识找出对应的个人唯一标识；</w:t>
            </w:r>
          </w:p>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模糊搜索中心标识：根据输入的个人相关信息，自动匹配</w:t>
            </w:r>
            <w:r>
              <w:rPr>
                <w:rFonts w:hint="eastAsia" w:asciiTheme="minorEastAsia" w:hAnsiTheme="minorEastAsia" w:eastAsiaTheme="minorEastAsia" w:cstheme="minorEastAsia"/>
                <w:sz w:val="18"/>
                <w:szCs w:val="18"/>
                <w:highlight w:val="none"/>
              </w:rPr>
              <w:t>最相关的个人唯一标识；个人注册服务是以Web Service的形式实现，各服务是直接提供给各模块使用，使用隐式认证方式，但不允许非认证用户使用。服务定义将借鉴IHE PIX的定义，实现相近的功能。对于模糊查询可以考虑使用开源搜索引擎搜索相关度最高的结果。模糊查询的关键信息包括：姓名、性别、年龄、身份证号、社保号、住址、电话号码。合并个人标识和设置外部标识映射功能需要人工干预，相应的用户界面和逻辑将在应用服务器中实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从业人员注册服务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疗卫生从业人员注册库，是一个单一的目录服务，为本区域内所有医疗卫生机构的医疗服务提供者，包括全科医生、专科医生、护士、实验室医师、医学影像专业人员、疾病预防控制专业人员、妇幼保健人员及其他从事与医疗卫生服务相关的从业人员，系统为每一位医疗卫生从业人员分配一个唯一的标识，并提供给平台以及与平 台交互的系统和用户所使用。</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从业人员注册服务主要功能是维护和提供医疗服务的提供者（比如医师、护士等）的唯一标识信息、医师信息和与外部系统中的标识映射信息。由于医师的注册机制比较严密，从业人员注册服务比个人注册服务少了模糊查询和合并医师等功能。除此之外，每个医师都会映射到机构注册服务维护的医疗机构中，在现实中就是该医师注册的医院或诊所。</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在医师信息中，还增加了医师的公钥信息，用来在某些记录中对医疗记录进行加密或签名，以满足某些场合安全性的需要。从业人员注册服务提供的主要服务包括：</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搜索医师：从输入的医师信息搜索医师唯一标识和相关医师信息；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增加新医师：创建一个新的医师唯一标识和相关医师信息；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搜索中心标识：根据输入的来源信息和来源标识找出对应的医师唯一标识；</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从业人员注册服务是以Web Service的形式实现，各服务是直接提供给各模块使用，使用隐式认证方式，但不允许非认证用户使用。设置医师公钥、设置医师服务机构和设置外部标识映射功能需要人工干预，相应的用户界面和逻辑将在应用服务器中实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行政区划管理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行政区划管理功能用于管理和维护行政区划的基本架构及相关信息，包括地区的名称、辖区的结构等。该功能提供行政区划的新增、修改、删除和查询接口，业务系统可根据实际需求，通过订阅对应的接口以实现增删改查各项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通过建立行政区划注册库，提供本区域内所有行政区划的综合目录，相关的区划包括乡镇、村等。系统为每个行政区划分配唯一的标识，可以解决居民所获取的医疗卫生服务所在地唯一性识别问题，从而保证在维护居民健康信息的不同系统中使用统一的规范化的标识符，同时也满足全民健康信息平台内互联互通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术语字典注册服务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建立术语注册库，用来规范医疗卫生事件中所产生的信息含义的一致性问题。术语由平台管理者进行注册、更新维护。</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术语字典注册服务主要是标准化代码建设。标准化代码是整个平台体系内部或与外部系统在信息表达和语义互操作时的关键性基础设施。</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术语字典注册服务主要功能是维护和提供中心术语名词定义之间的映射定义。在中心的医疗记录中，所有的术语名词都会以标准的名词定义，以保证一致性和支持统计功能。术语字典注册服务提供的主要服务包括：</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机构至中心名词映射；</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中心至机构名词映射；</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名词映射定义。</w:t>
            </w:r>
          </w:p>
          <w:p>
            <w:pPr>
              <w:ind w:firstLine="480"/>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术语字典注册服务的映射功能是以Web Service的形式实现，各服务是直接提供给各模块使用，使用隐式认证方式，但不允许非认证用户使用。术语字典注册服务的名词映射定义可以使用文件注入和界面设置来实现。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29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居民健康卡服务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对接省、市电子健康卡卡管平台，居民电子健康卡申请及审核、统计及监管，电子健康卡二维码生成，多卡合一识别；实现基本公卫、家庭医生签约、全流程就医、健康信息查询、预防接种、献血证、职业病等全生命周期健康信息查询，实现交易结算信息管理服务集成多渠道（现金、银联、自助机、微信、支付宝）支付，医保和商保结算服务接入接口预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健康档案整合服务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提供对健康档案的采集整合处理服务，要求包括个案实时的数据采集和批量数据采集整合处理等，需对健康档案数据进行抽取、转换、加载、调度、质量监控和日志监控，实现对健康档案的统一管理。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健康档案调阅服务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宋体" w:hAnsi="宋体" w:cs="宋体"/>
                <w:bCs/>
                <w:kern w:val="0"/>
                <w:sz w:val="18"/>
                <w:szCs w:val="18"/>
                <w:highlight w:val="none"/>
                <w:lang w:bidi="ar"/>
              </w:rPr>
            </w:pPr>
            <w:r>
              <w:rPr>
                <w:rStyle w:val="106"/>
                <w:rFonts w:hAnsi="宋体" w:cs="宋体"/>
                <w:sz w:val="18"/>
                <w:szCs w:val="18"/>
                <w:highlight w:val="none"/>
              </w:rPr>
              <w:t>用于处理平台内数据定位和管理相关的复杂任务，包括调阅预判、 获取展示文档、调阅目录、摘要调阅等服务。该服务分析来自外部资源的请求，响应外部医疗卫生服务点的检索、汇聚和返回数据，也可以反向地存这些数据到存储库中。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健康档案存储服务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健康档案数据的存储模型以一次健康事件为基本单位，在存储上不对健康事件进行合并和加工。主要存放健康档案相关的业务数据信息，存储类型需包括文件存储和数据库中的文档存储两种。实际存储中可采用多种存储的模式，系统需要能生成与导出各主题库对应的数据库脚本，能对存储模型对应的数据库元数据进行可视化的管理，包括表名，字段名，字段的类型、约束等，针对每个数据列可以定义在数据传输和存储过程中是否要加密，以及设定各种数据有效性以及其他质量控制的校验规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健康档案管理服务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7"/>
              <w:ind w:firstLine="360" w:firstLineChars="20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该服务提供健康档案建档管理、注销及属地变更。</w:t>
            </w:r>
          </w:p>
          <w:p>
            <w:pPr>
              <w:pStyle w:val="17"/>
              <w:ind w:firstLine="360" w:firstLineChars="20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健康档案建档管理：健康档案管理者向健康档案管理服务组件发起对某个健康档案管理对象主体的建档请求，该服务根据相应的业务规则返回</w:t>
            </w:r>
            <w:r>
              <w:rPr>
                <w:rFonts w:hint="eastAsia" w:asciiTheme="minorEastAsia" w:hAnsiTheme="minorEastAsia" w:cstheme="minorEastAsia"/>
                <w:sz w:val="18"/>
                <w:szCs w:val="18"/>
                <w:highlight w:val="none"/>
              </w:rPr>
              <w:t>对</w:t>
            </w:r>
            <w:r>
              <w:rPr>
                <w:rFonts w:hint="eastAsia" w:asciiTheme="minorEastAsia" w:hAnsiTheme="minorEastAsia" w:eastAsiaTheme="minorEastAsia" w:cstheme="minorEastAsia"/>
                <w:sz w:val="18"/>
                <w:szCs w:val="18"/>
                <w:highlight w:val="none"/>
              </w:rPr>
              <w:t>请求的响应。</w:t>
            </w:r>
          </w:p>
          <w:p>
            <w:pPr>
              <w:pStyle w:val="17"/>
              <w:ind w:firstLine="360" w:firstLineChars="20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健康档案注销管理：健康档案管理者向健康档案管理服务请求注销该份健康档案，该服务根据健康档案注销业务规则，对注销请求进行处理，并将处理结果返回给健康档案管理者。</w:t>
            </w:r>
          </w:p>
          <w:p>
            <w:pPr>
              <w:widowControl/>
              <w:ind w:firstLine="360" w:firstLineChars="2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健康档案属地变更管理：健康档案新管理者向健康档案管理服务组件请求接管某健康档案管理对象，该服务根据对属地变更的业务规则对健康档案原管理者进行脱管，变更管理属地，并将处理结果返回健康档案新管理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协同共享服务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该服务通过整合信息资源，用于满足平台不同接入方的协同共享服务，实现医疗卫生机构之间的信息共享和业务协同,根据健康档案信息的分类和服务需要，划分医疗卫生信息共享和协同服务为七个域：个人基本信息域、主要疾病和健康问题摘要域、儿童保健域、妇女保健域、疾病控制域、疾病管理域以及医疗服务域。这些域又可以进一步细分为若干个子域，例如医疗服务域可以分为诊断信息域、药品处方域、临床检验域、医学影像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元数据管理</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数据元管理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数据元管理包含：</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（1）编码健康档案基本数据集的数据元标识符（DE）采用字母数字混合码，数据元标识符结构为：数据标识符（DI）_版本标识符（VI）。</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（2）名称数据元名称是精炼表达数据元概念的中文词组或短语，其命名应使用一定的逻辑结构和通用的术语。完整的数据元名称＝对象类术语＋特性类术语＋表示类术语＋（限定类术语）</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主要功能如下：</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新增数据元</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新增数据元的基本信息，其中必填字段为数据元标识、数据元名称等，数据元标识重复时不可新增，基本信息里可维护数据元对应的值域信息，填写后即可保存。</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修改数据元</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修改数据元基本信息，同时维护数据元对应的值域信息，修改后点击提交按钮将修改信息保存。</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删除数据元</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删除一条或多条数据元。勾选数据元列表中一条或多条数据元进行删除，删除为物理删除，不可修复。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数据集管理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数据集是具有一定主题的、可标识的、能被计算机化处理的数据集合。</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（1）数据集标识符采用字母数字混合码，结构为：数据集类目编码（DCC）_版本标识符（VI），其中：（1）版本标识符（VI）同上文的数据标识符中的定义。</w:t>
            </w:r>
          </w:p>
          <w:p>
            <w:pPr>
              <w:widowControl/>
              <w:ind w:firstLine="360" w:firstLineChars="200"/>
              <w:jc w:val="left"/>
              <w:textAlignment w:val="bottom"/>
              <w:rPr>
                <w:rFonts w:ascii="宋体" w:hAnsi="宋体" w:cs="宋体" w:eastAsiaTheme="minorEastAsia"/>
                <w:bCs/>
                <w:kern w:val="0"/>
                <w:sz w:val="18"/>
                <w:szCs w:val="18"/>
                <w:highlight w:val="none"/>
                <w:lang w:bidi="ar"/>
              </w:rPr>
            </w:pPr>
            <w:r>
              <w:rPr>
                <w:rFonts w:hint="eastAsia" w:asciiTheme="minorEastAsia" w:hAnsiTheme="minorEastAsia" w:eastAsiaTheme="minorEastAsia" w:cstheme="minorEastAsia"/>
                <w:sz w:val="18"/>
                <w:szCs w:val="18"/>
                <w:highlight w:val="none"/>
              </w:rPr>
              <w:t>（2）数据集类目编码（DCC）：即数据集分类编码。采用长度8位的字母数字混合码。按业务领域代码、一级类目代码、二级类目代码、顺序号从左向右顺序排列</w:t>
            </w:r>
            <w:r>
              <w:rPr>
                <w:rFonts w:hint="eastAsia" w:asciiTheme="minorEastAsia" w:hAnsiTheme="minorEastAsia" w:cstheme="minorEastAsia"/>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字典、术语管理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平台涉及的字典内容除了基本的标准字典，国家卫健委字典以外还涉及多样化的医疗疾病诊断字典，药品字典。字典注册服务提供对内的基础字典更新服务，对外提供医院字典，特殊化字典的管理注册需求，做到对字典的需求统一分类化管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平台建立术语管理服务，以保证在不同的系统或医疗服务提供者之间交换信息时的一致性，消除医疗信息在不同场合的差异。结构化术语管理主要是对不同的外部系统传过来的术语信息进行统一的管理，包括术语信息的分类，术语信息的完善，术语信息的审核，设置（取消）基准术语，管理术语映射关系以及最终术语的发布。术语应由平台管理者进行注册、更新维护，也可委托相关机构进行注册、更新维护，并由平台管理者进行审核确认。</w:t>
            </w:r>
          </w:p>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医学术语标准注册服务主要功能是维护和提供数据中心医疗术语定义和医疗机构的术语定义之间的映射定义。在数据中心的医疗记录中，所有的医疗名词都要以标准的名词定义以保证一致性和支持统计功能。医疗体系内有众多的术语体系，由于不同医院的应用系统之间，甚至于同一个医院的不同应用系统之间使用不同的术语表示体系，这是在进行数据整合或者信息交换是必须解决的问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交互服务标准管理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平台提供对数据元、数据集、共享文档、交互服务、字典术语等标准进行统一管理和发布，形成平台数据中心统一标准，用于规范各个业务领域产生的健康医疗数据，为数据共享提供规范化数据化支撑。标准主要是依据WS363《卫生信息数据元目录》、《WS 365-2011 城乡居民健康档案基本数据集》、《WS 445-2014 电子病历基本数据集》，分别根据业务需求分类维护、扩展数据集，并根据上下级平台的待对接需求进行调研扩展。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39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卫生服务活动管理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卫生服务活动：将主题域与活动组合，针对一种主题域的活动即为卫生服务活动，不能再进行细分。每一种卫生活动服务都有对应的业务表单，将业务表单进行整理，生成一个或多个业务卡片，并通过卡片对卫生服务活动中的业务数据进行展示。在全民健康信息平台中，卫生活动服务的衍生的卡片即为平台的主体。</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（2）通过建立卫生服务活动与卡片的对应关系，可以实现从主题域维度出发，建立从主题域到卫生服务活动，再到卡片（即具体健康档案数据）的树形目录结构，实现对健康档案数据的索引访问。</w:t>
            </w:r>
          </w:p>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（3）卫生服务活动管理包括卫生服务活动的定义、编码、维护等内容。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全生命周期健康档案服务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自动采集和更新居民全生命周期的医疗健康数据，能够为各级医疗卫生服务机构按实际需求呈现该居民全生命周期的健康档案信息，通过以身份证号为主索引的唯一标识进行一生服务。实现健康档案全生命周期的信息服务。</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应包括如下功能：</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1.档案管理：健康档案全生命周期管理，包括建档、注销、属地变更等。</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健康档案调阅：为平台应用提供统一的健康档案访问入口。配合信息安全手段实现居民健康档案的受控访问。为健康档案浏览器提供顶层数据访问服务。提供健康档案检索、健康档案状态查询、健康档案获取、健康档案摘要调阅等服务内容。</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3.组装服务：提供组装模板制作与维护功能；提供所见即所得的数据组装仿真，提供模板的版本化管理，提供规范的模板发布流程处理；提供组装引擎，提供组装服务运行监控。</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4.健康档案浏览器：提供健康档案中任何可用信息的跨域集成视图，包括通过平台提供的索引服务追踪到所有事件的相关数据。</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电子病历浏览器：实现医疗服务过程中居民历次门诊与住院病历、检查、检验等各种报告的浏览与查看，患者病历、各种报告的过滤等。提供通过患者基本信息、诊疗事件信息、文档信息等快速检索定位患者病历，提供医学影像阅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数据资源目录管理服务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ind w:left="119" w:right="119" w:firstLine="480"/>
              <w:rPr>
                <w:rFonts w:ascii="宋体" w:hAnsi="宋体"/>
                <w:sz w:val="18"/>
                <w:szCs w:val="18"/>
                <w:highlight w:val="none"/>
              </w:rPr>
            </w:pPr>
            <w:r>
              <w:rPr>
                <w:rFonts w:hint="eastAsia" w:ascii="宋体" w:hAnsi="宋体"/>
                <w:sz w:val="18"/>
                <w:szCs w:val="18"/>
                <w:highlight w:val="none"/>
              </w:rPr>
              <w:t>定义数据的值域和制定标准，建立</w:t>
            </w:r>
            <w:r>
              <w:rPr>
                <w:rFonts w:ascii="宋体" w:hAnsi="宋体"/>
                <w:sz w:val="18"/>
                <w:szCs w:val="18"/>
                <w:highlight w:val="none"/>
              </w:rPr>
              <w:t>医共体</w:t>
            </w:r>
            <w:r>
              <w:rPr>
                <w:rFonts w:hint="eastAsia" w:ascii="宋体" w:hAnsi="宋体"/>
                <w:sz w:val="18"/>
                <w:szCs w:val="18"/>
                <w:highlight w:val="none"/>
              </w:rPr>
              <w:t>内标准体系，为实现互操作提供必要的语义保证，同时对患者、医护人员、科室、医嘱等基础数据及相关主索引实行统一管理。</w:t>
            </w:r>
            <w:r>
              <w:rPr>
                <w:rFonts w:ascii="宋体" w:hAnsi="宋体"/>
                <w:sz w:val="18"/>
                <w:szCs w:val="18"/>
                <w:highlight w:val="none"/>
              </w:rPr>
              <w:t>实现医共体内字典</w:t>
            </w:r>
            <w:r>
              <w:rPr>
                <w:rFonts w:hint="eastAsia" w:ascii="宋体" w:hAnsi="宋体"/>
                <w:sz w:val="18"/>
                <w:szCs w:val="18"/>
                <w:highlight w:val="none"/>
              </w:rPr>
              <w:t>和术语</w:t>
            </w:r>
            <w:r>
              <w:rPr>
                <w:rFonts w:ascii="宋体" w:hAnsi="宋体"/>
                <w:sz w:val="18"/>
                <w:szCs w:val="18"/>
                <w:highlight w:val="none"/>
              </w:rPr>
              <w:t>，</w:t>
            </w:r>
            <w:r>
              <w:rPr>
                <w:rFonts w:hint="eastAsia" w:ascii="宋体" w:hAnsi="宋体"/>
                <w:sz w:val="18"/>
                <w:szCs w:val="18"/>
                <w:highlight w:val="none"/>
              </w:rPr>
              <w:t>国家卫健委</w:t>
            </w:r>
            <w:r>
              <w:rPr>
                <w:rFonts w:ascii="宋体" w:hAnsi="宋体"/>
                <w:sz w:val="18"/>
                <w:szCs w:val="18"/>
                <w:highlight w:val="none"/>
              </w:rPr>
              <w:t>医疗标准/国际医疗标准的统一访问和应用。</w:t>
            </w:r>
            <w:r>
              <w:rPr>
                <w:rFonts w:hint="eastAsia" w:ascii="宋体" w:hAnsi="宋体"/>
                <w:sz w:val="18"/>
                <w:szCs w:val="18"/>
                <w:highlight w:val="none"/>
              </w:rPr>
              <w:t>标准化的主数据是</w:t>
            </w:r>
            <w:r>
              <w:rPr>
                <w:rFonts w:ascii="宋体" w:hAnsi="宋体"/>
                <w:sz w:val="18"/>
                <w:szCs w:val="18"/>
                <w:highlight w:val="none"/>
              </w:rPr>
              <w:t>不同</w:t>
            </w:r>
            <w:r>
              <w:rPr>
                <w:rFonts w:hint="eastAsia" w:ascii="宋体" w:hAnsi="宋体"/>
                <w:sz w:val="18"/>
                <w:szCs w:val="18"/>
                <w:highlight w:val="none"/>
              </w:rPr>
              <w:t>应用系统间数据能够互相识别、整合，进行有效交互、共享和分析的基础，</w:t>
            </w:r>
            <w:r>
              <w:rPr>
                <w:rFonts w:ascii="宋体" w:hAnsi="宋体"/>
                <w:sz w:val="18"/>
                <w:szCs w:val="18"/>
                <w:highlight w:val="none"/>
              </w:rPr>
              <w:t>以达成各系统间数据交换时语义级别的标准化。</w:t>
            </w:r>
          </w:p>
          <w:p>
            <w:pPr>
              <w:widowControl/>
              <w:ind w:firstLine="360" w:firstLineChars="2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文档注册：提供文档元数据的采集、抽取、转换等功能。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96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综合采集与挖掘分析辅助决策</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平台实现与卫生健康综合采集与决策分析系统对接，实现系统进行自动化采集，按照业务监管等领域的数据规范进行数据实时上传，实现医疗卫生行业监管的科学化、智能化，促进基层医疗卫生服务与监管的现代化发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EMPI主索引系统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20"/>
              <w:rPr>
                <w:rFonts w:ascii="宋体" w:hAnsi="宋体" w:cs="宋体"/>
                <w:bCs/>
                <w:kern w:val="0"/>
                <w:sz w:val="18"/>
                <w:szCs w:val="18"/>
                <w:highlight w:val="none"/>
                <w:lang w:bidi="ar"/>
              </w:rPr>
            </w:pPr>
            <w:r>
              <w:rPr>
                <w:rFonts w:hint="eastAsia" w:asciiTheme="majorEastAsia" w:hAnsiTheme="majorEastAsia" w:eastAsiaTheme="majorEastAsia" w:cstheme="majorEastAsia"/>
                <w:sz w:val="18"/>
                <w:szCs w:val="18"/>
                <w:highlight w:val="none"/>
              </w:rPr>
              <w:t>EMPI通过为居民健康档案建立唯一的标识，并且将居民在医疗机构产生的医疗服务信息（如：门诊诊断信息、住院病历信息、病案信息、检验信息、检查信息等），在基层医疗卫生机构产生的卫生服务信息（慢病信息、预防保健信息、老年保健信息等），在妇保所产生的妇幼保健信息等和健康档案相关联，使信息的访问者可以通过EMPI方便的查询到居民在区域内产生的所有医疗卫生保健服务信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服务交换中心</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rFonts w:ascii="宋体" w:hAnsi="宋体"/>
                <w:sz w:val="18"/>
                <w:szCs w:val="18"/>
                <w:highlight w:val="none"/>
              </w:rPr>
            </w:pPr>
            <w:r>
              <w:rPr>
                <w:rFonts w:hint="eastAsia" w:ascii="宋体" w:hAnsi="宋体"/>
                <w:sz w:val="18"/>
                <w:szCs w:val="18"/>
                <w:highlight w:val="none"/>
              </w:rPr>
              <w:t>医共体内对数据服务进行统一标准、统一注册、统一发布、统一管理，对数据、流程、业务进行整合，以服务总线为核心形成平台服务的统一管理机制。服务总线是松散耦合的服务和应用之间标准的集成方式，提供丰富的接口服务，保证服务之间信息的可靠传送，实现不同操作系统、不同数据库、中间件以及不同厂商应用软件的服务集成，可对服务进行插拔式注册和发布。</w:t>
            </w:r>
          </w:p>
          <w:p>
            <w:pPr>
              <w:ind w:firstLine="450" w:firstLineChars="250"/>
              <w:rPr>
                <w:rFonts w:ascii="宋体" w:hAnsi="宋体"/>
                <w:sz w:val="18"/>
                <w:szCs w:val="18"/>
                <w:highlight w:val="none"/>
              </w:rPr>
            </w:pPr>
            <w:r>
              <w:rPr>
                <w:rFonts w:hint="eastAsia" w:ascii="宋体" w:hAnsi="宋体"/>
                <w:sz w:val="18"/>
                <w:szCs w:val="18"/>
                <w:highlight w:val="none"/>
              </w:rPr>
              <w:t>企业服务总线是医共体信息交换层的核心组件，能够将消息在多种通讯协议之间路由、在多种格式之间进行转换，将业务服务重新组合封装成标准行为，同时具备审计跟踪和管理功能，主要任务以满足医疗业务、公卫业务以及管理信息的共享和协同应用为目标。</w:t>
            </w:r>
          </w:p>
          <w:p>
            <w:pPr>
              <w:ind w:firstLine="450" w:firstLineChars="250"/>
              <w:rPr>
                <w:rFonts w:ascii="宋体" w:hAnsi="宋体"/>
                <w:sz w:val="18"/>
                <w:szCs w:val="18"/>
                <w:highlight w:val="none"/>
              </w:rPr>
            </w:pPr>
            <w:r>
              <w:rPr>
                <w:rFonts w:hint="eastAsia" w:ascii="宋体" w:hAnsi="宋体"/>
                <w:sz w:val="18"/>
                <w:szCs w:val="18"/>
                <w:highlight w:val="none"/>
              </w:rPr>
              <w:t>在本项目采用成熟中间件来实现医共体信息集成。在核心中间件基础上开发了结合国内医疗业务特点的适配器，能快速实现与HIS\LIS\PACS\EMR等系统的对接，可以支持多种接入方式，支持多种数据库类型（包括ORACLE\SYBASE\SQL SERVER\DB2\达梦\人大金仓等），完全能够满足医共体现有的复杂环境。</w:t>
            </w:r>
          </w:p>
          <w:p>
            <w:pPr>
              <w:ind w:firstLine="450" w:firstLineChars="250"/>
              <w:rPr>
                <w:rFonts w:ascii="宋体" w:hAnsi="宋体"/>
                <w:sz w:val="18"/>
                <w:szCs w:val="18"/>
                <w:highlight w:val="none"/>
              </w:rPr>
            </w:pPr>
            <w:r>
              <w:rPr>
                <w:rFonts w:hint="eastAsia" w:ascii="宋体" w:hAnsi="宋体"/>
                <w:sz w:val="18"/>
                <w:szCs w:val="18"/>
                <w:highlight w:val="none"/>
              </w:rPr>
              <w:t>主要功能：</w:t>
            </w:r>
          </w:p>
          <w:p>
            <w:pPr>
              <w:ind w:firstLine="450" w:firstLineChars="250"/>
              <w:rPr>
                <w:rFonts w:ascii="宋体" w:hAnsi="宋体"/>
                <w:sz w:val="18"/>
                <w:szCs w:val="18"/>
                <w:highlight w:val="none"/>
              </w:rPr>
            </w:pPr>
            <w:r>
              <w:rPr>
                <w:rFonts w:hint="eastAsia" w:ascii="宋体" w:hAnsi="宋体"/>
                <w:sz w:val="18"/>
                <w:szCs w:val="18"/>
                <w:highlight w:val="none"/>
              </w:rPr>
              <w:t>运行平台：运行平台：可安装运行于各种主流操作系统上，包括：Linux®  、Microsoft ®Windows Server 、麒麟等国产操作系统。</w:t>
            </w:r>
          </w:p>
          <w:p>
            <w:pPr>
              <w:ind w:firstLine="450" w:firstLineChars="250"/>
              <w:rPr>
                <w:rFonts w:ascii="宋体" w:hAnsi="宋体"/>
                <w:sz w:val="18"/>
                <w:szCs w:val="18"/>
                <w:highlight w:val="none"/>
              </w:rPr>
            </w:pPr>
            <w:r>
              <w:rPr>
                <w:rFonts w:hint="eastAsia" w:ascii="宋体" w:hAnsi="宋体"/>
                <w:sz w:val="18"/>
                <w:szCs w:val="18"/>
                <w:highlight w:val="none"/>
              </w:rPr>
              <w:t>支持集成不同厂商的数据库：Microsoft ® 微软SQL系列、Oracle甲骨文系列、MySQL、达梦、人大金仓等国产数据库，包括支持所有提供JDBC接口的数据库。</w:t>
            </w:r>
          </w:p>
          <w:p>
            <w:pPr>
              <w:ind w:firstLine="450" w:firstLineChars="250"/>
              <w:rPr>
                <w:rFonts w:ascii="宋体" w:hAnsi="宋体"/>
                <w:sz w:val="18"/>
                <w:szCs w:val="18"/>
                <w:highlight w:val="none"/>
              </w:rPr>
            </w:pPr>
            <w:r>
              <w:rPr>
                <w:rFonts w:hint="eastAsia" w:ascii="宋体" w:hAnsi="宋体"/>
                <w:sz w:val="18"/>
                <w:szCs w:val="18"/>
                <w:highlight w:val="none"/>
              </w:rPr>
              <w:t>支持完整Web Service及多种协议服务：投标方患者门户需支持以下Web Service网络服务标准，包括WSDL 1.1、SOAP 1.1 &amp; 1.2、WS-Addressing、WS-Security、WS-Policy。</w:t>
            </w:r>
          </w:p>
          <w:p>
            <w:pPr>
              <w:ind w:firstLine="450" w:firstLineChars="250"/>
              <w:rPr>
                <w:rFonts w:ascii="宋体" w:hAnsi="宋体"/>
                <w:sz w:val="18"/>
                <w:szCs w:val="18"/>
                <w:highlight w:val="none"/>
              </w:rPr>
            </w:pPr>
            <w:r>
              <w:rPr>
                <w:rFonts w:hint="eastAsia" w:ascii="宋体" w:hAnsi="宋体"/>
                <w:sz w:val="18"/>
                <w:szCs w:val="18"/>
                <w:highlight w:val="none"/>
              </w:rPr>
              <w:t>可扩充性和升级能力：系统建设采用零编程和面向服务设计技术，对于其可扩充性和升级能力必须有强力的支持。</w:t>
            </w:r>
          </w:p>
          <w:p>
            <w:pPr>
              <w:ind w:firstLine="450" w:firstLineChars="250"/>
              <w:rPr>
                <w:rFonts w:ascii="宋体" w:hAnsi="宋体"/>
                <w:sz w:val="18"/>
                <w:szCs w:val="18"/>
                <w:highlight w:val="none"/>
              </w:rPr>
            </w:pPr>
            <w:r>
              <w:rPr>
                <w:rFonts w:hint="eastAsia" w:ascii="宋体" w:hAnsi="宋体"/>
                <w:sz w:val="18"/>
                <w:szCs w:val="18"/>
                <w:highlight w:val="none"/>
              </w:rPr>
              <w:t>代码开发标准：开放式服务通路主动式框架是一个基于Java环境的严格的标准开发平台，，确保代码结构的标准化。</w:t>
            </w:r>
          </w:p>
          <w:p>
            <w:pPr>
              <w:ind w:firstLine="450" w:firstLineChars="250"/>
              <w:rPr>
                <w:rFonts w:ascii="宋体" w:hAnsi="宋体"/>
                <w:sz w:val="18"/>
                <w:szCs w:val="18"/>
                <w:highlight w:val="none"/>
              </w:rPr>
            </w:pPr>
            <w:r>
              <w:rPr>
                <w:rFonts w:hint="eastAsia" w:ascii="宋体" w:hAnsi="宋体"/>
                <w:sz w:val="18"/>
                <w:szCs w:val="18"/>
                <w:highlight w:val="none"/>
              </w:rPr>
              <w:t>产品开发技术：参与投标产品必须使用Java开源技术开发，避免侵犯第三方产权。不能使用私有技术开发。</w:t>
            </w:r>
          </w:p>
          <w:p>
            <w:pPr>
              <w:ind w:firstLine="450" w:firstLineChars="250"/>
              <w:rPr>
                <w:rFonts w:ascii="宋体" w:hAnsi="宋体"/>
                <w:sz w:val="18"/>
                <w:szCs w:val="18"/>
                <w:highlight w:val="none"/>
              </w:rPr>
            </w:pPr>
            <w:r>
              <w:rPr>
                <w:rFonts w:hint="eastAsia" w:ascii="宋体" w:hAnsi="宋体"/>
                <w:sz w:val="18"/>
                <w:szCs w:val="18"/>
                <w:highlight w:val="none"/>
              </w:rPr>
              <w:t>消息路由：通过对服务总线的建设，实现可视化的消息订阅功能，即消息路由，决定传入消息的最终目的地和相关系统。</w:t>
            </w:r>
          </w:p>
          <w:p>
            <w:pPr>
              <w:ind w:firstLine="450" w:firstLineChars="250"/>
              <w:rPr>
                <w:rFonts w:ascii="宋体" w:hAnsi="宋体"/>
                <w:sz w:val="18"/>
                <w:szCs w:val="18"/>
                <w:highlight w:val="none"/>
              </w:rPr>
            </w:pPr>
            <w:r>
              <w:rPr>
                <w:rFonts w:hint="eastAsia" w:ascii="宋体" w:hAnsi="宋体"/>
                <w:sz w:val="18"/>
                <w:szCs w:val="18"/>
                <w:highlight w:val="none"/>
              </w:rPr>
              <w:t xml:space="preserve">医疗信息交换标准协议服务：平台中间件需完整提供下列协议服务，包括消息及数据格式: HL7（V3、FHIR等）、XML、JSON等。 </w:t>
            </w:r>
          </w:p>
          <w:p>
            <w:pPr>
              <w:ind w:firstLine="450" w:firstLineChars="250"/>
              <w:rPr>
                <w:rFonts w:ascii="宋体" w:hAnsi="宋体"/>
                <w:sz w:val="18"/>
                <w:szCs w:val="18"/>
                <w:highlight w:val="none"/>
              </w:rPr>
            </w:pPr>
            <w:r>
              <w:rPr>
                <w:rFonts w:hint="eastAsia" w:ascii="宋体" w:hAnsi="宋体"/>
                <w:sz w:val="18"/>
                <w:szCs w:val="18"/>
                <w:highlight w:val="none"/>
              </w:rPr>
              <w:t>支持TCP/IP、JDBC、ODBC等标准协议。</w:t>
            </w:r>
          </w:p>
          <w:p>
            <w:pPr>
              <w:ind w:firstLine="450" w:firstLineChars="250"/>
              <w:rPr>
                <w:rFonts w:ascii="宋体" w:hAnsi="宋体"/>
                <w:sz w:val="18"/>
                <w:szCs w:val="18"/>
                <w:highlight w:val="none"/>
              </w:rPr>
            </w:pPr>
            <w:r>
              <w:rPr>
                <w:rFonts w:hint="eastAsia" w:ascii="宋体" w:hAnsi="宋体"/>
                <w:sz w:val="18"/>
                <w:szCs w:val="18"/>
                <w:highlight w:val="none"/>
              </w:rPr>
              <w:t>支持开发语言和网络技术: Java, HTML, JavaScript, CSS, XSLT等主流开发语言和网络技术。</w:t>
            </w:r>
          </w:p>
          <w:p>
            <w:pPr>
              <w:ind w:firstLine="450" w:firstLineChars="250"/>
              <w:rPr>
                <w:rFonts w:ascii="宋体" w:hAnsi="宋体"/>
                <w:sz w:val="18"/>
                <w:szCs w:val="18"/>
                <w:highlight w:val="none"/>
              </w:rPr>
            </w:pPr>
            <w:r>
              <w:rPr>
                <w:rFonts w:hint="eastAsia" w:ascii="宋体" w:hAnsi="宋体"/>
                <w:sz w:val="18"/>
                <w:szCs w:val="18"/>
                <w:highlight w:val="none"/>
              </w:rPr>
              <w:t>支持安全及授权协议: HTTPS、LDAP、PKI、SSL、IPSec等主流协议。</w:t>
            </w:r>
          </w:p>
          <w:p>
            <w:pPr>
              <w:ind w:firstLine="450" w:firstLineChars="250"/>
              <w:rPr>
                <w:rFonts w:ascii="宋体" w:hAnsi="宋体"/>
                <w:sz w:val="18"/>
                <w:szCs w:val="18"/>
                <w:highlight w:val="none"/>
              </w:rPr>
            </w:pPr>
            <w:r>
              <w:rPr>
                <w:rFonts w:hint="eastAsia" w:ascii="宋体" w:hAnsi="宋体"/>
                <w:sz w:val="18"/>
                <w:szCs w:val="18"/>
                <w:highlight w:val="none"/>
              </w:rPr>
              <w:t>支持LDAP：支持通过LDAP协议配合客户的系统基础设施，使用统一的用户名和密码登录集成平台。用户名和密码都以加密的形式保存在内置数据库中，系统通过访问控制表的方式授权登录。</w:t>
            </w:r>
          </w:p>
          <w:p>
            <w:pPr>
              <w:ind w:firstLine="450" w:firstLineChars="250"/>
              <w:rPr>
                <w:rFonts w:ascii="宋体" w:hAnsi="宋体"/>
                <w:sz w:val="18"/>
                <w:szCs w:val="18"/>
                <w:highlight w:val="none"/>
              </w:rPr>
            </w:pPr>
            <w:r>
              <w:rPr>
                <w:rFonts w:hint="eastAsia" w:ascii="宋体" w:hAnsi="宋体"/>
                <w:sz w:val="18"/>
                <w:szCs w:val="18"/>
                <w:highlight w:val="none"/>
              </w:rPr>
              <w:t>信息安全：支持实现安全网关，基于证书的安全数据传输，如TLS、SSL、HTTPS等，基于数字证书的数字签名，实现消息内容加密及审计跟踪与节点验证。</w:t>
            </w:r>
          </w:p>
          <w:p>
            <w:pPr>
              <w:ind w:firstLine="450" w:firstLineChars="250"/>
              <w:rPr>
                <w:rFonts w:ascii="宋体" w:hAnsi="宋体"/>
                <w:sz w:val="18"/>
                <w:szCs w:val="18"/>
                <w:highlight w:val="none"/>
              </w:rPr>
            </w:pPr>
            <w:r>
              <w:rPr>
                <w:rFonts w:hint="eastAsia" w:ascii="宋体" w:hAnsi="宋体"/>
                <w:sz w:val="18"/>
                <w:szCs w:val="18"/>
                <w:highlight w:val="none"/>
              </w:rPr>
              <w:t>端对端管理：开发、测试和部署的工具紧密集成。</w:t>
            </w:r>
          </w:p>
          <w:p>
            <w:pPr>
              <w:ind w:firstLine="450" w:firstLineChars="250"/>
              <w:rPr>
                <w:rFonts w:ascii="宋体" w:hAnsi="宋体"/>
                <w:sz w:val="18"/>
                <w:szCs w:val="18"/>
                <w:highlight w:val="none"/>
              </w:rPr>
            </w:pPr>
            <w:r>
              <w:rPr>
                <w:rFonts w:hint="eastAsia" w:ascii="宋体" w:hAnsi="宋体"/>
                <w:sz w:val="18"/>
                <w:szCs w:val="18"/>
                <w:highlight w:val="none"/>
              </w:rPr>
              <w:t>监控及管理界面管理要求：集成平台拥有管理工具可以在任何带浏览器的设备上运行。</w:t>
            </w:r>
          </w:p>
          <w:p>
            <w:pPr>
              <w:ind w:firstLine="450" w:firstLineChars="250"/>
              <w:rPr>
                <w:rFonts w:ascii="宋体" w:hAnsi="宋体"/>
                <w:sz w:val="18"/>
                <w:szCs w:val="18"/>
                <w:highlight w:val="none"/>
              </w:rPr>
            </w:pPr>
            <w:r>
              <w:rPr>
                <w:rFonts w:hint="eastAsia" w:ascii="宋体" w:hAnsi="宋体"/>
                <w:sz w:val="18"/>
                <w:szCs w:val="18"/>
                <w:highlight w:val="none"/>
              </w:rPr>
              <w:t>监控管理工具需具备以下功能：所有错误和审查日志、系统状态信息、信息搜寻功能、性能监控功能。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数据交换中心</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采集范围</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rFonts w:ascii="宋体" w:hAnsi="宋体" w:cs="宋体"/>
                <w:bCs/>
                <w:kern w:val="0"/>
                <w:sz w:val="18"/>
                <w:szCs w:val="18"/>
                <w:highlight w:val="none"/>
                <w:lang w:bidi="ar"/>
              </w:rPr>
            </w:pPr>
            <w:r>
              <w:rPr>
                <w:rFonts w:hint="eastAsia" w:asciiTheme="majorEastAsia" w:hAnsiTheme="majorEastAsia" w:eastAsiaTheme="majorEastAsia" w:cstheme="majorEastAsia"/>
                <w:sz w:val="18"/>
                <w:szCs w:val="18"/>
                <w:highlight w:val="none"/>
              </w:rPr>
              <w:t>市</w:t>
            </w:r>
            <w:r>
              <w:rPr>
                <w:rFonts w:hint="eastAsia" w:ascii="宋体" w:hAnsi="宋体"/>
                <w:sz w:val="18"/>
                <w:szCs w:val="18"/>
                <w:highlight w:val="none"/>
              </w:rPr>
              <w:t>域医共体数据中心必须采集（但不限于）医疗业务数据，特别是《电子病历基本数据集》（WS 445.2-17 2014）要求的数据；公共卫生服务数据有《城乡居民健康档案基本数据集》（WS 365.1-17 2011）要求的数据，《国家基本公共卫生服务规范（第三版）》要求的其它数据和重大专项公共卫生数据（儿童保健、妇女保健、疾病控制等）。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采集工具</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rFonts w:ascii="宋体" w:hAnsi="宋体" w:cs="宋体"/>
                <w:bCs/>
                <w:kern w:val="0"/>
                <w:sz w:val="18"/>
                <w:szCs w:val="18"/>
                <w:highlight w:val="none"/>
                <w:lang w:bidi="ar"/>
              </w:rPr>
            </w:pPr>
            <w:r>
              <w:rPr>
                <w:rFonts w:hint="eastAsia" w:ascii="宋体" w:hAnsi="宋体"/>
                <w:sz w:val="18"/>
                <w:szCs w:val="18"/>
                <w:highlight w:val="none"/>
              </w:rPr>
              <w:t>数据采集工具可以使用成熟主流第三方数据采集工具，提倡使用国产工具，也可以自己开发（</w:t>
            </w:r>
            <w:r>
              <w:rPr>
                <w:rFonts w:hint="eastAsia" w:ascii="宋体" w:hAnsi="宋体"/>
                <w:sz w:val="18"/>
                <w:szCs w:val="18"/>
                <w:highlight w:val="none"/>
                <w:lang w:eastAsia="zh-Hans"/>
              </w:rPr>
              <w:t>非</w:t>
            </w:r>
            <w:r>
              <w:rPr>
                <w:rFonts w:hint="eastAsia" w:ascii="宋体" w:hAnsi="宋体"/>
                <w:sz w:val="18"/>
                <w:szCs w:val="18"/>
                <w:highlight w:val="none"/>
              </w:rPr>
              <w:t>开源工具基础上二次开发）。选择数据采集工具要充分考虑多种数据源（不同的数据库），针对各种数据源（数据库）提供数据适配功能，支持推送和订阅双模式的数据分发，支持多目的数据分发，支持重复数据删除（标记），支撑异构应用系统数据整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采集方式</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rFonts w:ascii="宋体" w:hAnsi="宋体"/>
                <w:sz w:val="18"/>
                <w:szCs w:val="18"/>
                <w:highlight w:val="none"/>
              </w:rPr>
            </w:pPr>
            <w:r>
              <w:rPr>
                <w:rFonts w:hint="eastAsia" w:ascii="宋体" w:hAnsi="宋体"/>
                <w:sz w:val="18"/>
                <w:szCs w:val="18"/>
                <w:highlight w:val="none"/>
              </w:rPr>
              <w:t>按照对数据应用实时性要求不同，可实时、非实时和事件触发采集。医共体内业务协同实时性要求高，这类数据要求实时采集或事件触发采集；实时性要求不高的数据可以定时采集，采集周期以实际应用确定；根据实际应用，数据采集策略有全量采集（一次全部）和增量采集（变化部分）；具体技术路线视实际应用场景和承建方技术路线确定。无论何种数据采集方式，都要求提供可视化监督工具。可视化数据转换工具可以购买第三方产品，也可自己开发，以方便数据采集的动态监测。</w:t>
            </w:r>
          </w:p>
          <w:p>
            <w:pPr>
              <w:ind w:firstLine="450" w:firstLineChars="250"/>
              <w:rPr>
                <w:rFonts w:ascii="宋体" w:hAnsi="宋体"/>
                <w:sz w:val="18"/>
                <w:szCs w:val="18"/>
                <w:highlight w:val="none"/>
              </w:rPr>
            </w:pPr>
            <w:r>
              <w:rPr>
                <w:rFonts w:hint="eastAsia" w:ascii="宋体" w:hAnsi="宋体"/>
                <w:sz w:val="18"/>
                <w:szCs w:val="18"/>
                <w:highlight w:val="none"/>
              </w:rPr>
              <w:t>（1）非实时采集</w:t>
            </w:r>
          </w:p>
          <w:p>
            <w:pPr>
              <w:ind w:firstLine="450" w:firstLineChars="250"/>
              <w:rPr>
                <w:rFonts w:ascii="宋体" w:hAnsi="宋体"/>
                <w:sz w:val="18"/>
                <w:szCs w:val="18"/>
                <w:highlight w:val="none"/>
              </w:rPr>
            </w:pPr>
            <w:r>
              <w:rPr>
                <w:rFonts w:hint="eastAsia" w:ascii="宋体" w:hAnsi="宋体"/>
                <w:sz w:val="18"/>
                <w:szCs w:val="18"/>
                <w:highlight w:val="none"/>
              </w:rPr>
              <w:t>非实时数据时，提供数据的清理、替换、验证、加解密、合并、拆分、分发等功能，组装成符合标准的数据集。</w:t>
            </w:r>
          </w:p>
          <w:p>
            <w:pPr>
              <w:ind w:firstLine="450" w:firstLineChars="250"/>
              <w:rPr>
                <w:rFonts w:ascii="宋体" w:hAnsi="宋体"/>
                <w:sz w:val="18"/>
                <w:szCs w:val="18"/>
                <w:highlight w:val="none"/>
              </w:rPr>
            </w:pPr>
            <w:r>
              <w:rPr>
                <w:rFonts w:hint="eastAsia" w:ascii="宋体" w:hAnsi="宋体"/>
                <w:sz w:val="18"/>
                <w:szCs w:val="18"/>
                <w:highlight w:val="none"/>
              </w:rPr>
              <w:t>结构映射：建立源数据的数据元与目标数据的数据元映射关系，统一元数据描述。</w:t>
            </w:r>
          </w:p>
          <w:p>
            <w:pPr>
              <w:ind w:firstLine="450" w:firstLineChars="250"/>
              <w:rPr>
                <w:rFonts w:ascii="宋体" w:hAnsi="宋体"/>
                <w:sz w:val="18"/>
                <w:szCs w:val="18"/>
                <w:highlight w:val="none"/>
              </w:rPr>
            </w:pPr>
            <w:r>
              <w:rPr>
                <w:rFonts w:hint="eastAsia" w:ascii="宋体" w:hAnsi="宋体"/>
                <w:sz w:val="18"/>
                <w:szCs w:val="18"/>
                <w:highlight w:val="none"/>
              </w:rPr>
              <w:t>值域映射：建立源数据的数据元值域与目标数据的数据元值域映射关系，统一值域的元数据描述。</w:t>
            </w:r>
          </w:p>
          <w:p>
            <w:pPr>
              <w:ind w:firstLine="450" w:firstLineChars="250"/>
              <w:rPr>
                <w:rFonts w:ascii="宋体" w:hAnsi="宋体"/>
                <w:sz w:val="18"/>
                <w:szCs w:val="18"/>
                <w:highlight w:val="none"/>
              </w:rPr>
            </w:pPr>
            <w:r>
              <w:rPr>
                <w:rFonts w:hint="eastAsia" w:ascii="宋体" w:hAnsi="宋体"/>
                <w:sz w:val="18"/>
                <w:szCs w:val="18"/>
                <w:highlight w:val="none"/>
              </w:rPr>
              <w:t>数据组装：通过数据合并、数据拆分、数据补缺，组装成符合行业信息标准的数据集，并赋予标准的元数据描述。</w:t>
            </w:r>
          </w:p>
          <w:p>
            <w:pPr>
              <w:ind w:firstLine="450" w:firstLineChars="250"/>
              <w:rPr>
                <w:rFonts w:ascii="宋体" w:hAnsi="宋体"/>
                <w:sz w:val="18"/>
                <w:szCs w:val="18"/>
                <w:highlight w:val="none"/>
              </w:rPr>
            </w:pPr>
            <w:r>
              <w:rPr>
                <w:rFonts w:hint="eastAsia" w:ascii="宋体" w:hAnsi="宋体"/>
                <w:sz w:val="18"/>
                <w:szCs w:val="18"/>
                <w:highlight w:val="none"/>
              </w:rPr>
              <w:t>（2）实时采集</w:t>
            </w:r>
          </w:p>
          <w:p>
            <w:pPr>
              <w:ind w:firstLine="450" w:firstLineChars="250"/>
              <w:rPr>
                <w:rFonts w:ascii="宋体" w:hAnsi="宋体"/>
                <w:sz w:val="18"/>
                <w:szCs w:val="18"/>
                <w:highlight w:val="none"/>
              </w:rPr>
            </w:pPr>
            <w:r>
              <w:rPr>
                <w:rFonts w:hint="eastAsia" w:ascii="宋体" w:hAnsi="宋体"/>
                <w:sz w:val="18"/>
                <w:szCs w:val="18"/>
                <w:highlight w:val="none"/>
              </w:rPr>
              <w:t>要求市域集成平台在与各应用系统进行实时数据交互时，提供多种方式标准通道，要求采用常用、成熟、中立的交互协议。无论医共体内部各应用系统使用何种编程语言与开发工具，都可通过标准协议实现接入与访问。至少具备以下几种交互方式。</w:t>
            </w:r>
          </w:p>
          <w:p>
            <w:pPr>
              <w:ind w:firstLine="450" w:firstLineChars="250"/>
              <w:rPr>
                <w:rFonts w:ascii="宋体" w:hAnsi="宋体"/>
                <w:sz w:val="18"/>
                <w:szCs w:val="18"/>
                <w:highlight w:val="none"/>
              </w:rPr>
            </w:pPr>
            <w:r>
              <w:rPr>
                <w:rFonts w:hint="eastAsia" w:ascii="宋体" w:hAnsi="宋体"/>
                <w:sz w:val="18"/>
                <w:szCs w:val="18"/>
                <w:highlight w:val="none"/>
              </w:rPr>
              <w:t>资源适配：在平台与各应用系统之间具备资源适配机制。为满足实时性要求极高的协同业务提供技术接口适配器，如：数据库接口、标准共享文档等。通过通用适配功能将其封装为标准服务，实现规范的访问。</w:t>
            </w:r>
          </w:p>
          <w:p>
            <w:pPr>
              <w:ind w:firstLine="450" w:firstLineChars="250"/>
              <w:rPr>
                <w:rFonts w:ascii="宋体" w:hAnsi="宋体"/>
                <w:sz w:val="18"/>
                <w:szCs w:val="18"/>
                <w:highlight w:val="none"/>
              </w:rPr>
            </w:pPr>
            <w:r>
              <w:rPr>
                <w:rFonts w:hint="eastAsia" w:ascii="宋体" w:hAnsi="宋体"/>
                <w:sz w:val="18"/>
                <w:szCs w:val="18"/>
                <w:highlight w:val="none"/>
              </w:rPr>
              <w:t>服务代理：在平台与各应用系统之间提供服务代理机制。隐藏各应用系统的真实服务端口、地址等信息，实现医共体平台与各应用系统的隔离，给用户更好的体验，对其它应用系统起到一定的保护作用。</w:t>
            </w:r>
          </w:p>
          <w:p>
            <w:pPr>
              <w:ind w:firstLine="450" w:firstLineChars="250"/>
              <w:rPr>
                <w:rFonts w:ascii="宋体" w:hAnsi="宋体"/>
                <w:sz w:val="18"/>
                <w:szCs w:val="18"/>
                <w:highlight w:val="none"/>
              </w:rPr>
            </w:pPr>
            <w:r>
              <w:rPr>
                <w:rFonts w:hint="eastAsia" w:ascii="宋体" w:hAnsi="宋体"/>
                <w:sz w:val="18"/>
                <w:szCs w:val="18"/>
                <w:highlight w:val="none"/>
              </w:rPr>
              <w:t>智能路由：在平台与各应用系统之间建立智能路由机制。前置机提供智能消息路由。针对不同应用需求，实现服务的静态路由、动态路由以及规则路由。</w:t>
            </w:r>
          </w:p>
          <w:p>
            <w:pPr>
              <w:ind w:firstLine="450" w:firstLineChars="250"/>
              <w:rPr>
                <w:rFonts w:ascii="宋体" w:hAnsi="宋体"/>
                <w:sz w:val="18"/>
                <w:szCs w:val="18"/>
                <w:highlight w:val="none"/>
              </w:rPr>
            </w:pPr>
            <w:r>
              <w:rPr>
                <w:rFonts w:hint="eastAsia" w:ascii="宋体" w:hAnsi="宋体"/>
                <w:sz w:val="18"/>
                <w:szCs w:val="18"/>
                <w:highlight w:val="none"/>
              </w:rPr>
              <w:t>消息分发：前置机提供消息分发功能。发布的消息内容可被多个应用系统接收，满足消息广播模式的需求，提高消息并发和传输效率。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数据标准化</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标准化的管理体系贯穿整个平台的生命周期，是全民健</w:t>
            </w:r>
            <w:r>
              <w:rPr>
                <w:rFonts w:hint="eastAsia" w:ascii="宋体" w:hAnsi="宋体"/>
                <w:sz w:val="18"/>
                <w:szCs w:val="18"/>
                <w:highlight w:val="none"/>
              </w:rPr>
              <w:t>不同数据源（数据库）的数据采集统一数据库和数据格式后，要对数据集、数据元和数据元值域及其元数据进行信息标准化处理，最终形成标准数据（对标准数据的管理参见“数据中心管理”）。信息标准化处理是在数据采集过程中进行还是在数据采集后进行，是前置（用户端）还是后置（医共体数据中心）视具体的数据采集工具和技术路线而定，无论标准化是在采集过程中进行还是在采集完成后进行，其结果应是一致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49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数据审计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rFonts w:ascii="宋体" w:hAnsi="宋体" w:cs="宋体"/>
                <w:bCs/>
                <w:kern w:val="0"/>
                <w:sz w:val="18"/>
                <w:szCs w:val="18"/>
                <w:highlight w:val="none"/>
                <w:lang w:bidi="ar"/>
              </w:rPr>
            </w:pPr>
            <w:r>
              <w:rPr>
                <w:rFonts w:hint="eastAsia" w:ascii="宋体" w:hAnsi="宋体"/>
                <w:sz w:val="18"/>
                <w:szCs w:val="18"/>
                <w:highlight w:val="none"/>
              </w:rPr>
              <w:t>数据经过标准化处理后，要根据统一的审计（校验）规则，对数据进行全面审计（校验），提供完备的数据审计（校验）系统报告。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数据归档</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sz w:val="18"/>
                <w:szCs w:val="18"/>
                <w:highlight w:val="none"/>
              </w:rPr>
              <w:t>对经过审计（校验）后的数据进行归档。根据主索引把属于同一个人的医疗或公共卫生服务信息归于同一个人档案。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nil"/>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统一身份认证及门户</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sz w:val="18"/>
                <w:szCs w:val="18"/>
                <w:highlight w:val="none"/>
              </w:rPr>
            </w:pPr>
            <w:r>
              <w:rPr>
                <w:rFonts w:hint="eastAsia"/>
                <w:sz w:val="18"/>
                <w:szCs w:val="18"/>
                <w:highlight w:val="none"/>
              </w:rPr>
              <w:t>帐户角色权限管理是平台正常运行的重要保障之一，医共体信息平台必须提供对所有用户账户、角色、权限的管理，建立用户、角色、权限和功能内在关系。基于角色对用户进行权限管理，业务功能模块以用户权限进行菜单定制，并对用户操作业务系统进行日志记录以便监管。</w:t>
            </w:r>
          </w:p>
          <w:p>
            <w:pPr>
              <w:widowControl/>
              <w:ind w:firstLine="360" w:firstLineChars="200"/>
              <w:jc w:val="left"/>
              <w:textAlignment w:val="bottom"/>
              <w:rPr>
                <w:rFonts w:ascii="宋体" w:hAnsi="宋体" w:cs="宋体"/>
                <w:bCs/>
                <w:kern w:val="0"/>
                <w:sz w:val="18"/>
                <w:szCs w:val="18"/>
                <w:highlight w:val="none"/>
                <w:lang w:bidi="ar"/>
              </w:rPr>
            </w:pPr>
            <w:r>
              <w:rPr>
                <w:rFonts w:hint="eastAsia"/>
                <w:sz w:val="18"/>
                <w:szCs w:val="18"/>
                <w:highlight w:val="none"/>
              </w:rPr>
              <w:t>单点登录对应用进行统一管理，在多个应用系统中用户只需要登录一次就可以访问所有相互信任的应用系统。对于需要验证用户证照信息或其他信息的场景，单点登录平台可以与主数据管理平台的机构信息、人员信息进行对接，保证信息使用的安全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96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全民健康平台（医共体）管理服务组件</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统一电子病历服务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随着全民健康业务和医共体业务的开展，双向转诊及远程诊疗等协同应用对电子病历进行共享交换的需求日益显著。为实现电子病历跨机构、跨区域交换与共享，需遵循《电子病历共享文档规范》等标准，在医共体内实现统一电子病历服务。</w:t>
            </w:r>
          </w:p>
          <w:p>
            <w:pPr>
              <w:widowControl/>
              <w:ind w:firstLine="360" w:firstLineChars="2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通过电子病历浏览器，集成的展示医共体内部的电子病历共享文档。产品以Web方式综合展示患者电子病历各部分内容，满足各医院互联互通、信息共享的需求，实现医共体医疗卫生服务协同和数据共享，为医共体业务开展提供技术支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统一流程管理服务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医共体统一管理模式下，应围绕居民健康档案开展医共体业务协同，实现以人为核心的多条线业务联动。流程编排服务是驱动事务执行的引擎。根据流程编排计划触发和管理每一步并行或串行操作及调用服务，根据不同医疗机构业务流程的差异，通过流程编排，实现无需技术开发而满足不同医疗机构差异化流程的需求。提供图形化流程编排工具、流程仿真工具、流程引擎、流程管理控制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统一费用管理服务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基于居民电子健康卡，整合居民就诊支付渠道，建设统一的费用结算服务，实现患者医共体范围内统一出入院结算，并提供覆盖主流在线支付机构（基本/商业医疗保险、银行、第三方支付平台）的统一支付服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（1）费用处理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提供统一的医共体入院登记服务，逐步替代现有各机构独立的入院登记；未来可在数据支撑的基础上对患者入院前的检查项目历史数据进行分析，优化院前检查路径，实现医共体内床位资源统一管理，逐步形成科学的入院服务中心方案；提供统一的医共体转院、计费、出院结算服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（2）支付系统</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支付交易管理：提供交易记录查询与汇总；</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支付通道管理：支持支付宝、微信、银联云闪付等主流渠道；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支付场景：覆盖收费窗口、自助终端、诊间支付、移动支付（生活号、公众号、App）、床边结算、处方扫码付等。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（3）对账管理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医院对账管理：提供支付他与 HIS 交易明细的比对，支持每日自动对账与按月手工核对。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医院资金管理：由支付系统支付的资金均落户到医疗机构指定的银行账户。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综合统计查询：按照应用、渠道、业务等类型实现多维报表查询、汇总。</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交易决策分析：通过对交易日志信息的分析，灵活出具各交易应用、渠道的活跃度、使用量等指标进行分析。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统一交易接口：提供给第三方统一的交易接口服务。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数字验签：基于数字签名的授权调用。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统一资源管理服务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可对医疗服务方能够提供的资源进行注册、登记，资源包括但不限于号源等，具有使用价值的医疗服务均可定义为资源；定义时应明确资源的所有人、可供使用的时间、可供使用的工作地点、使用规则。定义完成的医疗资源可以发布为正式资源，可供外部预订；发布资源时可设置有效期，也可设置为长期可用或即时资源。已发布的资源也可撤回变为停用资源，撤回时所有被影响到的服务对象应及时得到通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具有权限的角色/用户可以预订资源；预订被确认后即正式插入到排程表中；达到触发条件后系统即撮合双方进行资源使用（在线服务），通过在不同场景下应用统一资源预约服务，可以完成预约挂号等多种业务场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统一平台管理服务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组织架构管理。对医共体牵头单位与成员单位的关系进行管理，满足医共体内部组织架构的设立。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用户及认证管理。对用户进行全面管理，包括用户组的增加、修改和删除，用户认证，用户与用户组之间的对应，以及其余角色的权限管理，安全可靠的密码管理等功能。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角色管理。完成对系统内角色的维护，以及对角色的分级管理。具体功能包括：提供角色定义、权限设置、用户角色分配、用户角色查询、用户角色变更记录查询等功能。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权限管理。提供权限定义、查询及维护功能，提供权限授权角色查询、授权用户查询等功能。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配置和基础数据管理。提供组件版本自动更新功能、系统参数设定功能、基础数据管理功能，提供个性化服务功能等。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日志管理。平台运行情况的监控记录。提供日志的图形化监控功能，提供错误日志统计的功能，提供对平台运行产生的系统日志进行查询的功能。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监控管理。对医共体管理平台上运行的各种服务提供可视化的运维管理操作界面,集成平台内各项基础服务的管理界面，形成统一的界面风格。包括：提供基础服务的启动、停止、挂起操作，提供平台运行环境概览，提供基础服务调用情况查询，提供接入节点的运行状态展示，提供作业的统计分析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57</w:t>
            </w:r>
          </w:p>
        </w:tc>
        <w:tc>
          <w:tcPr>
            <w:tcW w:w="526" w:type="dxa"/>
            <w:vMerge w:val="restart"/>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业务功能设计</w:t>
            </w:r>
          </w:p>
        </w:tc>
        <w:tc>
          <w:tcPr>
            <w:tcW w:w="88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基础应用</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平台单点登录</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鉴权服务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为请求服务的用户，根据其鉴权信息（口令，密钥，数字令牌）等一种或多种方式认证其身份信息，并发放具有时限的令牌；其他应用系统在接收到用户请求后，需调用服务接口来获取验证令牌有效性和获取用户信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应用接入</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将第三方应用系统信息接入单点登录系统，其中包括第三方应用的地址和应用密钥。第三方应用在调用单点登录系统各项服务时，需要使用预先登录的应用地址（Web应用）或是附带应用密钥（Client应用）来确保令牌信息不会泄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59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平台门户</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lang w:val="zh-TW" w:eastAsia="zh-TW"/>
              </w:rPr>
              <w:t>门户能够实现将区域内医疗卫生相关的系统集成到平台上统一管理，可以实现统一入口，单点登录，统一分配权限、注册用户等功能，快速便捷的访问所有的业务系统，解决了多用户管理的问题。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授权服务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为单点登录系统中的实体用户分配各个应用内可进行的操作（Action）和该操作对应的资源（Resource）；为第三方应用系统提供授权接口，第三方应用系统可以通过用户令牌和该请求设计的操作和资源名来获取该用户是否有权限发起该请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平台菜单管理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菜单管理功能用于管理和维护平台系统相关菜单，包括菜单的名称、代码、名称、顺序、图标、菜单构树等基本信息。该功能提供平台菜单的新增、修改、删除，已维护的菜单可用于权限策略的配置。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用户角色管理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建立用户管理体系，管理维护各系统中的角色以及角色对应的系统和策略，用户通过角色与权限策略实现关联，以实现系统中各用户的权限配置和管理。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医疗卫生从业人员注册库，是一个单一的目录服务，为本区域内所有医疗卫生机构的医疗服务提供者，包括全科医生、专科医生、护士、实验室医师、医学影像专业人员、疾病预防控制专业人员、妇幼保健人员及其他从事与医疗卫生服务相关的从业人员，系统为每一位医疗卫生从业人员分配一个唯一的标识，并提供给平台以及与平台交互的系统和用户所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标准注册与管理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平台提供对数据元、数据集、共享文档、交互服务、字典术语等标准进行统一管理和发布，形成平台数据中心统一标准，用于规范各个业务领域产生的健康医疗数据，为数据共享提供规范化数据化支撑。标准主要是依据WS363《卫生信息数据元目录》、《WS 365-2011 城乡居民健康档案基本数据集》、《WS 445-2014 电子病历基本数据集》，分别根据业务需求分类维护、扩展数据集，并根据上下级平台的待对接需求进行调研扩展。</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数据集维护：提供数据集元数据的维护，包括数据集标识符、数据集名称、数据集发布方－单位名称、关键词、数据集分类一类目名称、数据集摘要等信息的维护。</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数据元维护：提供数据集内数据元的元数据维护。包括数据元标识符、数据元名称、定义、数据元值的数据类型、数据元允许值等。</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数据元展现：提供基本数据集的查看、查询及导出功能。</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数据字典维护：提供数据字典的维护。包含代码、名称、输入码、备注信息项。</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字典对照：提供目前院内系统采用的数据字典与平台上标准字典的对照关系维护。</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术语维护和查看：提供医疗术语的维护和查看。</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信息系统域维护：提供接入各业务系统的域信息维护。包括域ID、域名称、域类型信息项。</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宋体" w:hAnsi="宋体" w:cs="宋体"/>
                <w:color w:val="000000"/>
                <w:kern w:val="0"/>
                <w:sz w:val="18"/>
                <w:szCs w:val="18"/>
                <w:highlight w:val="none"/>
                <w:lang w:bidi="ar"/>
              </w:rPr>
              <w:t>规范文档管理：实现对规范文档的上传、查看、下载等功能。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卫生机构管理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组织机构管理功能用于管理和维护组织和机构的基本架构及相关信息，包括机构的名称、组织的结构树等。该功能提供组织机构的新增、修改、删除和查询接口，业务系统可根据实际需求，通过订阅对应的接口以实现增删改查各项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通过建立医疗卫生机构注册库，提供本区域内所有医疗卫生机构的综合目录，相关的机构包括县级医院、乡镇卫生院、卫生室等。系统为每个机构分配唯一的标识，可以解决居民所获取的医疗卫生服务场所唯一性识别问题，从而保证在维护居民健康信息的不同系统中使用统一的规范化的标识符，同时也满足全民健康信息平台内互联互通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用户权限管理</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账户管理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用户账号模块是指对平台所有已分配角色已获授权用户的账号进行管理。用户账号必须与用户注册信息紧密关联，其账号密码和其他注册信息由注册用户自己维护，所有已注册账户的账号不可删除，但可查询、注销、启用、停用、统计和导出等操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权限分配</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在数据共享交换平台中权限管理至关重要，不同的用户具有不同的权限，使用不同的信息路由路径，对各应用节点的接口调用进行身份验证。这样保证了系统的安全性、可靠性和稳定性。系统应从不同的角度进行相应的权限管理，功能权限指对接入平台的各个应用以及功能服务的访问权限；数据集权限即数据项权限，是指用户对传输中的信息各数据项的访问权限；管理范围及记录权限，是作为共享数据信息内容的访问权限。当用户所具有的信息，符合通过管理范围设定出的特殊匹配条件时，允许用户访问相应管理范围所规定的信息内容；权限方案允许用户导出和导入。便于权限管理信息的分发和设定；用户还可对自己相应的权限信息进行打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帐户角色权限管理是平台正常运行的重要保障之一，医共体信息平台必须提供对所有用户账户、角色、权限的管理，建立用户、角色、权限和功能内在关系。所有已注册账户的账号不可删除，但可查询、重新授权、注销、启用、停用、统计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角色权限</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角色权限管理是指对平台用户角色权限的管理。是将功能模块与注册用户建立（组合）不同角色功能的集合，在使用时与角色无关的功能模块则不出现在该角色用户的操作范围。要求所有已分配角色的账号不可删除，但可查询、重新分配角色等操作。支持重新分配角色，支持逐级分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操作授权</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操作授权管理是对分配角色的用户进行操作授权的管理。指对该角色用户使用或访问的功能、数据库、数据集、数据子集、数据元的操作。只有获得操作授权的角色用户才可使用或访问授权的功能、数据库、数据集、数据子集、数据元。所有已授权的账号不可删除，但可查询、重新进行授权，支持逐级授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69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操作日志管理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提供操作的记录日志，同时提供对适配器节点、消息代理节点日志的管理功能。管理员可查看各类用户进行了哪些操作。被授予权限的用户可通过注册适配器的日志配置信息，并对日志进行查询、下载。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共享文档管理</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EHR共享文档库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依据健康档案共享文档规范构建EHR共享文档库：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1、个人基本信息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2、成人健康体检</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3、出生医学证明</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4、新生儿家庭访视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5、儿童健康检查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6、首次产前随访服务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7、产前随访服务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8、高血压患者随访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9、产后访视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10、产后42天健康检查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11、死亡医学证明</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12、预防接种报告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13、2 型糖尿病患者随访</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14、重性精神病患者个人信息登记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15、重性精神病患者随访服务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16、会诊记录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17、转诊（医院）记录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18、传染病报告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19、门诊摘要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20、住院摘要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电子病历共享文档库</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依据电子病历共享文档规范构建电子病历文档库：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 部分：病历概要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 部分：门（急）诊病历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 部分：急诊留观病历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 部分：西药处方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5 部分：中药处方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6 部分：检查记录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7 部分：检验记录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8 部分：治疗记录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9 部分：一般手术记录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10 部分：醉术前访视记录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11 部分：麻醉记录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12 部分：麻醉术后访视记录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13 部分：输血记录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14 部分：待产记录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15 部分：阴道分娩记录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16 部分：剖宫产记录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17 部分：一般护理记录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18 部分：病重（病危）护理记录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19 部分：手术护理记录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20 部分：生命体征测量记录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21 部分：出入量记录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22 部分：高值耗材使用记录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23 部分：入院评估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24 部分：护理计划</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25 部分：出院评估与指导</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26 部分：手术知情同意书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27 部分：麻醉知情同意书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28 部分：输血治疗同意书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29 部分：特殊检查及特殊治疗同意书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30 部分：病危（重）通知书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31 部分：其他知情告知同意书</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32 部分：住院病案首页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33 部分：中医住院病案首页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34 部分：入院记录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35 部分：24 小时内入出院记录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36 部分：24 小时内入院死亡记录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37 部分：住院病程记录首次病程记录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38 部分：住院病程记录日常病程记录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39 部分：住院病程记录上级医师查房记录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40 部分：住院病程记录疑难病例讨论记录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41 部分：住院病程记录交接班记录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42 部分：住院病程记录转科记录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43 部分  住院病程记录阶段小结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44 部分：住院病程记录抢救记录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45 部分：住院病程记录会诊记录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46 部分：住院病程记录术前小结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47 部分：住院病程记录术前讨论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48 部分：住院病程记录术后首次病程记录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49 部分：住院病程记录出院记录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50 部分：住院病程记录死亡记录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51 部分：住院病程记录死亡病例讨论记录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52 部分：住院医嘱</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电子病历共享文档规范 第 53 部分：出院小结</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法定医学报告及健康体检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共享文档标准管理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共享文档标准管理是按照国家互联互通测评共享文档标准进行可视化维护、查看，实现对共享文档标准进行版本化管理，可实现对共享文档标准模板下载发布。通过可视化配置的方式对共享文档模板进行维护，包括文档头、文档章节、文档条目、文档节点以及文档结构描述说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访问控制管理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访问控制，是基于安全认证、权限管理和账号管理基础上的信息安全服务功能，医共体信息平台数据中心的数据是卫生应用关键性数据，必须保证数据的安全和隐私，因此平台的建设必须考虑以下安全措施：</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严格按照用户</w:t>
            </w:r>
            <w:r>
              <w:rPr>
                <w:rFonts w:hint="eastAsia" w:asciiTheme="minorEastAsia" w:hAnsiTheme="minorEastAsia" w:eastAsiaTheme="minorEastAsia" w:cstheme="minorEastAsia"/>
                <w:sz w:val="18"/>
                <w:szCs w:val="18"/>
                <w:highlight w:val="none"/>
                <w:lang w:eastAsia="zh-Hans"/>
              </w:rPr>
              <w:t>角色</w:t>
            </w:r>
            <w:r>
              <w:rPr>
                <w:rFonts w:hint="eastAsia" w:asciiTheme="minorEastAsia" w:hAnsiTheme="minorEastAsia" w:eastAsiaTheme="minorEastAsia" w:cstheme="minorEastAsia"/>
                <w:sz w:val="18"/>
                <w:szCs w:val="18"/>
                <w:highlight w:val="none"/>
              </w:rPr>
              <w:t>来授权用户对数据和资料的访问；</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关键数据的修改记录应记录详细的操作日志，以备追查；</w:t>
            </w:r>
          </w:p>
          <w:p>
            <w:pPr>
              <w:widowControl/>
              <w:ind w:firstLine="540" w:firstLineChars="3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数据的传输与关键敏感的数据的存放需进行一定的加密处理。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9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数据字典维护及管理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系统实现集中管理区域内各个系统使用的医学术语、基础字典，对接入CDR的数据进行标准化，动态维护受控医学词汇。主数据是描述核心业务实体信息及相互关系的数据，它可以建立多个定义或视图，改变缓慢，用于跨业务、跨系统和跨部门共享，实现业务连贯性和数据的一致性、完整性和准确性。</w:t>
            </w:r>
          </w:p>
          <w:p>
            <w:pPr>
              <w:widowControl/>
              <w:numPr>
                <w:ilvl w:val="0"/>
                <w:numId w:val="11"/>
              </w:numPr>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机构信息管理</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①组织机构管理：维护医疗机构和管理机构的信息。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②位置信息管理：维护楼层、区域、病房位置。</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③科室管理：维护科室信息。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④应用系统管理：维护医疗机构所使用的医疗系统信息（生产厂商，系统类型，版本号等）。</w:t>
            </w:r>
          </w:p>
          <w:p>
            <w:pPr>
              <w:widowControl/>
              <w:numPr>
                <w:ilvl w:val="0"/>
                <w:numId w:val="11"/>
              </w:numPr>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人员信息管理</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①人员管理：管理医疗人员的基本信息，启用/停用。</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②职称管理:维护人员对应的职称级别。</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③人员类型管理：管理人员类别信息。</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④医疗组管理：维护人员分组信息以及医疗组关联人员信息。</w:t>
            </w:r>
          </w:p>
          <w:p>
            <w:pPr>
              <w:widowControl/>
              <w:numPr>
                <w:ilvl w:val="0"/>
                <w:numId w:val="11"/>
              </w:numPr>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代码系统管理</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①代码系统管理：维护代码系统等信息，代码系统与数据域的关系。</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②数据集管理：维护数据集信息。</w:t>
            </w:r>
          </w:p>
          <w:p>
            <w:pPr>
              <w:widowControl/>
              <w:numPr>
                <w:ilvl w:val="0"/>
                <w:numId w:val="11"/>
              </w:numPr>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归一对照</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①代码系统归一：实现各个不同业务系统的代码对照和归一。</w:t>
            </w:r>
          </w:p>
          <w:p>
            <w:pPr>
              <w:widowControl/>
              <w:numPr>
                <w:ilvl w:val="0"/>
                <w:numId w:val="11"/>
              </w:numPr>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主数据流程</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①主数据变更审核：对变更的主数据进行查看和审核。</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②主数据发布：对已经通过审核的数据进行发布。</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③主数据变更管理：查看主数据变更情况，可进行查询。</w:t>
            </w:r>
          </w:p>
          <w:p>
            <w:pPr>
              <w:widowControl/>
              <w:numPr>
                <w:ilvl w:val="0"/>
                <w:numId w:val="11"/>
              </w:numPr>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数据同步</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①主数据订阅：维护数据订阅关系。</w:t>
            </w:r>
          </w:p>
          <w:p>
            <w:pPr>
              <w:widowControl/>
              <w:numPr>
                <w:ilvl w:val="0"/>
                <w:numId w:val="11"/>
              </w:numPr>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主数据模型</w:t>
            </w:r>
          </w:p>
          <w:p>
            <w:pPr>
              <w:widowControl/>
              <w:ind w:left="420" w:left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①模型列表：维护主数据的数据模型，包括代码值、代码名称和是否启用等。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对接医院系统接口</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依据平台建设标准，建立与直属医院、专科医院等医疗机构信息系统对接的数据接口，实现医疗数据的互联互通。医疗数据基本内容由：病历概要、门（急）诊诊疗记录、住院诊疗记录、健康体检记录、转诊（院）记录、医疗机构信息等几个业务领域的临床信息记录构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与区域远程影像中心、区域远程影像中心、区域远程心电中心、区域远程检验中心、区域远程会诊中心、区域远程病理中心、区域消毒供应中心、双向转诊等系统涉及接口对接。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对接基层系统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7" w:leftChars="8" w:firstLine="338" w:firstLineChars="188"/>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依据平台建设标准，建立与基层医疗机构信息系统对接的数据接口，实现公共卫生管理、家庭医生签约、妇幼健康管理、医疗等业务数据的互联互通。内容包括：个人基本信息、成人健康体检、新生儿家庭访视、儿童健康检查、首次产前随访服务、产前随访服务、高血压患者随访、产后访视、产后42天健康检查、2 型糖尿病患者随访、重性精神病患者个人信息登记、重性精神病患者随访服务、门（急）诊诊疗记录、住院诊疗记录等。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与区域远程影像中心、区域远程影像中心、区域远程心电中心、区域远程检验中心、区域远程会诊中心、区域远程病理中心、区域消毒供应中心、双向转诊等系统对接涉及接口。</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对接180患者服务平台</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asciiTheme="minorEastAsia" w:hAnsiTheme="minorEastAsia" w:eastAsiaTheme="minorEastAsia" w:cstheme="minorEastAsia"/>
                <w:color w:val="000000" w:themeColor="text1"/>
                <w:sz w:val="18"/>
                <w:szCs w:val="18"/>
                <w:highlight w:val="none"/>
                <w14:textFill>
                  <w14:solidFill>
                    <w14:schemeClr w14:val="tx1"/>
                  </w14:solidFill>
                </w14:textFill>
              </w:rPr>
              <w:t>本项目对接</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1</w:t>
            </w:r>
            <w:r>
              <w:rPr>
                <w:rFonts w:asciiTheme="minorEastAsia" w:hAnsiTheme="minorEastAsia" w:eastAsiaTheme="minorEastAsia" w:cstheme="minorEastAsia"/>
                <w:color w:val="000000" w:themeColor="text1"/>
                <w:sz w:val="18"/>
                <w:szCs w:val="18"/>
                <w:highlight w:val="none"/>
                <w14:textFill>
                  <w14:solidFill>
                    <w14:schemeClr w14:val="tx1"/>
                  </w14:solidFill>
                </w14:textFill>
              </w:rPr>
              <w:t>80患者服务平台，居民</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通过微信小程序一键呼叫，服务中心平台就能调度就近的村医，携带全科医生助诊包即刻</w:t>
            </w:r>
            <w:r>
              <w:rPr>
                <w:rFonts w:hint="eastAsia" w:asciiTheme="minorEastAsia" w:hAnsiTheme="minorEastAsia" w:cstheme="minorEastAsia"/>
                <w:color w:val="000000" w:themeColor="text1"/>
                <w:sz w:val="18"/>
                <w:szCs w:val="18"/>
                <w:highlight w:val="none"/>
                <w14:textFill>
                  <w14:solidFill>
                    <w14:schemeClr w14:val="tx1"/>
                  </w14:solidFill>
                </w14:textFill>
              </w:rPr>
              <w:t>到达</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患者家门；</w:t>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支持检查预约及上门服务，包括二甲医院的检查服务；支持号源预约及远程实时专家门诊服务，通过远程门诊软件，与大三甲医院线上专家群进行实时诊疗；支持药品配送，根据乡村医生和基层百姓的需求，配送所需药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8"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其他外部接口（公安、民政、医保、教育等预留接口）</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公安</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支持与公安系统对接，实现平台与公安系统间信息的交互共享，具体包括：居民基本信息、家庭信息、居住信息、流动人口信息等。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79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民政</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支持与民政系统对接，实现与民政系统间信息的交互共享，包括：婚姻登记、贫困人口信息等。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医保系统对接</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支持与医保系统对接，实现与医保系统间信息的交互共享，包括：居民基本信息、就诊记录、费用信息，以及其他管理数据等。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通过与医保机构的信息交换和共享，为医保人员提供异地转诊、异地就医结算服务。包括医保人员本地医院转诊证明、本地医院出院证明、医保参合证明等，为医保人员转诊到异地接受治疗、异地医保费用直付提供结算依据。包括：本地医院转诊证明、本地医院出院证明、医保人员参保证明、跨区域结算基金流转预警功能、医保人员异地转诊结算信息接口。</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教育</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支持与教育相关系统对接，实现与教育相关系统之间信息的交互共享，包括学校资源、教师资源等。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国家、省级等垂直系统对接</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通过平台综合采集数据接口规范与国家、省级各类垂直系统对接，实现各级各类医疗机构、公卫等医防数据的融合，达到数据采集和上报“平台对平台”， “一次采集，多次使用”，避免重复采集和多头上报。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体检系统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支持与体检系统对接，实现采集体检数据，实现居民体检信息的共享。主要包括体检人历次体检的具体信息。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体检信息：身高、体重、血压、脉搏、内科检查信息、外科检查信息、五官科检查信息、心电图信息、放射报告信息、超声报告信息、检验信息、检查结论、建议等；</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体检辅助信息：包括体检管理卡编号、体检人基本信息、主检医生信息、检查日期、其他体检医生信息、检查单位信息、建卡信息、登记人信息等；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第三方支付系统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支持与第三方支付系统对接，建设统一的费用结算服务，支撑结算业务。实现患者医共体范围内统一出入院结算，并提供覆盖主流在线支付机构（基本/商业医疗保险、银行、第三方支付平台）的统一支付服务。包括收款/退款双方、时间、金额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上级全民健康信息平台对接</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医共体平台与上级全民健康</w:t>
            </w:r>
            <w:r>
              <w:rPr>
                <w:rFonts w:hint="eastAsia" w:asciiTheme="minorEastAsia" w:hAnsiTheme="minorEastAsia" w:cstheme="minorEastAsia"/>
                <w:sz w:val="18"/>
                <w:szCs w:val="18"/>
                <w:highlight w:val="none"/>
              </w:rPr>
              <w:t>信息平台</w:t>
            </w:r>
            <w:r>
              <w:rPr>
                <w:rFonts w:hint="eastAsia" w:asciiTheme="minorEastAsia" w:hAnsiTheme="minorEastAsia" w:eastAsiaTheme="minorEastAsia" w:cstheme="minorEastAsia"/>
                <w:sz w:val="18"/>
                <w:szCs w:val="18"/>
                <w:highlight w:val="none"/>
              </w:rPr>
              <w:t>的数据交换需求主要分为三大类:</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注册服务接口，用于市级全民健康信息平台完成将本地的居民、医疗机构、医务人员、就诊记录等数据注册到市级平台，形成统一的个人主索引、机构主索引、医务人员主索引、就诊记录主索引等。</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数据查询接口，用于平台向市级全民健康信息平台调阅本市或跨市的患者基本信息和就诊信息等，</w:t>
            </w:r>
          </w:p>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导入原来存储于市级全民健康信息平台的居民、医务人员、医疗机构等数据，保证业务和数据的可持续性。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业务协同</w:t>
            </w:r>
          </w:p>
        </w:tc>
        <w:tc>
          <w:tcPr>
            <w:tcW w:w="114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资源共享类协同</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区域远程影像中心</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基于现有的建设基础，整合</w:t>
            </w:r>
            <w:r>
              <w:rPr>
                <w:rFonts w:hint="eastAsia" w:asciiTheme="majorEastAsia" w:hAnsiTheme="majorEastAsia" w:eastAsiaTheme="majorEastAsia" w:cstheme="majorEastAsia"/>
                <w:sz w:val="18"/>
                <w:szCs w:val="18"/>
                <w:highlight w:val="none"/>
              </w:rPr>
              <w:t>市</w:t>
            </w:r>
            <w:r>
              <w:rPr>
                <w:rFonts w:hint="eastAsia" w:asciiTheme="minorEastAsia" w:hAnsiTheme="minorEastAsia" w:eastAsiaTheme="minorEastAsia" w:cstheme="minorEastAsia"/>
                <w:sz w:val="18"/>
                <w:szCs w:val="18"/>
                <w:highlight w:val="none"/>
              </w:rPr>
              <w:t>域医共体内各个成员单位的PACS，建立区域远程影像系统，同时与各个医疗机构内部的医疗系统打通，实现上级诊断中心可以调阅患者健康档案和电子病历。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当患者在基层医疗卫生机构就诊时，可以在基层医疗机构配备的数字化检查设备获取数字化影像文件，通过网络传输至承担影像服务中心的上级医院。影像中心按照协同业务规范，提供专业的委托读片和诊断服务，形成电子化的影像诊断报告，并回传至基层医疗卫生机构，从而指导基层医生对患者进行诊断。</w:t>
            </w:r>
          </w:p>
          <w:p>
            <w:pPr>
              <w:pStyle w:val="107"/>
              <w:ind w:firstLine="361"/>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专家排班管理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根据医院的影像专家资源合理的进行排班管理，在专家人数相对固定的前提</w:t>
            </w:r>
          </w:p>
          <w:p>
            <w:pPr>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下，以需求为导向，优化影像人力资源配置，不仅节约影像人力资源，还避免了人力资源的浪费，防止出现会诊高峰时人手 不够，空闲时人浮于事的现象，提高了服务质量，提高患者的满意度。</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主要包括专家库维护、排班班次维护、排班有效期维护及相关统计分析报表等。</w:t>
            </w:r>
          </w:p>
          <w:p>
            <w:pPr>
              <w:pStyle w:val="107"/>
              <w:ind w:firstLine="361"/>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影像诊断中心</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由诊断服务中心向基层医疗卫生机构提供影像的诊断服务，影像诊断中心可以调阅患者的影像数据，并支持对影像进行翻转、移动、放大/缩小、局部放大、测量、标注等操作，对患者影像进行浏览后将诊断结果及意见填写到诊断报告中并发布，供基层医生进行参考。</w:t>
            </w:r>
          </w:p>
          <w:p>
            <w:pPr>
              <w:pStyle w:val="107"/>
              <w:ind w:firstLine="361"/>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信息共享系统</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基于数据交换服务建立影像的数据交换与共享，为影像的集中诊断、会诊打下基础。检查数据在区域内所有医疗机构都能共享调阅；可以推动检查、检验报告互认，减少重复检查、检验，降低群众医疗费用负担。医生在给患者诊断时，可参照其在其他医疗机构的就诊历史数据，提高诊断效率和准确率，提高患者满意度。</w:t>
            </w:r>
          </w:p>
          <w:p>
            <w:pPr>
              <w:pStyle w:val="107"/>
              <w:ind w:firstLine="361"/>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影像会诊</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有疑难影像病例时，可发起远程影像会诊，快速调动优质医疗资源，提高疑难病例的诊断质量。远程视频会诊不受地点的限制，除邀请区域内的专家外，还可聘请上级三甲医院的资深专家参与会诊和指导，提高本地区的医疗服务能力，避免患者流失到外地。会诊过程录像后成为宝贵的教学资源，可加强医生之间的交流和相互学习，不断提高业务能力。影像会诊是作为整体会诊平台的一部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1602"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区域远程检验中心</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整合</w:t>
            </w:r>
            <w:r>
              <w:rPr>
                <w:rFonts w:hint="eastAsia" w:asciiTheme="majorEastAsia" w:hAnsiTheme="majorEastAsia" w:eastAsiaTheme="majorEastAsia" w:cstheme="majorEastAsia"/>
                <w:sz w:val="18"/>
                <w:szCs w:val="18"/>
                <w:highlight w:val="none"/>
              </w:rPr>
              <w:t>市</w:t>
            </w:r>
            <w:r>
              <w:rPr>
                <w:rFonts w:hint="eastAsia" w:asciiTheme="minorEastAsia" w:hAnsiTheme="minorEastAsia" w:eastAsiaTheme="minorEastAsia" w:cstheme="minorEastAsia"/>
                <w:sz w:val="18"/>
                <w:szCs w:val="18"/>
                <w:highlight w:val="none"/>
              </w:rPr>
              <w:t>域医共体内各个成员单位的LIS资源，建立区域远程检验中心，同时与各个医疗机构内部的医疗系统打通，实现上级诊断中心可以调阅患者健康档案和电子病历。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依托区域平台在牵头医院建立区域临床检验中心。实现区域内医疗机构检验数据互联互通，检验结果的互相调阅，有效避免重复检验，实现居民在基层医院就能享受到二三级医院的检验服务。通过数据标准统一管理，最终实现区域内检验结果的互认。系统设计遵循ISO15189、IHE和HL7标准，为居民健康档案系统、区域医疗系统提供良好的临床信息服务。</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通过区域远程检验中心，上级医疗机构可以看到居民的检查检验相关信息，同时可以根据检验结果下医嘱，并随患者回转至基层。</w:t>
            </w:r>
          </w:p>
          <w:p>
            <w:pPr>
              <w:pStyle w:val="107"/>
              <w:ind w:firstLine="360"/>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（1）异地检验申请</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1.开电子申请单</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录入、修改、作废跨机构协作的检验申请。</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申请单模块按检验专业分布把各类检验单分组排布，医生在选定分组后只能选择分组内的项目，避免由于不合适的项目出现在一张单子上造成无法分标本的问题。项目选择允许组项和单项同时进行，系统能够自动过滤重复项目。</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2.查看申请单执行状态</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在申请单模块，医生可以看到当前患者的全部检验申请单，按日期、专业显示为树形，直观方便，并用不同图标标明申请单的执行状态，如为报告已发，则可以打开浏览报告。</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3.查看检验报告</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申请单模块同时提供当前患者全部检验报告的浏览功能，并可对具体项目进行历史对比，显示变化曲线。</w:t>
            </w:r>
          </w:p>
          <w:p>
            <w:pPr>
              <w:pStyle w:val="107"/>
              <w:ind w:firstLine="360"/>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（2）标本配送管理</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从标本物采集的时间到送检、检验、到达确认、检验检查、报告发布的整套流程中，记录完整的时间与操作信息，并有专门的模块可供查询，并在流程中可对标本进行监控；对标本物载体可粘贴条形码与标本物载体不可粘贴条形码的流程与操作，必须有完整详细的说明。</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系统统计、生成需配送的标本清单；</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登记、查询标本交接情况；</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支持第三方对标本进行配送。</w:t>
            </w:r>
          </w:p>
          <w:p>
            <w:pPr>
              <w:pStyle w:val="107"/>
              <w:ind w:firstLine="360"/>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（3）检验报告管理</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各院互查检验报告与网上互认检验报告：通过数据交换平台实现各系统间数据的实现与共享，提高数据的可用度，保证数据的及时性和一致性。要求检验科信息系统LIS软件，可以提供并支持数据的共享与查询。查询方式必须有以下条件来保证病人隐私：检验查询者的唯一标识，姓名，取报告的凭证。可选择的条件：时间范围。</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记录查询系列模块：系统的病人记录查询模块，可以提供简单、快捷地查询病人记录的功能。可以使用多种查询方式，在任意时间范围，迅速查询病人历次的检验结果记录。</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系统具有临床化学比较、标注，并对超标结果发出警示。可自动将当次结果与上次结果进行对比，并允许设定变量值，当对比结果超出变量值时，系统自动报警。允许技术人员进入手工检验选择，提供手工结果登录工作界面，并按照规范标准规定的检验室报告要求，对报告单的内容与格式进行严格排版。</w:t>
            </w:r>
          </w:p>
          <w:p>
            <w:pPr>
              <w:pStyle w:val="107"/>
              <w:ind w:firstLine="360"/>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（4）费用管理</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费用管理主要是对异地检验产生的费用进行管理，主要包含以下内容：</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记录异地检验协作产生的费用；</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查看检验申请单的收费状态；</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向协作机构传递收费信息；</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查询统计异地检验协作费用。</w:t>
            </w:r>
          </w:p>
          <w:p>
            <w:pPr>
              <w:pStyle w:val="107"/>
              <w:ind w:firstLine="360"/>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（5）检验协作管理</w:t>
            </w:r>
          </w:p>
          <w:p>
            <w:pPr>
              <w:ind w:firstLine="480"/>
              <w:rPr>
                <w:rFonts w:asciiTheme="minorEastAsia" w:hAnsiTheme="minorEastAsia" w:eastAsiaTheme="minorEastAsia" w:cstheme="minorEastAsia"/>
                <w:sz w:val="18"/>
                <w:szCs w:val="18"/>
                <w:highlight w:val="none"/>
              </w:rPr>
            </w:pPr>
            <w:r>
              <w:rPr>
                <w:rFonts w:hint="eastAsia" w:ascii="宋体" w:hAnsi="宋体" w:cs="宋体"/>
                <w:color w:val="000000"/>
                <w:kern w:val="0"/>
                <w:sz w:val="18"/>
                <w:szCs w:val="18"/>
                <w:highlight w:val="none"/>
                <w:lang w:bidi="ar"/>
              </w:rPr>
              <w:t>实现工作量、财务统计：按检验项目、送检单位、病人类别、检验仪器、开单医生等条件统计一段时间内所做项目数量和收入情况统计。统计结果都可以输出到EXCEL软件，便于保存及再加工。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区域远程病理中心</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建立远程病理中心，与医疗机构内部的医疗系统打通，实现单学科会诊、多学科会诊、跨院区会诊等模式，可以调阅患者健康档案和电子病历，支持交互式远程会诊及预约管理等。基层医疗卫生机构可以通过远程病理系统向上级医疗机构提出病理诊断申请，上级医疗专家根据申请内容和提供的病理资料进行诊断，出具诊断意见及报告。</w:t>
            </w:r>
          </w:p>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1.病理会诊申请</w:t>
            </w:r>
            <w:r>
              <w:rPr>
                <w:rFonts w:hint="eastAsia" w:ascii="宋体" w:hAnsi="宋体" w:cs="宋体"/>
                <w:color w:val="000000"/>
                <w:kern w:val="0"/>
                <w:sz w:val="18"/>
                <w:szCs w:val="18"/>
                <w:highlight w:val="none"/>
                <w:lang w:bidi="ar"/>
              </w:rPr>
              <w:br w:type="textWrapping"/>
            </w:r>
            <w:r>
              <w:rPr>
                <w:rFonts w:hint="eastAsia" w:asciiTheme="minorEastAsia" w:hAnsiTheme="minorEastAsia" w:eastAsiaTheme="minorEastAsia" w:cstheme="minorEastAsia"/>
                <w:sz w:val="18"/>
                <w:szCs w:val="18"/>
                <w:highlight w:val="none"/>
              </w:rPr>
              <w:t>申请医院账号能够新增会诊申请。新增会诊申请过程包括：病人基本资料填写、会诊申请信息填写、会诊信息确认、病理资料（可选择使用拍设备拍摄资料）上传等步骤。对于尚未完成会诊的申请，可以进行修改。</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会诊申请信息填写的过程包括对医院、专家信息的查询与选择；病理资料上传的过程包括资料的提交、查询与查看。</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2.病理会诊审核</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专家医院的会诊管理功能主要包括安排专家、查看病理资料、打印申请单、取消申请、扫描会诊报告、填写会诊报告、查看会诊报告、开始视音频、停止视音频等操作。会诊进入到不同阶段，对应的操作也不一样。</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申请医院的会诊管理功能主要包括新增会诊申请、打印申请单、查看并上传病理资料、查看报告单、会诊效果随访等操作。会诊进入不同阶段，对应的操作也不相同。</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对特殊病情的会诊，医生提出的会诊申请、会诊审核通过后，组建会诊人员，确认会诊组长、会诊专家，在指定时间进行会诊，整理会诊建议、报告，完成会诊。</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3.病理会诊执行</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系统支持专家对资料的浏览、分析、报告查看。</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系统支持对病理图片的浏览，支持jpg、gif等图像、图片文件的浏览；</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支持会诊报告的扫描上传、修改与发布；</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支持对会诊报告的填写上传、修改与发布功能。</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4.病理会诊报告</w:t>
            </w:r>
            <w:r>
              <w:rPr>
                <w:rFonts w:hint="eastAsia" w:asciiTheme="minorEastAsia" w:hAnsiTheme="minorEastAsia" w:eastAsiaTheme="minorEastAsia" w:cstheme="minorEastAsia"/>
                <w:sz w:val="18"/>
                <w:szCs w:val="18"/>
                <w:highlight w:val="none"/>
              </w:rPr>
              <w:br w:type="textWrapping"/>
            </w:r>
            <w:r>
              <w:rPr>
                <w:rFonts w:hint="eastAsia" w:asciiTheme="minorEastAsia" w:hAnsiTheme="minorEastAsia" w:eastAsiaTheme="minorEastAsia" w:cstheme="minorEastAsia"/>
                <w:sz w:val="18"/>
                <w:szCs w:val="18"/>
                <w:highlight w:val="none"/>
              </w:rPr>
              <w:t>专家能对病理信息进行判读、打印、分析，提供报告的书写和发布。也可支持线上的报告发布，供申请者和患者查看。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89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区域消毒供应中心</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区域消毒供应中心能够做到器械流向管理、物品库存管理，实现了对重复使用的器械和医疗物品从回收、清洗消毒、包装、灭菌、存储、发放到使用的全过程进行跟踪记录，所有的操作流程都按标准化进行，保证消毒灭菌质量，无菌物品可追踪与召回，优化生产和成本控制。具备清洗、配包、灭菌、领用申请、发放、接收确认、使用确认、回收、消毒申请、回收登记、清洗登记、配包登记、医疗包预警、医疗包使用记录、医疗包查询等功能。</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在医共体内，系统支持集中管理和配送的中心消毒供应室模式，集中管理和供应各种无菌物品、无菌器械和敷料。供应室的各种物品编码须与总务物资编码保持一致。可以实现各种敷料入库登记。可以科室发领用申请，削减库存，计入科室成本。显示存量指标、库存预警。提供需消毒物品的回收、登记、再分发。支持灭菌记录、质量监控。具有科室意见收集统计。可以提供工作量统计。支持未来成本核算。</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对已清洗消毒灭菌物品进行条码管理，可通过条码追踪状态、位置，问题器械及过期器械召回，包内物品明细清单。通过识别码的识别对灭菌包出库、科室接收、使用和包回收进行全过程的管理。病人腕带和包条码确认确保安全，便于追溯和管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基本功能包括：</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（1）生产管理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包清洗：记录物品的清洗时间，清洗人，清洗机器等信息；</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打包：记录包信息，打包人，打包时间，产生条码，支持条码打印（可不用条码）；</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包消毒：记录包消毒信息（可通过扫条码的方式）和消毒设备信息（设备信息采集）；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包消毒确认/质检：确认包是否能够正常使用；</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消毒包的生产跟踪：可根据多种条件进行消毒包的跟踪查询；</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条码打印：打印条码。</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（2）入库管理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物资入库（包括自动和手工）：自动接收物资科的物资出库（与现有物资的接口）进行出库。根据实际入库数据进行手工录入的方式进行入库。</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（3）出库管理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物资和消毒包出库：可根据科室的请领单等，进行物资出库；</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根据条件物品出库：根据回收信息给科室进行出库；</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物品基数出库：可参考科室基数，或手工给科室物品基数出库。</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（4）病人消毒品使用管理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病人使用消毒品：选择相关的病人，通过扫条码的方式进行消毒品的使用收费；</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消毒包的使用跟踪：可根据多种条件进行消毒包的跟踪查询（可包括生产过程的跟踪）。</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（5）消毒包回库管理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消毒包回库：根据出库的消毒包进行物品回收（包括借用归还）。</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（6）消毒包的监控管理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消毒包监控：根据出库/借用等业务，实时监控全院物品包的效期和状态；</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消毒包调配：实现不同科室间消毒包的调配，以便消毒包更好地被使用。</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（7）消毒品管理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消毒品处理：可根据科室消毒包消毒申请进行消毒品费用的收取。</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（8）物品管理</w:t>
            </w:r>
            <w:r>
              <w:rPr>
                <w:rFonts w:hint="eastAsia" w:asciiTheme="minorEastAsia" w:hAnsiTheme="minorEastAsia" w:eastAsiaTheme="minorEastAsia" w:cstheme="minorEastAsia"/>
                <w:sz w:val="18"/>
                <w:szCs w:val="18"/>
                <w:highlight w:val="none"/>
              </w:rPr>
              <w:tab/>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新包管理：根据包的定义做各种新包；</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物品分装：可根据实际情况对物资进行分装（分装后，产生新的编码）；</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消毒包效期管理：可手工定义消毒包的有效期；</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消毒品特殊管理（丢失/报废/过期）：处理消毒包/单个器械的丢失，处理消毒包/单个器械的报废，过期消毒包的处理；</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消毒包全程跟踪：可根据多种条件进行消毒包的生产和使用跟踪查询；</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库存查询：显示消毒包的库存（物资库存在物流中显示）。</w:t>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（9）申请管理</w:t>
            </w:r>
            <w:r>
              <w:rPr>
                <w:rFonts w:hint="eastAsia" w:asciiTheme="minorEastAsia" w:hAnsiTheme="minorEastAsia" w:eastAsiaTheme="minorEastAsia" w:cstheme="minorEastAsia"/>
                <w:sz w:val="18"/>
                <w:szCs w:val="18"/>
                <w:highlight w:val="none"/>
              </w:rPr>
              <w:tab/>
            </w:r>
          </w:p>
          <w:p>
            <w:pPr>
              <w:ind w:firstLine="22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请领管理：根据科室的实际情况进行请领；</w:t>
            </w:r>
          </w:p>
          <w:p>
            <w:pPr>
              <w:pStyle w:val="83"/>
              <w:ind w:firstLine="36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借用申请：申请借消毒包。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医疗服务类协同</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双向转诊</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推动机构间和医生之间的信息共享和服务协同，为医院间分级诊疗提供信息化支撑，完成医共体内和跨医共体的双向转诊（实现带病历的转诊服务），实现“基层首诊、双向转诊、急慢分治、上下联动”，基于医保系统的双向转诊服务可以分析医保支出情况，医疗机构的服务能力等。</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双向转诊系统以整合电子病历信息为基础，实现患者电子病历数据的流动与共享，并且可以查阅该病人以前的病史信息，减少不必要的重复化验。</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转诊申请</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填写转诊申请单，申请单中部分信息可通过接口从HIS中获取，申请单包含</w:t>
            </w:r>
            <w:r>
              <w:rPr>
                <w:rFonts w:hint="eastAsia" w:asciiTheme="minorEastAsia" w:hAnsiTheme="minorEastAsia" w:cstheme="minorEastAsia"/>
                <w:sz w:val="18"/>
                <w:szCs w:val="18"/>
                <w:highlight w:val="none"/>
              </w:rPr>
              <w:t>但</w:t>
            </w:r>
            <w:r>
              <w:rPr>
                <w:rFonts w:hint="eastAsia" w:asciiTheme="minorEastAsia" w:hAnsiTheme="minorEastAsia" w:eastAsiaTheme="minorEastAsia" w:cstheme="minorEastAsia"/>
                <w:sz w:val="18"/>
                <w:szCs w:val="18"/>
                <w:highlight w:val="none"/>
              </w:rPr>
              <w:t>不仅限于以下内容：上级医院相关信息、患者基本信息、是否急诊、患者病情初步诊断、患者主诉、既往病史等。转诊申请时如选择门诊转诊，可通过查看各医院相关信息、科室相关介绍、医生擅长等信息进行预约挂号或转至相关科室进行分诊；如选择转住院，则可根据医院要求转至相应科室进行分诊，科室审核后安排床位或直接预约床位。转诊时通过接口从HIS中获取患者在转出医院的所有就诊记录信息。</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转诊分诊管理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转入医院可设立分诊台，对于门诊转诊至科室情况，可根据患者病情及本院科室实际情况进行分诊或驳回。对于住院转诊至科室情况，可根据患者病情及本院科室实际情况进行分诊、预留床位或驳回。</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分诊台可查看可区分门诊、住院转诊的所有转诊患者信息、转诊信息，本院各门诊科室可接诊医生、可安排床位信息等。</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接诊管理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转诊的患者到转入医院进行接诊时，转入医院HIS系统可识别出该患者为转诊患者，可调阅患者在转出医院的就诊记录，同时支持接入健康档案浏览器，医生可调阅患者历史诊疗记录，更好地了解患者的详细信息，为患者后续的治疗提供更好的治疗方案。</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病人跟踪</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转出医院医生可以通过分级诊疗信息平台接口，调阅本院转出的病人在他院的就诊信息。</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病人资料调阅</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转入医院的医生能够通过电子病历浏览调阅到该病人在转出医院就诊时的病史资料、检验/检查报告、处方和治疗信息；并且可以查阅该病人以前的病史信息。减少不必要的重复化验和检查。</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统计分析</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对于转诊业务开展情况进行统计分析，详见BI双向转诊主题。</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消息提醒</w:t>
            </w:r>
          </w:p>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结合消息提醒管理服务，针对与转诊申请、预约结果、接诊、出院等环节对应医护人员进行提醒。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检验检查结果共享</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通过医共体平台的数据和服务共享平台，针对检验检查结果可在区域内进行共享，共享数据符合国际、国家、地区标准。对于大容量文件的共享可采用索引的方式进行传输，所传输内容，可通过各类信息渠道和终端进行访问，包括但不仅限于：移动终端、PC、PAD、会诊大屏等。所需要共享数据均需要得到患者同意和授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检查检验结果互认系统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在确保医疗质量、医疗安全前提下，推进同级、上级医疗机构间检查、检验结果互认，避免不必要的重复检查，减轻患者医疗负担。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健康档案共享</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sz w:val="18"/>
                <w:szCs w:val="18"/>
                <w:highlight w:val="none"/>
              </w:rPr>
              <w:t>医生或患者在访问信息调阅服务时，平台服务通过居民索引管理系统PIX获取居民主索引，通过主索引查询出居民的所有的卫生服务事件目录，服务活动目录，主要疾病和健康问题摘要，再分别通过不同的视角展示居民的健康档案和电子病历的详细信息，针对不同的用户角色，不同的使用场景，提供智能化首页，通过对用户行为分析，结合大数据应用推荐引擎，以最适合当前用户的视角来展示病历信息，提供价值信息智能推送，提升共享调阅的使用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电子处方管理协同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sz w:val="18"/>
                <w:szCs w:val="18"/>
                <w:highlight w:val="none"/>
              </w:rPr>
            </w:pPr>
            <w:r>
              <w:rPr>
                <w:rFonts w:hint="eastAsia"/>
                <w:sz w:val="18"/>
                <w:szCs w:val="18"/>
                <w:highlight w:val="none"/>
              </w:rPr>
              <w:t>实现电子处方和线上药房，开通网络购药和配送。医生在进行诊疗服务过程中，即可根据病人检查检验结果进行诊断，并在线开具相应的医嘱信息，生成对应的电子处方单，电子处方单由药师审核后，根据患者购药流程的选择，流转到医院药房或线上配送，方便患者。特别是针对需要长期开药的慢病复诊患者，通过电子处方管理系统的服务流程，基本可实现足不出户即享受到医生诊疗和药品配送上门的服务。</w:t>
            </w:r>
          </w:p>
          <w:p>
            <w:pPr>
              <w:ind w:firstLine="450" w:firstLineChars="250"/>
              <w:rPr>
                <w:sz w:val="18"/>
                <w:szCs w:val="18"/>
                <w:highlight w:val="none"/>
              </w:rPr>
            </w:pPr>
            <w:r>
              <w:rPr>
                <w:rFonts w:hint="eastAsia"/>
                <w:sz w:val="18"/>
                <w:szCs w:val="18"/>
                <w:highlight w:val="none"/>
              </w:rPr>
              <w:t>医生在系统提示下开处方，出现变异时，系统可自动出现医师填写变异原因，操作简单，便于掌握。在此基础上，按照上级卫健委部门的数据统计要求及医院对于电子处方的管理需要，可选取处方实施的过程指标和结果指标，开发监测与管理的报表，加快处方的改进周期，有力推进处方共享的工作开展。</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主要功能要求包括：</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（1）平台分诊</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支持面向患者提供图文、语音、电话方式的诊前咨询服务功能，引导患者根据自身疾病，准确选择相应科室进行预约挂号操作。</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（2）预约挂号</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支持在微信公众端实现预约线上、线下门诊的功能，患者可以通过平台预约医院的线下门诊号源，同时也可以预约互联网门诊的医生号源，并同时支持在线支付互联网门诊的挂号诊疗费。</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（3）互联网门诊</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支持各科室医生通过PC端或移动端，利用在线视频、语音、图文的形式，为患者提供线上门诊诊疗服务，方便患者利用PC端或移动端随时随地看医生。同时医生可在患者授权下调阅历史就诊记录和健康档案信息。</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（4）医嘱开单</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支持医生可以通过平台选择医院内诊疗资源，实现在线开具检查检验申请单、治疗、电子处方等医嘱开单功能。相关信息会同时推送给患者端，方便患者及时前往医院完成线下诊疗。</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（5）报告查阅</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支持患者的检查检验结果会以电子报告的形式同时推送给医生端和患者端，免去患者来回往返医院打印报告的麻烦，也为医生及时进行诊断和治疗提供依据。</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（6）线上药房</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医生开具的电子处方单由院内药师审核后，根据患者购药流程的选择，流转到相应的医院药房或药店，实现患者就近自取或配送上门的服务。患者选择配送上门服务的，支持在线自费功能。</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（7）满意度调查</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针对互联网门诊的患者，提供自定义的满意度调查表，系统在患者就诊完成后自动推送给患者端，进行满意度信息的采集并进行结果分析，促进互联网门诊服务质量的不断提升。</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（8）诊后随访</w:t>
            </w:r>
          </w:p>
          <w:p>
            <w:pPr>
              <w:widowControl/>
              <w:ind w:firstLine="360" w:firstLineChars="200"/>
              <w:jc w:val="left"/>
              <w:textAlignment w:val="bottom"/>
              <w:rPr>
                <w:rFonts w:ascii="宋体" w:hAnsi="宋体" w:cs="宋体" w:eastAsiaTheme="minorEastAsia"/>
                <w:bCs/>
                <w:kern w:val="0"/>
                <w:sz w:val="18"/>
                <w:szCs w:val="18"/>
                <w:highlight w:val="none"/>
                <w:lang w:bidi="ar"/>
              </w:rPr>
            </w:pPr>
            <w:r>
              <w:rPr>
                <w:rFonts w:hint="eastAsia" w:ascii="宋体" w:hAnsi="宋体" w:cs="宋体"/>
                <w:color w:val="000000"/>
                <w:kern w:val="0"/>
                <w:sz w:val="18"/>
                <w:szCs w:val="18"/>
                <w:highlight w:val="none"/>
                <w:lang w:bidi="ar"/>
              </w:rPr>
              <w:t>针对互联网门诊的患者，按不同病症提供各类自定义的诊后随访模式，系统在患者就诊完成后自动推送给患者端，对患者诊后的病情情况进行采集，方便医生及时跟进和评估诊疗效果。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家庭医生签约服务协同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sz w:val="18"/>
                <w:szCs w:val="18"/>
                <w:highlight w:val="none"/>
              </w:rPr>
            </w:pPr>
            <w:r>
              <w:rPr>
                <w:rFonts w:hint="eastAsia" w:ascii="宋体" w:hAnsi="宋体" w:cs="宋体"/>
                <w:color w:val="000000"/>
                <w:kern w:val="0"/>
                <w:sz w:val="18"/>
                <w:szCs w:val="18"/>
                <w:highlight w:val="none"/>
                <w:lang w:bidi="ar"/>
              </w:rPr>
              <w:t>家庭医生是指对服务对象实行全面的、连续的、有效的、及时的和个性化医疗保健服务和照顾的新型医生，家庭医生签约管理平台提供个性化的预防、保健、治疗、康复、健康教育服务和指导，使用户足不出户就能解决日常健康问题和保健需求、得到家庭治疗和</w:t>
            </w:r>
            <w:r>
              <w:rPr>
                <w:rFonts w:hint="eastAsia"/>
                <w:sz w:val="18"/>
                <w:szCs w:val="18"/>
                <w:highlight w:val="none"/>
              </w:rPr>
              <w:t>家庭康复护理等服务。</w:t>
            </w:r>
          </w:p>
          <w:p>
            <w:pPr>
              <w:ind w:firstLine="452" w:firstLineChars="250"/>
              <w:rPr>
                <w:b/>
                <w:bCs/>
                <w:sz w:val="18"/>
                <w:szCs w:val="18"/>
                <w:highlight w:val="none"/>
              </w:rPr>
            </w:pPr>
            <w:r>
              <w:rPr>
                <w:rFonts w:hint="eastAsia"/>
                <w:b/>
                <w:bCs/>
                <w:sz w:val="18"/>
                <w:szCs w:val="18"/>
                <w:highlight w:val="none"/>
              </w:rPr>
              <w:t>管理端</w:t>
            </w:r>
          </w:p>
          <w:p>
            <w:pPr>
              <w:ind w:firstLine="450" w:firstLineChars="250"/>
              <w:rPr>
                <w:sz w:val="18"/>
                <w:szCs w:val="18"/>
                <w:highlight w:val="none"/>
              </w:rPr>
            </w:pPr>
            <w:r>
              <w:rPr>
                <w:rFonts w:hint="eastAsia"/>
                <w:sz w:val="18"/>
                <w:szCs w:val="18"/>
                <w:highlight w:val="none"/>
              </w:rPr>
              <w:t>家庭医生签约管理系统主要针对管理机构和医生提供以下功能：</w:t>
            </w:r>
          </w:p>
          <w:p>
            <w:pPr>
              <w:ind w:firstLine="450" w:firstLineChars="250"/>
              <w:rPr>
                <w:sz w:val="18"/>
                <w:szCs w:val="18"/>
                <w:highlight w:val="none"/>
              </w:rPr>
            </w:pPr>
            <w:r>
              <w:rPr>
                <w:rFonts w:hint="eastAsia"/>
                <w:sz w:val="18"/>
                <w:szCs w:val="18"/>
                <w:highlight w:val="none"/>
              </w:rPr>
              <w:t>(1)签约信息：显示所有已签约居民信息。包括服务包、姓名、性别、年龄、签约医院、签约团队、签约时间、签约状态。可查看具体的签约详情，并打印协议。</w:t>
            </w:r>
          </w:p>
          <w:p>
            <w:pPr>
              <w:ind w:firstLine="450" w:firstLineChars="250"/>
              <w:rPr>
                <w:sz w:val="18"/>
                <w:szCs w:val="18"/>
                <w:highlight w:val="none"/>
              </w:rPr>
            </w:pPr>
            <w:r>
              <w:rPr>
                <w:rFonts w:hint="eastAsia"/>
                <w:sz w:val="18"/>
                <w:szCs w:val="18"/>
                <w:highlight w:val="none"/>
              </w:rPr>
              <w:t>(2)签约注册：居民注册（居民基本信息），居民签约（签约医院、签约团队、签约时间、签约年限、签约状态、服务包）</w:t>
            </w:r>
          </w:p>
          <w:p>
            <w:pPr>
              <w:ind w:firstLine="450" w:firstLineChars="250"/>
              <w:rPr>
                <w:sz w:val="18"/>
                <w:szCs w:val="18"/>
                <w:highlight w:val="none"/>
              </w:rPr>
            </w:pPr>
            <w:r>
              <w:rPr>
                <w:rFonts w:hint="eastAsia"/>
                <w:sz w:val="18"/>
                <w:szCs w:val="18"/>
                <w:highlight w:val="none"/>
              </w:rPr>
              <w:t>(3)统计报表：统计签约居民的年龄分布、性别分布、病种统计等，可以圆饼图状展现。</w:t>
            </w:r>
          </w:p>
          <w:p>
            <w:pPr>
              <w:ind w:firstLine="450" w:firstLineChars="250"/>
              <w:rPr>
                <w:sz w:val="18"/>
                <w:szCs w:val="18"/>
                <w:highlight w:val="none"/>
              </w:rPr>
            </w:pPr>
            <w:r>
              <w:rPr>
                <w:rFonts w:hint="eastAsia"/>
                <w:sz w:val="18"/>
                <w:szCs w:val="18"/>
                <w:highlight w:val="none"/>
              </w:rPr>
              <w:t>(4)居民服务：居民管理，包括居民基本信息（姓名、性别、证件号码、居住地址、联系电话、注册时间、注册来源）；家庭医生团队管理（团队名称、所属机构、照片、联系电话等）；医生管理（医生姓名、性别、所属机构、电话、照片等）、服务项目（服务项目所属机构、服务项目名称、服务项目内容、服务项目频次、项目金额）、服务包管理（所属机构、服务包类型、服务包编码、服务包名称、适合人群、服务包价格、自付金额）、机构用户（使用该系统用户登录名、姓名、角色、所属机构、是否启用）、家庭成员管理（姓名、性别、证件号码、出生日期、居住地址、联系电话、注册时间等）。</w:t>
            </w:r>
          </w:p>
          <w:p>
            <w:pPr>
              <w:ind w:firstLine="450" w:firstLineChars="250"/>
              <w:rPr>
                <w:sz w:val="18"/>
                <w:szCs w:val="18"/>
                <w:highlight w:val="none"/>
              </w:rPr>
            </w:pPr>
            <w:r>
              <w:rPr>
                <w:rFonts w:hint="eastAsia"/>
                <w:sz w:val="18"/>
                <w:szCs w:val="18"/>
                <w:highlight w:val="none"/>
              </w:rPr>
              <w:t>(5)健康服务：档案录入（新建居民健康档案：姓名、性别、出生日期、证件号码、健康档案编号、建档机构、建档人、档案详情）、健康档案（显示已建居民档案列表信息）、综合健康、健康教育（老年人能力评估档案信息）、能力评估（老年人能力评估档案信息）、PICC（需做PICC的居民信息）等。</w:t>
            </w:r>
          </w:p>
          <w:p>
            <w:pPr>
              <w:ind w:firstLine="450" w:firstLineChars="250"/>
              <w:rPr>
                <w:sz w:val="18"/>
                <w:szCs w:val="18"/>
                <w:highlight w:val="none"/>
              </w:rPr>
            </w:pPr>
            <w:r>
              <w:rPr>
                <w:rFonts w:hint="eastAsia"/>
                <w:sz w:val="18"/>
                <w:szCs w:val="18"/>
                <w:highlight w:val="none"/>
              </w:rPr>
              <w:t>(6)订单服务：支付服务费用对账管理、订单管理（患者签约支付订单信息）、绿色通道（APP上挂号、检验、检查信息）。</w:t>
            </w:r>
          </w:p>
          <w:p>
            <w:pPr>
              <w:ind w:firstLine="450" w:firstLineChars="250"/>
              <w:rPr>
                <w:sz w:val="18"/>
                <w:szCs w:val="18"/>
                <w:highlight w:val="none"/>
              </w:rPr>
            </w:pPr>
            <w:r>
              <w:rPr>
                <w:rFonts w:hint="eastAsia"/>
                <w:sz w:val="18"/>
                <w:szCs w:val="18"/>
                <w:highlight w:val="none"/>
              </w:rPr>
              <w:t>(7)服务调查：家庭医生团队入户调查统计。</w:t>
            </w:r>
          </w:p>
          <w:p>
            <w:pPr>
              <w:ind w:firstLine="452" w:firstLineChars="250"/>
              <w:rPr>
                <w:b/>
                <w:bCs/>
                <w:sz w:val="18"/>
                <w:szCs w:val="18"/>
                <w:highlight w:val="none"/>
              </w:rPr>
            </w:pPr>
            <w:r>
              <w:rPr>
                <w:rFonts w:hint="eastAsia"/>
                <w:b/>
                <w:bCs/>
                <w:sz w:val="18"/>
                <w:szCs w:val="18"/>
                <w:highlight w:val="none"/>
              </w:rPr>
              <w:t>医生端</w:t>
            </w:r>
          </w:p>
          <w:p>
            <w:pPr>
              <w:ind w:firstLine="450" w:firstLineChars="250"/>
              <w:rPr>
                <w:sz w:val="18"/>
                <w:szCs w:val="18"/>
                <w:highlight w:val="none"/>
              </w:rPr>
            </w:pPr>
            <w:r>
              <w:rPr>
                <w:rFonts w:hint="eastAsia"/>
                <w:sz w:val="18"/>
                <w:szCs w:val="18"/>
                <w:highlight w:val="none"/>
              </w:rPr>
              <w:t>移动签约APP整合了居民签约服务及基本公共卫生服务两大业务功能，实现家庭医生签约与移动随访业务协同，提高基层医生的工作效率。</w:t>
            </w:r>
          </w:p>
          <w:p>
            <w:pPr>
              <w:ind w:firstLine="450" w:firstLineChars="250"/>
              <w:rPr>
                <w:sz w:val="18"/>
                <w:szCs w:val="18"/>
                <w:highlight w:val="none"/>
              </w:rPr>
            </w:pPr>
            <w:r>
              <w:rPr>
                <w:rFonts w:hint="eastAsia"/>
                <w:sz w:val="18"/>
                <w:szCs w:val="18"/>
                <w:highlight w:val="none"/>
              </w:rPr>
              <w:t>(1)统计：查看医生所属团队的签约情况和随访服务情况。包括团队总签约数、随访总次数、团队年/月签约数、随访年/月签约数等。</w:t>
            </w:r>
          </w:p>
          <w:p>
            <w:pPr>
              <w:ind w:firstLine="450" w:firstLineChars="250"/>
              <w:rPr>
                <w:sz w:val="18"/>
                <w:szCs w:val="18"/>
                <w:highlight w:val="none"/>
              </w:rPr>
            </w:pPr>
            <w:r>
              <w:rPr>
                <w:rFonts w:hint="eastAsia"/>
                <w:sz w:val="18"/>
                <w:szCs w:val="18"/>
                <w:highlight w:val="none"/>
              </w:rPr>
              <w:t>(2)注册签约：居民注册（姓名、身份证、联系电话、婚姻、民族、家庭住址等），居民签约（选择签约的年限、服务开始时间、签约服务包）。</w:t>
            </w:r>
          </w:p>
          <w:p>
            <w:pPr>
              <w:ind w:firstLine="450" w:firstLineChars="250"/>
              <w:rPr>
                <w:sz w:val="18"/>
                <w:szCs w:val="18"/>
                <w:highlight w:val="none"/>
              </w:rPr>
            </w:pPr>
            <w:r>
              <w:rPr>
                <w:rFonts w:hint="eastAsia"/>
                <w:sz w:val="18"/>
                <w:szCs w:val="18"/>
                <w:highlight w:val="none"/>
              </w:rPr>
              <w:t>(3)档案：默认显示本团队所有已经签约的居民信息（姓名、性别、年龄、身份证号、地址、签约状态）。若某居民只注册而忘了签约，可直接点击居民进入居民信息页面进行签约。</w:t>
            </w:r>
          </w:p>
          <w:p>
            <w:pPr>
              <w:ind w:firstLine="450" w:firstLineChars="250"/>
              <w:rPr>
                <w:sz w:val="18"/>
                <w:szCs w:val="18"/>
                <w:highlight w:val="none"/>
              </w:rPr>
            </w:pPr>
            <w:r>
              <w:rPr>
                <w:rFonts w:hint="eastAsia"/>
                <w:sz w:val="18"/>
                <w:szCs w:val="18"/>
                <w:highlight w:val="none"/>
              </w:rPr>
              <w:t>(4)在居民信息和服务页面，有家庭成员、健康档案、能力评估、服务项目、签约、随访记录、慢性病服务、PICC、生命体征、绿色通道等功能。</w:t>
            </w:r>
          </w:p>
          <w:p>
            <w:pPr>
              <w:ind w:firstLine="450" w:firstLineChars="250"/>
              <w:rPr>
                <w:sz w:val="18"/>
                <w:szCs w:val="18"/>
                <w:highlight w:val="none"/>
              </w:rPr>
            </w:pPr>
            <w:r>
              <w:rPr>
                <w:rFonts w:hint="eastAsia"/>
                <w:sz w:val="18"/>
                <w:szCs w:val="18"/>
                <w:highlight w:val="none"/>
              </w:rPr>
              <w:t>(5)义诊：对居民义诊随访进行记录（姓名、性别、身份证、手机号、收缩压/舒张压、血糖、心率、体重、服务时间）。</w:t>
            </w:r>
          </w:p>
          <w:p>
            <w:pPr>
              <w:ind w:firstLine="450" w:firstLineChars="250"/>
              <w:rPr>
                <w:sz w:val="18"/>
                <w:szCs w:val="18"/>
                <w:highlight w:val="none"/>
              </w:rPr>
            </w:pPr>
            <w:r>
              <w:rPr>
                <w:rFonts w:hint="eastAsia"/>
                <w:sz w:val="18"/>
                <w:szCs w:val="18"/>
                <w:highlight w:val="none"/>
              </w:rPr>
              <w:t>(6)入户调查：查看和新增团队每天的上门数据（团队名称、日期、医生人数、护士人数、志愿者数、入访户数、入户户数、签约人数、采访人数）。</w:t>
            </w:r>
          </w:p>
          <w:p>
            <w:pPr>
              <w:ind w:firstLine="452" w:firstLineChars="250"/>
              <w:rPr>
                <w:b/>
                <w:bCs/>
                <w:sz w:val="18"/>
                <w:szCs w:val="18"/>
                <w:highlight w:val="none"/>
              </w:rPr>
            </w:pPr>
            <w:r>
              <w:rPr>
                <w:rFonts w:hint="eastAsia"/>
                <w:b/>
                <w:bCs/>
                <w:sz w:val="18"/>
                <w:szCs w:val="18"/>
                <w:highlight w:val="none"/>
              </w:rPr>
              <w:t>居民端</w:t>
            </w:r>
          </w:p>
          <w:p>
            <w:pPr>
              <w:ind w:firstLine="450" w:firstLineChars="250"/>
              <w:rPr>
                <w:sz w:val="18"/>
                <w:szCs w:val="18"/>
                <w:highlight w:val="none"/>
              </w:rPr>
            </w:pPr>
            <w:r>
              <w:rPr>
                <w:rFonts w:hint="eastAsia"/>
                <w:sz w:val="18"/>
                <w:szCs w:val="18"/>
                <w:highlight w:val="none"/>
              </w:rPr>
              <w:t xml:space="preserve">与互联网+便民服务可以集成，实现入口一体化，可以管理自己的签约服务信息，功能如下： </w:t>
            </w:r>
          </w:p>
          <w:p>
            <w:pPr>
              <w:ind w:firstLine="450" w:firstLineChars="250"/>
              <w:rPr>
                <w:sz w:val="18"/>
                <w:szCs w:val="18"/>
                <w:highlight w:val="none"/>
              </w:rPr>
            </w:pPr>
            <w:r>
              <w:rPr>
                <w:rFonts w:hint="eastAsia"/>
                <w:sz w:val="18"/>
                <w:szCs w:val="18"/>
                <w:highlight w:val="none"/>
              </w:rPr>
              <w:t>(1)注册签约：通过微信打开家养签约微信公众号平台，进入“家庭医生签约”模块进行直接签约。填写个人信息或者家庭成员的信息，完成注册。注册完毕之后，选择医疗机构团队，选择服务包，进行签约。根据签约包的金额在微信进行支付，支付结果可在“个人中心”-&gt;“我的订单”中查看。</w:t>
            </w:r>
          </w:p>
          <w:p>
            <w:pPr>
              <w:ind w:firstLine="450" w:firstLineChars="250"/>
              <w:rPr>
                <w:sz w:val="18"/>
                <w:szCs w:val="18"/>
                <w:highlight w:val="none"/>
              </w:rPr>
            </w:pPr>
            <w:r>
              <w:rPr>
                <w:rFonts w:hint="eastAsia"/>
                <w:sz w:val="18"/>
                <w:szCs w:val="18"/>
                <w:highlight w:val="none"/>
              </w:rPr>
              <w:t>(2)健康录入：选择对应的身体指标（血糖、血压、心率、体温、身高、体重），录入数据即可。</w:t>
            </w:r>
          </w:p>
          <w:p>
            <w:pPr>
              <w:ind w:firstLine="450" w:firstLineChars="250"/>
              <w:rPr>
                <w:sz w:val="18"/>
                <w:szCs w:val="18"/>
                <w:highlight w:val="none"/>
              </w:rPr>
            </w:pPr>
            <w:r>
              <w:rPr>
                <w:rFonts w:hint="eastAsia"/>
                <w:sz w:val="18"/>
                <w:szCs w:val="18"/>
                <w:highlight w:val="none"/>
              </w:rPr>
              <w:t>(3)健康教育：可以按照文章分类进行健康教育文章的查看，文章包括最新动态、健康养生、乐享生活等内容。</w:t>
            </w:r>
          </w:p>
          <w:p>
            <w:pPr>
              <w:ind w:firstLine="450" w:firstLineChars="250"/>
              <w:rPr>
                <w:sz w:val="18"/>
                <w:szCs w:val="18"/>
                <w:highlight w:val="none"/>
              </w:rPr>
            </w:pPr>
            <w:r>
              <w:rPr>
                <w:rFonts w:hint="eastAsia"/>
                <w:sz w:val="18"/>
                <w:szCs w:val="18"/>
                <w:highlight w:val="none"/>
              </w:rPr>
              <w:t>(4)健康统计：可以查看各生理体征数据的变化。</w:t>
            </w:r>
          </w:p>
          <w:p>
            <w:pPr>
              <w:ind w:firstLine="450" w:firstLineChars="250"/>
              <w:rPr>
                <w:sz w:val="18"/>
                <w:szCs w:val="18"/>
                <w:highlight w:val="none"/>
              </w:rPr>
            </w:pPr>
            <w:r>
              <w:rPr>
                <w:rFonts w:hint="eastAsia"/>
                <w:sz w:val="18"/>
                <w:szCs w:val="18"/>
                <w:highlight w:val="none"/>
              </w:rPr>
              <w:t>(5)随访记录：可以个人随访记录情况。</w:t>
            </w:r>
          </w:p>
          <w:p>
            <w:pPr>
              <w:ind w:firstLine="450" w:firstLineChars="250"/>
              <w:rPr>
                <w:sz w:val="18"/>
                <w:szCs w:val="18"/>
                <w:highlight w:val="none"/>
              </w:rPr>
            </w:pPr>
            <w:r>
              <w:rPr>
                <w:rFonts w:hint="eastAsia"/>
                <w:sz w:val="18"/>
                <w:szCs w:val="18"/>
                <w:highlight w:val="none"/>
              </w:rPr>
              <w:t>(6)健康咨询：选择医生并发送咨询消息内容。</w:t>
            </w:r>
          </w:p>
          <w:p>
            <w:pPr>
              <w:ind w:firstLine="450" w:firstLineChars="250"/>
              <w:rPr>
                <w:sz w:val="18"/>
                <w:szCs w:val="18"/>
                <w:highlight w:val="none"/>
              </w:rPr>
            </w:pPr>
            <w:r>
              <w:rPr>
                <w:rFonts w:hint="eastAsia"/>
                <w:sz w:val="18"/>
                <w:szCs w:val="18"/>
                <w:highlight w:val="none"/>
              </w:rPr>
              <w:t>(7)个人中心：可以添加家庭成员，对家庭成员进行注册及签约。</w:t>
            </w:r>
          </w:p>
          <w:p>
            <w:pPr>
              <w:ind w:firstLine="452" w:firstLineChars="250"/>
              <w:rPr>
                <w:b/>
                <w:bCs/>
                <w:sz w:val="18"/>
                <w:szCs w:val="18"/>
                <w:highlight w:val="none"/>
              </w:rPr>
            </w:pPr>
            <w:r>
              <w:rPr>
                <w:rFonts w:hint="eastAsia"/>
                <w:b/>
                <w:bCs/>
                <w:sz w:val="18"/>
                <w:szCs w:val="18"/>
                <w:highlight w:val="none"/>
              </w:rPr>
              <w:t>后续家庭医生管理</w:t>
            </w:r>
          </w:p>
          <w:p>
            <w:pPr>
              <w:ind w:firstLine="450" w:firstLineChars="250"/>
              <w:rPr>
                <w:sz w:val="18"/>
                <w:szCs w:val="18"/>
                <w:highlight w:val="none"/>
              </w:rPr>
            </w:pPr>
            <w:r>
              <w:rPr>
                <w:rFonts w:hint="eastAsia"/>
                <w:sz w:val="18"/>
                <w:szCs w:val="18"/>
                <w:highlight w:val="none"/>
              </w:rPr>
              <w:t>医共体后续家医服务管理是指在医共体建设后，对于家庭医生团队提供的家庭医疗服务进行的管理和服务。在医共体建设中，家庭医生团队是非常重要的一部分，他们可以为患者提供家庭医疗服务，包括疾病预防、健康管理、疾病诊断和治疗等方面的服务。</w:t>
            </w:r>
          </w:p>
          <w:p>
            <w:pPr>
              <w:ind w:firstLine="450" w:firstLineChars="250"/>
              <w:rPr>
                <w:sz w:val="18"/>
                <w:szCs w:val="18"/>
                <w:highlight w:val="none"/>
              </w:rPr>
            </w:pPr>
            <w:r>
              <w:rPr>
                <w:rFonts w:hint="eastAsia"/>
                <w:sz w:val="18"/>
                <w:szCs w:val="18"/>
                <w:highlight w:val="none"/>
              </w:rPr>
              <w:t>建立家庭医生团队管理机制，制定家庭医生团队的工作规范和标准，明确家医服务的内容和范围，加强对家庭医生的培训和考核，提高服务质量。</w:t>
            </w:r>
          </w:p>
          <w:p>
            <w:pPr>
              <w:ind w:firstLine="450" w:firstLineChars="250"/>
              <w:rPr>
                <w:sz w:val="18"/>
                <w:szCs w:val="18"/>
                <w:highlight w:val="none"/>
              </w:rPr>
            </w:pPr>
            <w:r>
              <w:rPr>
                <w:rFonts w:hint="eastAsia"/>
                <w:sz w:val="18"/>
                <w:szCs w:val="18"/>
                <w:highlight w:val="none"/>
              </w:rPr>
              <w:t>加强家庭医生团队与其他医共体成员的协作和沟通，建立起一个完整的医疗服务体系，实现医疗资源的共享和优化。</w:t>
            </w:r>
          </w:p>
          <w:p>
            <w:pPr>
              <w:ind w:firstLine="450" w:firstLineChars="250"/>
              <w:rPr>
                <w:sz w:val="18"/>
                <w:szCs w:val="18"/>
                <w:highlight w:val="none"/>
              </w:rPr>
            </w:pPr>
            <w:r>
              <w:rPr>
                <w:rFonts w:hint="eastAsia"/>
                <w:sz w:val="18"/>
                <w:szCs w:val="18"/>
                <w:highlight w:val="none"/>
              </w:rPr>
              <w:t>加强对家庭医生团队的监管和管理，建立健全的考核和评价制度，加强对家庭医生团队的培训和管理，提高家医服务的质量和效率。</w:t>
            </w:r>
          </w:p>
          <w:p>
            <w:pPr>
              <w:ind w:firstLine="450" w:firstLineChars="250"/>
              <w:rPr>
                <w:rFonts w:ascii="宋体" w:hAnsi="宋体" w:cs="宋体"/>
                <w:color w:val="000000"/>
                <w:kern w:val="0"/>
                <w:sz w:val="18"/>
                <w:szCs w:val="18"/>
                <w:highlight w:val="none"/>
                <w:lang w:bidi="ar"/>
              </w:rPr>
            </w:pPr>
            <w:r>
              <w:rPr>
                <w:rFonts w:hint="eastAsia"/>
                <w:sz w:val="18"/>
                <w:szCs w:val="18"/>
                <w:highlight w:val="none"/>
              </w:rPr>
              <w:t>加强家医服务的宣传和推广，提高患者对家庭医疗服务的认知和接受度，促进家庭医疗服务的普及和推广。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电子病历共享</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sz w:val="18"/>
                <w:szCs w:val="18"/>
                <w:highlight w:val="none"/>
              </w:rPr>
            </w:pPr>
            <w:r>
              <w:rPr>
                <w:rFonts w:hint="eastAsia"/>
                <w:sz w:val="18"/>
                <w:szCs w:val="18"/>
                <w:highlight w:val="none"/>
              </w:rPr>
              <w:t>通过EMPI获取患者在整个诊疗过程中的所有数据，在院内可以为临床医生提供EMR“全过程”信息生动展现，</w:t>
            </w:r>
            <w:r>
              <w:rPr>
                <w:sz w:val="18"/>
                <w:szCs w:val="18"/>
                <w:highlight w:val="none"/>
              </w:rPr>
              <w:t>每个服务活动都将被形象化为一个图标，使用时间作为唯一维度来展示所有诊疗信</w:t>
            </w:r>
            <w:r>
              <w:rPr>
                <w:rFonts w:hint="eastAsia"/>
                <w:sz w:val="18"/>
                <w:szCs w:val="18"/>
                <w:highlight w:val="none"/>
              </w:rPr>
              <w:t>息，提供直观的诊疗活动时间序列。在院外可提供给基层医疗卫生机构和家庭医生准确便捷的电子病历信息，以此作为制定诊疗方案的基准。</w:t>
            </w:r>
          </w:p>
          <w:p>
            <w:pPr>
              <w:ind w:firstLine="450" w:firstLineChars="250"/>
              <w:rPr>
                <w:sz w:val="18"/>
                <w:szCs w:val="18"/>
                <w:highlight w:val="none"/>
              </w:rPr>
            </w:pPr>
            <w:r>
              <w:rPr>
                <w:rFonts w:hint="eastAsia"/>
                <w:sz w:val="18"/>
                <w:szCs w:val="18"/>
                <w:highlight w:val="none"/>
              </w:rPr>
              <w:t>界面可以时间轴的形式，提供</w:t>
            </w:r>
            <w:r>
              <w:rPr>
                <w:sz w:val="18"/>
                <w:szCs w:val="18"/>
                <w:highlight w:val="none"/>
              </w:rPr>
              <w:t>患者基本信息</w:t>
            </w:r>
            <w:r>
              <w:rPr>
                <w:rFonts w:hint="eastAsia"/>
                <w:sz w:val="18"/>
                <w:szCs w:val="18"/>
                <w:highlight w:val="none"/>
              </w:rPr>
              <w:t>、患者摘要信息、近期健康事件（诊疗服务相关）等信息展示，并</w:t>
            </w:r>
            <w:r>
              <w:rPr>
                <w:sz w:val="18"/>
                <w:szCs w:val="18"/>
                <w:highlight w:val="none"/>
              </w:rPr>
              <w:t>对患者的异常信息进行气泡提醒，</w:t>
            </w:r>
            <w:r>
              <w:rPr>
                <w:rFonts w:hint="eastAsia"/>
                <w:sz w:val="18"/>
                <w:szCs w:val="18"/>
                <w:highlight w:val="none"/>
              </w:rPr>
              <w:t>对</w:t>
            </w:r>
            <w:r>
              <w:rPr>
                <w:sz w:val="18"/>
                <w:szCs w:val="18"/>
                <w:highlight w:val="none"/>
              </w:rPr>
              <w:t>异常检验项目</w:t>
            </w:r>
            <w:r>
              <w:rPr>
                <w:rFonts w:hint="eastAsia"/>
                <w:sz w:val="18"/>
                <w:szCs w:val="18"/>
                <w:highlight w:val="none"/>
              </w:rPr>
              <w:t>提供结果比对信息，辅助医生诊断。同时，可</w:t>
            </w:r>
            <w:r>
              <w:rPr>
                <w:sz w:val="18"/>
                <w:szCs w:val="18"/>
                <w:highlight w:val="none"/>
              </w:rPr>
              <w:t>根据就诊日期、医院类型、诊断</w:t>
            </w:r>
            <w:r>
              <w:rPr>
                <w:rFonts w:hint="eastAsia"/>
                <w:sz w:val="18"/>
                <w:szCs w:val="18"/>
                <w:highlight w:val="none"/>
              </w:rPr>
              <w:t>信息等关键字进</w:t>
            </w:r>
            <w:r>
              <w:rPr>
                <w:sz w:val="18"/>
                <w:szCs w:val="18"/>
                <w:highlight w:val="none"/>
              </w:rPr>
              <w:t>行</w:t>
            </w:r>
            <w:r>
              <w:rPr>
                <w:rFonts w:hint="eastAsia"/>
                <w:sz w:val="18"/>
                <w:szCs w:val="18"/>
                <w:highlight w:val="none"/>
              </w:rPr>
              <w:t>信息筛选</w:t>
            </w:r>
            <w:r>
              <w:rPr>
                <w:sz w:val="18"/>
                <w:szCs w:val="18"/>
                <w:highlight w:val="none"/>
              </w:rPr>
              <w:t>，快速获取</w:t>
            </w:r>
            <w:r>
              <w:rPr>
                <w:rFonts w:hint="eastAsia"/>
                <w:sz w:val="18"/>
                <w:szCs w:val="18"/>
                <w:highlight w:val="none"/>
              </w:rPr>
              <w:t>相关</w:t>
            </w:r>
            <w:r>
              <w:rPr>
                <w:sz w:val="18"/>
                <w:szCs w:val="18"/>
                <w:highlight w:val="none"/>
              </w:rPr>
              <w:t>数据</w:t>
            </w:r>
            <w:r>
              <w:rPr>
                <w:rFonts w:hint="eastAsia"/>
                <w:sz w:val="18"/>
                <w:szCs w:val="18"/>
                <w:highlight w:val="none"/>
              </w:rPr>
              <w:t>，还可以</w:t>
            </w:r>
            <w:r>
              <w:rPr>
                <w:sz w:val="18"/>
                <w:szCs w:val="18"/>
                <w:highlight w:val="none"/>
              </w:rPr>
              <w:t>根据用户行为习惯、感知操作等智能化设置首页信息展示</w:t>
            </w:r>
            <w:r>
              <w:rPr>
                <w:rFonts w:hint="eastAsia"/>
                <w:sz w:val="18"/>
                <w:szCs w:val="18"/>
                <w:highlight w:val="none"/>
              </w:rPr>
              <w:t>。</w:t>
            </w:r>
          </w:p>
          <w:p>
            <w:pPr>
              <w:tabs>
                <w:tab w:val="left" w:pos="0"/>
                <w:tab w:val="left" w:pos="420"/>
              </w:tabs>
              <w:ind w:firstLine="540" w:firstLineChars="300"/>
              <w:rPr>
                <w:rFonts w:ascii="宋体" w:hAnsi="宋体" w:cs="宋体"/>
                <w:bCs/>
                <w:kern w:val="0"/>
                <w:sz w:val="18"/>
                <w:szCs w:val="18"/>
                <w:highlight w:val="none"/>
                <w:lang w:bidi="ar"/>
              </w:rPr>
            </w:pPr>
            <w:r>
              <w:rPr>
                <w:rFonts w:hint="eastAsia"/>
                <w:sz w:val="18"/>
                <w:szCs w:val="18"/>
                <w:highlight w:val="none"/>
              </w:rPr>
              <w:t>提供历次就诊信息、检查检验记录、门诊处方、手术记录、用血记录、体检记录、病程记录、护理记录、知情告知信息、助产记录、住院病案首页、入院记录、转诊（院）记录、住院遗嘱、出院小结等相关电子病历信息展示调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远程教育中心</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远程教育中心是为了解决一个地区医学远程教育的问题，适用于医院、专家通过音视频和课件等方式为基层医生提供业务培训、教学、病案讨论以及技术支持。主要是通过组织相关的专家进行医学示教，专家讲座录播课件、医学文献上载发布，提升基层医生、低年资医生的能力。</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基本功能包括：</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（1）教师管理：具备教师注册、信息查询及修改等功能；</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（2）学员管理：具备学员注册、信息查询及修改等功能；</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（3）课程管理：具备课程视频查询、视频点播、实时培训等功能；</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（4）课件管理：具备视频管理、课件管理、视频共享及课件同步等功能；</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（5）过程管理：具备课程学习计划制作、课程培训记录、学习进度查询等功能；</w:t>
            </w:r>
          </w:p>
          <w:p>
            <w:pPr>
              <w:widowControl/>
              <w:ind w:firstLine="360" w:firstLineChars="2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（6）学分管理：具备申请学分、学分证打印等功能。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预约服务协同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为实现医共体内挂号、检查、检验、体检、日间手术、处置、住院、签约等预约服务统一管理，医共体各医疗机构需依托医共体管理平台对相关预约资源进行注册，由平台对医疗机构门诊号源、床位和检查项目资源进行统一管理，通过平台预约诊疗、移动预约、电话预约和医疗机构内部门诊或自助挂号、社区双向转诊等方式进行预约服务发布。</w:t>
            </w:r>
          </w:p>
          <w:p>
            <w:pPr>
              <w:pStyle w:val="107"/>
              <w:spacing w:line="360" w:lineRule="auto"/>
              <w:ind w:firstLine="361"/>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预约登记</w:t>
            </w:r>
          </w:p>
          <w:p>
            <w:pPr>
              <w:ind w:left="420" w:leftChars="20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自动获取预约登记申请，并将此申请发送至对应业务系统，并更新资源池。</w:t>
            </w:r>
          </w:p>
          <w:p>
            <w:pPr>
              <w:ind w:left="420" w:leftChars="20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bCs/>
                <w:sz w:val="18"/>
                <w:szCs w:val="18"/>
                <w:highlight w:val="none"/>
              </w:rPr>
              <w:t>预约取消</w:t>
            </w:r>
          </w:p>
          <w:p>
            <w:pPr>
              <w:ind w:left="420" w:leftChars="20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自动获取预约取消申请，并将此申请发送至对应业务系统，并更新资源池。</w:t>
            </w:r>
          </w:p>
          <w:p>
            <w:pPr>
              <w:ind w:left="420" w:leftChars="20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bCs/>
                <w:sz w:val="18"/>
                <w:szCs w:val="18"/>
                <w:highlight w:val="none"/>
              </w:rPr>
              <w:t>预约资源同步</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区域预约服务系统通过webservice接口与医共体内各医疗卫生机构业务系统实现数据交互，自动获取预约资源更新情况。</w:t>
            </w:r>
          </w:p>
          <w:p>
            <w:pPr>
              <w:ind w:firstLine="482"/>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预约资源管理</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医疗机构日常正常排班的预约资源均由平台管理，形成统一的预约资源池；区域预约服务系统（包括网站、手机端）、电话预约、医疗机构内部门诊或自助预约等途径都在该资源池中统一获取预约资源；允许医疗机构根据患者就诊情况，为特殊患者临时增加预约资源，但是临时增加的就诊顺序，不能打乱预约资源的预约时间。</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提供入网医院、挂号科室、挂号医生的代码标准；</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提供入网医院床位情况；</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提供资源标准字典中心端统一维护功能；</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提供预约资源文字介绍和照片信息；</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提供预约资源号主索引；</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支持中心端与医院端字典匹配管理；</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支持预约服务的取消控制（例如：取消的时间控制，完成预约的就诊或者已过就诊日期不允许取消）；</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支持预约起始号控制；</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支持病人预约确认；</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支持实名制预约；</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支持爽约黑名单功能；</w:t>
            </w:r>
          </w:p>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支持预约限制自定义（例如：一个手机号码一个自然月内可进行网上挂号的次数）；</w:t>
            </w:r>
          </w:p>
          <w:p>
            <w:pPr>
              <w:widowControl/>
              <w:ind w:firstLine="360" w:firstLineChars="2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支持预约医生停诊自动取消退费功能。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99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院前急救业务协同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借助物联网技术、信息技术、移动通信技术等，将医疗救治前移，院内专家能及时掌握患者各项数据，并远程指导急救。能与院内业务系统对接，建立急救绿色通道，患者入院能得到及时救治。并且实现患者的电子档案管理、既往病例信息提取、患者体征数据采集和传输共享、医嘱处理、车辆定位、视频互动和急救病历书写等功能，并与区域全民健康信息平台、急救调度指挥系统、院内业务系统等对接，形成院前急救闭环管理。</w:t>
            </w:r>
          </w:p>
          <w:p>
            <w:pPr>
              <w:pStyle w:val="107"/>
              <w:ind w:firstLine="361"/>
              <w:rPr>
                <w:rFonts w:asciiTheme="minorEastAsia" w:hAnsiTheme="minorEastAsia" w:eastAsiaTheme="minorEastAsia" w:cstheme="minorEastAsia"/>
                <w:b/>
                <w:bCs/>
                <w:sz w:val="18"/>
                <w:szCs w:val="18"/>
                <w:highlight w:val="none"/>
              </w:rPr>
            </w:pPr>
            <w:r>
              <w:rPr>
                <w:rFonts w:hint="eastAsia" w:asciiTheme="minorEastAsia" w:hAnsiTheme="minorEastAsia" w:eastAsiaTheme="minorEastAsia" w:cstheme="minorEastAsia"/>
                <w:b/>
                <w:bCs/>
                <w:sz w:val="18"/>
                <w:szCs w:val="18"/>
                <w:highlight w:val="none"/>
              </w:rPr>
              <w:t>院前急救移动监护工作站（监护型救护车）</w:t>
            </w:r>
          </w:p>
          <w:p>
            <w:pPr>
              <w:pStyle w:val="108"/>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建立车载信息终端，集成急救车医疗设备、GPS设备、移动设备，实现同一时间轴上传输患者的医疗设备数据、患者病历信息，实现急救车辆实时定位示踪，达到院前院内的联动救治目的。</w:t>
            </w:r>
          </w:p>
          <w:p>
            <w:pPr>
              <w:pStyle w:val="108"/>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可以通过无线宽带技术，把救护车监护仪采集的病人生命体征，途中救治的音视频实况和路况视频，同步传送到急救中心和接诊医院，建立院前急救、院内急救“绿色通道”的无缝连接，提高急救效率。该系统还具备视频会诊等功能，让多方参与、指导途中救治，提高急救质量。</w:t>
            </w:r>
          </w:p>
          <w:p>
            <w:pPr>
              <w:pStyle w:val="108"/>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主要功能包括</w:t>
            </w:r>
            <w:bookmarkStart w:id="252" w:name="_Toc17476169"/>
            <w:bookmarkStart w:id="253" w:name="_Toc532571401"/>
            <w:bookmarkStart w:id="254" w:name="_Toc533693055"/>
            <w:r>
              <w:rPr>
                <w:rFonts w:hint="eastAsia" w:asciiTheme="minorEastAsia" w:hAnsiTheme="minorEastAsia" w:eastAsiaTheme="minorEastAsia" w:cstheme="minorEastAsia"/>
                <w:sz w:val="18"/>
                <w:szCs w:val="18"/>
                <w:highlight w:val="none"/>
              </w:rPr>
              <w:t>车辆任务状态与位置</w:t>
            </w:r>
            <w:bookmarkEnd w:id="252"/>
            <w:r>
              <w:rPr>
                <w:rFonts w:hint="eastAsia" w:asciiTheme="minorEastAsia" w:hAnsiTheme="minorEastAsia" w:eastAsiaTheme="minorEastAsia" w:cstheme="minorEastAsia"/>
                <w:sz w:val="18"/>
                <w:szCs w:val="18"/>
                <w:highlight w:val="none"/>
              </w:rPr>
              <w:t>、</w:t>
            </w:r>
            <w:bookmarkStart w:id="255" w:name="_Toc17476170"/>
            <w:r>
              <w:rPr>
                <w:rFonts w:hint="eastAsia" w:asciiTheme="minorEastAsia" w:hAnsiTheme="minorEastAsia" w:eastAsiaTheme="minorEastAsia" w:cstheme="minorEastAsia"/>
                <w:sz w:val="18"/>
                <w:szCs w:val="18"/>
                <w:highlight w:val="none"/>
              </w:rPr>
              <w:t>接收任务、急救任务管理</w:t>
            </w:r>
            <w:bookmarkEnd w:id="255"/>
            <w:r>
              <w:rPr>
                <w:rFonts w:hint="eastAsia" w:asciiTheme="minorEastAsia" w:hAnsiTheme="minorEastAsia" w:eastAsiaTheme="minorEastAsia" w:cstheme="minorEastAsia"/>
                <w:sz w:val="18"/>
                <w:szCs w:val="18"/>
                <w:highlight w:val="none"/>
              </w:rPr>
              <w:t>、</w:t>
            </w:r>
            <w:bookmarkStart w:id="256" w:name="_Toc17476171"/>
            <w:r>
              <w:rPr>
                <w:rFonts w:hint="eastAsia" w:asciiTheme="minorEastAsia" w:hAnsiTheme="minorEastAsia" w:eastAsiaTheme="minorEastAsia" w:cstheme="minorEastAsia"/>
                <w:sz w:val="18"/>
                <w:szCs w:val="18"/>
                <w:highlight w:val="none"/>
              </w:rPr>
              <w:t>患者生命体征管理</w:t>
            </w:r>
            <w:bookmarkEnd w:id="256"/>
            <w:r>
              <w:rPr>
                <w:rFonts w:hint="eastAsia" w:asciiTheme="minorEastAsia" w:hAnsiTheme="minorEastAsia" w:eastAsiaTheme="minorEastAsia" w:cstheme="minorEastAsia"/>
                <w:sz w:val="18"/>
                <w:szCs w:val="18"/>
                <w:highlight w:val="none"/>
              </w:rPr>
              <w:t>、</w:t>
            </w:r>
            <w:bookmarkStart w:id="257" w:name="_Toc17476172"/>
            <w:r>
              <w:rPr>
                <w:rFonts w:hint="eastAsia" w:asciiTheme="minorEastAsia" w:hAnsiTheme="minorEastAsia" w:eastAsiaTheme="minorEastAsia" w:cstheme="minorEastAsia"/>
                <w:sz w:val="18"/>
                <w:szCs w:val="18"/>
                <w:highlight w:val="none"/>
              </w:rPr>
              <w:t>多方音视频会诊</w:t>
            </w:r>
            <w:bookmarkEnd w:id="257"/>
            <w:r>
              <w:rPr>
                <w:rFonts w:hint="eastAsia" w:asciiTheme="minorEastAsia" w:hAnsiTheme="minorEastAsia" w:eastAsiaTheme="minorEastAsia" w:cstheme="minorEastAsia"/>
                <w:sz w:val="18"/>
                <w:szCs w:val="18"/>
                <w:highlight w:val="none"/>
              </w:rPr>
              <w:t>、</w:t>
            </w:r>
            <w:bookmarkStart w:id="258" w:name="_Toc17476173"/>
            <w:r>
              <w:rPr>
                <w:rFonts w:hint="eastAsia" w:asciiTheme="minorEastAsia" w:hAnsiTheme="minorEastAsia" w:eastAsiaTheme="minorEastAsia" w:cstheme="minorEastAsia"/>
                <w:sz w:val="18"/>
                <w:szCs w:val="18"/>
                <w:highlight w:val="none"/>
              </w:rPr>
              <w:t>院前病历</w:t>
            </w:r>
            <w:bookmarkEnd w:id="258"/>
            <w:r>
              <w:rPr>
                <w:rFonts w:hint="eastAsia" w:asciiTheme="minorEastAsia" w:hAnsiTheme="minorEastAsia" w:eastAsiaTheme="minorEastAsia" w:cstheme="minorEastAsia"/>
                <w:sz w:val="18"/>
                <w:szCs w:val="18"/>
                <w:highlight w:val="none"/>
              </w:rPr>
              <w:t>、</w:t>
            </w:r>
            <w:bookmarkStart w:id="259" w:name="_Toc17476175"/>
            <w:r>
              <w:rPr>
                <w:rFonts w:hint="eastAsia" w:asciiTheme="minorEastAsia" w:hAnsiTheme="minorEastAsia" w:eastAsiaTheme="minorEastAsia" w:cstheme="minorEastAsia"/>
                <w:sz w:val="18"/>
                <w:szCs w:val="18"/>
                <w:highlight w:val="none"/>
              </w:rPr>
              <w:t>最佳路线导航</w:t>
            </w:r>
            <w:bookmarkEnd w:id="259"/>
            <w:r>
              <w:rPr>
                <w:rFonts w:hint="eastAsia" w:asciiTheme="minorEastAsia" w:hAnsiTheme="minorEastAsia" w:eastAsiaTheme="minorEastAsia" w:cstheme="minorEastAsia"/>
                <w:sz w:val="18"/>
                <w:szCs w:val="18"/>
                <w:highlight w:val="none"/>
              </w:rPr>
              <w:t>等</w:t>
            </w:r>
          </w:p>
          <w:p>
            <w:pPr>
              <w:pStyle w:val="107"/>
              <w:ind w:firstLine="361"/>
              <w:rPr>
                <w:rFonts w:asciiTheme="minorEastAsia" w:hAnsiTheme="minorEastAsia" w:eastAsiaTheme="minorEastAsia" w:cstheme="minorEastAsia"/>
                <w:b/>
                <w:bCs/>
                <w:sz w:val="18"/>
                <w:szCs w:val="18"/>
                <w:highlight w:val="none"/>
              </w:rPr>
            </w:pPr>
            <w:bookmarkStart w:id="260" w:name="_Toc17476176"/>
            <w:r>
              <w:rPr>
                <w:rFonts w:hint="eastAsia" w:asciiTheme="minorEastAsia" w:hAnsiTheme="minorEastAsia" w:eastAsiaTheme="minorEastAsia" w:cstheme="minorEastAsia"/>
                <w:b/>
                <w:bCs/>
                <w:sz w:val="18"/>
                <w:szCs w:val="18"/>
                <w:highlight w:val="none"/>
              </w:rPr>
              <w:t>院前急救</w:t>
            </w:r>
            <w:bookmarkStart w:id="261" w:name="_Hlk532572118"/>
            <w:r>
              <w:rPr>
                <w:rFonts w:hint="eastAsia" w:asciiTheme="minorEastAsia" w:hAnsiTheme="minorEastAsia" w:eastAsiaTheme="minorEastAsia" w:cstheme="minorEastAsia"/>
                <w:b/>
                <w:bCs/>
                <w:sz w:val="18"/>
                <w:szCs w:val="18"/>
                <w:highlight w:val="none"/>
              </w:rPr>
              <w:t>预报移动应用</w:t>
            </w:r>
            <w:bookmarkEnd w:id="261"/>
            <w:r>
              <w:rPr>
                <w:rFonts w:hint="eastAsia" w:asciiTheme="minorEastAsia" w:hAnsiTheme="minorEastAsia" w:eastAsiaTheme="minorEastAsia" w:cstheme="minorEastAsia"/>
                <w:b/>
                <w:bCs/>
                <w:sz w:val="18"/>
                <w:szCs w:val="18"/>
                <w:highlight w:val="none"/>
              </w:rPr>
              <w:t>（非监护型救护车）</w:t>
            </w:r>
          </w:p>
          <w:p>
            <w:pPr>
              <w:pStyle w:val="108"/>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院前急救人员借助智能手机，开展患者身份证快速识别、病历规范化记录、病情快速评估、现场照片上传和车辆实时定位，达到院前院内无缝衔接、高效协作、联动救治的目的。同时工作程序在智能手机端安装方便、操作快捷，便于推广应用。</w:t>
            </w:r>
          </w:p>
          <w:p>
            <w:pPr>
              <w:pStyle w:val="108"/>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可以通过无线宽带技术，把救护车上病人生命体征，</w:t>
            </w:r>
            <w:bookmarkStart w:id="262" w:name="_Hlk532572144"/>
            <w:r>
              <w:rPr>
                <w:rFonts w:hint="eastAsia" w:asciiTheme="minorEastAsia" w:hAnsiTheme="minorEastAsia" w:eastAsiaTheme="minorEastAsia" w:cstheme="minorEastAsia"/>
                <w:sz w:val="18"/>
                <w:szCs w:val="18"/>
                <w:highlight w:val="none"/>
              </w:rPr>
              <w:t>院前救治经过，院前患者病情变化，同步传送到急救中心和接诊医院，建立院前急救、院内急救“绿色通道”的无缝连接，提高急救效率。主要功能模块</w:t>
            </w:r>
            <w:bookmarkEnd w:id="262"/>
            <w:r>
              <w:rPr>
                <w:rFonts w:hint="eastAsia" w:asciiTheme="minorEastAsia" w:hAnsiTheme="minorEastAsia" w:eastAsiaTheme="minorEastAsia" w:cstheme="minorEastAsia"/>
                <w:sz w:val="18"/>
                <w:szCs w:val="18"/>
                <w:highlight w:val="none"/>
              </w:rPr>
              <w:t>包括</w:t>
            </w:r>
            <w:bookmarkStart w:id="263" w:name="_Toc532571402"/>
            <w:r>
              <w:rPr>
                <w:rFonts w:hint="eastAsia" w:asciiTheme="minorEastAsia" w:hAnsiTheme="minorEastAsia" w:eastAsiaTheme="minorEastAsia" w:cstheme="minorEastAsia"/>
                <w:sz w:val="18"/>
                <w:szCs w:val="18"/>
                <w:highlight w:val="none"/>
              </w:rPr>
              <w:t>院前现场评估</w:t>
            </w:r>
            <w:bookmarkEnd w:id="263"/>
            <w:r>
              <w:rPr>
                <w:rFonts w:hint="eastAsia" w:asciiTheme="minorEastAsia" w:hAnsiTheme="minorEastAsia" w:eastAsiaTheme="minorEastAsia" w:cstheme="minorEastAsia"/>
                <w:sz w:val="18"/>
                <w:szCs w:val="18"/>
                <w:highlight w:val="none"/>
              </w:rPr>
              <w:t>、</w:t>
            </w:r>
            <w:bookmarkStart w:id="264" w:name="_Toc532571403"/>
            <w:r>
              <w:rPr>
                <w:rFonts w:hint="eastAsia" w:asciiTheme="minorEastAsia" w:hAnsiTheme="minorEastAsia" w:eastAsiaTheme="minorEastAsia" w:cstheme="minorEastAsia"/>
                <w:sz w:val="18"/>
                <w:szCs w:val="18"/>
                <w:highlight w:val="none"/>
              </w:rPr>
              <w:t>院前处置记录</w:t>
            </w:r>
            <w:bookmarkEnd w:id="264"/>
            <w:bookmarkStart w:id="265" w:name="_Toc532571404"/>
            <w:r>
              <w:rPr>
                <w:rFonts w:hint="eastAsia" w:asciiTheme="minorEastAsia" w:hAnsiTheme="minorEastAsia" w:eastAsiaTheme="minorEastAsia" w:cstheme="minorEastAsia"/>
                <w:sz w:val="18"/>
                <w:szCs w:val="18"/>
                <w:highlight w:val="none"/>
              </w:rPr>
              <w:t>、院前院内无缝衔接</w:t>
            </w:r>
            <w:bookmarkEnd w:id="265"/>
            <w:r>
              <w:rPr>
                <w:rFonts w:hint="eastAsia" w:asciiTheme="minorEastAsia" w:hAnsiTheme="minorEastAsia" w:eastAsiaTheme="minorEastAsia" w:cstheme="minorEastAsia"/>
                <w:sz w:val="18"/>
                <w:szCs w:val="18"/>
                <w:highlight w:val="none"/>
              </w:rPr>
              <w:t>、</w:t>
            </w:r>
            <w:bookmarkStart w:id="266" w:name="_Toc532571405"/>
            <w:r>
              <w:rPr>
                <w:rFonts w:hint="eastAsia" w:asciiTheme="minorEastAsia" w:hAnsiTheme="minorEastAsia" w:eastAsiaTheme="minorEastAsia" w:cstheme="minorEastAsia"/>
                <w:sz w:val="18"/>
                <w:szCs w:val="18"/>
                <w:highlight w:val="none"/>
              </w:rPr>
              <w:t>院前院内协同救治</w:t>
            </w:r>
            <w:bookmarkEnd w:id="266"/>
            <w:r>
              <w:rPr>
                <w:rFonts w:hint="eastAsia" w:asciiTheme="minorEastAsia" w:hAnsiTheme="minorEastAsia" w:eastAsiaTheme="minorEastAsia" w:cstheme="minorEastAsia"/>
                <w:sz w:val="18"/>
                <w:szCs w:val="18"/>
                <w:highlight w:val="none"/>
              </w:rPr>
              <w:t>等。</w:t>
            </w:r>
          </w:p>
          <w:bookmarkEnd w:id="253"/>
          <w:bookmarkEnd w:id="254"/>
          <w:bookmarkEnd w:id="260"/>
          <w:p>
            <w:pPr>
              <w:pStyle w:val="107"/>
              <w:ind w:firstLine="361"/>
              <w:rPr>
                <w:rFonts w:asciiTheme="minorEastAsia" w:hAnsiTheme="minorEastAsia" w:eastAsiaTheme="minorEastAsia" w:cstheme="minorEastAsia"/>
                <w:b/>
                <w:bCs/>
                <w:sz w:val="18"/>
                <w:szCs w:val="18"/>
                <w:highlight w:val="none"/>
              </w:rPr>
            </w:pPr>
            <w:bookmarkStart w:id="267" w:name="_Toc532571399"/>
            <w:bookmarkStart w:id="268" w:name="_Toc533693056"/>
            <w:r>
              <w:rPr>
                <w:rFonts w:hint="eastAsia" w:asciiTheme="minorEastAsia" w:hAnsiTheme="minorEastAsia" w:eastAsiaTheme="minorEastAsia" w:cstheme="minorEastAsia"/>
                <w:b/>
                <w:bCs/>
                <w:sz w:val="18"/>
                <w:szCs w:val="18"/>
                <w:highlight w:val="none"/>
              </w:rPr>
              <w:t>急救指挥协作平台</w:t>
            </w:r>
            <w:bookmarkEnd w:id="267"/>
            <w:bookmarkEnd w:id="268"/>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院前信息公告屏幕，通过公告大屏信息院内医护人员可实时了解急救车目前的出诊信息，并及时为即将回院的急救车做好接车准备。显示信息可包括目前出诊急救车的状况，记录信息包括了车辆信息、患者信息以及目前患者病情等信息情况。主要功能包括急救任务管理和急救任务地图等。</w:t>
            </w:r>
          </w:p>
          <w:p>
            <w:pPr>
              <w:pStyle w:val="107"/>
              <w:ind w:firstLine="361"/>
              <w:rPr>
                <w:rFonts w:asciiTheme="minorEastAsia" w:hAnsiTheme="minorEastAsia" w:eastAsiaTheme="minorEastAsia" w:cstheme="minorEastAsia"/>
                <w:b/>
                <w:bCs/>
                <w:sz w:val="18"/>
                <w:szCs w:val="18"/>
                <w:highlight w:val="none"/>
              </w:rPr>
            </w:pPr>
            <w:bookmarkStart w:id="269" w:name="_Toc533693057"/>
            <w:bookmarkStart w:id="270" w:name="_Toc532571400"/>
            <w:r>
              <w:rPr>
                <w:rFonts w:hint="eastAsia" w:asciiTheme="minorEastAsia" w:hAnsiTheme="minorEastAsia" w:eastAsiaTheme="minorEastAsia" w:cstheme="minorEastAsia"/>
                <w:b/>
                <w:bCs/>
                <w:sz w:val="18"/>
                <w:szCs w:val="18"/>
                <w:highlight w:val="none"/>
              </w:rPr>
              <w:t>急救远程指导工作站</w:t>
            </w:r>
            <w:bookmarkEnd w:id="269"/>
            <w:bookmarkEnd w:id="270"/>
          </w:p>
          <w:p>
            <w:pPr>
              <w:ind w:firstLine="318" w:firstLineChars="177"/>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部署在院内，相关医护人员可以远程查看急救车现场病历、生命体征波形、现场图片、GPS定位，方便院内医生与专家查询任意时间点患者的急救动态信息，增强会诊参与感，也为院内接诊提前做好准备。主要功能包括超媒体电子病历、院前急救病情预警、多方音视频会诊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公共卫生业务协同</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基层医疗和公卫协同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依托全民健康信息平台，推动医院、基层医疗卫生机构和各级疾病预防控制中心等专业公共卫生机构间的信息系统互通共享、推进基层医疗卫生机构和基本公共卫生融合服务，建立健全基层医疗卫生机构与上级医疗的联运机制，全面提升医疗卫生机构对新发传染病的预警、预测、治疗和康复能力。</w:t>
            </w:r>
          </w:p>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具体功能包括：医卫协同提醒，孕产妇保健任务、新生儿随访、重点患者健康体检提醒，儿童、孕产妇、老年人、慢性病患者健康管理，严重精神障碍疾病患者管理，结核病患者健康管理。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96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突发公共卫生事件应急指挥协同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20"/>
              <w:rPr>
                <w:rFonts w:ascii="宋体" w:hAnsi="宋体" w:cs="宋体"/>
                <w:bCs/>
                <w:kern w:val="0"/>
                <w:sz w:val="18"/>
                <w:szCs w:val="18"/>
                <w:highlight w:val="none"/>
                <w:lang w:bidi="ar"/>
              </w:rPr>
            </w:pPr>
            <w:r>
              <w:rPr>
                <w:sz w:val="18"/>
                <w:szCs w:val="18"/>
                <w:highlight w:val="none"/>
              </w:rPr>
              <w:t>对接</w:t>
            </w:r>
            <w:r>
              <w:rPr>
                <w:rFonts w:hint="eastAsia"/>
                <w:sz w:val="18"/>
                <w:szCs w:val="18"/>
                <w:highlight w:val="none"/>
              </w:rPr>
              <w:t>突发公共卫生事件应急指挥系统，满足卫生应急值守、综合监测、风险评估、预警响应、资源管理、指挥调度、辅助决策、应急评价、培训演练等应急管理工作需要，增强风险预判能力和指挥决策等能力。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卫生监督应用协同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20"/>
              <w:rPr>
                <w:rFonts w:ascii="宋体" w:hAnsi="宋体" w:cs="宋体"/>
                <w:bCs/>
                <w:kern w:val="0"/>
                <w:sz w:val="18"/>
                <w:szCs w:val="18"/>
                <w:highlight w:val="none"/>
                <w:lang w:bidi="ar"/>
              </w:rPr>
            </w:pPr>
            <w:r>
              <w:rPr>
                <w:rFonts w:hint="eastAsia"/>
                <w:sz w:val="18"/>
                <w:szCs w:val="18"/>
                <w:highlight w:val="none"/>
              </w:rPr>
              <w:t>对接卫生监督系统，依托行政许可数据、平台健康档案和医疗质量数据的共享，为卫生监督执法提供本地数据、监督执法线索和依据，化被动执法为主动发现。正在全省部署的卫生健康监督信息平台应与全民健康信息平台互通共享。</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接种疫苗业务协同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09"/>
              <w:ind w:firstLine="480"/>
              <w:rPr>
                <w:rFonts w:ascii="宋体" w:hAnsi="宋体" w:cs="宋体"/>
                <w:bCs/>
                <w:sz w:val="18"/>
                <w:szCs w:val="18"/>
                <w:highlight w:val="none"/>
                <w:lang w:bidi="ar"/>
              </w:rPr>
            </w:pPr>
            <w:r>
              <w:rPr>
                <w:rFonts w:hint="eastAsia" w:asciiTheme="minorEastAsia" w:hAnsiTheme="minorEastAsia" w:eastAsiaTheme="minorEastAsia" w:cstheme="minorEastAsia"/>
                <w:sz w:val="18"/>
                <w:szCs w:val="18"/>
                <w:highlight w:val="none"/>
              </w:rPr>
              <w:t>对接接种疫苗系统，可以查询儿童、成人接种疫苗数据（包括：新冠疫苗接种数据）、禁忌症信息、接种疫苗</w:t>
            </w:r>
            <w:r>
              <w:rPr>
                <w:rFonts w:hint="eastAsia" w:asciiTheme="minorEastAsia" w:hAnsiTheme="minorEastAsia" w:cstheme="minorEastAsia"/>
                <w:sz w:val="18"/>
                <w:szCs w:val="18"/>
                <w:highlight w:val="none"/>
              </w:rPr>
              <w:t>反应</w:t>
            </w:r>
            <w:r>
              <w:rPr>
                <w:rFonts w:hint="eastAsia" w:asciiTheme="minorEastAsia" w:hAnsiTheme="minorEastAsia" w:eastAsiaTheme="minorEastAsia" w:cstheme="minorEastAsia"/>
                <w:sz w:val="18"/>
                <w:szCs w:val="18"/>
                <w:highlight w:val="none"/>
              </w:rPr>
              <w:t>信息。并能统计各种疫苗接种率，以及每一种疫苗的用量，为下一次采购提供数据支撑。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妇幼健康业务协同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09"/>
              <w:ind w:firstLine="480"/>
              <w:rPr>
                <w:rFonts w:ascii="宋体" w:hAnsi="宋体" w:cs="宋体"/>
                <w:bCs/>
                <w:sz w:val="18"/>
                <w:szCs w:val="18"/>
                <w:highlight w:val="none"/>
                <w:lang w:bidi="ar"/>
              </w:rPr>
            </w:pPr>
            <w:r>
              <w:rPr>
                <w:rFonts w:hint="eastAsia" w:asciiTheme="minorEastAsia" w:hAnsiTheme="minorEastAsia" w:eastAsiaTheme="minorEastAsia" w:cstheme="minorEastAsia"/>
                <w:sz w:val="18"/>
                <w:szCs w:val="18"/>
                <w:highlight w:val="none"/>
              </w:rPr>
              <w:t>区域妇幼健康业务协同主要是指妇幼健康业务在区域内不同医疗机构之间的协同联动。主要分为儿童保健业务协同、妇女保健业务协同、计划生育技术服务业务协同和出生缺陷防治业务协同，对接目前部署的河南省妇幼健康信息管理平台采集信息， 并与基层医疗卫生信息系统和全民健康信息平台互通共享。妇幼健康业务还需要从公安获取人口基本信息，从民政获取婚姻信息等，开展部门协同。</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血液安全管理业务协同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09"/>
              <w:ind w:firstLine="480"/>
              <w:rPr>
                <w:rFonts w:ascii="宋体" w:hAnsi="宋体" w:cs="宋体"/>
                <w:bCs/>
                <w:sz w:val="18"/>
                <w:szCs w:val="18"/>
                <w:highlight w:val="none"/>
                <w:lang w:bidi="ar"/>
              </w:rPr>
            </w:pPr>
            <w:r>
              <w:rPr>
                <w:rFonts w:hint="eastAsia" w:asciiTheme="minorEastAsia" w:hAnsiTheme="minorEastAsia" w:eastAsiaTheme="minorEastAsia" w:cstheme="minorEastAsia"/>
                <w:sz w:val="18"/>
                <w:szCs w:val="18"/>
                <w:highlight w:val="none"/>
              </w:rPr>
              <w:t>对接血液中心系统，联通血液管理中心和采血机构、医疗机构，在平台上实现血液采集、检测、制备、存储、运输、使用等业务跨机构的信息共享，收集单采血浆站原料血浆采集</w:t>
            </w:r>
            <w:r>
              <w:rPr>
                <w:rFonts w:hint="eastAsia" w:asciiTheme="minorEastAsia" w:hAnsiTheme="minorEastAsia" w:cstheme="minorEastAsia"/>
                <w:sz w:val="18"/>
                <w:szCs w:val="18"/>
                <w:highlight w:val="none"/>
              </w:rPr>
              <w:t>、检</w:t>
            </w:r>
            <w:r>
              <w:rPr>
                <w:rFonts w:hint="eastAsia" w:asciiTheme="minorEastAsia" w:hAnsiTheme="minorEastAsia" w:eastAsiaTheme="minorEastAsia" w:cstheme="minorEastAsia"/>
                <w:sz w:val="18"/>
                <w:szCs w:val="18"/>
                <w:highlight w:val="none"/>
              </w:rPr>
              <w:t>测、存储、供应等信息，监督采供血工作，开展血液安全风险监测。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慢性病业务协同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二级以上医疗机构在进行慢性病防治过程中，以电子健康档案和电子病历为基础，同步实现对疾控网底数据的建设，实现报病在医院，管理在疾控或专业医疗卫生机构、服务在</w:t>
            </w:r>
            <w:r>
              <w:rPr>
                <w:rFonts w:hint="eastAsia" w:asciiTheme="minorEastAsia" w:hAnsiTheme="minorEastAsia" w:eastAsiaTheme="minorEastAsia" w:cstheme="minorEastAsia"/>
                <w:kern w:val="0"/>
                <w:sz w:val="18"/>
                <w:szCs w:val="18"/>
                <w:highlight w:val="none"/>
              </w:rPr>
              <w:t>社区的业务协同模式。试点业务包括心脑血管疾病、糖尿病、精神疾病、恶性肿瘤、呼吸系统疾病5类</w:t>
            </w:r>
            <w:r>
              <w:rPr>
                <w:rFonts w:hint="eastAsia" w:asciiTheme="minorEastAsia" w:hAnsiTheme="minorEastAsia" w:eastAsiaTheme="minorEastAsia" w:cstheme="minorEastAsia"/>
                <w:sz w:val="18"/>
                <w:szCs w:val="18"/>
                <w:highlight w:val="none"/>
              </w:rPr>
              <w:t>疾病。</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通过整合</w:t>
            </w:r>
            <w:r>
              <w:rPr>
                <w:rFonts w:hint="eastAsia" w:asciiTheme="majorEastAsia" w:hAnsiTheme="majorEastAsia" w:eastAsiaTheme="majorEastAsia" w:cstheme="majorEastAsia"/>
                <w:sz w:val="18"/>
                <w:szCs w:val="18"/>
                <w:highlight w:val="none"/>
              </w:rPr>
              <w:t>市</w:t>
            </w:r>
            <w:r>
              <w:rPr>
                <w:rFonts w:hint="eastAsia" w:asciiTheme="minorEastAsia" w:hAnsiTheme="minorEastAsia" w:eastAsiaTheme="minorEastAsia" w:cstheme="minorEastAsia"/>
                <w:sz w:val="18"/>
                <w:szCs w:val="18"/>
                <w:highlight w:val="none"/>
              </w:rPr>
              <w:t>域医共体内的体检记录、慢性病管理数据和可穿戴设备数据，实现慢性病的筛查、评估、精细化治疗方案、居民健康档案调阅、随访和健康指导等全程管理。</w:t>
            </w:r>
          </w:p>
          <w:p>
            <w:pPr>
              <w:widowControl/>
              <w:ind w:firstLine="360" w:firstLineChars="2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具体功能包括：疾病诊断与建档协同、疾病分级分组管理与临床路径协同、医院门诊与随访管理协同、医疗体检与随访管理协同、医疗质量与疾病监管质控协同。社区门诊与慢性病随访填报协同，社区体检与慢性病随访填报协同、辖区居民新增病例情况查询、全科医生任务推送和全科医生服务计划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老年保健业务协同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主要内容有：老年人登记管理以及自理能力评估、中医体质辨识、体检管理，老年管理信息查询，按国家公共卫生服务规范要求，未完成评估、辨识或体检老年列表（方便安排评估、辨识及体检），老年管理指标分析（分析项目有：人口数、老年人数、登记人数、登记率、管理人数、管理率、规范管理人数、规范管理率、评估人数、评估率、辨识人数、辨识率、体检人数、体检率），对单位老年管理进行工作量绩效考核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儿童保健业务协同</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09"/>
              <w:ind w:firstLine="480"/>
              <w:rPr>
                <w:rFonts w:ascii="宋体" w:hAnsi="宋体" w:cs="宋体"/>
                <w:bCs/>
                <w:sz w:val="18"/>
                <w:szCs w:val="18"/>
                <w:highlight w:val="none"/>
                <w:lang w:bidi="ar"/>
              </w:rPr>
            </w:pPr>
            <w:r>
              <w:rPr>
                <w:rFonts w:hint="eastAsia" w:asciiTheme="minorEastAsia" w:hAnsiTheme="minorEastAsia" w:eastAsiaTheme="minorEastAsia" w:cstheme="minorEastAsia"/>
                <w:sz w:val="18"/>
                <w:szCs w:val="18"/>
                <w:highlight w:val="none"/>
              </w:rPr>
              <w:t>主要内容有：出生登记管理、出生缺陷登记、新生儿访视管理、高危儿童登记与随访、体弱儿童登记与随访、健康体检、死亡登记等，以及各种关项的统计分析报表（如：各年龄组儿童人数、儿童死亡情况分析、婴儿喂养情况分析、儿童保健服务统计、儿童营养评价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109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医保业务协同DIP平台</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通过与医保机构的信息交换和共享，为职工医保和城乡居民医保提供异地转诊、异地就医结算服务。</w:t>
            </w:r>
          </w:p>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包括医保人员本地医院转诊证明、本地医院出院证明、参保证明等，为参保人员转诊到异地接受治疗、异地医保费用直付提供结算依据。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医共体便民惠民服务</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微信公众号</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建立微信公众号，提供居民就诊交流的一个平台，患者及其家属可以关注医院公众账号，在这个平台上通过服务窗查看感兴趣的信息，比如预约挂号医生介绍、科室介绍等信息，也可以增加报告查询等模块，避免患者来回在医院和住处奔波。能够有效解决患者挂号难、排队累、就医不方便等一系列难题。进一步优化了患者的就医体验。适时的推送消息，也同时增添了一扇医院展示自身形象的窗口，同时可以为医院提供真实、可靠的患者信息。</w:t>
            </w:r>
          </w:p>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通过微信公众平台即可完成挂号、缴费、查阅检查检验报告单等一系列操作，节省患者挂号、缴费等的排队时间，有效缓解“三长一短”的现象。系统提供：卫生资讯、医生排班查询、预约挂号、缴费、费用查询、检查检验报告查看、体检报告查看、每日清单查询、候诊查询、门诊签到、医院介绍、满意度调查、即时查（床位、药品价格、诊疗项目价格）等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便民惠民服务</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电子健康卡服务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numPr>
                <w:ilvl w:val="3"/>
                <w:numId w:val="0"/>
              </w:numPr>
              <w:spacing w:before="60" w:after="60"/>
              <w:ind w:firstLine="480"/>
              <w:rPr>
                <w:rFonts w:ascii="宋体" w:hAnsi="宋体"/>
                <w:sz w:val="18"/>
                <w:szCs w:val="18"/>
                <w:highlight w:val="none"/>
              </w:rPr>
            </w:pPr>
            <w:r>
              <w:rPr>
                <w:rFonts w:ascii="宋体" w:hAnsi="宋体"/>
                <w:sz w:val="18"/>
                <w:szCs w:val="18"/>
                <w:highlight w:val="none"/>
              </w:rPr>
              <w:t>建立荥阳市实名就医多卡关联</w:t>
            </w:r>
            <w:r>
              <w:rPr>
                <w:rFonts w:hint="eastAsia" w:ascii="宋体" w:hAnsi="宋体"/>
                <w:sz w:val="18"/>
                <w:szCs w:val="18"/>
                <w:highlight w:val="none"/>
              </w:rPr>
              <w:t>标准</w:t>
            </w:r>
            <w:r>
              <w:rPr>
                <w:rFonts w:ascii="宋体" w:hAnsi="宋体"/>
                <w:sz w:val="18"/>
                <w:szCs w:val="18"/>
                <w:highlight w:val="none"/>
              </w:rPr>
              <w:t>，在系统后台建立居民身份标识的唯一映射关系表，将居民个人基本信息与居民身份证号、社保卡卡号、电子健康卡卡号进行关联，居民就诊时，持身份证或医保卡或电子健康卡，均能实现实名制就医，保障居民就诊信息在平台端的有效分拣归集。</w:t>
            </w:r>
          </w:p>
          <w:p>
            <w:pPr>
              <w:numPr>
                <w:ilvl w:val="3"/>
                <w:numId w:val="0"/>
              </w:numPr>
              <w:spacing w:before="60" w:after="60"/>
              <w:ind w:firstLine="480"/>
              <w:rPr>
                <w:rFonts w:ascii="宋体" w:hAnsi="宋体"/>
                <w:b/>
                <w:bCs/>
                <w:sz w:val="18"/>
                <w:szCs w:val="18"/>
                <w:highlight w:val="none"/>
              </w:rPr>
            </w:pPr>
            <w:r>
              <w:rPr>
                <w:rFonts w:ascii="宋体" w:hAnsi="宋体"/>
                <w:b/>
                <w:bCs/>
                <w:sz w:val="18"/>
                <w:szCs w:val="18"/>
                <w:highlight w:val="none"/>
              </w:rPr>
              <w:t>健康卡一卡通就医场景应用</w:t>
            </w:r>
          </w:p>
          <w:p>
            <w:pPr>
              <w:numPr>
                <w:ilvl w:val="3"/>
                <w:numId w:val="0"/>
              </w:numPr>
              <w:spacing w:before="60" w:after="60"/>
              <w:ind w:firstLine="480"/>
              <w:rPr>
                <w:rFonts w:ascii="宋体" w:hAnsi="宋体"/>
                <w:sz w:val="18"/>
                <w:szCs w:val="18"/>
                <w:highlight w:val="none"/>
              </w:rPr>
            </w:pPr>
            <w:r>
              <w:rPr>
                <w:rFonts w:ascii="宋体" w:hAnsi="宋体"/>
                <w:sz w:val="18"/>
                <w:szCs w:val="18"/>
                <w:highlight w:val="none"/>
              </w:rPr>
              <w:t>健康卡扫码挂号</w:t>
            </w:r>
          </w:p>
          <w:p>
            <w:pPr>
              <w:numPr>
                <w:ilvl w:val="3"/>
                <w:numId w:val="0"/>
              </w:numPr>
              <w:spacing w:before="60" w:after="60"/>
              <w:ind w:firstLine="480"/>
              <w:rPr>
                <w:rFonts w:ascii="宋体" w:hAnsi="宋体"/>
                <w:sz w:val="18"/>
                <w:szCs w:val="18"/>
                <w:highlight w:val="none"/>
                <w:lang w:val="zh-CN"/>
              </w:rPr>
            </w:pPr>
            <w:r>
              <w:rPr>
                <w:rFonts w:ascii="宋体" w:hAnsi="宋体"/>
                <w:sz w:val="18"/>
                <w:szCs w:val="18"/>
                <w:highlight w:val="none"/>
                <w:lang w:val="zh-CN"/>
              </w:rPr>
              <w:t>患者只携带手机就诊，护士通过扫描健康卡条</w:t>
            </w:r>
            <w:r>
              <w:rPr>
                <w:rFonts w:hint="eastAsia" w:ascii="宋体" w:hAnsi="宋体"/>
                <w:sz w:val="18"/>
                <w:szCs w:val="18"/>
                <w:highlight w:val="none"/>
                <w:lang w:val="zh-CN"/>
              </w:rPr>
              <w:t>形</w:t>
            </w:r>
            <w:r>
              <w:rPr>
                <w:rFonts w:ascii="宋体" w:hAnsi="宋体"/>
                <w:sz w:val="18"/>
                <w:szCs w:val="18"/>
                <w:highlight w:val="none"/>
                <w:lang w:val="zh-CN"/>
              </w:rPr>
              <w:t>码或者二维码实现患者信息识别并挂号。</w:t>
            </w:r>
          </w:p>
          <w:p>
            <w:pPr>
              <w:numPr>
                <w:ilvl w:val="3"/>
                <w:numId w:val="0"/>
              </w:numPr>
              <w:spacing w:before="60" w:after="60"/>
              <w:ind w:firstLine="480"/>
              <w:rPr>
                <w:rFonts w:ascii="宋体" w:hAnsi="宋体"/>
                <w:sz w:val="18"/>
                <w:szCs w:val="18"/>
                <w:highlight w:val="none"/>
              </w:rPr>
            </w:pPr>
            <w:r>
              <w:rPr>
                <w:rFonts w:ascii="宋体" w:hAnsi="宋体"/>
                <w:sz w:val="18"/>
                <w:szCs w:val="18"/>
                <w:highlight w:val="none"/>
              </w:rPr>
              <w:t>健康卡扫码检查、取药</w:t>
            </w:r>
          </w:p>
          <w:p>
            <w:pPr>
              <w:numPr>
                <w:ilvl w:val="3"/>
                <w:numId w:val="0"/>
              </w:numPr>
              <w:spacing w:before="60" w:after="60"/>
              <w:ind w:firstLine="480"/>
              <w:rPr>
                <w:rFonts w:ascii="宋体" w:hAnsi="宋体"/>
                <w:sz w:val="18"/>
                <w:szCs w:val="18"/>
                <w:highlight w:val="none"/>
                <w:lang w:val="zh-CN"/>
              </w:rPr>
            </w:pPr>
            <w:r>
              <w:rPr>
                <w:rFonts w:hint="eastAsia" w:ascii="宋体" w:hAnsi="宋体"/>
                <w:sz w:val="18"/>
                <w:szCs w:val="18"/>
                <w:highlight w:val="none"/>
                <w:lang w:val="zh-CN"/>
              </w:rPr>
              <w:t>居民门诊检查、药品、检验等费用，使用手机</w:t>
            </w:r>
            <w:r>
              <w:rPr>
                <w:rFonts w:ascii="宋体" w:hAnsi="宋体"/>
                <w:sz w:val="18"/>
                <w:szCs w:val="18"/>
                <w:highlight w:val="none"/>
                <w:lang w:val="zh-CN"/>
              </w:rPr>
              <w:t>APP掌上支付以后</w:t>
            </w:r>
            <w:r>
              <w:rPr>
                <w:rFonts w:hint="eastAsia" w:ascii="宋体" w:hAnsi="宋体"/>
                <w:sz w:val="18"/>
                <w:szCs w:val="18"/>
                <w:highlight w:val="none"/>
                <w:lang w:val="zh-CN"/>
              </w:rPr>
              <w:t>，在</w:t>
            </w:r>
            <w:r>
              <w:rPr>
                <w:rFonts w:ascii="宋体" w:hAnsi="宋体"/>
                <w:sz w:val="18"/>
                <w:szCs w:val="18"/>
                <w:highlight w:val="none"/>
                <w:lang w:val="zh-CN"/>
              </w:rPr>
              <w:t>药房、检验、检查科，工作人员通过扫描APP健康卡条线码或者二维码、识别患者身份等相关信息，进行后续化验和检查、取药等相关业务，从而代替了原先的纸质报核联，减少成本。</w:t>
            </w:r>
          </w:p>
          <w:p>
            <w:pPr>
              <w:numPr>
                <w:ilvl w:val="3"/>
                <w:numId w:val="0"/>
              </w:numPr>
              <w:spacing w:before="60" w:after="60"/>
              <w:ind w:firstLine="480"/>
              <w:rPr>
                <w:rFonts w:ascii="宋体" w:hAnsi="宋体"/>
                <w:sz w:val="18"/>
                <w:szCs w:val="18"/>
                <w:highlight w:val="none"/>
              </w:rPr>
            </w:pPr>
            <w:r>
              <w:rPr>
                <w:rFonts w:ascii="宋体" w:hAnsi="宋体"/>
                <w:sz w:val="18"/>
                <w:szCs w:val="18"/>
                <w:highlight w:val="none"/>
              </w:rPr>
              <w:t>健康卡电子钱包诊间结算</w:t>
            </w:r>
          </w:p>
          <w:p>
            <w:pPr>
              <w:numPr>
                <w:ilvl w:val="3"/>
                <w:numId w:val="0"/>
              </w:numPr>
              <w:spacing w:before="60" w:after="60"/>
              <w:ind w:firstLine="480"/>
              <w:rPr>
                <w:rFonts w:ascii="宋体" w:hAnsi="宋体"/>
                <w:sz w:val="18"/>
                <w:szCs w:val="18"/>
                <w:highlight w:val="none"/>
                <w:lang w:val="zh-CN"/>
              </w:rPr>
            </w:pPr>
            <w:r>
              <w:rPr>
                <w:rFonts w:hint="eastAsia" w:ascii="宋体" w:hAnsi="宋体"/>
                <w:sz w:val="18"/>
                <w:szCs w:val="18"/>
                <w:highlight w:val="none"/>
                <w:lang w:val="zh-CN"/>
              </w:rPr>
              <w:t>诊间结算是指在医生工作站开单或开处方后，费用健康卡电子钱包中直接扣除。</w:t>
            </w:r>
          </w:p>
          <w:p>
            <w:pPr>
              <w:numPr>
                <w:ilvl w:val="3"/>
                <w:numId w:val="0"/>
              </w:numPr>
              <w:spacing w:before="60" w:after="60"/>
              <w:ind w:firstLine="480"/>
              <w:rPr>
                <w:rFonts w:ascii="宋体" w:hAnsi="宋体" w:cs="宋体"/>
                <w:bCs/>
                <w:kern w:val="0"/>
                <w:sz w:val="18"/>
                <w:szCs w:val="18"/>
                <w:highlight w:val="none"/>
                <w:lang w:bidi="ar"/>
              </w:rPr>
            </w:pPr>
            <w:r>
              <w:rPr>
                <w:rFonts w:ascii="宋体" w:hAnsi="宋体"/>
                <w:sz w:val="18"/>
                <w:szCs w:val="18"/>
                <w:highlight w:val="none"/>
                <w:lang w:val="zh-CN"/>
              </w:rPr>
              <w:t>居民在医院完成就诊之后，医生开设医嘱，如检验、检查、药品医嘱的开单操作，并询问病人电子钱包是否有余额，有则直接点击HIS“钱包结算”按钮，进行自费部分结算。如果患者电子钱包余额，则让患者去窗口缴费、自助机缴费、手机掌上结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预约服务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20"/>
              <w:rPr>
                <w:rFonts w:ascii="宋体" w:hAnsi="宋体" w:cs="宋体"/>
                <w:bCs/>
                <w:kern w:val="0"/>
                <w:sz w:val="18"/>
                <w:szCs w:val="18"/>
                <w:highlight w:val="none"/>
                <w:lang w:bidi="ar"/>
              </w:rPr>
            </w:pPr>
            <w:r>
              <w:rPr>
                <w:rFonts w:hint="eastAsia" w:asciiTheme="majorEastAsia" w:hAnsiTheme="majorEastAsia" w:eastAsiaTheme="majorEastAsia" w:cstheme="majorEastAsia"/>
                <w:sz w:val="18"/>
                <w:szCs w:val="18"/>
                <w:highlight w:val="none"/>
                <w:lang w:val="zh-CN"/>
              </w:rPr>
              <w:t>预约</w:t>
            </w:r>
            <w:r>
              <w:rPr>
                <w:rFonts w:hint="eastAsia" w:asciiTheme="majorEastAsia" w:hAnsiTheme="majorEastAsia" w:eastAsiaTheme="majorEastAsia" w:cstheme="majorEastAsia"/>
                <w:sz w:val="18"/>
                <w:szCs w:val="18"/>
                <w:highlight w:val="none"/>
              </w:rPr>
              <w:t>服务</w:t>
            </w:r>
            <w:r>
              <w:rPr>
                <w:rFonts w:hint="eastAsia" w:asciiTheme="majorEastAsia" w:hAnsiTheme="majorEastAsia" w:eastAsiaTheme="majorEastAsia" w:cstheme="majorEastAsia"/>
                <w:sz w:val="18"/>
                <w:szCs w:val="18"/>
                <w:highlight w:val="none"/>
                <w:lang w:val="zh-CN"/>
              </w:rPr>
              <w:t>是基于标准数据接口规范，各级医疗机构通过平台数据接口进行预约信息的交互，实现</w:t>
            </w:r>
            <w:r>
              <w:rPr>
                <w:rFonts w:hint="eastAsia" w:asciiTheme="majorEastAsia" w:hAnsiTheme="majorEastAsia" w:eastAsiaTheme="majorEastAsia" w:cstheme="majorEastAsia"/>
                <w:sz w:val="18"/>
                <w:szCs w:val="18"/>
                <w:highlight w:val="none"/>
              </w:rPr>
              <w:t>市域内</w:t>
            </w:r>
            <w:r>
              <w:rPr>
                <w:rFonts w:hint="eastAsia" w:asciiTheme="majorEastAsia" w:hAnsiTheme="majorEastAsia" w:eastAsiaTheme="majorEastAsia" w:cstheme="majorEastAsia"/>
                <w:sz w:val="18"/>
                <w:szCs w:val="18"/>
                <w:highlight w:val="none"/>
                <w:lang w:val="zh-CN"/>
              </w:rPr>
              <w:t>需要预约诊疗的患者，按医院、科室、医生、时间等查询条件选择适合自己的专家进行预约。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排队候诊</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Theme="majorEastAsia" w:hAnsiTheme="majorEastAsia" w:eastAsiaTheme="majorEastAsia" w:cstheme="majorEastAsia"/>
                <w:sz w:val="18"/>
                <w:szCs w:val="18"/>
                <w:highlight w:val="none"/>
              </w:rPr>
              <w:t>患者</w:t>
            </w:r>
            <w:r>
              <w:rPr>
                <w:rFonts w:hint="eastAsia" w:asciiTheme="majorEastAsia" w:hAnsiTheme="majorEastAsia" w:eastAsiaTheme="majorEastAsia" w:cstheme="majorEastAsia"/>
                <w:sz w:val="18"/>
                <w:szCs w:val="18"/>
                <w:highlight w:val="none"/>
                <w:lang w:val="zh-CN"/>
              </w:rPr>
              <w:t>可以选择在线挂号</w:t>
            </w:r>
            <w:r>
              <w:rPr>
                <w:rFonts w:hint="eastAsia" w:asciiTheme="majorEastAsia" w:hAnsiTheme="majorEastAsia" w:eastAsiaTheme="majorEastAsia" w:cstheme="majorEastAsia"/>
                <w:sz w:val="18"/>
                <w:szCs w:val="18"/>
                <w:highlight w:val="none"/>
              </w:rPr>
              <w:t>当天号源</w:t>
            </w:r>
            <w:r>
              <w:rPr>
                <w:rFonts w:hint="eastAsia" w:asciiTheme="majorEastAsia" w:hAnsiTheme="majorEastAsia" w:eastAsiaTheme="majorEastAsia" w:cstheme="majorEastAsia"/>
                <w:sz w:val="18"/>
                <w:szCs w:val="18"/>
                <w:highlight w:val="none"/>
                <w:lang w:val="zh-CN"/>
              </w:rPr>
              <w:t>，登记后，患者就已经在排队，患者不需在科室门诊现场排队等待。微信会即时提醒排队情况，只需要在临近自己排队号码时前往诊室就诊，减少患者跑腿的麻烦。减少就诊排队压力。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移动支付</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20"/>
              <w:rPr>
                <w:rFonts w:ascii="宋体" w:hAnsi="宋体" w:cs="宋体"/>
                <w:bCs/>
                <w:kern w:val="0"/>
                <w:sz w:val="18"/>
                <w:szCs w:val="18"/>
                <w:highlight w:val="none"/>
                <w:lang w:bidi="ar"/>
              </w:rPr>
            </w:pPr>
            <w:r>
              <w:rPr>
                <w:rFonts w:hint="eastAsia"/>
                <w:sz w:val="18"/>
                <w:szCs w:val="18"/>
                <w:highlight w:val="none"/>
              </w:rPr>
              <w:t>提供移动端预约挂号支付、门诊账单支付、住院费用预缴等，以及对移动端支付和医院HIS系统的对账。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报告查询</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11"/>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居民在医院完成就诊之后，医生对居民完成LIS、RIS、PACS的开单。</w:t>
            </w:r>
          </w:p>
          <w:p>
            <w:pPr>
              <w:pStyle w:val="111"/>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当出来检验及检查结果后，居民的微信可以收到完成的通知，方便病人继续完成就诊或复诊。微信报告查询模块实现居民通过查询检验、检查等报告数据。包括生化、肝功能检验，CT，MR检查等内容。</w:t>
            </w:r>
          </w:p>
          <w:p>
            <w:pPr>
              <w:pStyle w:val="107"/>
              <w:spacing w:line="360" w:lineRule="auto"/>
              <w:ind w:firstLine="36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检查报告查询</w:t>
            </w:r>
          </w:p>
          <w:p>
            <w:pPr>
              <w:pStyle w:val="111"/>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居民在医院完成检查，当检查单出报告以后，报告结果会及时推送到居民端微信，便于用户查看检查的报告信息，报告中能够展示检查的结果文字描述信息。</w:t>
            </w:r>
          </w:p>
          <w:p>
            <w:pPr>
              <w:pStyle w:val="107"/>
              <w:spacing w:line="360" w:lineRule="auto"/>
              <w:ind w:firstLine="36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检验报告查询</w:t>
            </w:r>
          </w:p>
          <w:p>
            <w:pPr>
              <w:widowControl/>
              <w:ind w:firstLine="360" w:firstLineChars="2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居民在医院完成检验，当检验单出报告以后，报告结果会及时推送到居民端微信，便于用户查看检验的报告信息，报告中能够展示检验每个指标的结果，以及与正常指标的对比情况。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健康档案服务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sz w:val="18"/>
                <w:szCs w:val="18"/>
                <w:highlight w:val="none"/>
              </w:rPr>
              <w:t>建立全生命周期居民电子健康档案，居民可便捷查阅本人在不同医疗机构的就诊信息，通过与电子健康档案动态关联，更好地进行自我健康管理。居民通过对本人电子健康档案的查看关注，提高居民疾病预防、健康意识，减少患病率，逐渐由治疗为主向预防转变。电子健康档案包含居民所有的公共卫生服务产生的记录以及医疗服务产生的医疗记录，其中包括个人基本信息、健康体检、慢病随访、妇幼保健、老年人管理记录、门诊病历、门诊处方、住院记录、出院记录、住院医嘱、检查检验记录、病案首页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健康咨询</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sz w:val="18"/>
                <w:szCs w:val="18"/>
                <w:highlight w:val="none"/>
                <w:lang w:val="zh-CN"/>
              </w:rPr>
            </w:pPr>
            <w:r>
              <w:rPr>
                <w:rFonts w:hint="eastAsia"/>
                <w:sz w:val="18"/>
                <w:szCs w:val="18"/>
                <w:highlight w:val="none"/>
                <w:lang w:val="zh-CN"/>
              </w:rPr>
              <w:t>居民可选择医生发起健康咨询服务，为方便医生了解病情，居民可对个人病情进行描述，也可上传病患部位、检查报告、其他病情资料等图片资料，供医生参考，医生</w:t>
            </w:r>
            <w:r>
              <w:rPr>
                <w:rFonts w:hint="eastAsia"/>
                <w:sz w:val="18"/>
                <w:szCs w:val="18"/>
                <w:highlight w:val="none"/>
              </w:rPr>
              <w:t>可</w:t>
            </w:r>
            <w:r>
              <w:rPr>
                <w:rFonts w:hint="eastAsia"/>
                <w:sz w:val="18"/>
                <w:szCs w:val="18"/>
                <w:highlight w:val="none"/>
                <w:lang w:val="zh-CN"/>
              </w:rPr>
              <w:t>与居民进行咨询互动，为居民答疑解惑。</w:t>
            </w:r>
          </w:p>
          <w:p>
            <w:pPr>
              <w:ind w:firstLine="450" w:firstLineChars="250"/>
              <w:rPr>
                <w:sz w:val="18"/>
                <w:szCs w:val="18"/>
                <w:highlight w:val="none"/>
                <w:lang w:val="zh-CN"/>
              </w:rPr>
            </w:pPr>
            <w:r>
              <w:rPr>
                <w:rFonts w:hint="eastAsia"/>
                <w:sz w:val="18"/>
                <w:szCs w:val="18"/>
                <w:highlight w:val="none"/>
                <w:lang w:val="zh-CN"/>
              </w:rPr>
              <w:t>图文咨询</w:t>
            </w:r>
          </w:p>
          <w:p>
            <w:pPr>
              <w:ind w:firstLine="450" w:firstLineChars="250"/>
              <w:rPr>
                <w:sz w:val="18"/>
                <w:szCs w:val="18"/>
                <w:highlight w:val="none"/>
                <w:lang w:val="zh-CN"/>
              </w:rPr>
            </w:pPr>
            <w:r>
              <w:rPr>
                <w:rFonts w:hint="eastAsia"/>
                <w:sz w:val="18"/>
                <w:szCs w:val="18"/>
                <w:highlight w:val="none"/>
                <w:lang w:val="zh-CN"/>
              </w:rPr>
              <w:t>患者可向医生发起图文咨询，支持拍照上传病历资料。患者可选择医生（优先推荐签约医生）、预约时间向医生发起咨询。为方便医生了解病情，居民可对个人病情进行描述，也可上传病患部位、检查报告、其他病情资料等图片病历资料，且上传的病历资料图片能按时间、分类自动关联到患者的电子病历中，医生可查看患者的电子病历。</w:t>
            </w:r>
          </w:p>
          <w:p>
            <w:pPr>
              <w:ind w:firstLine="450" w:firstLineChars="250"/>
              <w:rPr>
                <w:sz w:val="18"/>
                <w:szCs w:val="18"/>
                <w:highlight w:val="none"/>
                <w:lang w:val="zh-CN"/>
              </w:rPr>
            </w:pPr>
            <w:r>
              <w:rPr>
                <w:rFonts w:hint="eastAsia"/>
                <w:sz w:val="18"/>
                <w:szCs w:val="18"/>
                <w:highlight w:val="none"/>
                <w:lang w:val="zh-CN"/>
              </w:rPr>
              <w:t>电话咨询</w:t>
            </w:r>
          </w:p>
          <w:p>
            <w:pPr>
              <w:ind w:firstLine="450" w:firstLineChars="250"/>
              <w:rPr>
                <w:rFonts w:ascii="宋体" w:hAnsi="宋体" w:cs="宋体"/>
                <w:bCs/>
                <w:kern w:val="0"/>
                <w:sz w:val="18"/>
                <w:szCs w:val="18"/>
                <w:highlight w:val="none"/>
                <w:lang w:bidi="ar"/>
              </w:rPr>
            </w:pPr>
            <w:r>
              <w:rPr>
                <w:rFonts w:hint="eastAsia"/>
                <w:sz w:val="18"/>
                <w:szCs w:val="18"/>
                <w:highlight w:val="none"/>
                <w:lang w:val="zh-CN"/>
              </w:rPr>
              <w:t>患者可通过电话，预约时间向医生发起咨询。患者可选择医生（优先推荐签约医生）、预约时间发起咨询。医生根据患者病情情况，在预约时间内向患者致电，为患者提供咨询服务。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健康评估</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依据健康评估模型对收集到的居民数据（诊疗数据、疾病管理数据、妇幼保健数据、健康体检数据等）进行健康评估以及相关危险因素分析，与个人健康管理互动。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119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健康教育服务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50" w:firstLineChars="250"/>
              <w:rPr>
                <w:rFonts w:asciiTheme="minorEastAsia" w:hAnsiTheme="minorEastAsia" w:eastAsiaTheme="minorEastAsia" w:cstheme="minorEastAsia"/>
                <w:sz w:val="18"/>
                <w:szCs w:val="18"/>
                <w:highlight w:val="none"/>
                <w:shd w:val="clear" w:color="auto" w:fill="FFFFFF"/>
                <w:lang w:val="zh-CN"/>
              </w:rPr>
            </w:pPr>
            <w:r>
              <w:rPr>
                <w:rFonts w:hint="eastAsia" w:asciiTheme="minorEastAsia" w:hAnsiTheme="minorEastAsia" w:eastAsiaTheme="minorEastAsia" w:cstheme="minorEastAsia"/>
                <w:sz w:val="18"/>
                <w:szCs w:val="18"/>
                <w:highlight w:val="none"/>
                <w:shd w:val="clear" w:color="auto" w:fill="FFFFFF"/>
                <w:lang w:val="zh-CN"/>
              </w:rPr>
              <w:t xml:space="preserve">在医共体共享数据资源中心和医共体业务协同集成平台基础上，利用互联网技术提供健康科普知识精准教育，为辖区居民提供健康教育服务，提高居民自我健康管理能力和健康素养。包括普及性教育和针对特定目标人群（如慢病、精神疾病、传染病、妇女儿童、老年人等）的精准教育，并对教育效果做出评价。 </w:t>
            </w:r>
          </w:p>
          <w:p>
            <w:pPr>
              <w:ind w:firstLine="450" w:firstLineChars="25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shd w:val="clear" w:color="auto" w:fill="FFFFFF"/>
                <w:lang w:val="zh-CN"/>
              </w:rPr>
              <w:t>主要功能包括：资源库管理、信息推送服务、健康教育服务登记、健康教育评价等。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“互联网+”患者服务</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在线咨询</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11"/>
              <w:ind w:firstLine="480"/>
              <w:rPr>
                <w:rFonts w:asciiTheme="minorEastAsia" w:hAnsiTheme="minorEastAsia" w:eastAsiaTheme="minorEastAsia" w:cstheme="minorEastAsia"/>
                <w:kern w:val="2"/>
                <w:sz w:val="18"/>
                <w:szCs w:val="18"/>
                <w:highlight w:val="none"/>
                <w:shd w:val="clear" w:color="auto" w:fill="FFFFFF"/>
              </w:rPr>
            </w:pPr>
            <w:r>
              <w:rPr>
                <w:rFonts w:hint="eastAsia" w:asciiTheme="minorEastAsia" w:hAnsiTheme="minorEastAsia" w:eastAsiaTheme="minorEastAsia" w:cstheme="minorEastAsia"/>
                <w:kern w:val="2"/>
                <w:sz w:val="18"/>
                <w:szCs w:val="18"/>
                <w:highlight w:val="none"/>
                <w:shd w:val="clear" w:color="auto" w:fill="FFFFFF"/>
              </w:rPr>
              <w:t>以在线咨询服务为主，采取碎片化咨询模式，充分发挥医生的碎片化时间，为患者提供线上咨询服务，医生使用手机端即可满足患者的咨询需求，包括文字、语音及视频等多种方式。</w:t>
            </w:r>
          </w:p>
          <w:p>
            <w:pPr>
              <w:pStyle w:val="111"/>
              <w:ind w:firstLine="480"/>
              <w:rPr>
                <w:rFonts w:ascii="宋体" w:hAnsi="宋体" w:eastAsia="宋体" w:cs="宋体"/>
                <w:bCs/>
                <w:sz w:val="18"/>
                <w:szCs w:val="18"/>
                <w:highlight w:val="none"/>
                <w:lang w:bidi="ar"/>
              </w:rPr>
            </w:pPr>
            <w:r>
              <w:rPr>
                <w:rFonts w:hint="eastAsia" w:asciiTheme="minorEastAsia" w:hAnsiTheme="minorEastAsia" w:eastAsiaTheme="minorEastAsia" w:cstheme="minorEastAsia"/>
                <w:kern w:val="2"/>
                <w:sz w:val="18"/>
                <w:szCs w:val="18"/>
                <w:highlight w:val="none"/>
                <w:shd w:val="clear" w:color="auto" w:fill="FFFFFF"/>
              </w:rPr>
              <w:t>在线医生可调取居民的健康档案，查看居民以往的就诊记录、检查检验结果、体检记录等。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智能导诊</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实现“挂号、就诊指引、楼层指引、缴费、检验检查注意事项、检查检验报告查询、预缴住院押金”等从门诊到住院、从信息流到资金流、从医疗到健康的全流程导诊。方便患者在就医过程中更加快速的看病，节约患者的时间；并且能减轻医院办卡缴费窗口的压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智能问答</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shd w:val="clear" w:color="auto" w:fill="FFFFFF"/>
              </w:rPr>
              <w:t>通过结合人工智能、智能语义及大数据等多种先进技术，实现与居民深度对话，为居民尤其是慢病人群</w:t>
            </w:r>
            <w:r>
              <w:rPr>
                <w:rFonts w:hint="eastAsia" w:asciiTheme="minorEastAsia" w:hAnsiTheme="minorEastAsia" w:cstheme="minorEastAsia"/>
                <w:sz w:val="18"/>
                <w:szCs w:val="18"/>
                <w:highlight w:val="none"/>
                <w:shd w:val="clear" w:color="auto" w:fill="FFFFFF"/>
              </w:rPr>
              <w:t>提供</w:t>
            </w:r>
            <w:r>
              <w:rPr>
                <w:rFonts w:hint="eastAsia" w:asciiTheme="minorEastAsia" w:hAnsiTheme="minorEastAsia" w:eastAsiaTheme="minorEastAsia" w:cstheme="minorEastAsia"/>
                <w:sz w:val="18"/>
                <w:szCs w:val="18"/>
                <w:highlight w:val="none"/>
                <w:shd w:val="clear" w:color="auto" w:fill="FFFFFF"/>
              </w:rPr>
              <w:t>诊前信息收集、分诊、健康知识科普、用药指导及心理疏导等服务。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病人随访</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病人出院后一段时间内，由主管医师与社区全科医生协同对患者提供随访服务。服务包括：随访规则管理、随访方案制定、随访信息记录、复查情况记录、随访结果分析与推送。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健康宣教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为居民提供自我保健相关的信息，如，根据季节、天气变化等提供疾病预防相关提醒信息；针对孕妇、老人、儿童等特殊人群提供医疗卫生保健知识；针对高血压、糖尿病等慢性病患者提供健康行为、饮食运动等指导信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支持医生发布自己的科普宣教内容，实现图文、音频及视频等多种模式，患者也可以按个人偏好对医生进行打赏、收藏。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健康管理服务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numPr>
                <w:ilvl w:val="3"/>
                <w:numId w:val="0"/>
              </w:numPr>
              <w:tabs>
                <w:tab w:val="left" w:pos="0"/>
              </w:tabs>
              <w:ind w:firstLine="360" w:firstLineChars="200"/>
              <w:rPr>
                <w:rFonts w:asciiTheme="minorEastAsia" w:hAnsiTheme="minorEastAsia" w:eastAsiaTheme="minorEastAsia" w:cstheme="minorEastAsia"/>
                <w:sz w:val="18"/>
                <w:szCs w:val="18"/>
                <w:highlight w:val="none"/>
              </w:rPr>
            </w:pPr>
            <w:bookmarkStart w:id="271" w:name="_Toc15232"/>
            <w:bookmarkStart w:id="272" w:name="_Toc30099"/>
            <w:r>
              <w:rPr>
                <w:rFonts w:hint="eastAsia" w:asciiTheme="minorEastAsia" w:hAnsiTheme="minorEastAsia" w:eastAsiaTheme="minorEastAsia" w:cstheme="minorEastAsia"/>
                <w:sz w:val="18"/>
                <w:szCs w:val="18"/>
                <w:highlight w:val="none"/>
              </w:rPr>
              <w:t>健康档案查询</w:t>
            </w:r>
            <w:bookmarkEnd w:id="271"/>
            <w:bookmarkEnd w:id="272"/>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规范使用居民电子健康卡，通过互联网、自助服务等多种途径，便捷查询本人在不同医疗机构的就诊信息、检验检查结果、公共卫生服务记录等。通过与电子健康档案动态关联，更好地进行自我健康管理。</w:t>
            </w:r>
          </w:p>
          <w:p>
            <w:pPr>
              <w:numPr>
                <w:ilvl w:val="3"/>
                <w:numId w:val="0"/>
              </w:numPr>
              <w:tabs>
                <w:tab w:val="left" w:pos="0"/>
              </w:tabs>
              <w:ind w:firstLine="360" w:firstLineChars="200"/>
              <w:rPr>
                <w:rFonts w:asciiTheme="minorEastAsia" w:hAnsiTheme="minorEastAsia" w:eastAsiaTheme="minorEastAsia" w:cstheme="minorEastAsia"/>
                <w:sz w:val="18"/>
                <w:szCs w:val="18"/>
                <w:highlight w:val="none"/>
              </w:rPr>
            </w:pPr>
            <w:bookmarkStart w:id="273" w:name="_Toc16984"/>
            <w:bookmarkStart w:id="274" w:name="_Toc24303"/>
            <w:r>
              <w:rPr>
                <w:rFonts w:hint="eastAsia" w:asciiTheme="minorEastAsia" w:hAnsiTheme="minorEastAsia" w:eastAsiaTheme="minorEastAsia" w:cstheme="minorEastAsia"/>
                <w:sz w:val="18"/>
                <w:szCs w:val="18"/>
                <w:highlight w:val="none"/>
              </w:rPr>
              <w:t>健康评估</w:t>
            </w:r>
            <w:bookmarkEnd w:id="273"/>
            <w:bookmarkEnd w:id="274"/>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依据健康评估模型对收集到的居民数据（诊疗数据、疾病管理数据、妇幼保健数据、健康体检数据等）进行健康评估以及相关危险因素分析，与个人健康管理互动。</w:t>
            </w:r>
          </w:p>
          <w:p>
            <w:pPr>
              <w:numPr>
                <w:ilvl w:val="3"/>
                <w:numId w:val="0"/>
              </w:numPr>
              <w:tabs>
                <w:tab w:val="left" w:pos="0"/>
              </w:tabs>
              <w:ind w:firstLine="360" w:firstLineChars="200"/>
              <w:rPr>
                <w:rFonts w:asciiTheme="minorEastAsia" w:hAnsiTheme="minorEastAsia" w:eastAsiaTheme="minorEastAsia" w:cstheme="minorEastAsia"/>
                <w:sz w:val="18"/>
                <w:szCs w:val="18"/>
                <w:highlight w:val="none"/>
              </w:rPr>
            </w:pPr>
            <w:bookmarkStart w:id="275" w:name="_Toc23313"/>
            <w:bookmarkStart w:id="276" w:name="_Toc3389"/>
            <w:r>
              <w:rPr>
                <w:rFonts w:hint="eastAsia" w:asciiTheme="minorEastAsia" w:hAnsiTheme="minorEastAsia" w:eastAsiaTheme="minorEastAsia" w:cstheme="minorEastAsia"/>
                <w:sz w:val="18"/>
                <w:szCs w:val="18"/>
                <w:highlight w:val="none"/>
              </w:rPr>
              <w:t>健康教育咨询</w:t>
            </w:r>
            <w:bookmarkEnd w:id="275"/>
            <w:bookmarkEnd w:id="276"/>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为辖区居民提供健康教育服务，包括普及性教育和针对特定目标人群（如慢性病、精神疾病、传染病、妇女儿童、老年人等）的精准教育，并对教育效果做出评价。提供防治慢性病、孕宝育儿、轻松减肥、四季养生和两性话题五大类的健康知识。通过公众号、网站、小程序、App 等多种形式为群众提供健康服务。</w:t>
            </w:r>
          </w:p>
          <w:p>
            <w:pPr>
              <w:numPr>
                <w:ilvl w:val="3"/>
                <w:numId w:val="0"/>
              </w:numPr>
              <w:tabs>
                <w:tab w:val="left" w:pos="0"/>
              </w:tabs>
              <w:ind w:firstLine="360" w:firstLineChars="200"/>
              <w:rPr>
                <w:rFonts w:asciiTheme="minorEastAsia" w:hAnsiTheme="minorEastAsia" w:eastAsiaTheme="minorEastAsia" w:cstheme="minorEastAsia"/>
                <w:sz w:val="18"/>
                <w:szCs w:val="18"/>
                <w:highlight w:val="none"/>
              </w:rPr>
            </w:pPr>
            <w:bookmarkStart w:id="277" w:name="_Toc10614"/>
            <w:r>
              <w:rPr>
                <w:rFonts w:hint="eastAsia" w:asciiTheme="minorEastAsia" w:hAnsiTheme="minorEastAsia" w:eastAsiaTheme="minorEastAsia" w:cstheme="minorEastAsia"/>
                <w:sz w:val="18"/>
                <w:szCs w:val="18"/>
                <w:highlight w:val="none"/>
              </w:rPr>
              <w:t>出院病人膳食指南</w:t>
            </w:r>
            <w:bookmarkEnd w:id="277"/>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为术后患者提供出院后的膳食指导，明确不同疾病、不同身体状况的饮食规则， 避免常见的饮食误区，提供有针对性的个性化膳食指导以及对特定人群开展指导。</w:t>
            </w:r>
          </w:p>
          <w:p>
            <w:pPr>
              <w:numPr>
                <w:ilvl w:val="3"/>
                <w:numId w:val="0"/>
              </w:numPr>
              <w:tabs>
                <w:tab w:val="left" w:pos="0"/>
              </w:tabs>
              <w:ind w:firstLine="360" w:firstLineChars="200"/>
              <w:rPr>
                <w:rFonts w:asciiTheme="minorEastAsia" w:hAnsiTheme="minorEastAsia" w:eastAsiaTheme="minorEastAsia" w:cstheme="minorEastAsia"/>
                <w:sz w:val="18"/>
                <w:szCs w:val="18"/>
                <w:highlight w:val="none"/>
              </w:rPr>
            </w:pPr>
            <w:bookmarkStart w:id="278" w:name="_Toc25995"/>
            <w:bookmarkStart w:id="279" w:name="_Toc28918"/>
            <w:r>
              <w:rPr>
                <w:rFonts w:hint="eastAsia" w:asciiTheme="minorEastAsia" w:hAnsiTheme="minorEastAsia" w:eastAsiaTheme="minorEastAsia" w:cstheme="minorEastAsia"/>
                <w:sz w:val="18"/>
                <w:szCs w:val="18"/>
                <w:highlight w:val="none"/>
              </w:rPr>
              <w:t>康复服务</w:t>
            </w:r>
            <w:bookmarkEnd w:id="278"/>
            <w:bookmarkEnd w:id="279"/>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病人出院后一段时间内，由主管医师与社区全科医生协同对患者</w:t>
            </w:r>
            <w:r>
              <w:rPr>
                <w:rFonts w:hint="eastAsia" w:asciiTheme="minorEastAsia" w:hAnsiTheme="minorEastAsia" w:cstheme="minorEastAsia"/>
                <w:sz w:val="18"/>
                <w:szCs w:val="18"/>
                <w:highlight w:val="none"/>
              </w:rPr>
              <w:t>提供</w:t>
            </w:r>
            <w:r>
              <w:rPr>
                <w:rFonts w:hint="eastAsia" w:asciiTheme="minorEastAsia" w:hAnsiTheme="minorEastAsia" w:eastAsiaTheme="minorEastAsia" w:cstheme="minorEastAsia"/>
                <w:sz w:val="18"/>
                <w:szCs w:val="18"/>
                <w:highlight w:val="none"/>
              </w:rPr>
              <w:t>随访服务。在基层完成机构内外康复患者的追踪、服务和管理，基层医生能够实时查看康复患者相关信息，实现相关信息的主动通知等。</w:t>
            </w:r>
          </w:p>
          <w:p>
            <w:pPr>
              <w:numPr>
                <w:ilvl w:val="3"/>
                <w:numId w:val="0"/>
              </w:numPr>
              <w:tabs>
                <w:tab w:val="left" w:pos="0"/>
              </w:tabs>
              <w:ind w:firstLine="360" w:firstLineChars="200"/>
              <w:rPr>
                <w:rFonts w:asciiTheme="minorEastAsia" w:hAnsiTheme="minorEastAsia" w:eastAsiaTheme="minorEastAsia" w:cstheme="minorEastAsia"/>
                <w:sz w:val="18"/>
                <w:szCs w:val="18"/>
                <w:highlight w:val="none"/>
              </w:rPr>
            </w:pPr>
            <w:bookmarkStart w:id="280" w:name="_Toc15570"/>
            <w:bookmarkStart w:id="281" w:name="_Toc18244"/>
            <w:r>
              <w:rPr>
                <w:rFonts w:hint="eastAsia" w:asciiTheme="minorEastAsia" w:hAnsiTheme="minorEastAsia" w:eastAsiaTheme="minorEastAsia" w:cstheme="minorEastAsia"/>
                <w:sz w:val="18"/>
                <w:szCs w:val="18"/>
                <w:highlight w:val="none"/>
              </w:rPr>
              <w:t>自我保健服务</w:t>
            </w:r>
            <w:bookmarkEnd w:id="280"/>
            <w:bookmarkEnd w:id="281"/>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居民可根据自身情况关注健康指标（包含身高、体重、血糖、血压等），并通过手动录入的方式记录健康指标的数值，让居民能更清晰地掌握身体各项健康指标的变化情况，并给出适当的健康建议。</w:t>
            </w:r>
          </w:p>
          <w:p>
            <w:pPr>
              <w:numPr>
                <w:ilvl w:val="3"/>
                <w:numId w:val="0"/>
              </w:numPr>
              <w:tabs>
                <w:tab w:val="left" w:pos="0"/>
              </w:tabs>
              <w:ind w:firstLine="360" w:firstLineChars="200"/>
              <w:rPr>
                <w:rFonts w:asciiTheme="minorEastAsia" w:hAnsiTheme="minorEastAsia" w:eastAsiaTheme="minorEastAsia" w:cstheme="minorEastAsia"/>
                <w:sz w:val="18"/>
                <w:szCs w:val="18"/>
                <w:highlight w:val="none"/>
              </w:rPr>
            </w:pPr>
            <w:bookmarkStart w:id="282" w:name="_Toc21642"/>
            <w:bookmarkStart w:id="283" w:name="_Toc18347"/>
            <w:r>
              <w:rPr>
                <w:rFonts w:hint="eastAsia" w:asciiTheme="minorEastAsia" w:hAnsiTheme="minorEastAsia" w:eastAsiaTheme="minorEastAsia" w:cstheme="minorEastAsia"/>
                <w:sz w:val="18"/>
                <w:szCs w:val="18"/>
                <w:highlight w:val="none"/>
              </w:rPr>
              <w:t>家庭健康管理</w:t>
            </w:r>
            <w:bookmarkEnd w:id="282"/>
            <w:bookmarkEnd w:id="283"/>
          </w:p>
          <w:p>
            <w:pPr>
              <w:ind w:firstLine="480"/>
              <w:rPr>
                <w:rFonts w:ascii="宋体" w:hAnsi="宋体" w:cs="宋体"/>
                <w:bCs/>
                <w:kern w:val="0"/>
                <w:sz w:val="18"/>
                <w:szCs w:val="18"/>
                <w:highlight w:val="none"/>
                <w:lang w:bidi="ar"/>
              </w:rPr>
            </w:pPr>
            <w:r>
              <w:rPr>
                <w:rFonts w:hint="eastAsia" w:asciiTheme="minorEastAsia" w:hAnsiTheme="minorEastAsia" w:cstheme="minorEastAsia"/>
                <w:sz w:val="18"/>
                <w:szCs w:val="18"/>
                <w:highlight w:val="none"/>
              </w:rPr>
              <w:t>家人</w:t>
            </w:r>
            <w:r>
              <w:rPr>
                <w:rFonts w:hint="eastAsia" w:asciiTheme="minorEastAsia" w:hAnsiTheme="minorEastAsia" w:eastAsiaTheme="minorEastAsia" w:cstheme="minorEastAsia"/>
                <w:sz w:val="18"/>
                <w:szCs w:val="18"/>
                <w:highlight w:val="none"/>
              </w:rPr>
              <w:t>成员可以通过订阅家人的主要健康问题或其他疾病的健康指标变化来关注家人的健康。根据健康档案指标关注配置，以及家人健康指标预定情况进行家人健康管理。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中医体质辨识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提供人体体质情况辨识，通过体质情况问答选择题目进行体质情况测评结果。提供包含方药、饮食、运动建议等综合养生方案，包括当前病人基本信息、当前病人体质辨识评分、当前病人体质辨识结果、中医体质调理原则介绍、代表方药介绍和日常调理建议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用药服务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面向居民和社区医生提供合理用药与安全用药知识查询服务，为县域百姓提供用药咨询及处方流转服务。针对艾滋病、结核病、高血压、糖尿病、精神疾病等需要长期服药的疾病，面向妇女、儿童、老年人等特定人群提供规范用药提醒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满意度评价</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实现医院对就诊病人的满意度调查功能，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1.支持满意度调查表可内嵌至微信公众平台。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2.支持满意度评价模型，实现可持续改进的满意度评价。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3.支持自动生成满意度分析报告。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129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智能设备数据采集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通过智能设备对互联网+服务数据进行实时采集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公共卫生服务</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慢病服务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依托区域全民健康信息平台，实现基本公共卫生、临床医疗与慢性病信息联通联动，在各级医疗卫生机构发现的高血压、糖尿病等慢性病患者及时推送的所在辖区的基层医生信息系统内，基层医生依据推送信息，能够及时将患者纳入管理，并及时开展随访服务、指导用药、健康教育宣传等防治工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妇幼健康服务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依托医共体信息平台，实现公共卫生信息系统与全员人口数据库、居民电子健康档案的联通共享，推进母子健康手册信息化，为妇女儿童提供生育全程医疗保健服务。为人流或分娩后服务对象提供安全避孕咨询与指导。针对已生育或未生育人群提供个性化的技术指导与关怀，增强其保健意识和安全避孕能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免疫接种服务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asciiTheme="minorEastAsia" w:hAnsiTheme="minorEastAsia" w:eastAsiaTheme="minorEastAsia" w:cstheme="minorEastAsia"/>
                <w:sz w:val="18"/>
                <w:szCs w:val="18"/>
                <w:highlight w:val="none"/>
              </w:rPr>
              <w:t>对接</w:t>
            </w:r>
            <w:r>
              <w:rPr>
                <w:rFonts w:hint="eastAsia" w:asciiTheme="minorEastAsia" w:hAnsiTheme="minorEastAsia" w:eastAsiaTheme="minorEastAsia" w:cstheme="minorEastAsia"/>
                <w:sz w:val="18"/>
                <w:szCs w:val="18"/>
                <w:highlight w:val="none"/>
              </w:rPr>
              <w:t>现有预防接种信息平台，通过免疫接种服务记录在区域内的共享和互认，为儿童提供跨定点机构的接种服务，加强免疫接种服务过程中的信息对称，为居民提供免疫接种服务提醒和相关知识，提供在线接种预约、接种提醒等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精神疾病管理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对接现有精神管理信息平台，面向居民通过门户网站、手机APP等多种途径，提供针对各种精神疾病的信息查询和信息推送服务。提供就诊记录信息、随访评估信息、健康体检信息、日常心理健康和护理知识等功能应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服务记录</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预约记录</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tabs>
                <w:tab w:val="left" w:pos="0"/>
                <w:tab w:val="left" w:pos="420"/>
              </w:tabs>
              <w:ind w:firstLine="360" w:firstLineChars="20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支持居民对微信端预约记录进行查询、详细信息的查看及取消。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就诊记录</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tabs>
                <w:tab w:val="left" w:pos="0"/>
                <w:tab w:val="left" w:pos="420"/>
              </w:tabs>
              <w:ind w:left="15" w:firstLine="478" w:firstLineChars="266"/>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支持居民对自己的就诊记录进行查询、详细信息的查看及取消。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消息管理</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操作提醒</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实现对微信端操作的记录，如预约成功、取消、支付等操作的相关消息的推送，同时系统将于预约日期提前推送消息提醒用户准时就诊，根据预约的信息情况将推送注意事项给用户。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资讯推送</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平台管理人员也可将健康保健信息、医疗相关新闻等消息推送给用户微信端。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电子处方流转</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1.在线开方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复诊患者问诊完成后，医生通过小程序可在线开具处方。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2.药师审方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医生开具处方后，审方药师会收到信息通知，审方药师通过微信小程序进行审方。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3.处方查询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审方通过后，药房/药店和患者可以查询到处方。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4.医保支付</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支持对接医保在线支付平台或医保电子凭证系统，患者线上支付自费部分、并可查看医保扣费明细和金额。</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5.药品配送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患者可以选择药品配送到家或自取。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139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居民健康视图</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监测整个地区居民健康动态，以图形方式直观的逐级展示区域、社区卫生服务中心、社区卫生服务站范围内居民总体健康状况、疾病流行态势、健康危险因素等情况。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医共体平台监管</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医共体平台监管</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基本公共卫生服务监管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针对国家基本公共卫生服务项目开展情况进行统一监管。包括居民电子健康档案建档率；基层医疗卫生服务机构提供的0-6岁以下儿童、孕产妇、65岁及以上老年人、高血压患者、Ⅱ型糖尿病患者、严重精神障碍患者、结核病患者的健康管理情况；健康教育、预防接种服务、传染病和突发公共卫生事件报告和处理、卫生监督协管、中医药健康管理的服务数量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利用医共体信息平台采集到的各类数据，特别是电子健康档案和电子病历的核心数据库，借助数据分析、综合展示工具等多种技术手段，实时、动态、多维度的分析、利用和展示卫生信息数据，为领导的管理、决策提供信息支撑。基本公共卫生服务包括：健康档案、慢性病管理、老年人健康管理、孕产妇保健、儿童保健、传染病等内容。</w:t>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主要功能如下：</w:t>
            </w:r>
          </w:p>
          <w:p>
            <w:pPr>
              <w:ind w:firstLine="482"/>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highlight w:val="none"/>
                <w14:textFill>
                  <w14:solidFill>
                    <w14:schemeClr w14:val="tx1"/>
                  </w14:solidFill>
                </w14:textFill>
              </w:rPr>
              <w:t>慢性病管理</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ab/>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统计内容主要包括：实现高血压的发病统计，规范管理，随访的统计分析。实现糖尿病的发病统计，规范管理，随访的统计分析。实现重性精神病的实现规范管理，随访的统计等关联分析。实现肿瘤的规范管理，随访的统计，发病类型，死亡等关联分析。</w:t>
            </w:r>
          </w:p>
          <w:p>
            <w:pPr>
              <w:ind w:firstLine="482"/>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highlight w:val="none"/>
                <w14:textFill>
                  <w14:solidFill>
                    <w14:schemeClr w14:val="tx1"/>
                  </w14:solidFill>
                </w14:textFill>
              </w:rPr>
              <w:t>老年人健康管理</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ab/>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统计内容主要包括：实现在册65岁以上的老年人管理率统计。实现65岁以上的老年人体格检查监管。实现65岁以上的老年人随访情况监管。</w:t>
            </w:r>
          </w:p>
          <w:p>
            <w:pPr>
              <w:ind w:firstLine="482"/>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highlight w:val="none"/>
                <w14:textFill>
                  <w14:solidFill>
                    <w14:schemeClr w14:val="tx1"/>
                  </w14:solidFill>
                </w14:textFill>
              </w:rPr>
              <w:t>孕产妇保健</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ab/>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统计内容主要包括：实现早孕孕妇建册情况分析。实现孕产妇建卡的分析。实现孕产妇建卡年龄段分析。实现高危孕产妇建卡情况分析。实现孕产妇梅毒感染情况分析。实现孕产妇死亡率分析。高危孕产妇死亡率分析。实现孕产妇产前检查率分析。实现产妇HIV检查情况统计。实现孕产妇产前HIV检查情况统计分析。实现孕产妇HIV阳性率的统计分析。实现孕产妇产前梅毒检查统计分析。</w:t>
            </w:r>
          </w:p>
          <w:p>
            <w:pPr>
              <w:ind w:firstLine="482"/>
              <w:rPr>
                <w:rFonts w:asciiTheme="minorEastAsia" w:hAnsiTheme="minorEastAsia" w:eastAsiaTheme="minorEastAsia" w:cstheme="minorEastAsia"/>
                <w:b/>
                <w:bCs/>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highlight w:val="none"/>
                <w14:textFill>
                  <w14:solidFill>
                    <w14:schemeClr w14:val="tx1"/>
                  </w14:solidFill>
                </w14:textFill>
              </w:rPr>
              <w:t>儿童保健</w:t>
            </w:r>
            <w:r>
              <w:rPr>
                <w:rFonts w:hint="eastAsia" w:asciiTheme="minorEastAsia" w:hAnsiTheme="minorEastAsia" w:eastAsiaTheme="minorEastAsia" w:cstheme="minorEastAsia"/>
                <w:b/>
                <w:bCs/>
                <w:color w:val="000000" w:themeColor="text1"/>
                <w:sz w:val="18"/>
                <w:szCs w:val="18"/>
                <w:highlight w:val="none"/>
                <w14:textFill>
                  <w14:solidFill>
                    <w14:schemeClr w14:val="tx1"/>
                  </w14:solidFill>
                </w14:textFill>
              </w:rPr>
              <w:tab/>
            </w:r>
          </w:p>
          <w:p>
            <w:pPr>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统计内容主要包括：实现新生儿疾病筛查率，实现新生儿听力筛查率，实现新生儿访视率，实现新生儿死亡率，实现出生缺陷发生率，实现体弱儿比例，实现新生儿死亡率。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医保资金运行监管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以病人利益为导向，综合运用信息技术、大数据、统计学、经济管理等手段，形成有效的医保质量监管体系，逐步引导医共体医生、医疗机构规范医疗服务行为，提高医疗服务质量，充分发挥医保资金 杠杆作用。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针对不同的付费方式(按项目付费、总额付费、病种付费、人均付费)提供了事前预测、事中控制、事后分析的全流程解决方案。</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通过本系统预置的规则定义、事前提醒系统、事中监控系统、内嵌的事后管控分析系统，将原始的分散的医保费用超标、核减等管理模式变成体系化的、闭环的管理，将院领导、医保办、科主任、医生四种角色的职责通过医保质量精细化管理软件进行明确定义、联通起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根据历史数据分析、筛选、决策，得出本年的监控目标，包括最低目标、期望目标、理想目标。由医保管理部门可以制定对应的控费规则，通过规则库、数据分析、数据检索引擎可以做事前控制医务人员的违规行为和提醒医务人员的可疑行为，事中医务人员和管理人员可以审核医疗过程费用合理性。事中管理人员还能监控医疗机构对医保政策执行情况，对违规行为做到及时纠正，减少医疗机构的经济损失；对可疑行为做有效及时的提醒，提高医疗机构的管理水平。事后的大数据分析，可以分析医疗机构、科室、医务人员、管理人员对医保政策的执行情况和效果。可以体现医疗机构的管理水平、可以作为绩效考核的依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定期对医共体内参保人员就诊分布情况和医共体基金流向进行监测分析并形成报表，对基金的使用提出合理化建议，提高医共体基金使用效率。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医疗业务监管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val="0"/>
                <w:color w:val="000000" w:themeColor="text1"/>
                <w:sz w:val="18"/>
                <w:szCs w:val="18"/>
                <w:highlight w:val="none"/>
                <w14:textFill>
                  <w14:solidFill>
                    <w14:schemeClr w14:val="tx1"/>
                  </w14:solidFill>
                </w14:textFill>
              </w:rPr>
              <w:t>医疗资源监管</w:t>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基于</w:t>
            </w:r>
            <w:r>
              <w:rPr>
                <w:rFonts w:hint="eastAsia" w:asciiTheme="majorEastAsia" w:hAnsiTheme="majorEastAsia" w:eastAsiaTheme="majorEastAsia" w:cstheme="majorEastAsia"/>
                <w:sz w:val="18"/>
                <w:szCs w:val="18"/>
                <w:highlight w:val="none"/>
              </w:rPr>
              <w:t>市</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域医共体管理平台，对医疗协作开展情况的数据进行挖掘分析，实现对医共体医疗资源分布、需求及使用情况等信息进行实时监控与跟踪，目的是了解医共体医疗协作业务开展的实际情况和发现主要问题，根据问题提出改进措施，合理布局调配资源，推动医疗协作更加深入顺畅的开展。可按照时间、医院、科室等多维度进行实时统计分析展示，支持相关指标数据下钻展现详细数据明细。</w:t>
            </w:r>
          </w:p>
          <w:p>
            <w:pPr>
              <w:pStyle w:val="5"/>
              <w:numPr>
                <w:ilvl w:val="3"/>
                <w:numId w:val="0"/>
              </w:numPr>
              <w:tabs>
                <w:tab w:val="left" w:pos="0"/>
              </w:tabs>
              <w:ind w:left="220" w:leftChars="105" w:firstLine="358" w:firstLineChars="199"/>
              <w:rPr>
                <w:rFonts w:asciiTheme="minorEastAsia" w:hAnsiTheme="minorEastAsia" w:eastAsiaTheme="minorEastAsia" w:cstheme="minorEastAsia"/>
                <w:b w:val="0"/>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18"/>
                <w:szCs w:val="18"/>
                <w:highlight w:val="none"/>
                <w14:textFill>
                  <w14:solidFill>
                    <w14:schemeClr w14:val="tx1"/>
                  </w14:solidFill>
                </w14:textFill>
              </w:rPr>
              <w:t>医疗行为监管</w:t>
            </w:r>
          </w:p>
          <w:p>
            <w:pPr>
              <w:pStyle w:val="5"/>
              <w:numPr>
                <w:ilvl w:val="3"/>
                <w:numId w:val="0"/>
              </w:numPr>
              <w:tabs>
                <w:tab w:val="left" w:pos="0"/>
              </w:tabs>
              <w:ind w:left="4" w:firstLine="543" w:firstLineChars="302"/>
              <w:rPr>
                <w:rFonts w:asciiTheme="minorEastAsia" w:hAnsiTheme="minorEastAsia" w:eastAsiaTheme="minorEastAsia" w:cstheme="minorEastAsia"/>
                <w:b w:val="0"/>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18"/>
                <w:szCs w:val="18"/>
                <w:highlight w:val="none"/>
                <w14:textFill>
                  <w14:solidFill>
                    <w14:schemeClr w14:val="tx1"/>
                  </w14:solidFill>
                </w14:textFill>
              </w:rPr>
              <w:t>对医疗机构、医师、护士等开展的诊疗行为和超出诊疗业务登记范围的行为进行监管。</w:t>
            </w:r>
          </w:p>
          <w:p>
            <w:pPr>
              <w:ind w:firstLine="480"/>
              <w:rPr>
                <w:rFonts w:asciiTheme="minorEastAsia" w:hAnsiTheme="minorEastAsia" w:eastAsiaTheme="minorEastAsia" w:cstheme="minorEastAsia"/>
                <w:color w:val="C0504D" w:themeColor="accent2"/>
                <w:sz w:val="18"/>
                <w:szCs w:val="18"/>
                <w:highlight w:val="none"/>
                <w14:textFill>
                  <w14:solidFill>
                    <w14:schemeClr w14:val="accent2"/>
                  </w14:solidFill>
                </w14:textFill>
              </w:rPr>
            </w:pPr>
            <w:r>
              <w:rPr>
                <w:rFonts w:hint="eastAsia" w:asciiTheme="minorEastAsia" w:hAnsiTheme="minorEastAsia" w:eastAsiaTheme="minorEastAsia" w:cstheme="minorEastAsia"/>
                <w:sz w:val="18"/>
                <w:szCs w:val="18"/>
                <w:highlight w:val="none"/>
              </w:rPr>
              <w:t>具体功能包括：建立医疗机构、执业医师、执业护士、药师、执业技师库、诊疗科目对应诊疗活动库，对平台注册的医疗机构进行比对和监管。</w:t>
            </w:r>
          </w:p>
          <w:p>
            <w:pPr>
              <w:pStyle w:val="5"/>
              <w:numPr>
                <w:ilvl w:val="3"/>
                <w:numId w:val="0"/>
              </w:numPr>
              <w:tabs>
                <w:tab w:val="left" w:pos="0"/>
              </w:tabs>
              <w:ind w:left="864"/>
              <w:rPr>
                <w:rFonts w:asciiTheme="minorEastAsia" w:hAnsiTheme="minorEastAsia" w:eastAsiaTheme="minorEastAsia" w:cstheme="minorEastAsia"/>
                <w:b w:val="0"/>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18"/>
                <w:szCs w:val="18"/>
                <w:highlight w:val="none"/>
                <w14:textFill>
                  <w14:solidFill>
                    <w14:schemeClr w14:val="tx1"/>
                  </w14:solidFill>
                </w14:textFill>
              </w:rPr>
              <w:t>医院运营情况监管</w:t>
            </w:r>
          </w:p>
          <w:p>
            <w:pPr>
              <w:pStyle w:val="111"/>
              <w:ind w:firstLine="480"/>
              <w:rPr>
                <w:rFonts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医院的整个医疗行为过程由众多不同的信息化系统完成，医院管理者无法通过具体的信息化系统了解医院当前整体运行的情况，通过平台抽取各个业务系统中的数据，集中进行数据的分析展示，让管理者能</w:t>
            </w:r>
            <w:r>
              <w:rPr>
                <w:rFonts w:hint="eastAsia" w:asciiTheme="minorEastAsia" w:hAnsiTheme="minorEastAsia" w:eastAsiaTheme="minorEastAsia" w:cstheme="minorEastAsia"/>
                <w:sz w:val="18"/>
                <w:szCs w:val="18"/>
                <w:highlight w:val="none"/>
              </w:rPr>
              <w:t>对各级医疗机构的运营情况进行全面监测与分析，提供日常管理数据支持。</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具体功能包括：建立全面数据分析支撑平台对数据进行统计分析:数据分析、多维分析、关联指标分析等，对医疗业务数据的多角度、多层次的深入的统计分析包括：门急诊、住院患者情况分析、平均住院日等医院运行状态分析。用药分析、手术分析、检验检查分析、治疗结果分析以及诊断符合情况分析等。</w:t>
            </w:r>
          </w:p>
          <w:p>
            <w:pPr>
              <w:pStyle w:val="5"/>
              <w:numPr>
                <w:ilvl w:val="3"/>
                <w:numId w:val="0"/>
              </w:numPr>
              <w:tabs>
                <w:tab w:val="left" w:pos="0"/>
              </w:tabs>
              <w:ind w:left="864"/>
              <w:rPr>
                <w:rFonts w:asciiTheme="minorEastAsia" w:hAnsiTheme="minorEastAsia" w:eastAsiaTheme="minorEastAsia" w:cstheme="minorEastAsia"/>
                <w:b w:val="0"/>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18"/>
                <w:szCs w:val="18"/>
                <w:highlight w:val="none"/>
                <w14:textFill>
                  <w14:solidFill>
                    <w14:schemeClr w14:val="tx1"/>
                  </w14:solidFill>
                </w14:textFill>
              </w:rPr>
              <w:t>预约挂号业务监管</w:t>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对与第三方机构合作从事预约挂号业务的医疗机构及其合作运营商、运行的预约挂号业务数据进行统一的监管。具体功能包括医疗机构备案、预约挂号运营公司备案、医院号源数据监测、预约挂号交易监测、预约挂号用户信息监测、推送的病历数据监测、预约服务的支付数据监测，预约黑名单监测、就诊评价监测。</w:t>
            </w:r>
          </w:p>
          <w:p>
            <w:pPr>
              <w:pStyle w:val="5"/>
              <w:numPr>
                <w:ilvl w:val="3"/>
                <w:numId w:val="0"/>
              </w:numPr>
              <w:tabs>
                <w:tab w:val="left" w:pos="0"/>
              </w:tabs>
              <w:ind w:left="864"/>
              <w:rPr>
                <w:rFonts w:asciiTheme="minorEastAsia" w:hAnsiTheme="minorEastAsia" w:eastAsiaTheme="minorEastAsia" w:cstheme="minorEastAsia"/>
                <w:b w:val="0"/>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18"/>
                <w:szCs w:val="18"/>
                <w:highlight w:val="none"/>
                <w14:textFill>
                  <w14:solidFill>
                    <w14:schemeClr w14:val="tx1"/>
                  </w14:solidFill>
                </w14:textFill>
              </w:rPr>
              <w:t>中医服务监管</w:t>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对中医药服务项目执行实行规范、透明、动态监管，有效控制，提高项目执行质量。包括中医医疗机构注册、中医药服务项目管理、中医药服务项目报表模板管理、中医药服务项目查询、中医药服务项目执行数据管理、中医药服务项目质量控制管理、中医药服务项目执行动态监管数据同步服务、中医药服务项目执行数据统计分析及挖掘。</w:t>
            </w:r>
          </w:p>
          <w:p>
            <w:pPr>
              <w:pStyle w:val="5"/>
              <w:numPr>
                <w:ilvl w:val="3"/>
                <w:numId w:val="0"/>
              </w:numPr>
              <w:tabs>
                <w:tab w:val="left" w:pos="0"/>
              </w:tabs>
              <w:ind w:left="864"/>
              <w:rPr>
                <w:rFonts w:asciiTheme="minorEastAsia" w:hAnsiTheme="minorEastAsia" w:eastAsiaTheme="minorEastAsia" w:cstheme="minorEastAsia"/>
                <w:b w:val="0"/>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18"/>
                <w:szCs w:val="18"/>
                <w:highlight w:val="none"/>
                <w14:textFill>
                  <w14:solidFill>
                    <w14:schemeClr w14:val="tx1"/>
                  </w14:solidFill>
                </w14:textFill>
              </w:rPr>
              <w:t>基本药物运行监管</w:t>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对医疗机构基本药物采购、配送、支付、价格、使用等各环节进行监管。开展基本药物临床综合评价。包括基本药物采购、配送、支付、报销、使用、价格等环节数据监测，基本药物临床使用安全性、有效性、合理性、可负担性、依从性等方面信息收集。</w:t>
            </w:r>
          </w:p>
          <w:p>
            <w:pPr>
              <w:pStyle w:val="5"/>
              <w:numPr>
                <w:ilvl w:val="3"/>
                <w:numId w:val="0"/>
              </w:numPr>
              <w:tabs>
                <w:tab w:val="left" w:pos="0"/>
              </w:tabs>
              <w:ind w:left="864"/>
              <w:rPr>
                <w:rFonts w:asciiTheme="minorEastAsia" w:hAnsiTheme="minorEastAsia" w:eastAsiaTheme="minorEastAsia" w:cstheme="minorEastAsia"/>
                <w:b w:val="0"/>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18"/>
                <w:szCs w:val="18"/>
                <w:highlight w:val="none"/>
                <w14:textFill>
                  <w14:solidFill>
                    <w14:schemeClr w14:val="tx1"/>
                  </w14:solidFill>
                </w14:textFill>
              </w:rPr>
              <w:t>合理用药业务监管</w:t>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收集医疗机构药物使用管理相关信息，系统记录患者临床诊断、处方医师、调剂审核等相关信息，实现处方规范管理。建立药事服务平台，发挥药师在处方审核、评估、调剂和指导合理用药等工作中的作用，为患者提供用药管理、咨询、随访等服务。</w:t>
            </w:r>
          </w:p>
          <w:p>
            <w:pPr>
              <w:pStyle w:val="5"/>
              <w:numPr>
                <w:ilvl w:val="3"/>
                <w:numId w:val="0"/>
              </w:numPr>
              <w:tabs>
                <w:tab w:val="left" w:pos="0"/>
              </w:tabs>
              <w:ind w:left="864"/>
              <w:rPr>
                <w:rFonts w:asciiTheme="minorEastAsia" w:hAnsiTheme="minorEastAsia" w:eastAsiaTheme="minorEastAsia" w:cstheme="minorEastAsia"/>
                <w:b w:val="0"/>
                <w:color w:val="000000" w:themeColor="text1"/>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color w:val="000000" w:themeColor="text1"/>
                <w:sz w:val="18"/>
                <w:szCs w:val="18"/>
                <w:highlight w:val="none"/>
                <w:shd w:val="clear" w:color="auto" w:fill="FFFFFF"/>
                <w14:textFill>
                  <w14:solidFill>
                    <w14:schemeClr w14:val="tx1"/>
                  </w14:solidFill>
                </w14:textFill>
              </w:rPr>
              <w:t>远程医疗业务监管</w:t>
            </w:r>
          </w:p>
          <w:p>
            <w:pPr>
              <w:ind w:firstLine="480"/>
              <w:rPr>
                <w:rFonts w:asciiTheme="minorEastAsia" w:hAnsiTheme="minorEastAsia" w:eastAsiaTheme="minorEastAsia" w:cstheme="minorEastAsia"/>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对各远程医疗服务中心、分中心以及会员医院、运营商的资质以及远程医疗业务进行统一的监管。包括远程医疗服务中心备案、远程医疗服务分中心备案、会员医院备案、远程医疗专家信息备案、远程医疗服务项目备案、会诊记录</w:t>
            </w:r>
            <w:r>
              <w:rPr>
                <w:rFonts w:hint="eastAsia" w:asciiTheme="minorEastAsia" w:hAnsiTheme="minorEastAsia" w:cstheme="minorEastAsia"/>
                <w:color w:val="000000" w:themeColor="text1"/>
                <w:sz w:val="18"/>
                <w:szCs w:val="18"/>
                <w:highlight w:val="none"/>
                <w14:textFill>
                  <w14:solidFill>
                    <w14:schemeClr w14:val="tx1"/>
                  </w14:solidFill>
                </w14:textFill>
              </w:rPr>
              <w:t>备</w:t>
            </w:r>
            <w:r>
              <w:rPr>
                <w:rFonts w:hint="eastAsia" w:asciiTheme="minorEastAsia" w:hAnsiTheme="minorEastAsia" w:eastAsiaTheme="minorEastAsia" w:cstheme="minorEastAsia"/>
                <w:color w:val="000000" w:themeColor="text1"/>
                <w:sz w:val="18"/>
                <w:szCs w:val="18"/>
                <w:highlight w:val="none"/>
                <w14:textFill>
                  <w14:solidFill>
                    <w14:schemeClr w14:val="tx1"/>
                  </w14:solidFill>
                </w14:textFill>
              </w:rPr>
              <w:t>案、远程费用结算信息监管、远程医疗服务质量监管、会诊业务综合统计分析。</w:t>
            </w:r>
          </w:p>
          <w:p>
            <w:pPr>
              <w:pStyle w:val="5"/>
              <w:numPr>
                <w:ilvl w:val="3"/>
                <w:numId w:val="0"/>
              </w:numPr>
              <w:tabs>
                <w:tab w:val="left" w:pos="0"/>
              </w:tabs>
              <w:ind w:left="864"/>
              <w:rPr>
                <w:rFonts w:asciiTheme="minorEastAsia" w:hAnsiTheme="minorEastAsia" w:eastAsiaTheme="minorEastAsia" w:cstheme="minorEastAsia"/>
                <w:b w:val="0"/>
                <w:color w:val="000000" w:themeColor="text1"/>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b w:val="0"/>
                <w:color w:val="000000" w:themeColor="text1"/>
                <w:sz w:val="18"/>
                <w:szCs w:val="18"/>
                <w:highlight w:val="none"/>
                <w:shd w:val="clear" w:color="auto" w:fill="FFFFFF"/>
                <w14:textFill>
                  <w14:solidFill>
                    <w14:schemeClr w14:val="tx1"/>
                  </w14:solidFill>
                </w14:textFill>
              </w:rPr>
              <w:t>家医签约监管</w:t>
            </w:r>
          </w:p>
          <w:p>
            <w:pPr>
              <w:pStyle w:val="111"/>
              <w:ind w:firstLine="480"/>
              <w:rPr>
                <w:rFonts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对家庭医生签约情况和服务质量进行监测，促进家庭医生签约服务制度健全，提高签约率，推动分级诊疗制度的完善，分析指标主要包括：</w:t>
            </w:r>
          </w:p>
          <w:p>
            <w:pPr>
              <w:pStyle w:val="111"/>
              <w:ind w:firstLine="480"/>
              <w:rPr>
                <w:rFonts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1) 全人群签约服务覆盖率；</w:t>
            </w:r>
          </w:p>
          <w:p>
            <w:pPr>
              <w:pStyle w:val="111"/>
              <w:ind w:firstLine="480"/>
              <w:rPr>
                <w:rFonts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2) 重点人群签约服务覆盖率；</w:t>
            </w:r>
          </w:p>
          <w:p>
            <w:pPr>
              <w:pStyle w:val="111"/>
              <w:ind w:firstLine="480"/>
              <w:rPr>
                <w:rFonts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3) 家庭医生签约医保基金金额；</w:t>
            </w:r>
          </w:p>
          <w:p>
            <w:pPr>
              <w:pStyle w:val="111"/>
              <w:ind w:firstLine="480"/>
              <w:rPr>
                <w:rFonts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4) 家庭医生签约财政投入金额；</w:t>
            </w:r>
          </w:p>
          <w:p>
            <w:pPr>
              <w:pStyle w:val="111"/>
              <w:ind w:firstLine="480"/>
              <w:rPr>
                <w:rFonts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5) 家庭医生签约公共卫生服务经费金额；</w:t>
            </w:r>
          </w:p>
          <w:p>
            <w:pPr>
              <w:pStyle w:val="111"/>
              <w:ind w:firstLine="480"/>
              <w:rPr>
                <w:rFonts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6) 家庭医生签约居民定点机构就诊率；签约率</w:t>
            </w:r>
          </w:p>
          <w:p>
            <w:pPr>
              <w:pStyle w:val="111"/>
              <w:ind w:firstLine="480"/>
              <w:rPr>
                <w:rFonts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7) 签约医生就诊率；</w:t>
            </w:r>
          </w:p>
          <w:p>
            <w:pPr>
              <w:pStyle w:val="111"/>
              <w:ind w:firstLine="480"/>
              <w:rPr>
                <w:rFonts w:ascii="宋体" w:hAnsi="宋体" w:eastAsia="宋体" w:cs="宋体"/>
                <w:bCs/>
                <w:sz w:val="18"/>
                <w:szCs w:val="18"/>
                <w:highlight w:val="none"/>
                <w:lang w:bidi="ar"/>
              </w:rPr>
            </w:pPr>
            <w:r>
              <w:rPr>
                <w:rFonts w:hint="eastAsia" w:asciiTheme="minorEastAsia" w:hAnsiTheme="minorEastAsia" w:eastAsiaTheme="minorEastAsia" w:cstheme="minorEastAsia"/>
                <w:color w:val="000000" w:themeColor="text1"/>
                <w:kern w:val="2"/>
                <w:sz w:val="18"/>
                <w:szCs w:val="18"/>
                <w:highlight w:val="none"/>
                <w:shd w:val="clear" w:color="auto" w:fill="FFFFFF"/>
                <w14:textFill>
                  <w14:solidFill>
                    <w14:schemeClr w14:val="tx1"/>
                  </w14:solidFill>
                </w14:textFill>
              </w:rPr>
              <w:t>8) 具有处方权的全科医生数。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卫生资源监管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20"/>
              <w:rPr>
                <w:sz w:val="18"/>
                <w:szCs w:val="18"/>
                <w:highlight w:val="none"/>
              </w:rPr>
            </w:pPr>
            <w:r>
              <w:rPr>
                <w:rFonts w:hint="eastAsia"/>
                <w:sz w:val="18"/>
                <w:szCs w:val="18"/>
                <w:highlight w:val="none"/>
              </w:rPr>
              <w:t>对医疗卫生机构、卫生人员、开放床位、卫生设施、卫生事业费等卫生服务资源进行统一监管。</w:t>
            </w:r>
          </w:p>
          <w:p>
            <w:pPr>
              <w:ind w:firstLine="420"/>
              <w:rPr>
                <w:rFonts w:ascii="宋体" w:hAnsi="宋体" w:cs="宋体"/>
                <w:bCs/>
                <w:kern w:val="0"/>
                <w:sz w:val="18"/>
                <w:szCs w:val="18"/>
                <w:highlight w:val="none"/>
                <w:lang w:bidi="ar"/>
              </w:rPr>
            </w:pPr>
            <w:r>
              <w:rPr>
                <w:rFonts w:hint="eastAsia"/>
                <w:sz w:val="18"/>
                <w:szCs w:val="18"/>
                <w:highlight w:val="none"/>
              </w:rPr>
              <w:t>具体功能包括：卫生人员统计分析、医疗设施和设备统计分析、事业经费投入统计分析。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医共体可视化展示</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基于平台进行数据采集，对收集的医疗卫生机构的数据进行实时监控和分析，形成涵盖医疗服务、公共卫生服务、药品使用、计生服务等综合统计分析专题的集成化、智能化分析决策支持平台，提高卫生健康管理工作水平和宏观调控能力。</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主要包括辖区机构管理、医疗服务管理、公共卫生管理、基本药物管理、健康管理监管、卫生监督协管等功能。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支持折线图(区域图)、柱状图(条状图)、散点图(气泡图)、K线图、饼图(环形图)、雷达图(填充雷达图)、和弦图、力导向布局图、地图、仪表盘、漏斗图、事件河流图等12类图表，同时提供标题，详情气泡、图例、值域、数据区域、时间轴、工具箱等7个可交互组件，支持多图表、组件的联动和混搭展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医改重点指标数据监测与分析</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经过与相关部门需求沟通，要按照各监测部门的业务监管需求进行模型设计。</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1、指标定义与维护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可以进行指标维护、用户与机构信息维护、指标抽取方法的配置、系统字典维护、系统上报时间段维护等。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2、监测数据收集汇总</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（1）对监测数据上报；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（2）上报情况统计和数据审核；</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（3）非上报指标抽取计算。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3、指标分析与展现等功能 </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用报表工具等实现数据分析展现。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医疗卫生运行状况监控</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宋体" w:hAnsi="宋体" w:cs="宋体"/>
                <w:color w:val="000000"/>
                <w:kern w:val="0"/>
                <w:sz w:val="18"/>
                <w:szCs w:val="18"/>
                <w:highlight w:val="none"/>
                <w:lang w:bidi="ar"/>
              </w:rPr>
              <w:t>医疗卫生运行状况和业务监控主要是指医疗卫生机构对患者进行检查、诊断、治疗、康复护理等方面的服务，以及与之相联系的其他服务。医院整体运行分类指标，主要从工作效率、工作负荷、患者负担、医疗质量、医疗费用等多方面考察和监测医院整体运行能力和效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通过医疗业务数据的统计分析，使其为领导层决策提供辅助支撑功能。建立全面数据分析支撑平台对数据进行统计分析，包括报表灵活查询、数据多维分析、业务知识挖掘等，适用于医疗业务多角度、多层次、较为深入地统计分析。既可满足医疗卫生机构内部业务部门和管理部门对医疗活动进行分析监管，也可满足卫生管理部门对医疗卫生机构的资产运营、收支情况、医疗质量等各方面进行监督管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功能上主要包括：工作效率、工作负荷、患者负担、医疗质量、医疗费用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r>
              <w:rPr>
                <w:rFonts w:hint="eastAsia" w:asciiTheme="minorEastAsia" w:hAnsiTheme="minorEastAsia" w:eastAsiaTheme="minorEastAsia" w:cstheme="minorEastAsia"/>
                <w:sz w:val="18"/>
                <w:szCs w:val="18"/>
                <w:highlight w:val="none"/>
              </w:rPr>
              <w:t>工作效率根据查询期间（按年、月）、</w:t>
            </w:r>
            <w:r>
              <w:rPr>
                <w:rFonts w:hint="eastAsia" w:asciiTheme="minorEastAsia" w:hAnsiTheme="minorEastAsia" w:cstheme="minorEastAsia"/>
                <w:sz w:val="18"/>
                <w:szCs w:val="18"/>
                <w:highlight w:val="none"/>
              </w:rPr>
              <w:t>登录用户</w:t>
            </w:r>
            <w:r>
              <w:rPr>
                <w:rFonts w:hint="eastAsia" w:asciiTheme="minorEastAsia" w:hAnsiTheme="minorEastAsia" w:eastAsiaTheme="minorEastAsia" w:cstheme="minorEastAsia"/>
                <w:sz w:val="18"/>
                <w:szCs w:val="18"/>
                <w:highlight w:val="none"/>
              </w:rPr>
              <w:t>权限统计分析下属各区域或医疗机构的服务利用情况，按照机构维度与医疗机构等级维度统计。</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统计内容包括但不限于：</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服务效率统计</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主要统计指标包括：病床使用率、平均住院日、医师日均担负门诊人次、医师日均担负急诊人次、病床周转次数、医师日均担负住院床日等。</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服务效率趋势分析</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主要统计指标包括：医师日均担负门急诊人次趋势、医师日均担负住院床日趋势分析、医疗机构平均住院日趋势分析、医疗机构病床周转次数情况等。</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工作负荷</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根据查询期间（按年、月）、登录用户权限统计分析下属各区域或医疗机构的服务利用情况，按照机构维度与医疗机构等级维度统计。</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统计内容包括但不限于：</w:t>
            </w:r>
          </w:p>
          <w:p>
            <w:pPr>
              <w:ind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门急诊服务监管：门急诊人次统计、门急诊检验检查数据量统计、每百门急诊入院人次统计；</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入出院服务监管：入出院人次统计、住院检验检查数量统计；</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服务利用趋势监管：门急诊人次时间变化趋势、入出院人次时间变化趋势；</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门急诊疾病分析：门急诊疾病趋势Top10、门急诊重性精神疾病趋势；</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住院疾病分析：住院疾病趋势Top10、住院肝脏疾病趋势；</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住院手术情况分析：手术等级分析、切口愈合等级分析。</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中医药服务监管分析：中医门诊人次数、中医门诊人次占比、中/成药处方情况、中药饮片种类、中医设备数、中医治疗人次。</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门诊手术与体检情况：体检与留观人次统计、门诊手术人次统计、门诊工作量变化趋势。</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患者负担</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根据查询期间（按年、月）、登录用户权限统计分析下属各区域或医疗机构质量安全情况。</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统计分析内容包括但不限于：</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门诊费用统计：门诊病人人均药品费用、门诊人均花费；</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住院费用统计：住院人均费用比例、住院病人日均费用比例、住院人均花费。</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医疗质量</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根据查询期间（按年、月）、登录用户权限统计分析下属各区域或医疗机构质量安全情况。</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统计内容包括但不限于：</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病案质量统计分析；</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统计显示各医疗机构各级病案数量；</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死亡与诊断符合情况。</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主要统计内容包括：急诊死亡率、住院死亡率、入出院诊断符合率数量。</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治疗与手术质量</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主要统计内容包括：无菌手术甲级愈合率、无菌手术感染率、住院治愈率情况。</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医疗纠纷与事故</w:t>
            </w:r>
          </w:p>
          <w:p>
            <w:pPr>
              <w:tabs>
                <w:tab w:val="left" w:pos="210"/>
              </w:tabs>
              <w:ind w:firstLine="480"/>
              <w:rPr>
                <w:rFonts w:asciiTheme="minorEastAsia" w:hAnsiTheme="minorEastAsia" w:eastAsiaTheme="minorEastAsia" w:cstheme="minorEastAsia"/>
                <w:sz w:val="18"/>
                <w:szCs w:val="18"/>
                <w:highlight w:val="none"/>
                <w:lang w:val="zh-CN"/>
              </w:rPr>
            </w:pPr>
            <w:r>
              <w:rPr>
                <w:rFonts w:hint="eastAsia" w:asciiTheme="minorEastAsia" w:hAnsiTheme="minorEastAsia" w:eastAsiaTheme="minorEastAsia" w:cstheme="minorEastAsia"/>
                <w:sz w:val="18"/>
                <w:szCs w:val="18"/>
                <w:highlight w:val="none"/>
                <w:lang w:val="zh-CN"/>
              </w:rPr>
              <w:t>统计分析下属各区域的各医疗机构类别与等级发生医疗事故例数、医疗纠纷例数情况。</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医疗费用</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根据查询期间（按年、月）、登录用户权限统计分析下属各区域的各医疗机构的医疗费用情况。</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统计内容包括但不限于：</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门急诊费用统计</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根据查询期间（按年、月）、登录用户权限统计分析下属各区域的各医疗机构的门诊病人均次花费比例与构成（诊疗费、治疗费、护理费、检查费、检验费、输血、输氧、西药费、中成药费、中草药费、其他费用），统计分析一年内各月医疗机构的门诊病人均次花费金额变化趋势。</w:t>
            </w:r>
          </w:p>
          <w:p>
            <w:pPr>
              <w:tabs>
                <w:tab w:val="left" w:pos="210"/>
              </w:tabs>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住院费用统计分析</w:t>
            </w:r>
          </w:p>
          <w:p>
            <w:pPr>
              <w:tabs>
                <w:tab w:val="left" w:pos="210"/>
              </w:tabs>
              <w:ind w:firstLine="480"/>
              <w:rPr>
                <w:rFonts w:ascii="宋体" w:hAnsi="宋体" w:cs="宋体"/>
                <w:color w:val="000000"/>
                <w:kern w:val="0"/>
                <w:sz w:val="18"/>
                <w:szCs w:val="18"/>
                <w:highlight w:val="none"/>
                <w:lang w:bidi="ar"/>
              </w:rPr>
            </w:pPr>
            <w:r>
              <w:rPr>
                <w:rFonts w:hint="eastAsia" w:asciiTheme="minorEastAsia" w:hAnsiTheme="minorEastAsia" w:eastAsiaTheme="minorEastAsia" w:cstheme="minorEastAsia"/>
                <w:sz w:val="18"/>
                <w:szCs w:val="18"/>
                <w:highlight w:val="none"/>
              </w:rPr>
              <w:t>根据查询期间（按年、月）、登录用户权限统计分析下属各区域的各医疗机构的住院人均费用比例与构成、住院患者日均费用比例与构成（住院费、治疗费、手术材料费、护理费、检查费、检验费、输血、输氧、西药费、中成药费、中草药费、其他费用），统计分析一年内各月医疗机构的住院人均费用金额变化趋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卫生资源数据挖掘与分析</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管理好卫生计生资源的各个使用环节，才能满足国家卫健委平战结合，突出战时管理的需要，达到快速配备资源，辅助领导决策的作用。通过对区域医疗卫生资源信息进行常态的集中管理，可以方便地对资源的利用进行查询、跟踪、分析和追溯。辅助对医疗卫生资源进行统一调配，最大限度地发挥医疗卫生资源的使用价值，减少由于资源配置不明、不当而造成的应急措施不力或资源浪费，并与空间地理信息相结合，从多个角度展示卫生资源分布、需求以及医疗卫生资源到位等情况提供基础。通过医疗卫生资源综合管理系统，可以实现对全省医疗卫生系统的人力、机构、床位、设备等区域医疗卫生资源信息综合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36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医疗健康数据挖掘与分析</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通过分析人口出生率、居民主要慢性病患病率（‰），了解市人民健康水平及营养状况。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监测整个地区居民健康动态，以图形方式直观的逐级展示区域、社区卫生服务中心、社区卫生服务站范围内居民总体健康状况、疾病流行态势、健康危险因素等情况。</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主要功能包括：</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提供居民结构分析、外来人口结构分析、人群疾病及变化分析、计划免疫情况分析、儿童保健情况分析、慢性病（高血压、糖尿病、脑卒中等情况分析、精神病情况分析、妇女保健情况分析、老年人康复情况分析、健康状态分析（如生命周期中的出生、死亡及健康情况）、居民三大健康指标监测分析（血压、血脂、体重）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149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科研大数据分析</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面对现代医院产生的大型电子病历数据，如何快速准确地检索得到医疗人员所需要的电子病历已成为一个巨大的挑战。</w:t>
            </w:r>
            <w:r>
              <w:rPr>
                <w:rFonts w:hint="eastAsia" w:ascii="宋体" w:hAnsi="宋体" w:cs="宋体"/>
                <w:color w:val="000000"/>
                <w:kern w:val="0"/>
                <w:sz w:val="18"/>
                <w:szCs w:val="18"/>
                <w:highlight w:val="none"/>
                <w:lang w:eastAsia="zh-Hans" w:bidi="ar"/>
              </w:rPr>
              <w:t>基于此实现快速检索查询，来辅助科研分析。同时支持病历全文搜索，支持病历与其他结构化数据的关联检索，如病历关键字关联检验结果进行复合条件搜索。系统提供跨异构的大数据多条件复杂搜索，支持模糊搜索、精确搜索、同义语、逻辑运算表达式及搜索结果二次筛查及授权导出等功能。</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为更好地解决这一问题，病历检索系统主要提供以下功能：</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构建相对完善的电子病历数据集库</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该系统基于国家标准CDA的基础上进行扩展存储相关的电子病历信息，但现在的电子病历信息存储还存在一定的缺陷，特别是针对电子病历中半结构化的部分（如图表、影像等），还不能做到有效的识别和检索。电子病历数据库的存储需要利用大数据等技术对这些数据进行归纳、分析、整理成规范化的信息，从而提高医疗质量和业务水平，为临床教学、科研和信息管理提供帮助。</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强大的电子病历检索功能</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根据用户个人检索需求的不同，对电子病历的检索提供两种基本检索方式：一般检索和高级检索。一般检索是指电子病历的智能全文检索，根据输入内容进行全文匹配，返回检索结果；高级检索是指可根据某一份或几份病历的特殊字段进行目的性较强的组合条件查询，实现对病历的精确筛选，如检索出患者性别为女，体温&gt;=38℃的患者病历，需对检索词中的每个检索词在索引表中进行查找，返回检索结果。</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病历检索结果展示</w:t>
            </w:r>
          </w:p>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病历检索结果可从两个维度来展示：患者维度和病历维度。患者维护即根据检索词检索出所有相关的患者，然后根据患者去查看病历；病历维度是根据检索词检索出所有相关的病历，在病历文档中筛选出符合个人要求的文档进行利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159"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基层业务类</w:t>
            </w:r>
          </w:p>
        </w:tc>
        <w:tc>
          <w:tcPr>
            <w:tcW w:w="1141" w:type="dxa"/>
            <w:vMerge w:val="restart"/>
            <w:tcBorders>
              <w:top w:val="single" w:color="000000" w:sz="4" w:space="0"/>
              <w:left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HIS</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his</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院信息管理系统（云HIS）应用于乡镇/社区中心层级，是基于云计算技术的B/S架构的系统，为基层医疗机构提供标准化的、信息化的、可共享的医疗信息管理系统，实现医患事务管理和临床诊疗管理等标准医疗管理信息系统的功能。同时HIS系统对接公卫、签约等信息系统，实现医疗服务的信息化、业务系统间的数据共享，减少公卫、家庭医生人员重复性工作，提高工作效率；</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系统集中搭建于云平台，有效实现医疗数据共享与交换，解决数据重复采集及信息孤岛等问题，为实现区域医疗一体化管理奠定了基础。</w:t>
            </w:r>
          </w:p>
          <w:p>
            <w:pPr>
              <w:ind w:firstLine="482"/>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门急诊挂号收费系统</w:t>
            </w:r>
          </w:p>
          <w:p>
            <w:pPr>
              <w:ind w:firstLine="480"/>
              <w:rPr>
                <w:rFonts w:asciiTheme="minorEastAsia" w:hAnsiTheme="minorEastAsia" w:eastAsiaTheme="minorEastAsia" w:cstheme="minorEastAsia"/>
                <w:sz w:val="18"/>
                <w:szCs w:val="18"/>
                <w:highlight w:val="none"/>
              </w:rPr>
            </w:pPr>
            <w:bookmarkStart w:id="284" w:name="_Toc1323405289"/>
            <w:r>
              <w:rPr>
                <w:rFonts w:asciiTheme="minorEastAsia" w:hAnsiTheme="minorEastAsia" w:eastAsiaTheme="minorEastAsia" w:cstheme="minorEastAsia"/>
                <w:sz w:val="18"/>
                <w:szCs w:val="18"/>
                <w:highlight w:val="none"/>
              </w:rPr>
              <w:t>挂号管理</w:t>
            </w:r>
            <w:bookmarkEnd w:id="284"/>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门诊患者提供挂号收费，预约调入，转科等功能</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85" w:name="_Toc984560244"/>
            <w:r>
              <w:rPr>
                <w:rFonts w:asciiTheme="minorEastAsia" w:hAnsiTheme="minorEastAsia" w:eastAsiaTheme="minorEastAsia" w:cstheme="minorEastAsia"/>
                <w:sz w:val="18"/>
                <w:szCs w:val="18"/>
                <w:highlight w:val="none"/>
              </w:rPr>
              <w:t>挂号查询</w:t>
            </w:r>
            <w:bookmarkEnd w:id="285"/>
            <w:r>
              <w:rPr>
                <w:rFonts w:asciiTheme="minorEastAsia" w:hAnsiTheme="minorEastAsia" w:eastAsiaTheme="minorEastAsia" w:cstheme="minorEastAsia"/>
                <w:sz w:val="18"/>
                <w:szCs w:val="18"/>
                <w:highlight w:val="none"/>
              </w:rPr>
              <w:t>：查询当前医疗机构下所有科室的挂号信息，可根据就诊号码，门诊号码，操作人员，日期等条件进行查询。查询出所有的挂号明细和挂号状态，并提供打印功能</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86" w:name="_Toc1142520773"/>
            <w:r>
              <w:rPr>
                <w:rFonts w:asciiTheme="minorEastAsia" w:hAnsiTheme="minorEastAsia" w:eastAsiaTheme="minorEastAsia" w:cstheme="minorEastAsia"/>
                <w:sz w:val="18"/>
                <w:szCs w:val="18"/>
                <w:highlight w:val="none"/>
              </w:rPr>
              <w:t>门诊结算</w:t>
            </w:r>
            <w:bookmarkEnd w:id="286"/>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门诊诊毕完成的患者就诊处方、处置单、检查检验申请单进行调入并完成收费</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87" w:name="_Toc1695343984"/>
            <w:r>
              <w:rPr>
                <w:rFonts w:asciiTheme="minorEastAsia" w:hAnsiTheme="minorEastAsia" w:eastAsiaTheme="minorEastAsia" w:cstheme="minorEastAsia"/>
                <w:sz w:val="18"/>
                <w:szCs w:val="18"/>
                <w:highlight w:val="none"/>
              </w:rPr>
              <w:t>门诊退费</w:t>
            </w:r>
            <w:bookmarkEnd w:id="287"/>
            <w:r>
              <w:rPr>
                <w:rFonts w:hint="eastAsia" w:asciiTheme="minorEastAsia" w:hAnsiTheme="minorEastAsia" w:eastAsiaTheme="minorEastAsia" w:cstheme="minorEastAsia"/>
                <w:sz w:val="18"/>
                <w:szCs w:val="18"/>
                <w:highlight w:val="none"/>
              </w:rPr>
              <w:t>：</w:t>
            </w:r>
            <w:r>
              <w:rPr>
                <w:rFonts w:asciiTheme="minorEastAsia" w:hAnsiTheme="minorEastAsia" w:eastAsiaTheme="minorEastAsia" w:cstheme="minorEastAsia"/>
                <w:sz w:val="18"/>
                <w:szCs w:val="18"/>
                <w:highlight w:val="none"/>
              </w:rPr>
              <w:t>发票已打出后，发现需要对发票中的部分费用或全部费用进行退费，将费用退还给病人，作废原发票并打出新发票</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88" w:name="_Toc833310692"/>
            <w:r>
              <w:rPr>
                <w:rFonts w:asciiTheme="minorEastAsia" w:hAnsiTheme="minorEastAsia" w:eastAsiaTheme="minorEastAsia" w:cstheme="minorEastAsia"/>
                <w:sz w:val="18"/>
                <w:szCs w:val="18"/>
                <w:highlight w:val="none"/>
              </w:rPr>
              <w:t>收费查询</w:t>
            </w:r>
            <w:bookmarkEnd w:id="288"/>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门诊收费记录查询，并提供发票作废，发票重打等功能</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89" w:name="_Toc1711938357"/>
            <w:r>
              <w:rPr>
                <w:rFonts w:asciiTheme="minorEastAsia" w:hAnsiTheme="minorEastAsia" w:eastAsiaTheme="minorEastAsia" w:cstheme="minorEastAsia"/>
                <w:sz w:val="18"/>
                <w:szCs w:val="18"/>
                <w:highlight w:val="none"/>
              </w:rPr>
              <w:t>收费日报</w:t>
            </w:r>
            <w:bookmarkEnd w:id="289"/>
            <w:r>
              <w:rPr>
                <w:rFonts w:asciiTheme="minorEastAsia" w:hAnsiTheme="minorEastAsia" w:eastAsiaTheme="minorEastAsia" w:cstheme="minorEastAsia"/>
                <w:sz w:val="18"/>
                <w:szCs w:val="18"/>
                <w:highlight w:val="none"/>
              </w:rPr>
              <w:t>：统计收款员本日的挂号信息，收款员个人日报一天可结算多次，统计挂号的总挂号人数、退号及挂号金额并结束当日的工作</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90" w:name="_Toc562063593"/>
            <w:r>
              <w:rPr>
                <w:rFonts w:asciiTheme="minorEastAsia" w:hAnsiTheme="minorEastAsia" w:eastAsiaTheme="minorEastAsia" w:cstheme="minorEastAsia"/>
                <w:sz w:val="18"/>
                <w:szCs w:val="18"/>
                <w:highlight w:val="none"/>
              </w:rPr>
              <w:t>票据维护</w:t>
            </w:r>
            <w:bookmarkEnd w:id="290"/>
            <w:r>
              <w:rPr>
                <w:rFonts w:asciiTheme="minorEastAsia" w:hAnsiTheme="minorEastAsia" w:eastAsiaTheme="minorEastAsia" w:cstheme="minorEastAsia"/>
                <w:sz w:val="18"/>
                <w:szCs w:val="18"/>
                <w:highlight w:val="none"/>
              </w:rPr>
              <w:t>：维护当前医疗机构下的就诊号码，门诊号码，发票号码，其中门诊号码不允许和其他医疗机构有重复。未设置票据号码的员工，系统会给出提示，完成相关票据设置后才能开展其他业务</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91" w:name="_Toc1969728045"/>
            <w:r>
              <w:rPr>
                <w:rFonts w:asciiTheme="minorEastAsia" w:hAnsiTheme="minorEastAsia" w:eastAsiaTheme="minorEastAsia" w:cstheme="minorEastAsia"/>
                <w:sz w:val="18"/>
                <w:szCs w:val="18"/>
                <w:highlight w:val="none"/>
              </w:rPr>
              <w:t>患者管理</w:t>
            </w:r>
            <w:bookmarkEnd w:id="291"/>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就诊患者提供档案创建，修改，注销等功能</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92" w:name="_Toc1758833810"/>
            <w:r>
              <w:rPr>
                <w:rFonts w:asciiTheme="minorEastAsia" w:hAnsiTheme="minorEastAsia" w:eastAsiaTheme="minorEastAsia" w:cstheme="minorEastAsia"/>
                <w:sz w:val="18"/>
                <w:szCs w:val="18"/>
                <w:highlight w:val="none"/>
              </w:rPr>
              <w:t>日终汇总</w:t>
            </w:r>
            <w:bookmarkEnd w:id="292"/>
            <w:r>
              <w:rPr>
                <w:rFonts w:asciiTheme="minorEastAsia" w:hAnsiTheme="minorEastAsia" w:eastAsiaTheme="minorEastAsia" w:cstheme="minorEastAsia"/>
                <w:sz w:val="18"/>
                <w:szCs w:val="18"/>
                <w:highlight w:val="none"/>
              </w:rPr>
              <w:t>：当门诊挂号收费员结束当天的工作后，由门诊收费处负责人进行总的日终结帐处理。系统提供收费汇总、收费汇总查询、项目分类汇总、未结账收费汇总等查询和统计功能，同时提供相关打印功能。</w:t>
            </w:r>
          </w:p>
          <w:p>
            <w:pPr>
              <w:ind w:firstLine="480"/>
              <w:rPr>
                <w:rFonts w:asciiTheme="minorEastAsia" w:hAnsiTheme="minorEastAsia" w:eastAsiaTheme="minorEastAsia" w:cstheme="minorEastAsia"/>
                <w:sz w:val="18"/>
                <w:szCs w:val="18"/>
                <w:highlight w:val="none"/>
              </w:rPr>
            </w:pPr>
            <w:bookmarkStart w:id="293" w:name="_Toc607443715"/>
            <w:r>
              <w:rPr>
                <w:rFonts w:asciiTheme="minorEastAsia" w:hAnsiTheme="minorEastAsia" w:eastAsiaTheme="minorEastAsia" w:cstheme="minorEastAsia"/>
                <w:sz w:val="18"/>
                <w:szCs w:val="18"/>
                <w:highlight w:val="none"/>
              </w:rPr>
              <w:t>汇总查询</w:t>
            </w:r>
            <w:bookmarkEnd w:id="293"/>
            <w:r>
              <w:rPr>
                <w:rFonts w:asciiTheme="minorEastAsia" w:hAnsiTheme="minorEastAsia" w:eastAsiaTheme="minorEastAsia" w:cstheme="minorEastAsia"/>
                <w:sz w:val="18"/>
                <w:szCs w:val="18"/>
                <w:highlight w:val="none"/>
              </w:rPr>
              <w:t>：提供汇总信息查询功能，能够取消最近一次的汇总。</w:t>
            </w:r>
          </w:p>
          <w:p>
            <w:pPr>
              <w:ind w:firstLine="480"/>
              <w:rPr>
                <w:rFonts w:asciiTheme="minorEastAsia" w:hAnsiTheme="minorEastAsia" w:eastAsiaTheme="minorEastAsia" w:cstheme="minorEastAsia"/>
                <w:sz w:val="18"/>
                <w:szCs w:val="18"/>
                <w:highlight w:val="none"/>
              </w:rPr>
            </w:pPr>
            <w:bookmarkStart w:id="294" w:name="_Toc169260167"/>
            <w:r>
              <w:rPr>
                <w:rFonts w:asciiTheme="minorEastAsia" w:hAnsiTheme="minorEastAsia" w:eastAsiaTheme="minorEastAsia" w:cstheme="minorEastAsia"/>
                <w:sz w:val="18"/>
                <w:szCs w:val="18"/>
                <w:highlight w:val="none"/>
              </w:rPr>
              <w:t>日报查询</w:t>
            </w:r>
            <w:bookmarkEnd w:id="294"/>
            <w:r>
              <w:rPr>
                <w:rFonts w:asciiTheme="minorEastAsia" w:hAnsiTheme="minorEastAsia" w:eastAsiaTheme="minorEastAsia" w:cstheme="minorEastAsia"/>
                <w:sz w:val="18"/>
                <w:szCs w:val="18"/>
                <w:highlight w:val="none"/>
              </w:rPr>
              <w:t>：提供日报信息查询功能，能够取消最近一次的汇总</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95" w:name="_Toc1487278141"/>
            <w:r>
              <w:rPr>
                <w:rFonts w:asciiTheme="minorEastAsia" w:hAnsiTheme="minorEastAsia" w:eastAsiaTheme="minorEastAsia" w:cstheme="minorEastAsia"/>
                <w:sz w:val="18"/>
                <w:szCs w:val="18"/>
                <w:highlight w:val="none"/>
              </w:rPr>
              <w:t>挂号分类统计</w:t>
            </w:r>
            <w:bookmarkEnd w:id="295"/>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挂号信息提供按照科室、病人性质等不同维度的查询</w:t>
            </w:r>
            <w:r>
              <w:rPr>
                <w:rFonts w:hint="eastAsia" w:asciiTheme="minorEastAsia" w:hAnsiTheme="minorEastAsia" w:eastAsiaTheme="minorEastAsia" w:cstheme="minorEastAsia"/>
                <w:sz w:val="18"/>
                <w:szCs w:val="18"/>
                <w:highlight w:val="none"/>
              </w:rPr>
              <w:t>。</w:t>
            </w:r>
          </w:p>
          <w:p>
            <w:pPr>
              <w:ind w:firstLine="482"/>
              <w:rPr>
                <w:rFonts w:asciiTheme="minorEastAsia" w:hAnsiTheme="minorEastAsia" w:eastAsiaTheme="minorEastAsia" w:cstheme="minorEastAsia"/>
                <w:b/>
                <w:sz w:val="18"/>
                <w:szCs w:val="18"/>
                <w:highlight w:val="none"/>
              </w:rPr>
            </w:pPr>
            <w:bookmarkStart w:id="296" w:name="_Toc423809717"/>
            <w:r>
              <w:rPr>
                <w:rFonts w:asciiTheme="minorEastAsia" w:hAnsiTheme="minorEastAsia" w:eastAsiaTheme="minorEastAsia" w:cstheme="minorEastAsia"/>
                <w:b/>
                <w:sz w:val="18"/>
                <w:szCs w:val="18"/>
                <w:highlight w:val="none"/>
              </w:rPr>
              <w:t>药品运营管理</w:t>
            </w:r>
            <w:bookmarkEnd w:id="296"/>
          </w:p>
          <w:p>
            <w:pPr>
              <w:ind w:firstLine="480"/>
              <w:rPr>
                <w:rFonts w:asciiTheme="minorEastAsia" w:hAnsiTheme="minorEastAsia" w:eastAsiaTheme="minorEastAsia" w:cstheme="minorEastAsia"/>
                <w:sz w:val="18"/>
                <w:szCs w:val="18"/>
                <w:highlight w:val="none"/>
              </w:rPr>
            </w:pPr>
            <w:bookmarkStart w:id="297" w:name="_Toc1914140167"/>
            <w:r>
              <w:rPr>
                <w:rFonts w:asciiTheme="minorEastAsia" w:hAnsiTheme="minorEastAsia" w:eastAsiaTheme="minorEastAsia" w:cstheme="minorEastAsia"/>
                <w:sz w:val="18"/>
                <w:szCs w:val="18"/>
                <w:highlight w:val="none"/>
              </w:rPr>
              <w:t>药品管理</w:t>
            </w:r>
            <w:bookmarkEnd w:id="297"/>
            <w:r>
              <w:rPr>
                <w:rFonts w:asciiTheme="minorEastAsia" w:hAnsiTheme="minorEastAsia" w:eastAsiaTheme="minorEastAsia" w:cstheme="minorEastAsia"/>
                <w:sz w:val="18"/>
                <w:szCs w:val="18"/>
                <w:highlight w:val="none"/>
              </w:rPr>
              <w:t>：维护当前医疗机构下药品的私有信息（高低储和药品价格），调入药品的信息到当前所在医疗机构下，设置药品产地和价格，并可设置药品的在当前医疗机构内高低储以及处方类型。药品的基本属性、包装、抗生素设置等信息，此处不可作修改。只有已经调入的药品，才能在当前医疗机构下使用</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98" w:name="_Toc1648754709"/>
            <w:r>
              <w:rPr>
                <w:rFonts w:asciiTheme="minorEastAsia" w:hAnsiTheme="minorEastAsia" w:eastAsiaTheme="minorEastAsia" w:cstheme="minorEastAsia"/>
                <w:sz w:val="18"/>
                <w:szCs w:val="18"/>
                <w:highlight w:val="none"/>
              </w:rPr>
              <w:t>药品入库</w:t>
            </w:r>
            <w:bookmarkEnd w:id="298"/>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药品入库管理，包括新增入库单明细。对入库单进行新增、修改、删除、确认等维护</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299" w:name="_Toc1638896922"/>
            <w:r>
              <w:rPr>
                <w:rFonts w:asciiTheme="minorEastAsia" w:hAnsiTheme="minorEastAsia" w:eastAsiaTheme="minorEastAsia" w:cstheme="minorEastAsia"/>
                <w:sz w:val="18"/>
                <w:szCs w:val="18"/>
                <w:highlight w:val="none"/>
              </w:rPr>
              <w:t>药品出库</w:t>
            </w:r>
            <w:bookmarkEnd w:id="299"/>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不同的出库方式的药品出库处理。可新增出库单明细包括药品的名称、价格、产地、规格、单位、库存、申请数量等，同时可对出库单进行新增、修改、删除、确认等维护</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0" w:name="_Toc1315311632"/>
            <w:r>
              <w:rPr>
                <w:rFonts w:asciiTheme="minorEastAsia" w:hAnsiTheme="minorEastAsia" w:eastAsiaTheme="minorEastAsia" w:cstheme="minorEastAsia"/>
                <w:sz w:val="18"/>
                <w:szCs w:val="18"/>
                <w:highlight w:val="none"/>
              </w:rPr>
              <w:t>申领入库</w:t>
            </w:r>
            <w:bookmarkEnd w:id="300"/>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不同的库房提供申领单新增、修改、删除等维护</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1" w:name="_Toc245936806"/>
            <w:r>
              <w:rPr>
                <w:rFonts w:asciiTheme="minorEastAsia" w:hAnsiTheme="minorEastAsia" w:eastAsiaTheme="minorEastAsia" w:cstheme="minorEastAsia"/>
                <w:sz w:val="18"/>
                <w:szCs w:val="18"/>
                <w:highlight w:val="none"/>
              </w:rPr>
              <w:t>申领出库</w:t>
            </w:r>
            <w:bookmarkEnd w:id="301"/>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申请库房的申领单进行确认、退回等维护</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2" w:name="_Toc1701361614"/>
            <w:r>
              <w:rPr>
                <w:rFonts w:asciiTheme="minorEastAsia" w:hAnsiTheme="minorEastAsia" w:eastAsiaTheme="minorEastAsia" w:cstheme="minorEastAsia"/>
                <w:sz w:val="18"/>
                <w:szCs w:val="18"/>
                <w:highlight w:val="none"/>
              </w:rPr>
              <w:t>调拨入库</w:t>
            </w:r>
            <w:bookmarkEnd w:id="302"/>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调拨库房的调拨单进行确认、退回等维护</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3" w:name="_Toc1039886693"/>
            <w:r>
              <w:rPr>
                <w:rFonts w:asciiTheme="minorEastAsia" w:hAnsiTheme="minorEastAsia" w:eastAsiaTheme="minorEastAsia" w:cstheme="minorEastAsia"/>
                <w:sz w:val="18"/>
                <w:szCs w:val="18"/>
                <w:highlight w:val="none"/>
              </w:rPr>
              <w:t>调拨出库</w:t>
            </w:r>
            <w:bookmarkEnd w:id="303"/>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不同的库房提供调拨单新增、修改、删除等维护</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4" w:name="_Toc1153729965"/>
            <w:r>
              <w:rPr>
                <w:rFonts w:asciiTheme="minorEastAsia" w:hAnsiTheme="minorEastAsia" w:eastAsiaTheme="minorEastAsia" w:cstheme="minorEastAsia"/>
                <w:sz w:val="18"/>
                <w:szCs w:val="18"/>
                <w:highlight w:val="none"/>
              </w:rPr>
              <w:t>药品盘点</w:t>
            </w:r>
            <w:bookmarkEnd w:id="304"/>
            <w:r>
              <w:rPr>
                <w:rFonts w:asciiTheme="minorEastAsia" w:hAnsiTheme="minorEastAsia" w:eastAsiaTheme="minorEastAsia" w:cstheme="minorEastAsia"/>
                <w:sz w:val="18"/>
                <w:szCs w:val="18"/>
                <w:highlight w:val="none"/>
              </w:rPr>
              <w:t>系统支持实物账目与系统账目的对照盘点功能，盘盈盘亏库房会生成对应出入库单据</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5" w:name="_Toc1109672992"/>
            <w:r>
              <w:rPr>
                <w:rFonts w:asciiTheme="minorEastAsia" w:hAnsiTheme="minorEastAsia" w:eastAsiaTheme="minorEastAsia" w:cstheme="minorEastAsia"/>
                <w:sz w:val="18"/>
                <w:szCs w:val="18"/>
                <w:highlight w:val="none"/>
              </w:rPr>
              <w:t>药品调价</w:t>
            </w:r>
            <w:bookmarkEnd w:id="305"/>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机构的药品进行调价。在调出的药品列表中，显示药品名称、规格、单位、产地信息，若一种药品含多个产地，则按产地显示为不同药品；若调价药品存在于本机构药房的未确认入库单中，则不允许调价。当前机构下所有已导入该药品的药房，其产地价格同步更新为新价格</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6" w:name="_Toc1525985996"/>
            <w:r>
              <w:rPr>
                <w:rFonts w:asciiTheme="minorEastAsia" w:hAnsiTheme="minorEastAsia" w:eastAsiaTheme="minorEastAsia" w:cstheme="minorEastAsia"/>
                <w:sz w:val="18"/>
                <w:szCs w:val="18"/>
                <w:highlight w:val="none"/>
              </w:rPr>
              <w:t>药品养护</w:t>
            </w:r>
            <w:bookmarkEnd w:id="306"/>
            <w:r>
              <w:rPr>
                <w:rFonts w:asciiTheme="minorEastAsia" w:hAnsiTheme="minorEastAsia" w:eastAsiaTheme="minorEastAsia" w:cstheme="minorEastAsia"/>
                <w:sz w:val="18"/>
                <w:szCs w:val="18"/>
                <w:highlight w:val="none"/>
              </w:rPr>
              <w:t>：药品养护主要是定期对变质或者损坏的药品进行统计，并标识出损坏数量和损坏原因。养护单被确认后，损坏的药品数量会自动从库存中标识为次品</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7" w:name="_Toc1996922298"/>
            <w:r>
              <w:rPr>
                <w:rFonts w:asciiTheme="minorEastAsia" w:hAnsiTheme="minorEastAsia" w:eastAsiaTheme="minorEastAsia" w:cstheme="minorEastAsia"/>
                <w:sz w:val="18"/>
                <w:szCs w:val="18"/>
                <w:highlight w:val="none"/>
              </w:rPr>
              <w:t>出入库查询</w:t>
            </w:r>
            <w:bookmarkEnd w:id="307"/>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库房药品入库、药品出库、药品流水、药品调价、药品盘点，提供查询功能</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8" w:name="_Toc1398627170"/>
            <w:r>
              <w:rPr>
                <w:rFonts w:asciiTheme="minorEastAsia" w:hAnsiTheme="minorEastAsia" w:eastAsiaTheme="minorEastAsia" w:cstheme="minorEastAsia"/>
                <w:sz w:val="18"/>
                <w:szCs w:val="18"/>
                <w:highlight w:val="none"/>
              </w:rPr>
              <w:t>库存查询</w:t>
            </w:r>
            <w:bookmarkEnd w:id="308"/>
            <w:r>
              <w:rPr>
                <w:rFonts w:asciiTheme="minorEastAsia" w:hAnsiTheme="minorEastAsia" w:eastAsiaTheme="minorEastAsia" w:cstheme="minorEastAsia"/>
                <w:sz w:val="18"/>
                <w:szCs w:val="18"/>
                <w:highlight w:val="none"/>
              </w:rPr>
              <w:t>：系统提供药品的库存查询，可以选择是否显示零库存查询库存账目</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09" w:name="_Toc370846128"/>
            <w:r>
              <w:rPr>
                <w:rFonts w:asciiTheme="minorEastAsia" w:hAnsiTheme="minorEastAsia" w:eastAsiaTheme="minorEastAsia" w:cstheme="minorEastAsia"/>
                <w:sz w:val="18"/>
                <w:szCs w:val="18"/>
                <w:highlight w:val="none"/>
              </w:rPr>
              <w:t>门诊发药</w:t>
            </w:r>
            <w:bookmarkEnd w:id="309"/>
            <w:r>
              <w:rPr>
                <w:rFonts w:asciiTheme="minorEastAsia" w:hAnsiTheme="minorEastAsia" w:eastAsiaTheme="minorEastAsia" w:cstheme="minorEastAsia"/>
                <w:sz w:val="18"/>
                <w:szCs w:val="18"/>
                <w:highlight w:val="none"/>
              </w:rPr>
              <w:t>：对门诊病人已收费的处方直接进行发药处理，药剂师根据收费处收费后传过来的处方信息，给病人发药，同时提供处方打印、</w:t>
            </w:r>
            <w:r>
              <w:rPr>
                <w:rFonts w:hint="eastAsia" w:asciiTheme="minorEastAsia" w:hAnsiTheme="minorEastAsia" w:eastAsiaTheme="minorEastAsia" w:cstheme="minorEastAsia"/>
                <w:sz w:val="18"/>
                <w:szCs w:val="18"/>
                <w:highlight w:val="none"/>
              </w:rPr>
              <w:t>注射卡打印</w:t>
            </w:r>
            <w:r>
              <w:rPr>
                <w:rFonts w:asciiTheme="minorEastAsia" w:hAnsiTheme="minorEastAsia" w:eastAsiaTheme="minorEastAsia" w:cstheme="minorEastAsia"/>
                <w:sz w:val="18"/>
                <w:szCs w:val="18"/>
                <w:highlight w:val="none"/>
              </w:rPr>
              <w:t>功能</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10" w:name="_Toc813329702"/>
            <w:r>
              <w:rPr>
                <w:rFonts w:asciiTheme="minorEastAsia" w:hAnsiTheme="minorEastAsia" w:eastAsiaTheme="minorEastAsia" w:cstheme="minorEastAsia"/>
                <w:sz w:val="18"/>
                <w:szCs w:val="18"/>
                <w:highlight w:val="none"/>
              </w:rPr>
              <w:t>门诊退药</w:t>
            </w:r>
            <w:bookmarkEnd w:id="310"/>
            <w:r>
              <w:rPr>
                <w:rFonts w:asciiTheme="minorEastAsia" w:hAnsiTheme="minorEastAsia" w:eastAsiaTheme="minorEastAsia" w:cstheme="minorEastAsia"/>
                <w:sz w:val="18"/>
                <w:szCs w:val="18"/>
                <w:highlight w:val="none"/>
              </w:rPr>
              <w:t>：对已发药的处方进行退药处理</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11" w:name="_Toc898888359"/>
            <w:r>
              <w:rPr>
                <w:rFonts w:asciiTheme="minorEastAsia" w:hAnsiTheme="minorEastAsia" w:eastAsiaTheme="minorEastAsia" w:cstheme="minorEastAsia"/>
                <w:sz w:val="18"/>
                <w:szCs w:val="18"/>
                <w:highlight w:val="none"/>
              </w:rPr>
              <w:t>发药单查询</w:t>
            </w:r>
            <w:bookmarkEnd w:id="311"/>
            <w:r>
              <w:rPr>
                <w:rFonts w:asciiTheme="minorEastAsia" w:hAnsiTheme="minorEastAsia" w:eastAsiaTheme="minorEastAsia" w:cstheme="minorEastAsia"/>
                <w:sz w:val="18"/>
                <w:szCs w:val="18"/>
                <w:highlight w:val="none"/>
              </w:rPr>
              <w:t>：可根据某一时间段内的发药日期对已发药进行查询，包含发药单查询、发药明细查询、发药统计等查询统计</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12" w:name="_Toc69193068"/>
            <w:r>
              <w:rPr>
                <w:rFonts w:asciiTheme="minorEastAsia" w:hAnsiTheme="minorEastAsia" w:eastAsiaTheme="minorEastAsia" w:cstheme="minorEastAsia"/>
                <w:sz w:val="18"/>
                <w:szCs w:val="18"/>
                <w:highlight w:val="none"/>
              </w:rPr>
              <w:t>库存冻结</w:t>
            </w:r>
            <w:bookmarkEnd w:id="312"/>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门诊</w:t>
            </w:r>
            <w:r>
              <w:rPr>
                <w:rFonts w:hint="eastAsia" w:asciiTheme="minorEastAsia" w:hAnsiTheme="minorEastAsia" w:cstheme="minorEastAsia"/>
                <w:sz w:val="18"/>
                <w:szCs w:val="18"/>
                <w:highlight w:val="none"/>
              </w:rPr>
              <w:t>医生</w:t>
            </w:r>
            <w:r>
              <w:rPr>
                <w:rFonts w:asciiTheme="minorEastAsia" w:hAnsiTheme="minorEastAsia" w:eastAsiaTheme="minorEastAsia" w:cstheme="minorEastAsia"/>
                <w:sz w:val="18"/>
                <w:szCs w:val="18"/>
                <w:highlight w:val="none"/>
              </w:rPr>
              <w:t>开单后或者门诊收费处收费后，库房申领调拨业务中，处方中或申领调拨对应发药药房的库存会自动冻结。提供手动强制取消冻结</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13" w:name="_Toc1139240849"/>
            <w:r>
              <w:rPr>
                <w:rFonts w:asciiTheme="minorEastAsia" w:hAnsiTheme="minorEastAsia" w:eastAsiaTheme="minorEastAsia" w:cstheme="minorEastAsia"/>
                <w:sz w:val="18"/>
                <w:szCs w:val="18"/>
                <w:highlight w:val="none"/>
              </w:rPr>
              <w:t>库存校验</w:t>
            </w:r>
            <w:bookmarkEnd w:id="313"/>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库房业务进行校验，查询展示校验过程中有问题的库房业务，便于用户及时联系研发排查</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14" w:name="_Toc256752491"/>
            <w:r>
              <w:rPr>
                <w:rFonts w:asciiTheme="minorEastAsia" w:hAnsiTheme="minorEastAsia" w:eastAsiaTheme="minorEastAsia" w:cstheme="minorEastAsia"/>
                <w:sz w:val="18"/>
                <w:szCs w:val="18"/>
                <w:highlight w:val="none"/>
              </w:rPr>
              <w:t>药品高低储</w:t>
            </w:r>
            <w:bookmarkEnd w:id="314"/>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药品的高低储情况进行查询，包含高于高储、低于低储的药品库存</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15" w:name="_Toc944469414"/>
            <w:r>
              <w:rPr>
                <w:rFonts w:asciiTheme="minorEastAsia" w:hAnsiTheme="minorEastAsia" w:eastAsiaTheme="minorEastAsia" w:cstheme="minorEastAsia"/>
                <w:sz w:val="18"/>
                <w:szCs w:val="18"/>
                <w:highlight w:val="none"/>
              </w:rPr>
              <w:t>药品失效预警</w:t>
            </w:r>
            <w:bookmarkEnd w:id="315"/>
            <w:r>
              <w:rPr>
                <w:rFonts w:asciiTheme="minorEastAsia" w:hAnsiTheme="minorEastAsia" w:eastAsiaTheme="minorEastAsia" w:cstheme="minorEastAsia"/>
                <w:sz w:val="18"/>
                <w:szCs w:val="18"/>
                <w:highlight w:val="none"/>
              </w:rPr>
              <w:t>：</w:t>
            </w:r>
            <w:r>
              <w:rPr>
                <w:rFonts w:hint="eastAsia" w:asciiTheme="minorEastAsia" w:hAnsiTheme="minorEastAsia" w:cstheme="minorEastAsia"/>
                <w:sz w:val="18"/>
                <w:szCs w:val="18"/>
                <w:highlight w:val="none"/>
              </w:rPr>
              <w:t>针对</w:t>
            </w:r>
            <w:r>
              <w:rPr>
                <w:rFonts w:asciiTheme="minorEastAsia" w:hAnsiTheme="minorEastAsia" w:eastAsiaTheme="minorEastAsia" w:cstheme="minorEastAsia"/>
                <w:sz w:val="18"/>
                <w:szCs w:val="18"/>
                <w:highlight w:val="none"/>
              </w:rPr>
              <w:t>药品名称、药品类型、效期剩余等进行药品效期查询</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16" w:name="_Toc1645806121"/>
            <w:r>
              <w:rPr>
                <w:rFonts w:asciiTheme="minorEastAsia" w:hAnsiTheme="minorEastAsia" w:eastAsiaTheme="minorEastAsia" w:cstheme="minorEastAsia"/>
                <w:sz w:val="18"/>
                <w:szCs w:val="18"/>
                <w:highlight w:val="none"/>
              </w:rPr>
              <w:t>采购历史查询</w:t>
            </w:r>
            <w:bookmarkEnd w:id="316"/>
            <w:r>
              <w:rPr>
                <w:rFonts w:hint="eastAsia" w:asciiTheme="minorEastAsia" w:hAnsiTheme="minorEastAsia" w:eastAsiaTheme="minorEastAsia" w:cstheme="minorEastAsia"/>
                <w:sz w:val="18"/>
                <w:szCs w:val="18"/>
                <w:highlight w:val="none"/>
              </w:rPr>
              <w:t>：</w:t>
            </w:r>
            <w:r>
              <w:rPr>
                <w:rFonts w:asciiTheme="minorEastAsia" w:hAnsiTheme="minorEastAsia" w:eastAsiaTheme="minorEastAsia" w:cstheme="minorEastAsia"/>
                <w:sz w:val="18"/>
                <w:szCs w:val="18"/>
                <w:highlight w:val="none"/>
              </w:rPr>
              <w:t>用于统计当前库房采购入库的单据，可按供应商、药品等多种方式进行统计</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17" w:name="_Toc1474102287"/>
            <w:r>
              <w:rPr>
                <w:rFonts w:asciiTheme="minorEastAsia" w:hAnsiTheme="minorEastAsia" w:eastAsiaTheme="minorEastAsia" w:cstheme="minorEastAsia"/>
                <w:sz w:val="18"/>
                <w:szCs w:val="18"/>
                <w:highlight w:val="none"/>
              </w:rPr>
              <w:t>库房结账</w:t>
            </w:r>
            <w:bookmarkEnd w:id="317"/>
            <w:r>
              <w:rPr>
                <w:rFonts w:hint="eastAsia" w:asciiTheme="minorEastAsia" w:hAnsiTheme="minorEastAsia" w:eastAsiaTheme="minorEastAsia" w:cstheme="minorEastAsia"/>
                <w:sz w:val="18"/>
                <w:szCs w:val="18"/>
                <w:highlight w:val="none"/>
              </w:rPr>
              <w:t>：</w:t>
            </w:r>
            <w:r>
              <w:rPr>
                <w:rFonts w:asciiTheme="minorEastAsia" w:hAnsiTheme="minorEastAsia" w:eastAsiaTheme="minorEastAsia" w:cstheme="minorEastAsia"/>
                <w:sz w:val="18"/>
                <w:szCs w:val="18"/>
                <w:highlight w:val="none"/>
              </w:rPr>
              <w:t>通过将库房业务分别按照期初结存、本期入库、本期出库、期末结余等作归类查询</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18" w:name="_Toc1865785817"/>
            <w:r>
              <w:rPr>
                <w:rFonts w:asciiTheme="minorEastAsia" w:hAnsiTheme="minorEastAsia" w:eastAsiaTheme="minorEastAsia" w:cstheme="minorEastAsia"/>
                <w:sz w:val="18"/>
                <w:szCs w:val="18"/>
                <w:highlight w:val="none"/>
              </w:rPr>
              <w:t>住院发药</w:t>
            </w:r>
            <w:bookmarkEnd w:id="318"/>
            <w:r>
              <w:rPr>
                <w:rFonts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rPr>
              <w:t>本功能主要为药房的工作人员提供医嘱发药和退回病区的功能。</w:t>
            </w:r>
          </w:p>
          <w:p>
            <w:pPr>
              <w:ind w:firstLine="480"/>
              <w:rPr>
                <w:rFonts w:asciiTheme="minorEastAsia" w:hAnsiTheme="minorEastAsia" w:eastAsiaTheme="minorEastAsia" w:cstheme="minorEastAsia"/>
                <w:sz w:val="18"/>
                <w:szCs w:val="18"/>
                <w:highlight w:val="none"/>
              </w:rPr>
            </w:pPr>
            <w:bookmarkStart w:id="319" w:name="_Toc706012825"/>
            <w:r>
              <w:rPr>
                <w:rFonts w:asciiTheme="minorEastAsia" w:hAnsiTheme="minorEastAsia" w:eastAsiaTheme="minorEastAsia" w:cstheme="minorEastAsia"/>
                <w:sz w:val="18"/>
                <w:szCs w:val="18"/>
                <w:highlight w:val="none"/>
              </w:rPr>
              <w:t>住院退药</w:t>
            </w:r>
            <w:bookmarkEnd w:id="319"/>
            <w:r>
              <w:rPr>
                <w:rFonts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rPr>
              <w:t>本功能主要为药房的工作人员提供退药或退回病区的功能。</w:t>
            </w:r>
          </w:p>
          <w:p>
            <w:pPr>
              <w:ind w:firstLine="480"/>
              <w:rPr>
                <w:rFonts w:asciiTheme="minorEastAsia" w:hAnsiTheme="minorEastAsia" w:eastAsiaTheme="minorEastAsia" w:cstheme="minorEastAsia"/>
                <w:sz w:val="18"/>
                <w:szCs w:val="18"/>
                <w:highlight w:val="none"/>
              </w:rPr>
            </w:pPr>
            <w:bookmarkStart w:id="320" w:name="_Toc1110400100"/>
            <w:r>
              <w:rPr>
                <w:rFonts w:asciiTheme="minorEastAsia" w:hAnsiTheme="minorEastAsia" w:eastAsiaTheme="minorEastAsia" w:cstheme="minorEastAsia"/>
                <w:sz w:val="18"/>
                <w:szCs w:val="18"/>
                <w:highlight w:val="none"/>
              </w:rPr>
              <w:t>病区发药查询</w:t>
            </w:r>
            <w:bookmarkEnd w:id="320"/>
            <w:r>
              <w:rPr>
                <w:rFonts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rPr>
              <w:t>本功能主要通过发药时间，发药类型进行病区发药汇总统计。</w:t>
            </w:r>
          </w:p>
          <w:p>
            <w:pPr>
              <w:ind w:firstLine="482"/>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出入院管理系统</w:t>
            </w:r>
          </w:p>
          <w:p>
            <w:pPr>
              <w:ind w:firstLine="480"/>
              <w:rPr>
                <w:rFonts w:asciiTheme="minorEastAsia" w:hAnsiTheme="minorEastAsia" w:eastAsiaTheme="minorEastAsia" w:cstheme="minorEastAsia"/>
                <w:sz w:val="18"/>
                <w:szCs w:val="18"/>
                <w:highlight w:val="none"/>
              </w:rPr>
            </w:pPr>
            <w:bookmarkStart w:id="321" w:name="_Toc1501512929"/>
            <w:r>
              <w:rPr>
                <w:rFonts w:asciiTheme="minorEastAsia" w:hAnsiTheme="minorEastAsia" w:eastAsiaTheme="minorEastAsia" w:cstheme="minorEastAsia"/>
                <w:sz w:val="18"/>
                <w:szCs w:val="18"/>
                <w:highlight w:val="none"/>
              </w:rPr>
              <w:t>入院登记</w:t>
            </w:r>
            <w:bookmarkEnd w:id="321"/>
            <w:r>
              <w:rPr>
                <w:rFonts w:asciiTheme="minorEastAsia" w:hAnsiTheme="minorEastAsia" w:eastAsiaTheme="minorEastAsia" w:cstheme="minorEastAsia"/>
                <w:sz w:val="18"/>
                <w:szCs w:val="18"/>
                <w:highlight w:val="none"/>
              </w:rPr>
              <w:t>：本模块用于为新病人建立档案，对已建档的病人进行入院信息登记，登记成功的病人可选择打印病案首页。</w:t>
            </w:r>
          </w:p>
          <w:p>
            <w:pPr>
              <w:ind w:firstLine="480"/>
              <w:rPr>
                <w:rFonts w:asciiTheme="minorEastAsia" w:hAnsiTheme="minorEastAsia" w:eastAsiaTheme="minorEastAsia" w:cstheme="minorEastAsia"/>
                <w:sz w:val="18"/>
                <w:szCs w:val="18"/>
                <w:highlight w:val="none"/>
              </w:rPr>
            </w:pPr>
            <w:bookmarkStart w:id="322" w:name="_Toc847461806"/>
            <w:r>
              <w:rPr>
                <w:rFonts w:asciiTheme="minorEastAsia" w:hAnsiTheme="minorEastAsia" w:eastAsiaTheme="minorEastAsia" w:cstheme="minorEastAsia"/>
                <w:sz w:val="18"/>
                <w:szCs w:val="18"/>
                <w:highlight w:val="none"/>
              </w:rPr>
              <w:t>病人管理</w:t>
            </w:r>
            <w:bookmarkEnd w:id="322"/>
            <w:r>
              <w:rPr>
                <w:rFonts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rPr>
              <w:t>本模块用于展示在院病人列表，查看、修改、打印在院病人首页信息，并提供帐卡查看、性质转换、病人注销功能。</w:t>
            </w:r>
          </w:p>
          <w:p>
            <w:pPr>
              <w:ind w:firstLine="480"/>
              <w:rPr>
                <w:rFonts w:asciiTheme="minorEastAsia" w:hAnsiTheme="minorEastAsia" w:eastAsiaTheme="minorEastAsia" w:cstheme="minorEastAsia"/>
                <w:sz w:val="18"/>
                <w:szCs w:val="18"/>
                <w:highlight w:val="none"/>
              </w:rPr>
            </w:pPr>
            <w:bookmarkStart w:id="323" w:name="_Toc1179026538"/>
            <w:r>
              <w:rPr>
                <w:rFonts w:asciiTheme="minorEastAsia" w:hAnsiTheme="minorEastAsia" w:eastAsiaTheme="minorEastAsia" w:cstheme="minorEastAsia"/>
                <w:sz w:val="18"/>
                <w:szCs w:val="18"/>
                <w:highlight w:val="none"/>
              </w:rPr>
              <w:t>床位管理</w:t>
            </w:r>
            <w:bookmarkEnd w:id="323"/>
            <w:r>
              <w:rPr>
                <w:rFonts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rPr>
              <w:t>本模块用于展示床位列表，支持床位新增，床位费设置、床位套餐维护。</w:t>
            </w:r>
          </w:p>
          <w:p>
            <w:pPr>
              <w:ind w:firstLine="480"/>
              <w:rPr>
                <w:rFonts w:asciiTheme="minorEastAsia" w:hAnsiTheme="minorEastAsia" w:eastAsiaTheme="minorEastAsia" w:cstheme="minorEastAsia"/>
                <w:sz w:val="18"/>
                <w:szCs w:val="18"/>
                <w:highlight w:val="none"/>
              </w:rPr>
            </w:pPr>
            <w:bookmarkStart w:id="324" w:name="_Toc1067413297"/>
            <w:r>
              <w:rPr>
                <w:rFonts w:asciiTheme="minorEastAsia" w:hAnsiTheme="minorEastAsia" w:eastAsiaTheme="minorEastAsia" w:cstheme="minorEastAsia"/>
                <w:sz w:val="18"/>
                <w:szCs w:val="18"/>
                <w:highlight w:val="none"/>
              </w:rPr>
              <w:t>缴款管理</w:t>
            </w:r>
            <w:bookmarkEnd w:id="324"/>
            <w:r>
              <w:rPr>
                <w:rFonts w:hint="eastAsia" w:asciiTheme="minorEastAsia" w:hAnsiTheme="minorEastAsia" w:eastAsiaTheme="minorEastAsia" w:cstheme="minorEastAsia"/>
                <w:sz w:val="18"/>
                <w:szCs w:val="18"/>
                <w:highlight w:val="none"/>
              </w:rPr>
              <w:t>：本模块用于对在院病人进行缴款处理、缴款记录注销，并提供缴款信息的查询。</w:t>
            </w:r>
          </w:p>
          <w:p>
            <w:pPr>
              <w:ind w:firstLine="480"/>
              <w:rPr>
                <w:rFonts w:asciiTheme="minorEastAsia" w:hAnsiTheme="minorEastAsia" w:eastAsiaTheme="minorEastAsia" w:cstheme="minorEastAsia"/>
                <w:sz w:val="18"/>
                <w:szCs w:val="18"/>
                <w:highlight w:val="none"/>
              </w:rPr>
            </w:pPr>
            <w:bookmarkStart w:id="325" w:name="_Toc2084379288"/>
            <w:r>
              <w:rPr>
                <w:rFonts w:asciiTheme="minorEastAsia" w:hAnsiTheme="minorEastAsia" w:eastAsiaTheme="minorEastAsia" w:cstheme="minorEastAsia"/>
                <w:sz w:val="18"/>
                <w:szCs w:val="18"/>
                <w:highlight w:val="none"/>
              </w:rPr>
              <w:t>催款管理</w:t>
            </w:r>
            <w:bookmarkEnd w:id="325"/>
            <w:r>
              <w:rPr>
                <w:rFonts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rPr>
              <w:t>本模块用于查询当前机构病人的欠款信息，催款列表提供多种统计方式，并可生成催款单。</w:t>
            </w:r>
          </w:p>
          <w:p>
            <w:pPr>
              <w:ind w:firstLine="480"/>
              <w:rPr>
                <w:rFonts w:asciiTheme="minorEastAsia" w:hAnsiTheme="minorEastAsia" w:eastAsiaTheme="minorEastAsia" w:cstheme="minorEastAsia"/>
                <w:sz w:val="18"/>
                <w:szCs w:val="18"/>
                <w:highlight w:val="none"/>
              </w:rPr>
            </w:pPr>
            <w:bookmarkStart w:id="326" w:name="_Toc261959905"/>
            <w:r>
              <w:rPr>
                <w:rFonts w:asciiTheme="minorEastAsia" w:hAnsiTheme="minorEastAsia" w:eastAsiaTheme="minorEastAsia" w:cstheme="minorEastAsia"/>
                <w:sz w:val="18"/>
                <w:szCs w:val="18"/>
                <w:highlight w:val="none"/>
              </w:rPr>
              <w:t>结算管理</w:t>
            </w:r>
            <w:bookmarkEnd w:id="326"/>
            <w:r>
              <w:rPr>
                <w:rFonts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rPr>
              <w:t>本模块用于对住院病人产生的费用进行中途结算、出院结算、出院终结等结算操作，也可以将中途结算和出院结算的发票进行作废处理，并提供帐卡查看。</w:t>
            </w:r>
          </w:p>
          <w:p>
            <w:pPr>
              <w:ind w:firstLine="480"/>
              <w:rPr>
                <w:rFonts w:asciiTheme="minorEastAsia" w:hAnsiTheme="minorEastAsia" w:eastAsiaTheme="minorEastAsia" w:cstheme="minorEastAsia"/>
                <w:sz w:val="18"/>
                <w:szCs w:val="18"/>
                <w:highlight w:val="none"/>
              </w:rPr>
            </w:pPr>
            <w:bookmarkStart w:id="327" w:name="_Toc418646985"/>
            <w:r>
              <w:rPr>
                <w:rFonts w:asciiTheme="minorEastAsia" w:hAnsiTheme="minorEastAsia" w:eastAsiaTheme="minorEastAsia" w:cstheme="minorEastAsia"/>
                <w:sz w:val="18"/>
                <w:szCs w:val="18"/>
                <w:highlight w:val="none"/>
              </w:rPr>
              <w:t>日终结账</w:t>
            </w:r>
            <w:bookmarkEnd w:id="327"/>
            <w:r>
              <w:rPr>
                <w:rFonts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rPr>
              <w:t>本模块用于将当前操作员的结算发票及缴款收入等进行结账，允许一天多次结账，结账后可取消。另外，提供日报查询、打印功能。</w:t>
            </w:r>
          </w:p>
          <w:p>
            <w:pPr>
              <w:ind w:firstLine="480"/>
              <w:rPr>
                <w:rFonts w:asciiTheme="minorEastAsia" w:hAnsiTheme="minorEastAsia" w:eastAsiaTheme="minorEastAsia" w:cstheme="minorEastAsia"/>
                <w:sz w:val="18"/>
                <w:szCs w:val="18"/>
                <w:highlight w:val="none"/>
              </w:rPr>
            </w:pPr>
            <w:bookmarkStart w:id="328" w:name="_Toc1043449323"/>
            <w:r>
              <w:rPr>
                <w:rFonts w:asciiTheme="minorEastAsia" w:hAnsiTheme="minorEastAsia" w:eastAsiaTheme="minorEastAsia" w:cstheme="minorEastAsia"/>
                <w:sz w:val="18"/>
                <w:szCs w:val="18"/>
                <w:highlight w:val="none"/>
              </w:rPr>
              <w:t>日终汇总</w:t>
            </w:r>
            <w:bookmarkEnd w:id="328"/>
            <w:r>
              <w:rPr>
                <w:rFonts w:asciiTheme="minorEastAsia" w:hAnsiTheme="minorEastAsia" w:eastAsiaTheme="minorEastAsia" w:cstheme="minorEastAsia"/>
                <w:sz w:val="18"/>
                <w:szCs w:val="18"/>
                <w:highlight w:val="none"/>
              </w:rPr>
              <w:t>：</w:t>
            </w:r>
            <w:r>
              <w:rPr>
                <w:rFonts w:hint="eastAsia" w:asciiTheme="minorEastAsia" w:hAnsiTheme="minorEastAsia" w:eastAsiaTheme="minorEastAsia" w:cstheme="minorEastAsia"/>
                <w:sz w:val="18"/>
                <w:szCs w:val="18"/>
                <w:highlight w:val="none"/>
              </w:rPr>
              <w:t>本模块用于汇总当前机构下所有操作员已结账未汇总的日报。</w:t>
            </w:r>
          </w:p>
          <w:p>
            <w:pPr>
              <w:ind w:firstLine="480"/>
              <w:rPr>
                <w:rFonts w:asciiTheme="minorEastAsia" w:hAnsiTheme="minorEastAsia" w:eastAsiaTheme="minorEastAsia" w:cstheme="minorEastAsia"/>
                <w:sz w:val="18"/>
                <w:szCs w:val="18"/>
                <w:highlight w:val="none"/>
              </w:rPr>
            </w:pPr>
            <w:bookmarkStart w:id="329" w:name="_Toc901310259"/>
            <w:r>
              <w:rPr>
                <w:rFonts w:asciiTheme="minorEastAsia" w:hAnsiTheme="minorEastAsia" w:eastAsiaTheme="minorEastAsia" w:cstheme="minorEastAsia"/>
                <w:sz w:val="18"/>
                <w:szCs w:val="18"/>
                <w:highlight w:val="none"/>
              </w:rPr>
              <w:t>票据管理</w:t>
            </w:r>
            <w:bookmarkEnd w:id="329"/>
            <w:r>
              <w:rPr>
                <w:rFonts w:hint="eastAsia" w:asciiTheme="minorEastAsia" w:hAnsiTheme="minorEastAsia" w:eastAsiaTheme="minorEastAsia" w:cstheme="minorEastAsia"/>
                <w:sz w:val="18"/>
                <w:szCs w:val="18"/>
                <w:highlight w:val="none"/>
              </w:rPr>
              <w:t>;本模块用于对住院管理中使用到的票据进行维护，此处的数据应用于缴款管理、结算管理等模块。</w:t>
            </w:r>
          </w:p>
          <w:p>
            <w:pPr>
              <w:ind w:firstLine="482"/>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物资管理</w:t>
            </w:r>
          </w:p>
          <w:p>
            <w:pPr>
              <w:ind w:firstLine="480"/>
              <w:rPr>
                <w:rFonts w:cs="仿宋" w:asciiTheme="minorEastAsia" w:hAnsiTheme="minorEastAsia" w:eastAsiaTheme="minorEastAsia"/>
                <w:sz w:val="18"/>
                <w:szCs w:val="18"/>
                <w:highlight w:val="none"/>
              </w:rPr>
            </w:pPr>
            <w:r>
              <w:rPr>
                <w:rFonts w:hint="eastAsia" w:asciiTheme="minorEastAsia" w:hAnsiTheme="minorEastAsia" w:eastAsiaTheme="minorEastAsia" w:cstheme="minorEastAsia"/>
                <w:sz w:val="18"/>
                <w:szCs w:val="18"/>
                <w:highlight w:val="none"/>
              </w:rPr>
              <w:t>入库管理:</w:t>
            </w:r>
            <w:r>
              <w:rPr>
                <w:rFonts w:hint="eastAsia" w:cs="仿宋" w:asciiTheme="minorEastAsia" w:hAnsiTheme="minorEastAsia" w:eastAsiaTheme="minorEastAsia"/>
                <w:sz w:val="18"/>
                <w:szCs w:val="18"/>
                <w:highlight w:val="none"/>
              </w:rPr>
              <w:t>一级库房</w:t>
            </w:r>
            <w:r>
              <w:rPr>
                <w:rFonts w:hint="eastAsia" w:asciiTheme="minorEastAsia" w:hAnsiTheme="minorEastAsia" w:eastAsiaTheme="minorEastAsia" w:cstheme="minorEastAsia"/>
                <w:sz w:val="18"/>
                <w:szCs w:val="18"/>
                <w:highlight w:val="none"/>
              </w:rPr>
              <w:t>入库</w:t>
            </w:r>
            <w:r>
              <w:rPr>
                <w:rFonts w:hint="eastAsia" w:cs="仿宋" w:asciiTheme="minorEastAsia" w:hAnsiTheme="minorEastAsia" w:eastAsiaTheme="minorEastAsia"/>
                <w:sz w:val="18"/>
                <w:szCs w:val="18"/>
                <w:highlight w:val="none"/>
              </w:rPr>
              <w:t>单按库房账簿进行分类录入；进行单据的新增、审核、记账；记账操作后，进入资产帐；以及进行入库单退回、入库单冲红。</w:t>
            </w:r>
          </w:p>
          <w:p>
            <w:pPr>
              <w:ind w:firstLine="480"/>
              <w:rPr>
                <w:rFonts w:cs="仿宋" w:asciiTheme="minorEastAsia" w:hAnsiTheme="minorEastAsia" w:eastAsiaTheme="minorEastAsia"/>
                <w:sz w:val="18"/>
                <w:szCs w:val="18"/>
                <w:highlight w:val="none"/>
              </w:rPr>
            </w:pPr>
            <w:r>
              <w:rPr>
                <w:rFonts w:hint="eastAsia" w:asciiTheme="minorEastAsia" w:hAnsiTheme="minorEastAsia" w:eastAsiaTheme="minorEastAsia" w:cstheme="minorEastAsia"/>
                <w:sz w:val="18"/>
                <w:szCs w:val="18"/>
                <w:highlight w:val="none"/>
              </w:rPr>
              <w:t>出库管理:</w:t>
            </w:r>
            <w:r>
              <w:rPr>
                <w:rFonts w:hint="eastAsia" w:cs="仿宋" w:asciiTheme="minorEastAsia" w:hAnsiTheme="minorEastAsia" w:eastAsiaTheme="minorEastAsia"/>
                <w:sz w:val="18"/>
                <w:szCs w:val="18"/>
                <w:highlight w:val="none"/>
              </w:rPr>
              <w:t>一级库房出库单按库房账簿进行分类，出库方式分为按库存和按批次两种；进行单据的新增、审核、记账；记账后减少库存，更改科室帐，资产帐；在审核或记账时要判断当前物资库存是否满足；如果不满足则提醒用户，并且不允许出库；以及进行出库单退回和出库单冲红。</w:t>
            </w:r>
          </w:p>
          <w:p>
            <w:pPr>
              <w:ind w:firstLine="480"/>
              <w:rPr>
                <w:rFonts w:cs="仿宋" w:asciiTheme="minorEastAsia" w:hAnsiTheme="minorEastAsia" w:eastAsiaTheme="minorEastAsia"/>
                <w:sz w:val="18"/>
                <w:szCs w:val="18"/>
                <w:highlight w:val="none"/>
              </w:rPr>
            </w:pPr>
            <w:r>
              <w:rPr>
                <w:rFonts w:hint="eastAsia" w:asciiTheme="minorEastAsia" w:hAnsiTheme="minorEastAsia" w:eastAsiaTheme="minorEastAsia" w:cstheme="minorEastAsia"/>
                <w:sz w:val="18"/>
                <w:szCs w:val="18"/>
                <w:highlight w:val="none"/>
              </w:rPr>
              <w:t>申领管理:</w:t>
            </w:r>
            <w:r>
              <w:rPr>
                <w:rFonts w:hint="eastAsia" w:cs="仿宋" w:asciiTheme="minorEastAsia" w:hAnsiTheme="minorEastAsia" w:eastAsiaTheme="minorEastAsia"/>
                <w:sz w:val="18"/>
                <w:szCs w:val="18"/>
                <w:highlight w:val="none"/>
              </w:rPr>
              <w:t>申领管理是对二级库房或科室向一级库房发起的申领申请单进行处理，是一级库房的另外一种出库单。一级库房按照账簿进行分类处理，可对申领申请单进行退回操作，进行单据的新增、审核、记账，分别对应申领登记单制单、制单、完成状态；出库时要进入科室帐。</w:t>
            </w:r>
          </w:p>
          <w:p>
            <w:pPr>
              <w:ind w:firstLine="480"/>
              <w:rPr>
                <w:rFonts w:cs="仿宋" w:asciiTheme="minorEastAsia" w:hAnsiTheme="minorEastAsia" w:eastAsiaTheme="minorEastAsia"/>
                <w:sz w:val="18"/>
                <w:szCs w:val="18"/>
                <w:highlight w:val="none"/>
              </w:rPr>
            </w:pPr>
            <w:r>
              <w:rPr>
                <w:rFonts w:hint="eastAsia" w:asciiTheme="minorEastAsia" w:hAnsiTheme="minorEastAsia" w:eastAsiaTheme="minorEastAsia" w:cstheme="minorEastAsia"/>
                <w:sz w:val="18"/>
                <w:szCs w:val="18"/>
                <w:highlight w:val="none"/>
              </w:rPr>
              <w:t>采购计划:</w:t>
            </w:r>
            <w:r>
              <w:rPr>
                <w:rFonts w:hint="eastAsia" w:cs="仿宋" w:asciiTheme="minorEastAsia" w:hAnsiTheme="minorEastAsia" w:eastAsiaTheme="minorEastAsia"/>
                <w:sz w:val="18"/>
                <w:szCs w:val="18"/>
                <w:highlight w:val="none"/>
              </w:rPr>
              <w:t>提供三种自动生成计划方式：1.未确认申领单，2.补足到高储，3.补足到低储。提供手工录入物资计划明细；进行计划的新增、保存、审核；审核后才能打印计划单。</w:t>
            </w:r>
          </w:p>
          <w:p>
            <w:pPr>
              <w:ind w:firstLine="480"/>
              <w:rPr>
                <w:rFonts w:cs="仿宋" w:asciiTheme="minorEastAsia" w:hAnsiTheme="minorEastAsia" w:eastAsiaTheme="minorEastAsia"/>
                <w:sz w:val="18"/>
                <w:szCs w:val="18"/>
                <w:highlight w:val="none"/>
              </w:rPr>
            </w:pPr>
            <w:r>
              <w:rPr>
                <w:rFonts w:hint="eastAsia" w:asciiTheme="minorEastAsia" w:hAnsiTheme="minorEastAsia" w:eastAsiaTheme="minorEastAsia" w:cstheme="minorEastAsia"/>
                <w:sz w:val="18"/>
                <w:szCs w:val="18"/>
                <w:highlight w:val="none"/>
              </w:rPr>
              <w:t>盘点业务:</w:t>
            </w:r>
            <w:r>
              <w:rPr>
                <w:rFonts w:hint="eastAsia" w:cs="仿宋" w:asciiTheme="minorEastAsia" w:hAnsiTheme="minorEastAsia" w:eastAsiaTheme="minorEastAsia"/>
                <w:sz w:val="18"/>
                <w:szCs w:val="18"/>
                <w:highlight w:val="none"/>
              </w:rPr>
              <w:t>一级库房对库存帐、科室帐、资产帐进行盘点。</w:t>
            </w:r>
          </w:p>
          <w:p>
            <w:pPr>
              <w:ind w:firstLine="480"/>
              <w:rPr>
                <w:rFonts w:cs="仿宋" w:asciiTheme="minorEastAsia" w:hAnsiTheme="minorEastAsia" w:eastAsiaTheme="minorEastAsia"/>
                <w:sz w:val="18"/>
                <w:szCs w:val="18"/>
                <w:highlight w:val="none"/>
              </w:rPr>
            </w:pPr>
            <w:r>
              <w:rPr>
                <w:rFonts w:hint="eastAsia" w:asciiTheme="minorEastAsia" w:hAnsiTheme="minorEastAsia" w:eastAsiaTheme="minorEastAsia" w:cstheme="minorEastAsia"/>
                <w:sz w:val="18"/>
                <w:szCs w:val="18"/>
                <w:highlight w:val="none"/>
              </w:rPr>
              <w:t>盘点录入:</w:t>
            </w:r>
            <w:r>
              <w:rPr>
                <w:rFonts w:hint="eastAsia" w:cs="仿宋" w:asciiTheme="minorEastAsia" w:hAnsiTheme="minorEastAsia" w:eastAsiaTheme="minorEastAsia"/>
                <w:sz w:val="18"/>
                <w:szCs w:val="18"/>
                <w:highlight w:val="none"/>
              </w:rPr>
              <w:t>产生盘点录入单据，并根据盘点单自动产生盘点录入单据明细。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库房月结:</w:t>
            </w:r>
            <w:r>
              <w:rPr>
                <w:rFonts w:hint="eastAsia" w:cs="仿宋" w:asciiTheme="minorEastAsia" w:hAnsiTheme="minorEastAsia" w:eastAsiaTheme="minorEastAsia"/>
                <w:sz w:val="18"/>
                <w:szCs w:val="18"/>
                <w:highlight w:val="none"/>
              </w:rPr>
              <w:t>库房月结是对库房库存帐、科室帐、资产帐进行处理和本月数据核对的过程，月结形成本月结存、本月科室帐、本月资产帐。</w:t>
            </w:r>
          </w:p>
          <w:p>
            <w:pPr>
              <w:ind w:firstLine="482"/>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医疗保险接口</w:t>
            </w:r>
          </w:p>
          <w:p>
            <w:pPr>
              <w:ind w:firstLine="480"/>
              <w:rPr>
                <w:sz w:val="18"/>
                <w:szCs w:val="18"/>
                <w:highlight w:val="none"/>
                <w:lang w:eastAsia="zh-Hans"/>
              </w:rPr>
            </w:pPr>
            <w:r>
              <w:rPr>
                <w:rFonts w:hint="eastAsia"/>
                <w:sz w:val="18"/>
                <w:szCs w:val="18"/>
                <w:highlight w:val="none"/>
                <w:lang w:eastAsia="zh-Hans"/>
              </w:rPr>
              <w:t>提供灵活的医保接口，实现费用的全面实时结报。</w:t>
            </w:r>
          </w:p>
          <w:p>
            <w:pPr>
              <w:ind w:firstLine="482"/>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手术费用管理</w:t>
            </w:r>
          </w:p>
          <w:p>
            <w:pPr>
              <w:ind w:firstLine="480"/>
              <w:rPr>
                <w:sz w:val="18"/>
                <w:szCs w:val="18"/>
                <w:highlight w:val="none"/>
                <w:lang w:eastAsia="zh-Hans"/>
              </w:rPr>
            </w:pPr>
            <w:bookmarkStart w:id="330" w:name="_Toc1112910201"/>
            <w:r>
              <w:rPr>
                <w:sz w:val="18"/>
                <w:szCs w:val="18"/>
                <w:highlight w:val="none"/>
                <w:lang w:eastAsia="zh-Hans"/>
              </w:rPr>
              <w:t>科室维护</w:t>
            </w:r>
            <w:bookmarkEnd w:id="330"/>
            <w:r>
              <w:rPr>
                <w:sz w:val="18"/>
                <w:szCs w:val="18"/>
                <w:highlight w:val="none"/>
                <w:lang w:eastAsia="zh-Hans"/>
              </w:rPr>
              <w:t>：</w:t>
            </w:r>
            <w:r>
              <w:rPr>
                <w:rFonts w:hint="eastAsia"/>
                <w:sz w:val="18"/>
                <w:szCs w:val="18"/>
                <w:highlight w:val="none"/>
                <w:lang w:eastAsia="zh-Hans"/>
              </w:rPr>
              <w:t>本功能用于将科室部门，维护定义为手麻科室。</w:t>
            </w:r>
          </w:p>
          <w:p>
            <w:pPr>
              <w:ind w:firstLine="480"/>
              <w:rPr>
                <w:sz w:val="18"/>
                <w:szCs w:val="18"/>
                <w:highlight w:val="none"/>
                <w:lang w:eastAsia="zh-Hans"/>
              </w:rPr>
            </w:pPr>
            <w:bookmarkStart w:id="331" w:name="_Toc99182837"/>
            <w:r>
              <w:rPr>
                <w:sz w:val="18"/>
                <w:szCs w:val="18"/>
                <w:highlight w:val="none"/>
                <w:lang w:eastAsia="zh-Hans"/>
              </w:rPr>
              <w:t>手术编码维护</w:t>
            </w:r>
            <w:bookmarkEnd w:id="331"/>
            <w:r>
              <w:rPr>
                <w:sz w:val="18"/>
                <w:szCs w:val="18"/>
                <w:highlight w:val="none"/>
                <w:lang w:eastAsia="zh-Hans"/>
              </w:rPr>
              <w:t>：</w:t>
            </w:r>
            <w:r>
              <w:rPr>
                <w:rFonts w:hint="eastAsia"/>
                <w:sz w:val="18"/>
                <w:szCs w:val="18"/>
                <w:highlight w:val="none"/>
                <w:lang w:eastAsia="zh-Hans"/>
              </w:rPr>
              <w:t>本功能依据《手术操作分类代码国家临床版3.0》，进行手术编码的维护支持新增、修改、删除。</w:t>
            </w:r>
          </w:p>
          <w:p>
            <w:pPr>
              <w:ind w:firstLine="480"/>
              <w:rPr>
                <w:sz w:val="18"/>
                <w:szCs w:val="18"/>
                <w:highlight w:val="none"/>
                <w:lang w:eastAsia="zh-Hans"/>
              </w:rPr>
            </w:pPr>
            <w:bookmarkStart w:id="332" w:name="_Toc518631387"/>
            <w:r>
              <w:rPr>
                <w:sz w:val="18"/>
                <w:szCs w:val="18"/>
                <w:highlight w:val="none"/>
                <w:lang w:eastAsia="zh-Hans"/>
              </w:rPr>
              <w:t>手术要求维护</w:t>
            </w:r>
            <w:bookmarkEnd w:id="332"/>
            <w:r>
              <w:rPr>
                <w:sz w:val="18"/>
                <w:szCs w:val="18"/>
                <w:highlight w:val="none"/>
                <w:lang w:eastAsia="zh-Hans"/>
              </w:rPr>
              <w:t>：</w:t>
            </w:r>
            <w:r>
              <w:rPr>
                <w:rFonts w:hint="eastAsia"/>
                <w:sz w:val="18"/>
                <w:szCs w:val="18"/>
                <w:highlight w:val="none"/>
                <w:lang w:eastAsia="zh-Hans"/>
              </w:rPr>
              <w:t>本功能模块用于维护手术要求维护和手术注意事项，医生对手术及患者的要求内容书写，为方便医生录入，医生对手术要求进行模板化管理，医生在使用时直接引用，模版可以分为医生级别、科室级别。</w:t>
            </w:r>
          </w:p>
          <w:p>
            <w:pPr>
              <w:ind w:firstLine="480"/>
              <w:rPr>
                <w:sz w:val="18"/>
                <w:szCs w:val="18"/>
                <w:highlight w:val="none"/>
                <w:lang w:eastAsia="zh-Hans"/>
              </w:rPr>
            </w:pPr>
            <w:bookmarkStart w:id="333" w:name="_Toc1598136"/>
            <w:r>
              <w:rPr>
                <w:sz w:val="18"/>
                <w:szCs w:val="18"/>
                <w:highlight w:val="none"/>
                <w:lang w:eastAsia="zh-Hans"/>
              </w:rPr>
              <w:t>手术申请</w:t>
            </w:r>
            <w:bookmarkEnd w:id="333"/>
            <w:r>
              <w:rPr>
                <w:sz w:val="18"/>
                <w:szCs w:val="18"/>
                <w:highlight w:val="none"/>
                <w:lang w:eastAsia="zh-Hans"/>
              </w:rPr>
              <w:t>：</w:t>
            </w:r>
            <w:r>
              <w:rPr>
                <w:rFonts w:hint="eastAsia"/>
                <w:sz w:val="18"/>
                <w:szCs w:val="18"/>
                <w:highlight w:val="none"/>
                <w:lang w:eastAsia="zh-Hans"/>
              </w:rPr>
              <w:t>本功能用于手术申请，可以在住院医生站或手术安排届满发起申请。主要功能包含手术申请</w:t>
            </w:r>
            <w:r>
              <w:rPr>
                <w:rFonts w:hint="eastAsia"/>
                <w:sz w:val="18"/>
                <w:szCs w:val="18"/>
                <w:highlight w:val="none"/>
              </w:rPr>
              <w:t>、</w:t>
            </w:r>
            <w:r>
              <w:rPr>
                <w:rFonts w:hint="eastAsia"/>
                <w:sz w:val="18"/>
                <w:szCs w:val="18"/>
                <w:highlight w:val="none"/>
                <w:lang w:eastAsia="zh-Hans"/>
              </w:rPr>
              <w:t>手术提交、手术申请单查看、手术修改、手术通知单、手术申请患者信息跟随病人住院记录。</w:t>
            </w:r>
          </w:p>
          <w:p>
            <w:pPr>
              <w:ind w:firstLine="480"/>
              <w:rPr>
                <w:sz w:val="18"/>
                <w:szCs w:val="18"/>
                <w:highlight w:val="none"/>
                <w:lang w:eastAsia="zh-Hans"/>
              </w:rPr>
            </w:pPr>
            <w:bookmarkStart w:id="334" w:name="_Toc1090067988"/>
            <w:r>
              <w:rPr>
                <w:sz w:val="18"/>
                <w:szCs w:val="18"/>
                <w:highlight w:val="none"/>
                <w:lang w:eastAsia="zh-Hans"/>
              </w:rPr>
              <w:t>手术安排</w:t>
            </w:r>
            <w:bookmarkEnd w:id="334"/>
            <w:r>
              <w:rPr>
                <w:sz w:val="18"/>
                <w:szCs w:val="18"/>
                <w:highlight w:val="none"/>
                <w:lang w:eastAsia="zh-Hans"/>
              </w:rPr>
              <w:t>：</w:t>
            </w:r>
            <w:r>
              <w:rPr>
                <w:rFonts w:hint="eastAsia"/>
                <w:sz w:val="18"/>
                <w:szCs w:val="18"/>
                <w:highlight w:val="none"/>
                <w:lang w:eastAsia="zh-Hans"/>
              </w:rPr>
              <w:t>对于医生站提交上来的手术申请进行安排，内容显示完成医生站提交的，手术安排前的所有有效记录数，当医生站对手术作废时，手术室需要退回给医生站医生，如果手术已安排要求退回，手术管理取消排班操作，取消排班同时释放手术室已经安排的内容。</w:t>
            </w:r>
          </w:p>
          <w:p>
            <w:pPr>
              <w:ind w:firstLine="480"/>
              <w:rPr>
                <w:sz w:val="18"/>
                <w:szCs w:val="18"/>
                <w:highlight w:val="none"/>
                <w:lang w:eastAsia="zh-Hans"/>
              </w:rPr>
            </w:pPr>
            <w:bookmarkStart w:id="335" w:name="_Toc589681759"/>
            <w:r>
              <w:rPr>
                <w:sz w:val="18"/>
                <w:szCs w:val="18"/>
                <w:highlight w:val="none"/>
                <w:lang w:eastAsia="zh-Hans"/>
              </w:rPr>
              <w:t>手术</w:t>
            </w:r>
            <w:r>
              <w:rPr>
                <w:rFonts w:hint="eastAsia"/>
                <w:sz w:val="18"/>
                <w:szCs w:val="18"/>
                <w:highlight w:val="none"/>
                <w:lang w:eastAsia="zh-Hans"/>
              </w:rPr>
              <w:t>管理</w:t>
            </w:r>
            <w:bookmarkEnd w:id="335"/>
            <w:r>
              <w:rPr>
                <w:rFonts w:hint="eastAsia"/>
                <w:sz w:val="18"/>
                <w:szCs w:val="18"/>
                <w:highlight w:val="none"/>
                <w:lang w:eastAsia="zh-Hans"/>
              </w:rPr>
              <w:t>：</w:t>
            </w:r>
            <w:r>
              <w:rPr>
                <w:sz w:val="18"/>
                <w:szCs w:val="18"/>
                <w:highlight w:val="none"/>
                <w:lang w:eastAsia="zh-Hans"/>
              </w:rPr>
              <w:t>手术管理列表内容是通过手术安排后进入列表，该信息在退回和手术结束后</w:t>
            </w:r>
            <w:r>
              <w:rPr>
                <w:rFonts w:hint="eastAsia"/>
                <w:sz w:val="18"/>
                <w:szCs w:val="18"/>
                <w:highlight w:val="none"/>
              </w:rPr>
              <w:t>不在列表中</w:t>
            </w:r>
            <w:r>
              <w:rPr>
                <w:sz w:val="18"/>
                <w:szCs w:val="18"/>
                <w:highlight w:val="none"/>
                <w:lang w:eastAsia="zh-Hans"/>
              </w:rPr>
              <w:t>显示。手术管理主要处理手术记录内容，辅助医嘱处理及退药处理，可查看申请单和手术安排记录。流程操作中可退回操作，也可等处理完后结束手术操作。</w:t>
            </w:r>
          </w:p>
          <w:p>
            <w:pPr>
              <w:ind w:firstLine="480"/>
              <w:rPr>
                <w:sz w:val="18"/>
                <w:szCs w:val="18"/>
                <w:highlight w:val="none"/>
                <w:lang w:eastAsia="zh-Hans"/>
              </w:rPr>
            </w:pPr>
            <w:bookmarkStart w:id="336" w:name="_Toc144292608"/>
            <w:r>
              <w:rPr>
                <w:rFonts w:hint="eastAsia"/>
                <w:sz w:val="18"/>
                <w:szCs w:val="18"/>
                <w:highlight w:val="none"/>
                <w:lang w:eastAsia="zh-Hans"/>
              </w:rPr>
              <w:t>麻醉管理</w:t>
            </w:r>
            <w:bookmarkEnd w:id="336"/>
            <w:r>
              <w:rPr>
                <w:rFonts w:hint="eastAsia"/>
                <w:sz w:val="18"/>
                <w:szCs w:val="18"/>
                <w:highlight w:val="none"/>
                <w:lang w:eastAsia="zh-Hans"/>
              </w:rPr>
              <w:t>：手术麻醉记录信息是由手术安排中无需手术未选，并已经完成手术安排、麻醉结束前的所有手术记录，其业务内容包含麻醉医嘱、麻醉会诊记录、麻醉记录、麻醉前谈话记录等业务。流程操作中可退回操作，也可等处理完后结束手术操作。</w:t>
            </w:r>
          </w:p>
          <w:p>
            <w:pPr>
              <w:ind w:firstLine="480"/>
              <w:rPr>
                <w:sz w:val="18"/>
                <w:szCs w:val="18"/>
                <w:highlight w:val="none"/>
              </w:rPr>
            </w:pPr>
            <w:bookmarkStart w:id="337" w:name="_Toc616825193"/>
            <w:r>
              <w:rPr>
                <w:sz w:val="18"/>
                <w:szCs w:val="18"/>
                <w:highlight w:val="none"/>
                <w:lang w:eastAsia="zh-Hans"/>
              </w:rPr>
              <w:t>手</w:t>
            </w:r>
            <w:r>
              <w:rPr>
                <w:rFonts w:hint="eastAsia"/>
                <w:sz w:val="18"/>
                <w:szCs w:val="18"/>
                <w:highlight w:val="none"/>
                <w:lang w:eastAsia="zh-Hans"/>
              </w:rPr>
              <w:t>麻结束</w:t>
            </w:r>
            <w:bookmarkEnd w:id="337"/>
            <w:r>
              <w:rPr>
                <w:rFonts w:hint="eastAsia"/>
                <w:sz w:val="18"/>
                <w:szCs w:val="18"/>
                <w:highlight w:val="none"/>
                <w:lang w:eastAsia="zh-Hans"/>
              </w:rPr>
              <w:t>：手麻结束列表显示已经全部执行完成，手术麻醉结束需要手术执行结束，麻醉执行结束，表示手术与麻醉管理业务全部终结，自动完成手术麻醉结束标志。</w:t>
            </w:r>
            <w:r>
              <w:rPr>
                <w:rFonts w:hint="eastAsia"/>
                <w:sz w:val="18"/>
                <w:szCs w:val="18"/>
                <w:highlight w:val="none"/>
              </w:rPr>
              <w:t>如果要</w:t>
            </w:r>
            <w:r>
              <w:rPr>
                <w:rFonts w:hint="eastAsia"/>
                <w:sz w:val="18"/>
                <w:szCs w:val="18"/>
                <w:highlight w:val="none"/>
                <w:lang w:eastAsia="zh-Hans"/>
              </w:rPr>
              <w:t>重新修改手术麻醉中的业务记录，必须取消手术结束标志允许</w:t>
            </w:r>
            <w:r>
              <w:rPr>
                <w:rFonts w:hint="eastAsia" w:ascii="宋体" w:hAnsi="宋体"/>
                <w:kern w:val="0"/>
                <w:sz w:val="18"/>
                <w:szCs w:val="18"/>
                <w:highlight w:val="none"/>
                <w:lang w:eastAsia="zh-Hans"/>
              </w:rPr>
              <w:t>修改手术记录或者取消麻醉结束标志允许修改麻醉记录。当没有麻醉科室时，不需要开放</w:t>
            </w:r>
            <w:r>
              <w:rPr>
                <w:rFonts w:hint="eastAsia" w:ascii="宋体" w:hAnsi="宋体"/>
                <w:kern w:val="0"/>
                <w:sz w:val="18"/>
                <w:szCs w:val="18"/>
                <w:highlight w:val="none"/>
              </w:rPr>
              <w:t>该</w:t>
            </w:r>
            <w:r>
              <w:rPr>
                <w:rFonts w:hint="eastAsia" w:ascii="宋体" w:hAnsi="宋体"/>
                <w:kern w:val="0"/>
                <w:sz w:val="18"/>
                <w:szCs w:val="18"/>
                <w:highlight w:val="none"/>
                <w:lang w:eastAsia="zh-Hans"/>
              </w:rPr>
              <w:t>功能，只需要取消手术结束标志就同时修改三个标志。出院患者必须以手术麻醉结束标志判断该手术是否结束。</w:t>
            </w:r>
          </w:p>
          <w:p>
            <w:pPr>
              <w:ind w:firstLine="482"/>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医技科室管理</w:t>
            </w:r>
          </w:p>
          <w:p>
            <w:pPr>
              <w:ind w:firstLine="480"/>
              <w:rPr>
                <w:sz w:val="18"/>
                <w:szCs w:val="18"/>
                <w:highlight w:val="none"/>
              </w:rPr>
            </w:pPr>
            <w:bookmarkStart w:id="338" w:name="_Toc231822169"/>
            <w:r>
              <w:rPr>
                <w:sz w:val="18"/>
                <w:szCs w:val="18"/>
                <w:highlight w:val="none"/>
              </w:rPr>
              <w:t>医技待执行</w:t>
            </w:r>
            <w:bookmarkEnd w:id="338"/>
            <w:r>
              <w:rPr>
                <w:sz w:val="18"/>
                <w:szCs w:val="18"/>
                <w:highlight w:val="none"/>
              </w:rPr>
              <w:t>：</w:t>
            </w:r>
            <w:r>
              <w:rPr>
                <w:rFonts w:hint="eastAsia"/>
                <w:sz w:val="18"/>
                <w:szCs w:val="18"/>
                <w:highlight w:val="none"/>
              </w:rPr>
              <w:t>针对</w:t>
            </w:r>
            <w:r>
              <w:rPr>
                <w:sz w:val="18"/>
                <w:szCs w:val="18"/>
                <w:highlight w:val="none"/>
              </w:rPr>
              <w:t>收费完成的医技项目进行执行确认功能</w:t>
            </w:r>
            <w:r>
              <w:rPr>
                <w:rFonts w:hint="eastAsia"/>
                <w:sz w:val="18"/>
                <w:szCs w:val="18"/>
                <w:highlight w:val="none"/>
              </w:rPr>
              <w:t>。</w:t>
            </w:r>
          </w:p>
          <w:p>
            <w:pPr>
              <w:ind w:firstLine="480"/>
              <w:rPr>
                <w:sz w:val="18"/>
                <w:szCs w:val="18"/>
                <w:highlight w:val="none"/>
              </w:rPr>
            </w:pPr>
            <w:bookmarkStart w:id="339" w:name="_Toc699858725"/>
            <w:r>
              <w:rPr>
                <w:sz w:val="18"/>
                <w:szCs w:val="18"/>
                <w:highlight w:val="none"/>
              </w:rPr>
              <w:t>医技已执行</w:t>
            </w:r>
            <w:bookmarkEnd w:id="339"/>
            <w:r>
              <w:rPr>
                <w:sz w:val="18"/>
                <w:szCs w:val="18"/>
                <w:highlight w:val="none"/>
              </w:rPr>
              <w:t>：</w:t>
            </w:r>
            <w:r>
              <w:rPr>
                <w:rFonts w:hint="eastAsia"/>
                <w:sz w:val="18"/>
                <w:szCs w:val="18"/>
                <w:highlight w:val="none"/>
              </w:rPr>
              <w:t>针对</w:t>
            </w:r>
            <w:r>
              <w:rPr>
                <w:sz w:val="18"/>
                <w:szCs w:val="18"/>
                <w:highlight w:val="none"/>
              </w:rPr>
              <w:t>确认执行完成的医技项目提供结果报告录入功能</w:t>
            </w:r>
            <w:r>
              <w:rPr>
                <w:rFonts w:hint="eastAsia"/>
                <w:sz w:val="18"/>
                <w:szCs w:val="18"/>
                <w:highlight w:val="none"/>
              </w:rPr>
              <w:t>。</w:t>
            </w:r>
          </w:p>
          <w:p>
            <w:pPr>
              <w:ind w:firstLine="482"/>
              <w:rPr>
                <w:rFonts w:asciiTheme="minorEastAsia" w:hAnsiTheme="minorEastAsia" w:eastAsiaTheme="minorEastAsia" w:cstheme="minorEastAsia"/>
                <w:b/>
                <w:sz w:val="18"/>
                <w:szCs w:val="18"/>
                <w:highlight w:val="none"/>
              </w:rPr>
            </w:pPr>
            <w:r>
              <w:rPr>
                <w:rFonts w:hint="eastAsia" w:asciiTheme="minorEastAsia" w:hAnsiTheme="minorEastAsia" w:eastAsiaTheme="minorEastAsia" w:cstheme="minorEastAsia"/>
                <w:b/>
                <w:sz w:val="18"/>
                <w:szCs w:val="18"/>
                <w:highlight w:val="none"/>
              </w:rPr>
              <w:t>家庭病床管理</w:t>
            </w:r>
          </w:p>
          <w:p>
            <w:pPr>
              <w:pStyle w:val="112"/>
              <w:numPr>
                <w:ilvl w:val="255"/>
                <w:numId w:val="0"/>
              </w:numPr>
              <w:spacing w:line="240" w:lineRule="auto"/>
              <w:ind w:firstLine="360" w:firstLineChars="200"/>
              <w:rPr>
                <w:rFonts w:ascii="宋体" w:hAnsi="宋体" w:cs="宋体"/>
                <w:color w:val="000000"/>
                <w:kern w:val="0"/>
                <w:sz w:val="18"/>
                <w:szCs w:val="18"/>
                <w:highlight w:val="none"/>
                <w:lang w:bidi="ar"/>
              </w:rPr>
            </w:pPr>
            <w:r>
              <w:rPr>
                <w:rFonts w:hint="eastAsia" w:ascii="宋体" w:hAnsi="宋体" w:cs="仿宋_GB2312"/>
                <w:sz w:val="18"/>
                <w:szCs w:val="18"/>
                <w:highlight w:val="none"/>
              </w:rPr>
              <w:t>结合政策法规要求，支持开展家庭病床服务流程的信息化功能。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诊间支付</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宋体" w:hAnsi="宋体" w:cs="宋体"/>
                <w:color w:val="000000"/>
                <w:kern w:val="0"/>
                <w:sz w:val="18"/>
                <w:szCs w:val="18"/>
                <w:highlight w:val="none"/>
                <w:lang w:bidi="ar"/>
              </w:rPr>
            </w:pPr>
            <w:r>
              <w:rPr>
                <w:rFonts w:hint="eastAsia" w:ascii="宋体" w:hAnsi="宋体" w:cs="宋体"/>
                <w:bCs/>
                <w:kern w:val="0"/>
                <w:sz w:val="18"/>
                <w:szCs w:val="18"/>
                <w:highlight w:val="none"/>
                <w:lang w:bidi="ar"/>
              </w:rPr>
              <w:tab/>
            </w:r>
            <w:r>
              <w:rPr>
                <w:rFonts w:hint="eastAsia" w:ascii="宋体" w:hAnsi="宋体" w:cs="宋体"/>
                <w:color w:val="000000"/>
                <w:kern w:val="0"/>
                <w:sz w:val="18"/>
                <w:szCs w:val="18"/>
                <w:highlight w:val="none"/>
                <w:lang w:bidi="ar"/>
              </w:rPr>
              <w:t>支持用户对门诊待支付项目进行查询，方便用户选择待支付项目进行诊间支付，支持支付宝、微信、银联等第三方支付与掌上储值账户支付。同时支持对已支付项目进行查询，便于用户掌握自己的支付历史情况，在移动端应用生成业务信息条码，并引导用户到相应窗口执行下一步操作，包括检查取药在内的流程，都可以通过扫码对信息进行识别。医护人员扫描条形码完成业务操作的核对及记录。</w:t>
            </w:r>
          </w:p>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在医保开通线上脱卡支付相关政策后，能够完成结合医保的线上支付。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left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病区结算系统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2"/>
              <w:spacing w:line="240" w:lineRule="auto"/>
              <w:ind w:firstLine="36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病区结算系统是指医院为了方便病人结算医疗费用而开发的一种系统。通过这个系统，病人可以在病区内直接结算医疗费用，避免了繁琐的跑医院、排队缴费等流程提高了医疗服务的效率和质量。</w:t>
            </w:r>
          </w:p>
          <w:p>
            <w:pPr>
              <w:pStyle w:val="112"/>
              <w:spacing w:line="240" w:lineRule="auto"/>
              <w:ind w:firstLine="36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该系统主要功能包括医疗费用计算医疗费用结算、医保报销、费用管理和数据分析等方面。它可以提高医院的收费效率、降低医疗服务成本、方便病人的就医体验，是一种非常实用的医院管理信息系统。</w:t>
            </w:r>
          </w:p>
          <w:p>
            <w:pPr>
              <w:pStyle w:val="112"/>
              <w:spacing w:line="240" w:lineRule="auto"/>
              <w:ind w:firstLine="36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医疗费用计算:根据医保、社保等政策规定，对病人的医疗费用进行自动计算，并生成结算单据。</w:t>
            </w:r>
          </w:p>
          <w:p>
            <w:pPr>
              <w:pStyle w:val="112"/>
              <w:spacing w:line="240" w:lineRule="auto"/>
              <w:ind w:firstLine="36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医疗费用结算:病人可以使用自己的医保卡或者现金等方式在病区内直接结算医疗费用，无需到医院财务部门排队缴费。</w:t>
            </w:r>
          </w:p>
          <w:p>
            <w:pPr>
              <w:pStyle w:val="112"/>
              <w:spacing w:line="240" w:lineRule="auto"/>
              <w:ind w:firstLine="36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医保报销:系统自动将病人的医疗费用信息传输给医保部门，协助病人进行医保报销。</w:t>
            </w:r>
          </w:p>
          <w:p>
            <w:pPr>
              <w:pStyle w:val="112"/>
              <w:spacing w:line="240" w:lineRule="auto"/>
              <w:ind w:firstLine="36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费用管理:系统对医院的收费信息进行管理，包括对医疗服务项目的收费标准、费用清单的维护等。</w:t>
            </w:r>
          </w:p>
          <w:p>
            <w:pPr>
              <w:pStyle w:val="112"/>
              <w:spacing w:line="240" w:lineRule="auto"/>
              <w:ind w:firstLine="36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数据分析:系统根据病人的医疗费用信息，生成相关的统计报表，帮助医院管理人员了解医疗服务的情况，并对医院的经营管理进行指导。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医保电子凭证全场景应用</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2"/>
              <w:spacing w:line="240" w:lineRule="auto"/>
              <w:ind w:firstLine="36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医保电子凭证是指通过电子化手段，将病人的医保卡信息、医疗费用信息等转化为电子凭证，实现病人在线预约、在线结算、在线报销等全场景的医保服务。</w:t>
            </w:r>
          </w:p>
          <w:p>
            <w:pPr>
              <w:pStyle w:val="112"/>
              <w:spacing w:line="240" w:lineRule="auto"/>
              <w:ind w:firstLine="36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医保电子凭证全场景应用服务，主要包括以下几个方面:在线预约、在线挂号、在线结算、在线报销、在线查询。</w:t>
            </w:r>
          </w:p>
          <w:p>
            <w:pPr>
              <w:pStyle w:val="112"/>
              <w:numPr>
                <w:ilvl w:val="0"/>
                <w:numId w:val="12"/>
              </w:numPr>
              <w:spacing w:line="240" w:lineRule="auto"/>
              <w:ind w:firstLine="360"/>
              <w:rPr>
                <w:rFonts w:ascii="宋体" w:hAnsi="宋体" w:cs="仿宋_GB2312"/>
                <w:sz w:val="18"/>
                <w:szCs w:val="18"/>
                <w:highlight w:val="none"/>
              </w:rPr>
            </w:pPr>
            <w:r>
              <w:rPr>
                <w:rFonts w:ascii="宋体" w:hAnsi="宋体" w:cs="仿宋_GB2312"/>
                <w:sz w:val="18"/>
                <w:szCs w:val="18"/>
                <w:highlight w:val="none"/>
              </w:rPr>
              <w:t>在线预约:病人可以通过手机等</w:t>
            </w:r>
            <w:r>
              <w:rPr>
                <w:rFonts w:hint="eastAsia" w:ascii="宋体" w:hAnsi="宋体" w:cs="仿宋_GB2312"/>
                <w:sz w:val="18"/>
                <w:szCs w:val="18"/>
                <w:highlight w:val="none"/>
              </w:rPr>
              <w:t>移动</w:t>
            </w:r>
            <w:r>
              <w:rPr>
                <w:rFonts w:ascii="宋体" w:hAnsi="宋体" w:cs="仿宋_GB2312"/>
                <w:sz w:val="18"/>
                <w:szCs w:val="18"/>
                <w:highlight w:val="none"/>
              </w:rPr>
              <w:t>设备，在线查询医院的预约情况，并进行在线预约，无需到医院排队预约，方便快捷。</w:t>
            </w:r>
          </w:p>
          <w:p>
            <w:pPr>
              <w:pStyle w:val="112"/>
              <w:numPr>
                <w:ilvl w:val="0"/>
                <w:numId w:val="12"/>
              </w:numPr>
              <w:spacing w:line="240" w:lineRule="auto"/>
              <w:ind w:firstLine="360"/>
              <w:rPr>
                <w:rFonts w:ascii="宋体" w:hAnsi="宋体" w:cs="仿宋_GB2312"/>
                <w:sz w:val="18"/>
                <w:szCs w:val="18"/>
                <w:highlight w:val="none"/>
              </w:rPr>
            </w:pPr>
            <w:r>
              <w:rPr>
                <w:rFonts w:ascii="宋体" w:hAnsi="宋体" w:cs="仿宋_GB2312"/>
                <w:sz w:val="18"/>
                <w:szCs w:val="18"/>
                <w:highlight w:val="none"/>
              </w:rPr>
              <w:t>在线挂号:病人可以通过医保电子凭证，在线预约挂号，并通过线上支付医疗费用，无需到医院排队挂号和缴费方便快捷。</w:t>
            </w:r>
          </w:p>
          <w:p>
            <w:pPr>
              <w:pStyle w:val="112"/>
              <w:numPr>
                <w:ilvl w:val="0"/>
                <w:numId w:val="12"/>
              </w:numPr>
              <w:spacing w:line="240" w:lineRule="auto"/>
              <w:ind w:firstLine="360"/>
              <w:rPr>
                <w:rFonts w:ascii="宋体" w:hAnsi="宋体" w:cs="仿宋_GB2312"/>
                <w:sz w:val="18"/>
                <w:szCs w:val="18"/>
                <w:highlight w:val="none"/>
              </w:rPr>
            </w:pPr>
            <w:r>
              <w:rPr>
                <w:rFonts w:ascii="宋体" w:hAnsi="宋体" w:cs="仿宋_GB2312"/>
                <w:sz w:val="18"/>
                <w:szCs w:val="18"/>
                <w:highlight w:val="none"/>
              </w:rPr>
              <w:t>在线结算:病人可以通过医保电子凭证，在病区内直接结算医疗费用，无需到医院财务部门排队缴费，方便快捷</w:t>
            </w:r>
            <w:r>
              <w:rPr>
                <w:rFonts w:hint="eastAsia" w:ascii="宋体" w:hAnsi="宋体" w:cs="仿宋_GB2312"/>
                <w:sz w:val="18"/>
                <w:szCs w:val="18"/>
                <w:highlight w:val="none"/>
              </w:rPr>
              <w:t>。</w:t>
            </w:r>
          </w:p>
          <w:p>
            <w:pPr>
              <w:pStyle w:val="112"/>
              <w:numPr>
                <w:ilvl w:val="0"/>
                <w:numId w:val="12"/>
              </w:numPr>
              <w:spacing w:line="240" w:lineRule="auto"/>
              <w:ind w:firstLine="360"/>
              <w:rPr>
                <w:rFonts w:ascii="宋体" w:hAnsi="宋体" w:cs="仿宋_GB2312"/>
                <w:sz w:val="18"/>
                <w:szCs w:val="18"/>
                <w:highlight w:val="none"/>
              </w:rPr>
            </w:pPr>
            <w:r>
              <w:rPr>
                <w:rFonts w:ascii="宋体" w:hAnsi="宋体" w:cs="仿宋_GB2312"/>
                <w:sz w:val="18"/>
                <w:szCs w:val="18"/>
                <w:highlight w:val="none"/>
              </w:rPr>
              <w:t>在线报销:病人可以通过医保电子凭证，在线提交报销申请，无需到医院窗口排队等待，方便快捷。</w:t>
            </w:r>
          </w:p>
          <w:p>
            <w:pPr>
              <w:pStyle w:val="112"/>
              <w:numPr>
                <w:ilvl w:val="0"/>
                <w:numId w:val="12"/>
              </w:numPr>
              <w:spacing w:line="240" w:lineRule="auto"/>
              <w:ind w:firstLine="360"/>
              <w:rPr>
                <w:rFonts w:ascii="宋体" w:hAnsi="宋体" w:cs="宋体"/>
                <w:color w:val="000000"/>
                <w:kern w:val="0"/>
                <w:sz w:val="18"/>
                <w:szCs w:val="18"/>
                <w:highlight w:val="none"/>
                <w:lang w:bidi="ar"/>
              </w:rPr>
            </w:pPr>
            <w:r>
              <w:rPr>
                <w:rFonts w:ascii="宋体" w:hAnsi="宋体" w:cs="仿宋_GB2312"/>
                <w:sz w:val="18"/>
                <w:szCs w:val="18"/>
                <w:highlight w:val="none"/>
              </w:rPr>
              <w:t>在线查询:病人可以通过医保电子凭证，在线查询个人的医保信息、医疗费用信息等，随时掌握自己的医保情况。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LIS</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仪器通信管理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将所有仪器设备网络打通至基层公卫LIS平。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检验申请</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1.开电子申请单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申请单模块按检验专业分布把各类检验单分组排布，医生在选定分组后只能选择分组内的项目，避免由于不合适的项目出现在一张单子上造成无法分标本的问题。</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项目选择允许组项和单项同时进行，系统能够自动过滤重复项目。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2.查看申请单执行状态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在申请单模块，医生可以看到当前患者的全部检验申请单，按日期、专业显示为树形，直观方便，并用不同图标标明申请单的执行状态，如为报告已发，则可以打开浏览报告。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3.查看检验报告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申请单模块同时提供当前患者全部检验报告的浏览功能，并可对具体项目进行历史对比，显示变化曲线。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标本管理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支持标本采集、接收、检测、报告单发布全流程信息化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危急值预警及回报</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支持审核范围类型和范围判断（危急值类型判断、仪器报警信息、极限值高低）等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检验前</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样本采集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159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检验中</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样本接受与检测结果等级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检验后</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报告单发布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质控系统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检验过程管理功能，包括检验申请、标本采集管理、标本核收、标本重做、无主标本处理、结果填写及报告审核等功能，以及各类检验数据的分析统计，提高工作效率，并使检验信息存储和管理更加简捷、完善。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PACS</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病人登记分诊系统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病人预约：执行患者预约登录和检查时间的预约安排，提供预约列表进行预约病人管理；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病人登录：影像检查前，患者基本信息和检查相关信息的录入；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登记方式：支持多种方式输入，多台登记终端生成唯一的ID号；</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获取申请单：在实现电子申请单的情况下，从HIS系统中获取电子申请单；在没有实现电子申请单的情况下，可扫描纸介质的原始申请单，和病人信息一并存档；</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病人管理：提供查询、修改、删除、合并病人信息，所有相关操作的关键信息提供追溯和有痕修改功能；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支持打印：提供自动打印条码以供胶片识别，提供报告集中打印和报告发放管理等。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影像医技工作站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工作站符合DICOM3协议标准，是影像科医生进行阅片、诊断的主要模块。系统功能如下：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可以设置一组特定的信息作为过滤器来查询存档数据库，产生工作列表，工作列表可以以病人、检查、序列和影像四个层次提供信息；</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工作列表的病人选择和影像浏览器中的病人信息是同步的，工作列表浏览界面可以提供快捷的过滤器设置和影像布局方式的选择；</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用户可以在数据库中设置和存储快捷键；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可依照用户个人习惯设定个性化Hanging Protocol，并存储于服务器中；</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具有完善的Hanging Protocol设定；</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用户可以指定浏览窗口的数量、影像叠加类型的可见性；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挂片协议可以在影像浏览或者工作列表显示中选择，每种类型的检查可以分配一个默认的挂片协议；</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影像的附加信息可以通过影像的叠加方式显示。叠加可以以信息的类型来分类；</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参考线（定位线）可以在相关影像上显示，用来定位和识别这个影像与另一个视图中相关影像的关系；</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具有基本影像处理功能如Zoom、Pan、Inverse、Fit等；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在从服务器调用影像的同时可以处理影像；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用户可以通过键盘、鼠标和鼠标的滚轮在序列和影像中自由浏览；</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用户可以用JPG、BMP、PNG、GIF和TIFF 格式文件保存影像-；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用户可以使用WINDOWS 和DICOM打印机打印影像；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DICOM影像可以复制到其它的存储服务器上；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影像诊断工作站具有DICOM对象的导入和导出的功能。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影像采集工作站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基于DICOM3.0协议与非DICOM协议的采集系统，获取各种影像设备的影像数据。影像采集工作站收到确认病人申请单后，进行影像采集，并在PACS系统中获取病人历史影像，以便对照诊断使用。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72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放射影像诊断报告系统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诊断报告</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支持所见所得报告书写；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支持报告模板自定义；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支持特殊字符、常用词条快速引用；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支持撤销修改功能；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支持描述模板引用、新建、删除、修改；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记录报告质控控制，如阴阳性、危急值、影像质控；</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支持同时打开多个患者报告进行对比；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支持历史报告关联，包含放射、超声、内镜等历史报告的关联；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支持查看历史报告，可复制历史报告内容；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支持加载历史检查的影像；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支持查看报告修改历史，可进行修改前后的检查描述、诊断意见的对比；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支持报告打印、预览。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胶片打印输出系统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支持影像放大、窗宽窗位调节、影像旋转翻页、影像同步、伪彩、滤波处理、影像遮板、影像增强、影像重建；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支持距离测量、角度测量、面积测量、CT值测量、心胸比测量、文本标注；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支持页面布局、影像平铺、序列显示、定位线显示、其他信息显示、影像对比显示、影像播放、恢复显示、特殊显示。</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支持打印图像布局，可进行拆分、合并、复制、裁剪等；</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支持一个患者多次检查或多个患者检查图像对比；</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支持图像导出为BMP、JPG、DICOM等多个格式；</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支持图像导入；</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支持DICOM传输、接收、查询检索。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云心电系统</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采集工作站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心电设备网络化连接：系统支持将动态心电、运动心电、数字心电图机等心电检查设备连入网络实现全部心电检查的网络化。采用数字心电图接口技术，将心电图机数据转换成标准通用心电图数据，发送到心电中心服务器，实现全院医生临床web浏览。</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2）便携心电检查仪：为便携式十二导心电图检查设备，适合于床旁心电图检查。支持心电图采集、存储、回放与传输功能。它特有的无线传输技术，使得病房心电图可快速的发回心电图室。解决了床旁心电图只能全部检查完成后再集中报告的流程，实现边检查边报告，提高工作效率。并且检查者可以是护士或实习医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分析诊断工作站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诊断工作站是专业心电医生根据心电设备采集的数据进行专业分析诊断的工具。具体功能要求如下：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心电检查数据到达即时提醒功能。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病历列表。显示所有的心电图病历，按检查时间顺序排列。</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心电图分析功能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编写报告功能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报告打印功能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远程会诊功能</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结果发布</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病例管理</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数据统计工作站</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数据统计工作站为区域内各医疗机构和区域管理人员提供检查数据的查询和统计功能。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169</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管理工作站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管理工作站主要是区域心电信息系统的人员管理和基础数据字典的管理。管理工作站功能要求如下：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（1）对于用户按职能进行分组，实现对心电图数据的分级，分科室权限管理，分机构设定录入、采集、报告书写、报告审核、报告浏览权限。</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（2）基础数据字典应包括心电类型，检查项目，病人类型，性别，常用词库，诊断模板，报告模板等。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170</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医生端浏览工作站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医生端浏览工作站是给临床医生提供浏览心电图报告及心电波形的工具。具体功能要求如下：</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医生端浏览工作站可嵌入到门诊医生工作站、住院医生工作站和电子病历系统中去。</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医生端浏览工作站直接浏览心电图报告及心电波形。</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医生端浏览工作站可进行在线波形分析、处理、测量功能。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24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171</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EMR</w:t>
            </w: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用户管理</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360" w:firstLineChars="200"/>
              <w:jc w:val="left"/>
              <w:textAlignment w:val="bottom"/>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建立用户管理体系，管理维护各系统中的角色以及角色对应的系统和策略，用户通过角色与权限策略实现关联，以实现系统中各用户的权限配置和管理。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172</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住院医生工作站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sz w:val="18"/>
                <w:szCs w:val="18"/>
                <w:highlight w:val="none"/>
              </w:rPr>
            </w:pPr>
            <w:bookmarkStart w:id="340" w:name="_Toc1931885512"/>
            <w:r>
              <w:rPr>
                <w:sz w:val="18"/>
                <w:szCs w:val="18"/>
                <w:highlight w:val="none"/>
              </w:rPr>
              <w:t>患者管理</w:t>
            </w:r>
            <w:bookmarkEnd w:id="340"/>
            <w:r>
              <w:rPr>
                <w:sz w:val="18"/>
                <w:szCs w:val="18"/>
                <w:highlight w:val="none"/>
              </w:rPr>
              <w:t>：</w:t>
            </w:r>
            <w:r>
              <w:rPr>
                <w:rFonts w:hint="eastAsia"/>
                <w:sz w:val="18"/>
                <w:szCs w:val="18"/>
                <w:highlight w:val="none"/>
              </w:rPr>
              <w:t>本模块通过床位展示或者列表展示方式显示当前医生下的病人信息，为医生提供医嘱处理、体温单、帐卡、出院证、病人信息管理。医生在医生站录入的医嘱需提交至护士站，再由护士进行后续的处理。</w:t>
            </w:r>
          </w:p>
          <w:p>
            <w:pPr>
              <w:ind w:firstLine="480"/>
              <w:rPr>
                <w:sz w:val="18"/>
                <w:szCs w:val="18"/>
                <w:highlight w:val="none"/>
              </w:rPr>
            </w:pPr>
            <w:bookmarkStart w:id="341" w:name="_Toc1394541191"/>
            <w:r>
              <w:rPr>
                <w:rFonts w:hint="eastAsia"/>
                <w:sz w:val="18"/>
                <w:szCs w:val="18"/>
                <w:highlight w:val="none"/>
              </w:rPr>
              <w:t>医嘱处理</w:t>
            </w:r>
            <w:bookmarkEnd w:id="341"/>
            <w:r>
              <w:rPr>
                <w:rFonts w:hint="eastAsia"/>
                <w:sz w:val="18"/>
                <w:szCs w:val="18"/>
                <w:highlight w:val="none"/>
              </w:rPr>
              <w:t>：本模块用于处理病人的医嘱，医嘱可以由医生从医生站录入后提交至护士站，也可直接在护士站录入。再由护士对医嘱进行后续处理，包括医嘱复核、取消复核、医嘱退回、药品医嘱提交、医技项目提交、病区项目执行、长期医嘱停嘱。</w:t>
            </w:r>
          </w:p>
          <w:p>
            <w:pPr>
              <w:ind w:firstLine="480"/>
              <w:rPr>
                <w:rFonts w:ascii="宋体" w:hAnsi="宋体" w:cs="宋体"/>
                <w:bCs/>
                <w:kern w:val="0"/>
                <w:sz w:val="18"/>
                <w:szCs w:val="18"/>
                <w:highlight w:val="none"/>
                <w:lang w:bidi="ar"/>
              </w:rPr>
            </w:pPr>
            <w:bookmarkStart w:id="342" w:name="_Toc417273779"/>
            <w:r>
              <w:rPr>
                <w:rFonts w:hint="eastAsia"/>
                <w:sz w:val="18"/>
                <w:szCs w:val="18"/>
                <w:highlight w:val="none"/>
              </w:rPr>
              <w:t>医疗文书</w:t>
            </w:r>
            <w:bookmarkEnd w:id="342"/>
            <w:r>
              <w:rPr>
                <w:rFonts w:hint="eastAsia"/>
                <w:sz w:val="18"/>
                <w:szCs w:val="18"/>
                <w:highlight w:val="none"/>
              </w:rPr>
              <w:t>：本功能为住院</w:t>
            </w:r>
            <w:r>
              <w:rPr>
                <w:rFonts w:hint="eastAsia" w:asciiTheme="minorEastAsia" w:hAnsiTheme="minorEastAsia" w:eastAsiaTheme="minorEastAsia" w:cstheme="minorEastAsia"/>
                <w:sz w:val="18"/>
                <w:szCs w:val="18"/>
                <w:highlight w:val="none"/>
              </w:rPr>
              <w:t>医生</w:t>
            </w:r>
            <w:r>
              <w:rPr>
                <w:rFonts w:hint="eastAsia"/>
                <w:sz w:val="18"/>
                <w:szCs w:val="18"/>
                <w:highlight w:val="none"/>
              </w:rPr>
              <w:t>提供查看病人对应医疗文书，包括体温单、风险评估、护理文书，掌握病人住院全流程的基本体征状况。</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173</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门诊医生工作站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sz w:val="18"/>
                <w:szCs w:val="18"/>
                <w:highlight w:val="none"/>
              </w:rPr>
            </w:pPr>
            <w:bookmarkStart w:id="343" w:name="_Toc1984135427"/>
            <w:r>
              <w:rPr>
                <w:sz w:val="18"/>
                <w:szCs w:val="18"/>
                <w:highlight w:val="none"/>
              </w:rPr>
              <w:t>医生工作站</w:t>
            </w:r>
            <w:bookmarkEnd w:id="343"/>
            <w:r>
              <w:rPr>
                <w:sz w:val="18"/>
                <w:szCs w:val="18"/>
                <w:highlight w:val="none"/>
              </w:rPr>
              <w:t>：</w:t>
            </w:r>
            <w:r>
              <w:rPr>
                <w:rFonts w:hint="eastAsia"/>
                <w:sz w:val="18"/>
                <w:szCs w:val="18"/>
                <w:highlight w:val="none"/>
              </w:rPr>
              <w:t>针对</w:t>
            </w:r>
            <w:r>
              <w:rPr>
                <w:sz w:val="18"/>
                <w:szCs w:val="18"/>
                <w:highlight w:val="none"/>
              </w:rPr>
              <w:t>村医可以进行患者接诊，对接电子病历、诊断录入、处方</w:t>
            </w:r>
            <w:r>
              <w:rPr>
                <w:rFonts w:hint="eastAsia"/>
                <w:sz w:val="18"/>
                <w:szCs w:val="18"/>
                <w:highlight w:val="none"/>
              </w:rPr>
              <w:t>开具</w:t>
            </w:r>
            <w:r>
              <w:rPr>
                <w:sz w:val="18"/>
                <w:szCs w:val="18"/>
                <w:highlight w:val="none"/>
              </w:rPr>
              <w:t>、处置</w:t>
            </w:r>
            <w:r>
              <w:rPr>
                <w:rFonts w:hint="eastAsia"/>
                <w:sz w:val="18"/>
                <w:szCs w:val="18"/>
                <w:highlight w:val="none"/>
              </w:rPr>
              <w:t>开具</w:t>
            </w:r>
            <w:r>
              <w:rPr>
                <w:sz w:val="18"/>
                <w:szCs w:val="18"/>
                <w:highlight w:val="none"/>
              </w:rPr>
              <w:t>、医卫协同等功能</w:t>
            </w:r>
            <w:r>
              <w:rPr>
                <w:rFonts w:hint="eastAsia"/>
                <w:sz w:val="18"/>
                <w:szCs w:val="18"/>
                <w:highlight w:val="none"/>
              </w:rPr>
              <w:t>。</w:t>
            </w:r>
          </w:p>
          <w:p>
            <w:pPr>
              <w:ind w:firstLine="480"/>
              <w:rPr>
                <w:sz w:val="18"/>
                <w:szCs w:val="18"/>
                <w:highlight w:val="none"/>
              </w:rPr>
            </w:pPr>
            <w:bookmarkStart w:id="344" w:name="_Toc1238050973"/>
            <w:r>
              <w:rPr>
                <w:sz w:val="18"/>
                <w:szCs w:val="18"/>
                <w:highlight w:val="none"/>
              </w:rPr>
              <w:t>就诊历史查询</w:t>
            </w:r>
            <w:bookmarkEnd w:id="344"/>
            <w:r>
              <w:rPr>
                <w:sz w:val="18"/>
                <w:szCs w:val="18"/>
                <w:highlight w:val="none"/>
              </w:rPr>
              <w:t>：</w:t>
            </w:r>
            <w:r>
              <w:rPr>
                <w:rFonts w:hint="eastAsia"/>
                <w:sz w:val="18"/>
                <w:szCs w:val="18"/>
                <w:highlight w:val="none"/>
              </w:rPr>
              <w:t>针对</w:t>
            </w:r>
            <w:r>
              <w:rPr>
                <w:sz w:val="18"/>
                <w:szCs w:val="18"/>
                <w:highlight w:val="none"/>
              </w:rPr>
              <w:t>机构下已就诊的病人就诊历史记录提供查询功能，分别按照处方、处置、病历打印的功能</w:t>
            </w:r>
            <w:r>
              <w:rPr>
                <w:rFonts w:hint="eastAsia"/>
                <w:sz w:val="18"/>
                <w:szCs w:val="18"/>
                <w:highlight w:val="none"/>
              </w:rPr>
              <w:t>。</w:t>
            </w:r>
          </w:p>
          <w:p>
            <w:pPr>
              <w:ind w:firstLine="480"/>
              <w:rPr>
                <w:sz w:val="18"/>
                <w:szCs w:val="18"/>
                <w:highlight w:val="none"/>
              </w:rPr>
            </w:pPr>
            <w:bookmarkStart w:id="345" w:name="_Toc953647428"/>
            <w:r>
              <w:rPr>
                <w:sz w:val="18"/>
                <w:szCs w:val="18"/>
                <w:highlight w:val="none"/>
              </w:rPr>
              <w:t>患者管理</w:t>
            </w:r>
            <w:bookmarkEnd w:id="345"/>
            <w:r>
              <w:rPr>
                <w:sz w:val="18"/>
                <w:szCs w:val="18"/>
                <w:highlight w:val="none"/>
              </w:rPr>
              <w:t>：</w:t>
            </w:r>
            <w:r>
              <w:rPr>
                <w:rFonts w:hint="eastAsia"/>
                <w:sz w:val="18"/>
                <w:szCs w:val="18"/>
                <w:highlight w:val="none"/>
              </w:rPr>
              <w:t>针对</w:t>
            </w:r>
            <w:r>
              <w:rPr>
                <w:sz w:val="18"/>
                <w:szCs w:val="18"/>
                <w:highlight w:val="none"/>
              </w:rPr>
              <w:t>就诊患者提供档案创建，修改，注销等功能</w:t>
            </w:r>
            <w:r>
              <w:rPr>
                <w:rFonts w:hint="eastAsia"/>
                <w:sz w:val="18"/>
                <w:szCs w:val="18"/>
                <w:highlight w:val="none"/>
              </w:rPr>
              <w:t>。</w:t>
            </w:r>
          </w:p>
          <w:p>
            <w:pPr>
              <w:ind w:firstLine="480"/>
              <w:rPr>
                <w:sz w:val="18"/>
                <w:szCs w:val="18"/>
                <w:highlight w:val="none"/>
              </w:rPr>
            </w:pPr>
            <w:bookmarkStart w:id="346" w:name="_Toc1281864835"/>
            <w:r>
              <w:rPr>
                <w:sz w:val="18"/>
                <w:szCs w:val="18"/>
                <w:highlight w:val="none"/>
              </w:rPr>
              <w:t>门诊疾病统计</w:t>
            </w:r>
            <w:bookmarkEnd w:id="346"/>
            <w:r>
              <w:rPr>
                <w:sz w:val="18"/>
                <w:szCs w:val="18"/>
                <w:highlight w:val="none"/>
              </w:rPr>
              <w:t>：</w:t>
            </w:r>
            <w:r>
              <w:rPr>
                <w:rFonts w:hint="eastAsia"/>
                <w:sz w:val="18"/>
                <w:szCs w:val="18"/>
                <w:highlight w:val="none"/>
              </w:rPr>
              <w:t>针对</w:t>
            </w:r>
            <w:r>
              <w:rPr>
                <w:sz w:val="18"/>
                <w:szCs w:val="18"/>
                <w:highlight w:val="none"/>
              </w:rPr>
              <w:t>机构内各疾病患病人次等信息进行统计查询</w:t>
            </w:r>
            <w:r>
              <w:rPr>
                <w:rFonts w:hint="eastAsia"/>
                <w:sz w:val="18"/>
                <w:szCs w:val="18"/>
                <w:highlight w:val="none"/>
              </w:rPr>
              <w:t>。</w:t>
            </w:r>
          </w:p>
          <w:p>
            <w:pPr>
              <w:ind w:firstLine="480"/>
              <w:rPr>
                <w:sz w:val="18"/>
                <w:szCs w:val="18"/>
                <w:highlight w:val="none"/>
              </w:rPr>
            </w:pPr>
            <w:bookmarkStart w:id="347" w:name="_Toc746335141"/>
            <w:r>
              <w:rPr>
                <w:sz w:val="18"/>
                <w:szCs w:val="18"/>
                <w:highlight w:val="none"/>
              </w:rPr>
              <w:t>门诊医师工作量统计</w:t>
            </w:r>
            <w:bookmarkEnd w:id="347"/>
            <w:r>
              <w:rPr>
                <w:sz w:val="18"/>
                <w:szCs w:val="18"/>
                <w:highlight w:val="none"/>
              </w:rPr>
              <w:t>：</w:t>
            </w:r>
            <w:r>
              <w:rPr>
                <w:rFonts w:hint="eastAsia"/>
                <w:sz w:val="18"/>
                <w:szCs w:val="18"/>
                <w:highlight w:val="none"/>
              </w:rPr>
              <w:t>针对</w:t>
            </w:r>
            <w:r>
              <w:rPr>
                <w:sz w:val="18"/>
                <w:szCs w:val="18"/>
                <w:highlight w:val="none"/>
              </w:rPr>
              <w:t>机构内门诊医生工作量等信息进行统计查询</w:t>
            </w:r>
            <w:r>
              <w:rPr>
                <w:rFonts w:hint="eastAsia"/>
                <w:sz w:val="18"/>
                <w:szCs w:val="18"/>
                <w:highlight w:val="none"/>
              </w:rPr>
              <w:t>。</w:t>
            </w:r>
          </w:p>
          <w:p>
            <w:pPr>
              <w:ind w:firstLine="480"/>
              <w:rPr>
                <w:sz w:val="18"/>
                <w:szCs w:val="18"/>
                <w:highlight w:val="none"/>
              </w:rPr>
            </w:pPr>
            <w:bookmarkStart w:id="348" w:name="_Toc202732660"/>
            <w:r>
              <w:rPr>
                <w:sz w:val="18"/>
                <w:szCs w:val="18"/>
                <w:highlight w:val="none"/>
              </w:rPr>
              <w:t>门诊费用分析统计</w:t>
            </w:r>
            <w:bookmarkEnd w:id="348"/>
            <w:r>
              <w:rPr>
                <w:sz w:val="18"/>
                <w:szCs w:val="18"/>
                <w:highlight w:val="none"/>
              </w:rPr>
              <w:t>：</w:t>
            </w:r>
            <w:r>
              <w:rPr>
                <w:rFonts w:hint="eastAsia"/>
                <w:sz w:val="18"/>
                <w:szCs w:val="18"/>
                <w:highlight w:val="none"/>
              </w:rPr>
              <w:t>针对</w:t>
            </w:r>
            <w:r>
              <w:rPr>
                <w:sz w:val="18"/>
                <w:szCs w:val="18"/>
                <w:highlight w:val="none"/>
              </w:rPr>
              <w:t>机构内门诊各科室费用等信息进行统计查询</w:t>
            </w:r>
            <w:r>
              <w:rPr>
                <w:rFonts w:hint="eastAsia"/>
                <w:sz w:val="18"/>
                <w:szCs w:val="18"/>
                <w:highlight w:val="none"/>
              </w:rPr>
              <w:t>。</w:t>
            </w:r>
          </w:p>
          <w:p>
            <w:pPr>
              <w:ind w:firstLine="480"/>
              <w:rPr>
                <w:sz w:val="18"/>
                <w:szCs w:val="18"/>
                <w:highlight w:val="none"/>
              </w:rPr>
            </w:pPr>
            <w:bookmarkStart w:id="349" w:name="_Toc1418752478"/>
            <w:r>
              <w:rPr>
                <w:sz w:val="18"/>
                <w:szCs w:val="18"/>
                <w:highlight w:val="none"/>
              </w:rPr>
              <w:t>门诊工作量统计</w:t>
            </w:r>
            <w:bookmarkEnd w:id="349"/>
            <w:r>
              <w:rPr>
                <w:sz w:val="18"/>
                <w:szCs w:val="18"/>
                <w:highlight w:val="none"/>
              </w:rPr>
              <w:t>：</w:t>
            </w:r>
            <w:r>
              <w:rPr>
                <w:rFonts w:hint="eastAsia"/>
                <w:sz w:val="18"/>
                <w:szCs w:val="18"/>
                <w:highlight w:val="none"/>
              </w:rPr>
              <w:t>针对</w:t>
            </w:r>
            <w:r>
              <w:rPr>
                <w:sz w:val="18"/>
                <w:szCs w:val="18"/>
                <w:highlight w:val="none"/>
              </w:rPr>
              <w:t>机构内各门诊科室及费用归并等信息进行统计查询</w:t>
            </w:r>
            <w:r>
              <w:rPr>
                <w:rFonts w:hint="eastAsia"/>
                <w:sz w:val="18"/>
                <w:szCs w:val="18"/>
                <w:highlight w:val="none"/>
              </w:rPr>
              <w:t>。</w:t>
            </w:r>
          </w:p>
          <w:p>
            <w:pPr>
              <w:ind w:firstLine="480"/>
              <w:rPr>
                <w:rFonts w:ascii="宋体" w:hAnsi="宋体" w:cs="宋体"/>
                <w:bCs/>
                <w:kern w:val="0"/>
                <w:sz w:val="18"/>
                <w:szCs w:val="18"/>
                <w:highlight w:val="none"/>
                <w:lang w:bidi="ar"/>
              </w:rPr>
            </w:pPr>
            <w:bookmarkStart w:id="350" w:name="_Toc1461965105"/>
            <w:r>
              <w:rPr>
                <w:sz w:val="18"/>
                <w:szCs w:val="18"/>
                <w:highlight w:val="none"/>
              </w:rPr>
              <w:t>门诊日志</w:t>
            </w:r>
            <w:bookmarkEnd w:id="350"/>
            <w:r>
              <w:rPr>
                <w:sz w:val="18"/>
                <w:szCs w:val="18"/>
                <w:highlight w:val="none"/>
              </w:rPr>
              <w:t>：</w:t>
            </w:r>
            <w:r>
              <w:rPr>
                <w:rFonts w:hint="eastAsia"/>
                <w:sz w:val="18"/>
                <w:szCs w:val="18"/>
                <w:highlight w:val="none"/>
              </w:rPr>
              <w:t>针对</w:t>
            </w:r>
            <w:r>
              <w:rPr>
                <w:sz w:val="18"/>
                <w:szCs w:val="18"/>
                <w:highlight w:val="none"/>
              </w:rPr>
              <w:t>患者历次就诊记录基本信息进行查询统计</w:t>
            </w:r>
            <w:r>
              <w:rPr>
                <w:rFonts w:hint="eastAsia"/>
                <w:sz w:val="18"/>
                <w:szCs w:val="18"/>
                <w:highlight w:val="none"/>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174</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1411" w:type="dxa"/>
            <w:tcBorders>
              <w:top w:val="single" w:color="000000" w:sz="4" w:space="0"/>
              <w:left w:val="single" w:color="000000" w:sz="4" w:space="0"/>
              <w:bottom w:val="single" w:color="000000" w:sz="4" w:space="0"/>
              <w:right w:val="nil"/>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护士工作站</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sz w:val="18"/>
                <w:szCs w:val="18"/>
                <w:highlight w:val="none"/>
              </w:rPr>
            </w:pPr>
            <w:bookmarkStart w:id="351" w:name="_Toc2018205928"/>
            <w:r>
              <w:rPr>
                <w:sz w:val="18"/>
                <w:szCs w:val="18"/>
                <w:highlight w:val="none"/>
              </w:rPr>
              <w:t>患者管理</w:t>
            </w:r>
            <w:bookmarkEnd w:id="351"/>
            <w:r>
              <w:rPr>
                <w:sz w:val="18"/>
                <w:szCs w:val="18"/>
                <w:highlight w:val="none"/>
              </w:rPr>
              <w:t>：</w:t>
            </w:r>
            <w:r>
              <w:rPr>
                <w:rFonts w:hint="eastAsia"/>
                <w:sz w:val="18"/>
                <w:szCs w:val="18"/>
                <w:highlight w:val="none"/>
              </w:rPr>
              <w:t>本功能主要是护士角色管理功能，用户配置完护士角色就可以对有权限的病区和科室的患者进行管理，护士通过护士角色登录后，可以对患者床位分配、医嘱处理、费用核账、护理文书及患者的出入院管理。</w:t>
            </w:r>
          </w:p>
          <w:p>
            <w:pPr>
              <w:ind w:firstLine="480"/>
              <w:rPr>
                <w:sz w:val="18"/>
                <w:szCs w:val="18"/>
                <w:highlight w:val="none"/>
              </w:rPr>
            </w:pPr>
            <w:bookmarkStart w:id="352" w:name="_Toc482827531"/>
            <w:r>
              <w:rPr>
                <w:sz w:val="18"/>
                <w:szCs w:val="18"/>
                <w:highlight w:val="none"/>
              </w:rPr>
              <w:t>病区业务管理</w:t>
            </w:r>
            <w:bookmarkEnd w:id="352"/>
            <w:r>
              <w:rPr>
                <w:sz w:val="18"/>
                <w:szCs w:val="18"/>
                <w:highlight w:val="none"/>
              </w:rPr>
              <w:t>：</w:t>
            </w:r>
            <w:r>
              <w:rPr>
                <w:rFonts w:hint="eastAsia"/>
                <w:sz w:val="18"/>
                <w:szCs w:val="18"/>
                <w:highlight w:val="none"/>
              </w:rPr>
              <w:t>本功能用于护士对病人进行医嘱复核、医嘱开立、提交计费、住院记录、转科、电子病历、病案首页、诊断录入、检查开单、检验开单等操作。</w:t>
            </w:r>
          </w:p>
          <w:p>
            <w:pPr>
              <w:ind w:firstLine="480"/>
              <w:rPr>
                <w:sz w:val="18"/>
                <w:szCs w:val="18"/>
                <w:highlight w:val="none"/>
              </w:rPr>
            </w:pPr>
            <w:bookmarkStart w:id="353" w:name="_Toc1689095151"/>
            <w:r>
              <w:rPr>
                <w:sz w:val="18"/>
                <w:szCs w:val="18"/>
                <w:highlight w:val="none"/>
              </w:rPr>
              <w:t>病区文书管理</w:t>
            </w:r>
            <w:bookmarkEnd w:id="353"/>
            <w:r>
              <w:rPr>
                <w:sz w:val="18"/>
                <w:szCs w:val="18"/>
                <w:highlight w:val="none"/>
              </w:rPr>
              <w:t>：</w:t>
            </w:r>
            <w:r>
              <w:rPr>
                <w:rFonts w:hint="eastAsia"/>
                <w:sz w:val="18"/>
                <w:szCs w:val="18"/>
                <w:highlight w:val="none"/>
              </w:rPr>
              <w:t>本功能用于护士对病人进行相关护理文书类操作，包括体温单、风险评估、护理文书等，为病人的治疗提供全方位身体状况数据支撑。</w:t>
            </w:r>
          </w:p>
          <w:p>
            <w:pPr>
              <w:ind w:firstLine="480"/>
              <w:rPr>
                <w:sz w:val="18"/>
                <w:szCs w:val="18"/>
                <w:highlight w:val="none"/>
              </w:rPr>
            </w:pPr>
            <w:bookmarkStart w:id="354" w:name="_Toc1035873164"/>
            <w:r>
              <w:rPr>
                <w:sz w:val="18"/>
                <w:szCs w:val="18"/>
                <w:highlight w:val="none"/>
              </w:rPr>
              <w:t>病人信息</w:t>
            </w:r>
            <w:bookmarkEnd w:id="354"/>
            <w:r>
              <w:rPr>
                <w:sz w:val="18"/>
                <w:szCs w:val="18"/>
                <w:highlight w:val="none"/>
              </w:rPr>
              <w:t>：</w:t>
            </w:r>
            <w:r>
              <w:rPr>
                <w:rFonts w:hint="eastAsia"/>
                <w:sz w:val="18"/>
                <w:szCs w:val="18"/>
                <w:highlight w:val="none"/>
              </w:rPr>
              <w:t>本功能模块病区护士对患者管理信息的管理，编辑病人在院信息、病人医史。在床位列表模式下，部分信息会以图标或文字的形式显示在床位上。</w:t>
            </w:r>
          </w:p>
          <w:p>
            <w:pPr>
              <w:ind w:firstLine="480"/>
              <w:rPr>
                <w:sz w:val="18"/>
                <w:szCs w:val="18"/>
                <w:highlight w:val="none"/>
              </w:rPr>
            </w:pPr>
            <w:bookmarkStart w:id="355" w:name="_Toc270341119"/>
            <w:r>
              <w:rPr>
                <w:sz w:val="18"/>
                <w:szCs w:val="18"/>
                <w:highlight w:val="none"/>
              </w:rPr>
              <w:t>入院评估</w:t>
            </w:r>
            <w:bookmarkEnd w:id="355"/>
            <w:r>
              <w:rPr>
                <w:sz w:val="18"/>
                <w:szCs w:val="18"/>
                <w:highlight w:val="none"/>
              </w:rPr>
              <w:t>：入院评估是护理评估的一种形式,是对新入院病人进行综合、全面评估的过程</w:t>
            </w:r>
            <w:r>
              <w:rPr>
                <w:rFonts w:hint="eastAsia"/>
                <w:sz w:val="18"/>
                <w:szCs w:val="18"/>
                <w:highlight w:val="none"/>
              </w:rPr>
              <w:t>，其内容包含患者信息、诊断信息、意识状态评估、体位、皮肤黏膜、饮食、排便、排尿、过敏史、吸烟史、饮酒史、睡眠等基本情况评估，另生活自理能力、跌倒风险、管道风险、疼痛风险、压仓风险进行评估。</w:t>
            </w:r>
          </w:p>
          <w:p>
            <w:pPr>
              <w:ind w:firstLine="480"/>
              <w:rPr>
                <w:sz w:val="18"/>
                <w:szCs w:val="18"/>
                <w:highlight w:val="none"/>
              </w:rPr>
            </w:pPr>
            <w:bookmarkStart w:id="356" w:name="_Toc1695273628"/>
            <w:r>
              <w:rPr>
                <w:sz w:val="18"/>
                <w:szCs w:val="18"/>
                <w:highlight w:val="none"/>
              </w:rPr>
              <w:t>退药申请</w:t>
            </w:r>
            <w:bookmarkEnd w:id="356"/>
            <w:r>
              <w:rPr>
                <w:sz w:val="18"/>
                <w:szCs w:val="18"/>
                <w:highlight w:val="none"/>
              </w:rPr>
              <w:t>：</w:t>
            </w:r>
            <w:r>
              <w:rPr>
                <w:rFonts w:hint="eastAsia"/>
                <w:sz w:val="18"/>
                <w:szCs w:val="18"/>
                <w:highlight w:val="none"/>
              </w:rPr>
              <w:t>本功能用于病区已经领药患者申请退药，药品需要从病区退回药房，需提交退药申请并需药房确认。一次退药申请可包多种药品，护士可查看已药房已经发过的药品记录，对确定需要退药的药品发起退药申请。</w:t>
            </w:r>
          </w:p>
          <w:p>
            <w:pPr>
              <w:ind w:firstLine="480"/>
              <w:rPr>
                <w:sz w:val="18"/>
                <w:szCs w:val="18"/>
                <w:highlight w:val="none"/>
              </w:rPr>
            </w:pPr>
            <w:bookmarkStart w:id="357" w:name="_Toc1798321047"/>
            <w:r>
              <w:rPr>
                <w:sz w:val="18"/>
                <w:szCs w:val="18"/>
                <w:highlight w:val="none"/>
              </w:rPr>
              <w:t>项目批量提交</w:t>
            </w:r>
            <w:bookmarkEnd w:id="357"/>
            <w:r>
              <w:rPr>
                <w:sz w:val="18"/>
                <w:szCs w:val="18"/>
                <w:highlight w:val="none"/>
              </w:rPr>
              <w:t>：</w:t>
            </w:r>
            <w:r>
              <w:rPr>
                <w:rFonts w:hint="eastAsia"/>
                <w:sz w:val="18"/>
                <w:szCs w:val="18"/>
                <w:highlight w:val="none"/>
              </w:rPr>
              <w:t>本功能用于显示本病区所有病人的需要提交到医技科室执行的项目，并进行提交。</w:t>
            </w:r>
          </w:p>
          <w:p>
            <w:pPr>
              <w:ind w:firstLine="480"/>
              <w:rPr>
                <w:sz w:val="18"/>
                <w:szCs w:val="18"/>
                <w:highlight w:val="none"/>
              </w:rPr>
            </w:pPr>
            <w:bookmarkStart w:id="358" w:name="_Toc696989051"/>
            <w:r>
              <w:rPr>
                <w:sz w:val="18"/>
                <w:szCs w:val="18"/>
                <w:highlight w:val="none"/>
              </w:rPr>
              <w:t>体温单批量录入</w:t>
            </w:r>
            <w:bookmarkEnd w:id="358"/>
            <w:r>
              <w:rPr>
                <w:sz w:val="18"/>
                <w:szCs w:val="18"/>
                <w:highlight w:val="none"/>
              </w:rPr>
              <w:t>：</w:t>
            </w:r>
            <w:r>
              <w:rPr>
                <w:rFonts w:hint="eastAsia"/>
                <w:sz w:val="18"/>
                <w:szCs w:val="18"/>
                <w:highlight w:val="none"/>
              </w:rPr>
              <w:t>本功能用于录入病人的生命体征，简化体温单界面内容，选择多个患者后，可以录入同一时间段的所有患者生命体征信息。生命体征包括体温、脉搏、心率、呼吸、体重、身高等。其中体温、脉搏、心率、呼吸提供曲线图，其余生命体征以表格形式显示。</w:t>
            </w:r>
          </w:p>
          <w:p>
            <w:pPr>
              <w:ind w:firstLine="480"/>
              <w:rPr>
                <w:sz w:val="18"/>
                <w:szCs w:val="18"/>
                <w:highlight w:val="none"/>
              </w:rPr>
            </w:pPr>
            <w:bookmarkStart w:id="359" w:name="_Toc1919169419"/>
            <w:r>
              <w:rPr>
                <w:sz w:val="18"/>
                <w:szCs w:val="18"/>
                <w:highlight w:val="none"/>
              </w:rPr>
              <w:t>医嘱变动查询</w:t>
            </w:r>
            <w:bookmarkEnd w:id="359"/>
            <w:r>
              <w:rPr>
                <w:sz w:val="18"/>
                <w:szCs w:val="18"/>
                <w:highlight w:val="none"/>
              </w:rPr>
              <w:t>：</w:t>
            </w:r>
            <w:r>
              <w:rPr>
                <w:rFonts w:hint="eastAsia"/>
                <w:sz w:val="18"/>
                <w:szCs w:val="18"/>
                <w:highlight w:val="none"/>
              </w:rPr>
              <w:t>本功能用于病区医生新开的医嘱信息、停嘱的医嘱信息，通过日期、医嘱类型、发药方式检索对应的医嘱信息列表。</w:t>
            </w:r>
          </w:p>
          <w:p>
            <w:pPr>
              <w:ind w:firstLine="480"/>
              <w:rPr>
                <w:sz w:val="18"/>
                <w:szCs w:val="18"/>
                <w:highlight w:val="none"/>
              </w:rPr>
            </w:pPr>
            <w:bookmarkStart w:id="360" w:name="_Toc276047193"/>
            <w:r>
              <w:rPr>
                <w:sz w:val="18"/>
                <w:szCs w:val="18"/>
                <w:highlight w:val="none"/>
              </w:rPr>
              <w:t>费用记账</w:t>
            </w:r>
            <w:bookmarkEnd w:id="360"/>
            <w:r>
              <w:rPr>
                <w:sz w:val="18"/>
                <w:szCs w:val="18"/>
                <w:highlight w:val="none"/>
              </w:rPr>
              <w:t>：</w:t>
            </w:r>
            <w:r>
              <w:rPr>
                <w:rFonts w:hint="eastAsia"/>
                <w:sz w:val="18"/>
                <w:szCs w:val="18"/>
                <w:highlight w:val="none"/>
              </w:rPr>
              <w:t>本功能用于对在院病人进行费用记账，对已记账的费用进行退费，并提供查询功能。</w:t>
            </w:r>
          </w:p>
          <w:p>
            <w:pPr>
              <w:ind w:firstLine="480"/>
              <w:rPr>
                <w:sz w:val="18"/>
                <w:szCs w:val="18"/>
                <w:highlight w:val="none"/>
              </w:rPr>
            </w:pPr>
            <w:bookmarkStart w:id="361" w:name="_Toc960495231"/>
            <w:r>
              <w:rPr>
                <w:sz w:val="18"/>
                <w:szCs w:val="18"/>
                <w:highlight w:val="none"/>
              </w:rPr>
              <w:t>医嘱批量提交</w:t>
            </w:r>
            <w:bookmarkEnd w:id="361"/>
            <w:r>
              <w:rPr>
                <w:sz w:val="18"/>
                <w:szCs w:val="18"/>
                <w:highlight w:val="none"/>
              </w:rPr>
              <w:t>：</w:t>
            </w:r>
            <w:r>
              <w:rPr>
                <w:rFonts w:hint="eastAsia"/>
                <w:sz w:val="18"/>
                <w:szCs w:val="18"/>
                <w:highlight w:val="none"/>
              </w:rPr>
              <w:t>本功能用于对本病区所有病人的药品医嘱进行批量提交。提交医嘱按照病人进行汇总显示，同样支持预领，并可选择全部提交或根据过滤条件部分提交。</w:t>
            </w:r>
          </w:p>
          <w:p>
            <w:pPr>
              <w:ind w:firstLine="480"/>
              <w:rPr>
                <w:sz w:val="18"/>
                <w:szCs w:val="18"/>
                <w:highlight w:val="none"/>
              </w:rPr>
            </w:pPr>
            <w:bookmarkStart w:id="362" w:name="_Toc408772918"/>
            <w:r>
              <w:rPr>
                <w:sz w:val="18"/>
                <w:szCs w:val="18"/>
                <w:highlight w:val="none"/>
              </w:rPr>
              <w:t>项目批量执行</w:t>
            </w:r>
            <w:bookmarkEnd w:id="362"/>
            <w:r>
              <w:rPr>
                <w:sz w:val="18"/>
                <w:szCs w:val="18"/>
                <w:highlight w:val="none"/>
              </w:rPr>
              <w:t>：</w:t>
            </w:r>
            <w:r>
              <w:rPr>
                <w:rFonts w:hint="eastAsia"/>
                <w:sz w:val="18"/>
                <w:szCs w:val="18"/>
                <w:highlight w:val="none"/>
              </w:rPr>
              <w:t>本功能用于显示本病区所有病人的需要提交到医技科室执行的项目，并进行提交。</w:t>
            </w:r>
          </w:p>
          <w:p>
            <w:pPr>
              <w:ind w:firstLine="480"/>
              <w:rPr>
                <w:sz w:val="18"/>
                <w:szCs w:val="18"/>
                <w:highlight w:val="none"/>
              </w:rPr>
            </w:pPr>
            <w:bookmarkStart w:id="363" w:name="_Toc446246073"/>
            <w:r>
              <w:rPr>
                <w:sz w:val="18"/>
                <w:szCs w:val="18"/>
                <w:highlight w:val="none"/>
              </w:rPr>
              <w:t>医嘱卡片打印</w:t>
            </w:r>
            <w:bookmarkEnd w:id="363"/>
            <w:r>
              <w:rPr>
                <w:sz w:val="18"/>
                <w:szCs w:val="18"/>
                <w:highlight w:val="none"/>
              </w:rPr>
              <w:t>：</w:t>
            </w:r>
            <w:r>
              <w:rPr>
                <w:rFonts w:hint="eastAsia"/>
                <w:sz w:val="18"/>
                <w:szCs w:val="18"/>
                <w:highlight w:val="none"/>
              </w:rPr>
              <w:t>对于某些药品医嘱，根据其用药途径及频次，需要打印相应的医嘱卡片。本功能支持多种卡片类型的打印，可根据需要选择卡片打印的格式</w:t>
            </w:r>
          </w:p>
          <w:p>
            <w:pPr>
              <w:ind w:firstLine="480"/>
              <w:rPr>
                <w:sz w:val="18"/>
                <w:szCs w:val="18"/>
                <w:highlight w:val="none"/>
              </w:rPr>
            </w:pPr>
            <w:bookmarkStart w:id="364" w:name="_Toc1044853587"/>
            <w:r>
              <w:rPr>
                <w:sz w:val="18"/>
                <w:szCs w:val="18"/>
                <w:highlight w:val="none"/>
              </w:rPr>
              <w:t>转科处理</w:t>
            </w:r>
            <w:bookmarkEnd w:id="364"/>
            <w:r>
              <w:rPr>
                <w:sz w:val="18"/>
                <w:szCs w:val="18"/>
                <w:highlight w:val="none"/>
              </w:rPr>
              <w:t>：</w:t>
            </w:r>
            <w:r>
              <w:rPr>
                <w:rFonts w:hint="eastAsia"/>
                <w:sz w:val="18"/>
                <w:szCs w:val="18"/>
                <w:highlight w:val="none"/>
              </w:rPr>
              <w:t>本功能用于将病人的所属科室转换至其他科室，将其主任医师转换为其他医师。</w:t>
            </w:r>
          </w:p>
          <w:p>
            <w:pPr>
              <w:ind w:firstLine="480"/>
              <w:rPr>
                <w:sz w:val="18"/>
                <w:szCs w:val="18"/>
                <w:highlight w:val="none"/>
              </w:rPr>
            </w:pPr>
            <w:bookmarkStart w:id="365" w:name="_Toc880455190"/>
            <w:r>
              <w:rPr>
                <w:sz w:val="18"/>
                <w:szCs w:val="18"/>
                <w:highlight w:val="none"/>
              </w:rPr>
              <w:t>住院皮试管理</w:t>
            </w:r>
            <w:bookmarkEnd w:id="365"/>
            <w:r>
              <w:rPr>
                <w:sz w:val="18"/>
                <w:szCs w:val="18"/>
                <w:highlight w:val="none"/>
              </w:rPr>
              <w:t>：</w:t>
            </w:r>
            <w:r>
              <w:rPr>
                <w:rFonts w:hint="eastAsia"/>
                <w:sz w:val="18"/>
                <w:szCs w:val="18"/>
                <w:highlight w:val="none"/>
              </w:rPr>
              <w:t>本功能用于对住院医生站开的皮试药品进行皮试处理。</w:t>
            </w:r>
          </w:p>
          <w:p>
            <w:pPr>
              <w:ind w:firstLine="480"/>
              <w:rPr>
                <w:sz w:val="18"/>
                <w:szCs w:val="18"/>
                <w:highlight w:val="none"/>
              </w:rPr>
            </w:pPr>
            <w:bookmarkStart w:id="366" w:name="_Toc1648050500"/>
            <w:r>
              <w:rPr>
                <w:sz w:val="18"/>
                <w:szCs w:val="18"/>
                <w:highlight w:val="none"/>
              </w:rPr>
              <w:t>通知出院</w:t>
            </w:r>
            <w:bookmarkEnd w:id="366"/>
            <w:r>
              <w:rPr>
                <w:sz w:val="18"/>
                <w:szCs w:val="18"/>
                <w:highlight w:val="none"/>
              </w:rPr>
              <w:t>：</w:t>
            </w:r>
            <w:r>
              <w:rPr>
                <w:rFonts w:hint="eastAsia"/>
                <w:sz w:val="18"/>
                <w:szCs w:val="18"/>
                <w:highlight w:val="none"/>
              </w:rPr>
              <w:t>本</w:t>
            </w:r>
            <w:r>
              <w:rPr>
                <w:rFonts w:hint="eastAsia"/>
                <w:sz w:val="18"/>
                <w:szCs w:val="18"/>
                <w:highlight w:val="none"/>
                <w:lang w:eastAsia="zh-Hans"/>
              </w:rPr>
              <w:t>功能</w:t>
            </w:r>
            <w:r>
              <w:rPr>
                <w:rFonts w:hint="eastAsia"/>
                <w:sz w:val="18"/>
                <w:szCs w:val="18"/>
                <w:highlight w:val="none"/>
              </w:rPr>
              <w:t>用于为病人办理出院证明，即临床出院。之后，病人可进行出院结算。需要注意的是，允许通知出院的病人需符合以下条件，否则不允许通知出院：</w:t>
            </w:r>
          </w:p>
          <w:p>
            <w:pPr>
              <w:pStyle w:val="10"/>
              <w:numPr>
                <w:ilvl w:val="0"/>
                <w:numId w:val="13"/>
              </w:numPr>
              <w:spacing w:line="360" w:lineRule="auto"/>
              <w:ind w:left="0" w:firstLine="200" w:firstLineChars="0"/>
              <w:rPr>
                <w:sz w:val="18"/>
                <w:szCs w:val="18"/>
                <w:highlight w:val="none"/>
              </w:rPr>
            </w:pPr>
            <w:r>
              <w:rPr>
                <w:rFonts w:hint="eastAsia"/>
                <w:sz w:val="18"/>
                <w:szCs w:val="18"/>
                <w:highlight w:val="none"/>
              </w:rPr>
              <w:t>所有药品长期医嘱已完发药并停嘱；</w:t>
            </w:r>
          </w:p>
          <w:p>
            <w:pPr>
              <w:pStyle w:val="10"/>
              <w:numPr>
                <w:ilvl w:val="0"/>
                <w:numId w:val="13"/>
              </w:numPr>
              <w:spacing w:line="360" w:lineRule="auto"/>
              <w:ind w:left="0" w:firstLine="200" w:firstLineChars="0"/>
              <w:rPr>
                <w:sz w:val="18"/>
                <w:szCs w:val="18"/>
                <w:highlight w:val="none"/>
              </w:rPr>
            </w:pPr>
            <w:r>
              <w:rPr>
                <w:rFonts w:hint="eastAsia"/>
                <w:sz w:val="18"/>
                <w:szCs w:val="18"/>
                <w:highlight w:val="none"/>
              </w:rPr>
              <w:t>所有费用长期医嘱已执行并停嘱；</w:t>
            </w:r>
          </w:p>
          <w:p>
            <w:pPr>
              <w:pStyle w:val="10"/>
              <w:numPr>
                <w:ilvl w:val="0"/>
                <w:numId w:val="13"/>
              </w:numPr>
              <w:spacing w:line="360" w:lineRule="auto"/>
              <w:ind w:left="0" w:firstLine="200" w:firstLineChars="0"/>
              <w:rPr>
                <w:sz w:val="18"/>
                <w:szCs w:val="18"/>
                <w:highlight w:val="none"/>
              </w:rPr>
            </w:pPr>
            <w:r>
              <w:rPr>
                <w:rFonts w:hint="eastAsia"/>
                <w:sz w:val="18"/>
                <w:szCs w:val="18"/>
                <w:highlight w:val="none"/>
              </w:rPr>
              <w:t>所有临时医嘱已发药或执行；</w:t>
            </w:r>
          </w:p>
          <w:p>
            <w:pPr>
              <w:pStyle w:val="10"/>
              <w:numPr>
                <w:ilvl w:val="0"/>
                <w:numId w:val="13"/>
              </w:numPr>
              <w:spacing w:line="360" w:lineRule="auto"/>
              <w:ind w:left="0" w:firstLine="200" w:firstLineChars="0"/>
              <w:rPr>
                <w:sz w:val="18"/>
                <w:szCs w:val="18"/>
                <w:highlight w:val="none"/>
              </w:rPr>
            </w:pPr>
            <w:r>
              <w:rPr>
                <w:rFonts w:hint="eastAsia"/>
                <w:sz w:val="18"/>
                <w:szCs w:val="18"/>
                <w:highlight w:val="none"/>
              </w:rPr>
              <w:t>所有手术等信息已经完结；</w:t>
            </w:r>
          </w:p>
          <w:p>
            <w:pPr>
              <w:pStyle w:val="10"/>
              <w:spacing w:line="360" w:lineRule="auto"/>
              <w:ind w:left="200" w:firstLine="0" w:firstLineChars="0"/>
              <w:rPr>
                <w:rFonts w:ascii="宋体" w:hAnsi="宋体" w:cs="宋体"/>
                <w:bCs/>
                <w:kern w:val="0"/>
                <w:sz w:val="18"/>
                <w:szCs w:val="18"/>
                <w:highlight w:val="none"/>
                <w:lang w:bidi="ar"/>
              </w:rPr>
            </w:pPr>
            <w:r>
              <w:rPr>
                <w:rFonts w:hint="eastAsia"/>
                <w:sz w:val="18"/>
                <w:szCs w:val="18"/>
                <w:highlight w:val="none"/>
              </w:rPr>
              <w:t>5）已办理出院证。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381"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175</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基本公共卫生系统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360" w:firstLineChars="200"/>
              <w:jc w:val="left"/>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按照国家第三版公卫规范，标准化公卫PC系统。公共卫生服务通过健康教育活动提供健康讲座、健康宣传与义诊、健康咨询、发放资料等活动的信息，普及居民的健康知识；为儿童提供预防接种服务及健康体检服务；从健康档案中筛选妇女、孕产妇管理对象，采集妇女病普查和其他重点公共卫生服务项目的相关记录表信息，根据采集的信息提出健康指导意见和干预建议。提供孕产妇系统管理的功能，制定管理计划，并管理产前服务记录、分娩记录、产后访视记录和产后健康检查记录的信息；对老年人提供老年建档、老年慢性病普查、老年人中医药健康管理服务，并制定相关的随访及康复计划；卫生服务管理部门通过传染病及突发公共卫生事件报告和处理情况及时进行卫生监督协管；移动服务为当前的移动服务医生提供了便利，居民也可以通过移动服务进行管理个人档案信息及家庭档案信息。</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居民健康档案管理</w:t>
            </w:r>
          </w:p>
          <w:p>
            <w:pPr>
              <w:ind w:firstLine="480"/>
              <w:rPr>
                <w:rFonts w:asciiTheme="minorEastAsia" w:hAnsiTheme="minorEastAsia" w:eastAsiaTheme="minorEastAsia" w:cstheme="minorEastAsia"/>
                <w:sz w:val="18"/>
                <w:szCs w:val="18"/>
                <w:highlight w:val="none"/>
              </w:rPr>
            </w:pPr>
            <w:bookmarkStart w:id="367" w:name="_Toc1198728870"/>
            <w:r>
              <w:rPr>
                <w:rFonts w:asciiTheme="minorEastAsia" w:hAnsiTheme="minorEastAsia" w:eastAsiaTheme="minorEastAsia" w:cstheme="minorEastAsia"/>
                <w:sz w:val="18"/>
                <w:szCs w:val="18"/>
                <w:highlight w:val="none"/>
              </w:rPr>
              <w:t>个人健康档案</w:t>
            </w:r>
            <w:bookmarkEnd w:id="367"/>
            <w:r>
              <w:rPr>
                <w:rFonts w:asciiTheme="minorEastAsia" w:hAnsiTheme="minorEastAsia" w:eastAsiaTheme="minorEastAsia" w:cstheme="minorEastAsia"/>
                <w:sz w:val="18"/>
                <w:szCs w:val="18"/>
                <w:highlight w:val="none"/>
              </w:rPr>
              <w:t>：本功能建立个人健康档案，管理和维护其个人生活习惯、个人既往史和个人主要问题。</w:t>
            </w:r>
          </w:p>
          <w:p>
            <w:pPr>
              <w:ind w:firstLine="480"/>
              <w:rPr>
                <w:rFonts w:asciiTheme="minorEastAsia" w:hAnsiTheme="minorEastAsia" w:eastAsiaTheme="minorEastAsia" w:cstheme="minorEastAsia"/>
                <w:sz w:val="18"/>
                <w:szCs w:val="18"/>
                <w:highlight w:val="none"/>
              </w:rPr>
            </w:pPr>
            <w:bookmarkStart w:id="368" w:name="_Toc1492025583"/>
            <w:r>
              <w:rPr>
                <w:rFonts w:asciiTheme="minorEastAsia" w:hAnsiTheme="minorEastAsia" w:eastAsiaTheme="minorEastAsia" w:cstheme="minorEastAsia"/>
                <w:sz w:val="18"/>
                <w:szCs w:val="18"/>
                <w:highlight w:val="none"/>
              </w:rPr>
              <w:t>家庭档案管理</w:t>
            </w:r>
            <w:bookmarkEnd w:id="368"/>
            <w:r>
              <w:rPr>
                <w:rFonts w:asciiTheme="minorEastAsia" w:hAnsiTheme="minorEastAsia" w:eastAsiaTheme="minorEastAsia" w:cstheme="minorEastAsia"/>
                <w:sz w:val="18"/>
                <w:szCs w:val="18"/>
                <w:highlight w:val="none"/>
              </w:rPr>
              <w:t>：本功能用于家庭健康档案管理，为辖区内常住居民以家庭为单位建立的基本健康信息记录。</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健康教育管理</w:t>
            </w:r>
          </w:p>
          <w:p>
            <w:pPr>
              <w:ind w:firstLine="480"/>
              <w:rPr>
                <w:rFonts w:asciiTheme="minorEastAsia" w:hAnsiTheme="minorEastAsia" w:eastAsiaTheme="minorEastAsia" w:cstheme="minorEastAsia"/>
                <w:sz w:val="18"/>
                <w:szCs w:val="18"/>
                <w:highlight w:val="none"/>
              </w:rPr>
            </w:pPr>
            <w:bookmarkStart w:id="369" w:name="_Toc2006672962"/>
            <w:r>
              <w:rPr>
                <w:rFonts w:asciiTheme="minorEastAsia" w:hAnsiTheme="minorEastAsia" w:eastAsiaTheme="minorEastAsia" w:cstheme="minorEastAsia"/>
                <w:sz w:val="18"/>
                <w:szCs w:val="18"/>
                <w:highlight w:val="none"/>
              </w:rPr>
              <w:t>健教计划</w:t>
            </w:r>
            <w:bookmarkEnd w:id="369"/>
            <w:r>
              <w:rPr>
                <w:rFonts w:asciiTheme="minorEastAsia" w:hAnsiTheme="minorEastAsia" w:eastAsiaTheme="minorEastAsia" w:cstheme="minorEastAsia"/>
                <w:sz w:val="18"/>
                <w:szCs w:val="18"/>
                <w:highlight w:val="none"/>
              </w:rPr>
              <w:t>：支持管理员用于制定健康教育计划并分发至各社区</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70" w:name="_Toc2069279846"/>
            <w:r>
              <w:rPr>
                <w:rFonts w:asciiTheme="minorEastAsia" w:hAnsiTheme="minorEastAsia" w:eastAsiaTheme="minorEastAsia" w:cstheme="minorEastAsia"/>
                <w:sz w:val="18"/>
                <w:szCs w:val="18"/>
                <w:highlight w:val="none"/>
              </w:rPr>
              <w:t>活动记录</w:t>
            </w:r>
            <w:bookmarkEnd w:id="370"/>
            <w:r>
              <w:rPr>
                <w:rFonts w:asciiTheme="minorEastAsia" w:hAnsiTheme="minorEastAsia" w:eastAsiaTheme="minorEastAsia" w:cstheme="minorEastAsia"/>
                <w:sz w:val="18"/>
                <w:szCs w:val="18"/>
                <w:highlight w:val="none"/>
              </w:rPr>
              <w:t>：支持社区人员执行下发制定的活动计划。</w:t>
            </w:r>
          </w:p>
          <w:p>
            <w:pPr>
              <w:ind w:firstLine="480"/>
              <w:rPr>
                <w:rFonts w:asciiTheme="minorEastAsia" w:hAnsiTheme="minorEastAsia" w:eastAsiaTheme="minorEastAsia" w:cstheme="minorEastAsia"/>
                <w:sz w:val="18"/>
                <w:szCs w:val="18"/>
                <w:highlight w:val="none"/>
              </w:rPr>
            </w:pPr>
            <w:bookmarkStart w:id="371" w:name="_Toc2036192204"/>
            <w:r>
              <w:rPr>
                <w:rFonts w:asciiTheme="minorEastAsia" w:hAnsiTheme="minorEastAsia" w:eastAsiaTheme="minorEastAsia" w:cstheme="minorEastAsia"/>
                <w:sz w:val="18"/>
                <w:szCs w:val="18"/>
                <w:highlight w:val="none"/>
              </w:rPr>
              <w:t>健教资源库</w:t>
            </w:r>
            <w:bookmarkEnd w:id="371"/>
            <w:r>
              <w:rPr>
                <w:rFonts w:asciiTheme="minorEastAsia" w:hAnsiTheme="minorEastAsia" w:eastAsiaTheme="minorEastAsia" w:cstheme="minorEastAsia"/>
                <w:sz w:val="18"/>
                <w:szCs w:val="18"/>
                <w:highlight w:val="none"/>
              </w:rPr>
              <w:t>：支持健康教育相关课件、文稿进行上传</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372" w:name="_Toc2130457683"/>
            <w:r>
              <w:rPr>
                <w:rFonts w:asciiTheme="minorEastAsia" w:hAnsiTheme="minorEastAsia" w:eastAsiaTheme="minorEastAsia" w:cstheme="minorEastAsia"/>
                <w:sz w:val="18"/>
                <w:szCs w:val="18"/>
                <w:highlight w:val="none"/>
              </w:rPr>
              <w:t>健教知识库</w:t>
            </w:r>
            <w:bookmarkEnd w:id="372"/>
            <w:r>
              <w:rPr>
                <w:rFonts w:asciiTheme="minorEastAsia" w:hAnsiTheme="minorEastAsia" w:eastAsiaTheme="minorEastAsia" w:cstheme="minorEastAsia"/>
                <w:sz w:val="18"/>
                <w:szCs w:val="18"/>
                <w:highlight w:val="none"/>
              </w:rPr>
              <w:t>：支持健康教育知识创建、保存。</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预防接种管理</w:t>
            </w:r>
          </w:p>
          <w:p>
            <w:pPr>
              <w:ind w:firstLine="480"/>
              <w:rPr>
                <w:sz w:val="18"/>
                <w:szCs w:val="18"/>
                <w:highlight w:val="none"/>
              </w:rPr>
            </w:pPr>
            <w:r>
              <w:rPr>
                <w:sz w:val="18"/>
                <w:szCs w:val="18"/>
                <w:highlight w:val="none"/>
              </w:rPr>
              <w:t>支持预防接种管理的建立。</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儿童健康管理</w:t>
            </w:r>
          </w:p>
          <w:p>
            <w:pPr>
              <w:ind w:firstLine="480"/>
              <w:rPr>
                <w:rFonts w:asciiTheme="minorEastAsia" w:hAnsiTheme="minorEastAsia" w:eastAsiaTheme="minorEastAsia" w:cstheme="minorEastAsia"/>
                <w:sz w:val="18"/>
                <w:szCs w:val="18"/>
                <w:highlight w:val="none"/>
              </w:rPr>
            </w:pPr>
            <w:bookmarkStart w:id="373" w:name="_Toc390514622"/>
            <w:r>
              <w:rPr>
                <w:rFonts w:asciiTheme="minorEastAsia" w:hAnsiTheme="minorEastAsia" w:eastAsiaTheme="minorEastAsia" w:cstheme="minorEastAsia"/>
                <w:sz w:val="18"/>
                <w:szCs w:val="18"/>
                <w:highlight w:val="none"/>
              </w:rPr>
              <w:t>儿童健康档案</w:t>
            </w:r>
            <w:bookmarkEnd w:id="373"/>
            <w:r>
              <w:rPr>
                <w:rFonts w:asciiTheme="minorEastAsia" w:hAnsiTheme="minorEastAsia" w:eastAsiaTheme="minorEastAsia" w:cstheme="minorEastAsia"/>
                <w:sz w:val="18"/>
                <w:szCs w:val="18"/>
                <w:highlight w:val="none"/>
              </w:rPr>
              <w:t>：支持儿童的健康管理的建立、随访、高危儿、营养性疾病、结案及注销操作。</w:t>
            </w:r>
          </w:p>
          <w:p>
            <w:pPr>
              <w:ind w:firstLine="480"/>
              <w:rPr>
                <w:sz w:val="18"/>
                <w:szCs w:val="18"/>
                <w:highlight w:val="none"/>
              </w:rPr>
            </w:pPr>
            <w:bookmarkStart w:id="374" w:name="_Toc669226722"/>
            <w:r>
              <w:rPr>
                <w:rFonts w:asciiTheme="minorEastAsia" w:hAnsiTheme="minorEastAsia" w:eastAsiaTheme="minorEastAsia" w:cstheme="minorEastAsia"/>
                <w:sz w:val="18"/>
                <w:szCs w:val="18"/>
                <w:highlight w:val="none"/>
              </w:rPr>
              <w:t>儿童随访列表</w:t>
            </w:r>
            <w:bookmarkEnd w:id="374"/>
            <w:r>
              <w:rPr>
                <w:rFonts w:asciiTheme="minorEastAsia" w:hAnsiTheme="minorEastAsia" w:eastAsiaTheme="minorEastAsia" w:cstheme="minorEastAsia"/>
                <w:sz w:val="18"/>
                <w:szCs w:val="18"/>
                <w:highlight w:val="none"/>
              </w:rPr>
              <w:t>：支持统一管理儿童随访项目记录。</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妇女、孕产妇管理</w:t>
            </w:r>
          </w:p>
          <w:p>
            <w:pPr>
              <w:ind w:firstLine="480"/>
              <w:rPr>
                <w:rFonts w:asciiTheme="minorEastAsia" w:hAnsiTheme="minorEastAsia" w:eastAsiaTheme="minorEastAsia" w:cstheme="minorEastAsia"/>
                <w:sz w:val="18"/>
                <w:szCs w:val="18"/>
                <w:highlight w:val="none"/>
              </w:rPr>
            </w:pPr>
            <w:bookmarkStart w:id="375" w:name="_Toc173297341"/>
            <w:r>
              <w:rPr>
                <w:rFonts w:asciiTheme="minorEastAsia" w:hAnsiTheme="minorEastAsia" w:eastAsiaTheme="minorEastAsia" w:cstheme="minorEastAsia"/>
                <w:sz w:val="18"/>
                <w:szCs w:val="18"/>
                <w:highlight w:val="none"/>
              </w:rPr>
              <w:t>孕产妇健康档案</w:t>
            </w:r>
            <w:bookmarkEnd w:id="375"/>
            <w:r>
              <w:rPr>
                <w:rFonts w:asciiTheme="minorEastAsia" w:hAnsiTheme="minorEastAsia" w:eastAsiaTheme="minorEastAsia" w:cstheme="minorEastAsia"/>
                <w:sz w:val="18"/>
                <w:szCs w:val="18"/>
                <w:highlight w:val="none"/>
              </w:rPr>
              <w:t>：支持孕产妇的健康管理的建立、随访及注销操作。</w:t>
            </w:r>
          </w:p>
          <w:p>
            <w:pPr>
              <w:ind w:firstLine="480"/>
              <w:rPr>
                <w:rFonts w:asciiTheme="minorEastAsia" w:hAnsiTheme="minorEastAsia" w:eastAsiaTheme="minorEastAsia" w:cstheme="minorEastAsia"/>
                <w:sz w:val="18"/>
                <w:szCs w:val="18"/>
                <w:highlight w:val="none"/>
              </w:rPr>
            </w:pPr>
            <w:bookmarkStart w:id="376" w:name="_Toc620584855"/>
            <w:r>
              <w:rPr>
                <w:rFonts w:asciiTheme="minorEastAsia" w:hAnsiTheme="minorEastAsia" w:eastAsiaTheme="minorEastAsia" w:cstheme="minorEastAsia"/>
                <w:sz w:val="18"/>
                <w:szCs w:val="18"/>
                <w:highlight w:val="none"/>
              </w:rPr>
              <w:t>孕产妇随访列表</w:t>
            </w:r>
            <w:bookmarkEnd w:id="376"/>
            <w:r>
              <w:rPr>
                <w:rFonts w:asciiTheme="minorEastAsia" w:hAnsiTheme="minorEastAsia" w:eastAsiaTheme="minorEastAsia" w:cstheme="minorEastAsia"/>
                <w:sz w:val="18"/>
                <w:szCs w:val="18"/>
                <w:highlight w:val="none"/>
              </w:rPr>
              <w:t>：支持统一管理孕产妇随访记录。</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老年人健康管理</w:t>
            </w:r>
          </w:p>
          <w:p>
            <w:pPr>
              <w:ind w:firstLine="480"/>
              <w:rPr>
                <w:rFonts w:asciiTheme="minorEastAsia" w:hAnsiTheme="minorEastAsia" w:eastAsiaTheme="minorEastAsia" w:cstheme="minorEastAsia"/>
                <w:sz w:val="18"/>
                <w:szCs w:val="18"/>
                <w:highlight w:val="none"/>
              </w:rPr>
            </w:pPr>
            <w:bookmarkStart w:id="377" w:name="_Toc761142990"/>
            <w:r>
              <w:rPr>
                <w:rFonts w:asciiTheme="minorEastAsia" w:hAnsiTheme="minorEastAsia" w:eastAsiaTheme="minorEastAsia" w:cstheme="minorEastAsia"/>
                <w:sz w:val="18"/>
                <w:szCs w:val="18"/>
                <w:highlight w:val="none"/>
              </w:rPr>
              <w:t>老年人自理评估</w:t>
            </w:r>
            <w:bookmarkEnd w:id="377"/>
            <w:r>
              <w:rPr>
                <w:rFonts w:asciiTheme="minorEastAsia" w:hAnsiTheme="minorEastAsia" w:eastAsiaTheme="minorEastAsia" w:cstheme="minorEastAsia"/>
                <w:sz w:val="18"/>
                <w:szCs w:val="18"/>
                <w:highlight w:val="none"/>
              </w:rPr>
              <w:t>：对接智慧评估系统的自评估问卷，对评估结果值进行反馈</w:t>
            </w:r>
            <w:r>
              <w:rPr>
                <w:rFonts w:hint="eastAsia" w:asciiTheme="minorEastAsia" w:hAnsiTheme="minorEastAsia" w:eastAsiaTheme="minorEastAsia" w:cstheme="minorEastAsia"/>
                <w:sz w:val="18"/>
                <w:szCs w:val="18"/>
                <w:highlight w:val="none"/>
              </w:rPr>
              <w:t>。</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慢病患者健康管理</w:t>
            </w:r>
          </w:p>
          <w:p>
            <w:pPr>
              <w:ind w:firstLine="480"/>
              <w:rPr>
                <w:rFonts w:asciiTheme="minorEastAsia" w:hAnsiTheme="minorEastAsia" w:eastAsiaTheme="minorEastAsia" w:cstheme="minorEastAsia"/>
                <w:sz w:val="18"/>
                <w:szCs w:val="18"/>
                <w:highlight w:val="none"/>
              </w:rPr>
            </w:pPr>
            <w:bookmarkStart w:id="378" w:name="_Toc1666680616"/>
            <w:r>
              <w:rPr>
                <w:rFonts w:hint="eastAsia" w:asciiTheme="minorEastAsia" w:hAnsiTheme="minorEastAsia" w:eastAsiaTheme="minorEastAsia" w:cstheme="minorEastAsia"/>
                <w:sz w:val="18"/>
                <w:szCs w:val="18"/>
                <w:highlight w:val="none"/>
              </w:rPr>
              <w:t>1</w:t>
            </w:r>
            <w:r>
              <w:rPr>
                <w:rFonts w:asciiTheme="minorEastAsia" w:hAnsiTheme="minorEastAsia" w:eastAsiaTheme="minorEastAsia" w:cstheme="minorEastAsia"/>
                <w:sz w:val="18"/>
                <w:szCs w:val="18"/>
                <w:highlight w:val="none"/>
              </w:rPr>
              <w:t>.高血压管理</w:t>
            </w:r>
            <w:bookmarkEnd w:id="378"/>
          </w:p>
          <w:p>
            <w:pPr>
              <w:ind w:firstLine="480"/>
              <w:rPr>
                <w:rFonts w:asciiTheme="minorEastAsia" w:hAnsiTheme="minorEastAsia" w:eastAsiaTheme="minorEastAsia" w:cstheme="minorEastAsia"/>
                <w:sz w:val="18"/>
                <w:szCs w:val="18"/>
                <w:highlight w:val="none"/>
              </w:rPr>
            </w:pPr>
            <w:bookmarkStart w:id="379" w:name="_Toc124421644"/>
            <w:r>
              <w:rPr>
                <w:rFonts w:asciiTheme="minorEastAsia" w:hAnsiTheme="minorEastAsia" w:eastAsiaTheme="minorEastAsia" w:cstheme="minorEastAsia"/>
                <w:sz w:val="18"/>
                <w:szCs w:val="18"/>
                <w:highlight w:val="none"/>
              </w:rPr>
              <w:t>首诊测压</w:t>
            </w:r>
            <w:bookmarkEnd w:id="379"/>
            <w:r>
              <w:rPr>
                <w:rFonts w:asciiTheme="minorEastAsia" w:hAnsiTheme="minorEastAsia" w:eastAsiaTheme="minorEastAsia" w:cstheme="minorEastAsia"/>
                <w:sz w:val="18"/>
                <w:szCs w:val="18"/>
                <w:highlight w:val="none"/>
              </w:rPr>
              <w:t>：支持查看病人在门诊进行首诊测压的血压记录。</w:t>
            </w:r>
          </w:p>
          <w:p>
            <w:pPr>
              <w:ind w:firstLine="480"/>
              <w:rPr>
                <w:rFonts w:asciiTheme="minorEastAsia" w:hAnsiTheme="minorEastAsia" w:eastAsiaTheme="minorEastAsia" w:cstheme="minorEastAsia"/>
                <w:sz w:val="18"/>
                <w:szCs w:val="18"/>
                <w:highlight w:val="none"/>
              </w:rPr>
            </w:pPr>
            <w:bookmarkStart w:id="380" w:name="_Toc1652982177"/>
            <w:r>
              <w:rPr>
                <w:rFonts w:asciiTheme="minorEastAsia" w:hAnsiTheme="minorEastAsia" w:eastAsiaTheme="minorEastAsia" w:cstheme="minorEastAsia"/>
                <w:sz w:val="18"/>
                <w:szCs w:val="18"/>
                <w:highlight w:val="none"/>
              </w:rPr>
              <w:t>疑似管理</w:t>
            </w:r>
            <w:bookmarkEnd w:id="380"/>
            <w:r>
              <w:rPr>
                <w:rFonts w:asciiTheme="minorEastAsia" w:hAnsiTheme="minorEastAsia" w:eastAsiaTheme="minorEastAsia" w:cstheme="minorEastAsia"/>
                <w:sz w:val="18"/>
                <w:szCs w:val="18"/>
                <w:highlight w:val="none"/>
              </w:rPr>
              <w:t>：支持对高血压疑似记录进行核实操作。</w:t>
            </w:r>
          </w:p>
          <w:p>
            <w:pPr>
              <w:ind w:firstLine="480"/>
              <w:rPr>
                <w:rFonts w:asciiTheme="minorEastAsia" w:hAnsiTheme="minorEastAsia" w:eastAsiaTheme="minorEastAsia" w:cstheme="minorEastAsia"/>
                <w:sz w:val="18"/>
                <w:szCs w:val="18"/>
                <w:highlight w:val="none"/>
              </w:rPr>
            </w:pPr>
            <w:bookmarkStart w:id="381" w:name="_Toc1822991247"/>
            <w:r>
              <w:rPr>
                <w:rFonts w:asciiTheme="minorEastAsia" w:hAnsiTheme="minorEastAsia" w:eastAsiaTheme="minorEastAsia" w:cstheme="minorEastAsia"/>
                <w:sz w:val="18"/>
                <w:szCs w:val="18"/>
                <w:highlight w:val="none"/>
              </w:rPr>
              <w:t>高危管理</w:t>
            </w:r>
            <w:bookmarkEnd w:id="381"/>
            <w:r>
              <w:rPr>
                <w:rFonts w:asciiTheme="minorEastAsia" w:hAnsiTheme="minorEastAsia" w:eastAsiaTheme="minorEastAsia" w:cstheme="minorEastAsia"/>
                <w:sz w:val="18"/>
                <w:szCs w:val="18"/>
                <w:highlight w:val="none"/>
              </w:rPr>
              <w:t>：支持对核实状态为高危的高危档案进行核实及随访。</w:t>
            </w:r>
          </w:p>
          <w:p>
            <w:pPr>
              <w:ind w:firstLine="480"/>
              <w:rPr>
                <w:rFonts w:asciiTheme="minorEastAsia" w:hAnsiTheme="minorEastAsia" w:eastAsiaTheme="minorEastAsia" w:cstheme="minorEastAsia"/>
                <w:sz w:val="18"/>
                <w:szCs w:val="18"/>
                <w:highlight w:val="none"/>
              </w:rPr>
            </w:pPr>
            <w:bookmarkStart w:id="382" w:name="_Toc864696580"/>
            <w:r>
              <w:rPr>
                <w:rFonts w:asciiTheme="minorEastAsia" w:hAnsiTheme="minorEastAsia" w:eastAsiaTheme="minorEastAsia" w:cstheme="minorEastAsia"/>
                <w:sz w:val="18"/>
                <w:szCs w:val="18"/>
                <w:highlight w:val="none"/>
              </w:rPr>
              <w:t>高危随访</w:t>
            </w:r>
            <w:bookmarkEnd w:id="382"/>
            <w:r>
              <w:rPr>
                <w:rFonts w:asciiTheme="minorEastAsia" w:hAnsiTheme="minorEastAsia" w:eastAsiaTheme="minorEastAsia" w:cstheme="minorEastAsia"/>
                <w:sz w:val="18"/>
                <w:szCs w:val="18"/>
                <w:highlight w:val="none"/>
              </w:rPr>
              <w:t>：支持统一管理和维护高血压高危随访记录。</w:t>
            </w:r>
          </w:p>
          <w:p>
            <w:pPr>
              <w:ind w:firstLine="480"/>
              <w:rPr>
                <w:rFonts w:asciiTheme="minorEastAsia" w:hAnsiTheme="minorEastAsia" w:eastAsiaTheme="minorEastAsia" w:cstheme="minorEastAsia"/>
                <w:sz w:val="18"/>
                <w:szCs w:val="18"/>
                <w:highlight w:val="none"/>
              </w:rPr>
            </w:pPr>
            <w:bookmarkStart w:id="383" w:name="_Toc933580811"/>
            <w:r>
              <w:rPr>
                <w:rFonts w:asciiTheme="minorEastAsia" w:hAnsiTheme="minorEastAsia" w:eastAsiaTheme="minorEastAsia" w:cstheme="minorEastAsia"/>
                <w:sz w:val="18"/>
                <w:szCs w:val="18"/>
                <w:highlight w:val="none"/>
              </w:rPr>
              <w:t>患者管理</w:t>
            </w:r>
            <w:bookmarkEnd w:id="383"/>
            <w:r>
              <w:rPr>
                <w:rFonts w:asciiTheme="minorEastAsia" w:hAnsiTheme="minorEastAsia" w:eastAsiaTheme="minorEastAsia" w:cstheme="minorEastAsia"/>
                <w:sz w:val="18"/>
                <w:szCs w:val="18"/>
                <w:highlight w:val="none"/>
              </w:rPr>
              <w:t>：支持高血压患者健康档案的建立、修改与注销功能。</w:t>
            </w:r>
          </w:p>
          <w:p>
            <w:pPr>
              <w:ind w:firstLine="480"/>
              <w:rPr>
                <w:rFonts w:asciiTheme="minorEastAsia" w:hAnsiTheme="minorEastAsia" w:eastAsiaTheme="minorEastAsia" w:cstheme="minorEastAsia"/>
                <w:sz w:val="18"/>
                <w:szCs w:val="18"/>
                <w:highlight w:val="none"/>
              </w:rPr>
            </w:pPr>
            <w:bookmarkStart w:id="384" w:name="_Toc1177165495"/>
            <w:r>
              <w:rPr>
                <w:rFonts w:asciiTheme="minorEastAsia" w:hAnsiTheme="minorEastAsia" w:eastAsiaTheme="minorEastAsia" w:cstheme="minorEastAsia"/>
                <w:sz w:val="18"/>
                <w:szCs w:val="18"/>
                <w:highlight w:val="none"/>
              </w:rPr>
              <w:t>随访管理</w:t>
            </w:r>
            <w:bookmarkEnd w:id="384"/>
            <w:r>
              <w:rPr>
                <w:rFonts w:asciiTheme="minorEastAsia" w:hAnsiTheme="minorEastAsia" w:eastAsiaTheme="minorEastAsia" w:cstheme="minorEastAsia"/>
                <w:sz w:val="18"/>
                <w:szCs w:val="18"/>
                <w:highlight w:val="none"/>
              </w:rPr>
              <w:t>：支持统一管理高血压随访记录并对接转诊系统。</w:t>
            </w:r>
          </w:p>
          <w:p>
            <w:pPr>
              <w:ind w:firstLine="480"/>
              <w:rPr>
                <w:rFonts w:asciiTheme="minorEastAsia" w:hAnsiTheme="minorEastAsia" w:eastAsiaTheme="minorEastAsia" w:cstheme="minorEastAsia"/>
                <w:sz w:val="18"/>
                <w:szCs w:val="18"/>
                <w:highlight w:val="none"/>
              </w:rPr>
            </w:pPr>
            <w:bookmarkStart w:id="385" w:name="_Toc2001118301"/>
            <w:r>
              <w:rPr>
                <w:rFonts w:hint="eastAsia" w:asciiTheme="minorEastAsia" w:hAnsiTheme="minorEastAsia" w:eastAsiaTheme="minorEastAsia" w:cstheme="minorEastAsia"/>
                <w:sz w:val="18"/>
                <w:szCs w:val="18"/>
                <w:highlight w:val="none"/>
              </w:rPr>
              <w:t>2</w:t>
            </w:r>
            <w:r>
              <w:rPr>
                <w:rFonts w:asciiTheme="minorEastAsia" w:hAnsiTheme="minorEastAsia" w:eastAsiaTheme="minorEastAsia" w:cstheme="minorEastAsia"/>
                <w:sz w:val="18"/>
                <w:szCs w:val="18"/>
                <w:highlight w:val="none"/>
              </w:rPr>
              <w:t>.糖尿病管理</w:t>
            </w:r>
            <w:bookmarkEnd w:id="385"/>
          </w:p>
          <w:p>
            <w:pPr>
              <w:ind w:firstLine="480"/>
              <w:rPr>
                <w:rFonts w:asciiTheme="minorEastAsia" w:hAnsiTheme="minorEastAsia" w:eastAsiaTheme="minorEastAsia" w:cstheme="minorEastAsia"/>
                <w:sz w:val="18"/>
                <w:szCs w:val="18"/>
                <w:highlight w:val="none"/>
              </w:rPr>
            </w:pPr>
            <w:bookmarkStart w:id="386" w:name="_Toc1053889240"/>
            <w:r>
              <w:rPr>
                <w:rFonts w:asciiTheme="minorEastAsia" w:hAnsiTheme="minorEastAsia" w:eastAsiaTheme="minorEastAsia" w:cstheme="minorEastAsia"/>
                <w:sz w:val="18"/>
                <w:szCs w:val="18"/>
                <w:highlight w:val="none"/>
              </w:rPr>
              <w:t>疑似管理</w:t>
            </w:r>
            <w:bookmarkEnd w:id="386"/>
            <w:r>
              <w:rPr>
                <w:rFonts w:asciiTheme="minorEastAsia" w:hAnsiTheme="minorEastAsia" w:eastAsiaTheme="minorEastAsia" w:cstheme="minorEastAsia"/>
                <w:sz w:val="18"/>
                <w:szCs w:val="18"/>
                <w:highlight w:val="none"/>
              </w:rPr>
              <w:t>：支持对糖尿病疑似记录进行新增及核实操作。</w:t>
            </w:r>
          </w:p>
          <w:p>
            <w:pPr>
              <w:ind w:firstLine="480"/>
              <w:rPr>
                <w:rFonts w:asciiTheme="minorEastAsia" w:hAnsiTheme="minorEastAsia" w:eastAsiaTheme="minorEastAsia" w:cstheme="minorEastAsia"/>
                <w:sz w:val="18"/>
                <w:szCs w:val="18"/>
                <w:highlight w:val="none"/>
              </w:rPr>
            </w:pPr>
            <w:bookmarkStart w:id="387" w:name="_Toc271336224"/>
            <w:r>
              <w:rPr>
                <w:rFonts w:asciiTheme="minorEastAsia" w:hAnsiTheme="minorEastAsia" w:eastAsiaTheme="minorEastAsia" w:cstheme="minorEastAsia"/>
                <w:sz w:val="18"/>
                <w:szCs w:val="18"/>
                <w:highlight w:val="none"/>
              </w:rPr>
              <w:t>高危管理</w:t>
            </w:r>
            <w:bookmarkEnd w:id="387"/>
            <w:r>
              <w:rPr>
                <w:rFonts w:asciiTheme="minorEastAsia" w:hAnsiTheme="minorEastAsia" w:eastAsiaTheme="minorEastAsia" w:cstheme="minorEastAsia"/>
                <w:sz w:val="18"/>
                <w:szCs w:val="18"/>
                <w:highlight w:val="none"/>
              </w:rPr>
              <w:t>：支持对核实状态为高危的高危档案进行核实及随访。</w:t>
            </w:r>
          </w:p>
          <w:p>
            <w:pPr>
              <w:ind w:firstLine="480"/>
              <w:rPr>
                <w:rFonts w:asciiTheme="minorEastAsia" w:hAnsiTheme="minorEastAsia" w:eastAsiaTheme="minorEastAsia" w:cstheme="minorEastAsia"/>
                <w:sz w:val="18"/>
                <w:szCs w:val="18"/>
                <w:highlight w:val="none"/>
              </w:rPr>
            </w:pPr>
            <w:bookmarkStart w:id="388" w:name="_Toc1240134187"/>
            <w:r>
              <w:rPr>
                <w:rFonts w:asciiTheme="minorEastAsia" w:hAnsiTheme="minorEastAsia" w:eastAsiaTheme="minorEastAsia" w:cstheme="minorEastAsia"/>
                <w:sz w:val="18"/>
                <w:szCs w:val="18"/>
                <w:highlight w:val="none"/>
              </w:rPr>
              <w:t>高危随访</w:t>
            </w:r>
            <w:bookmarkEnd w:id="388"/>
            <w:r>
              <w:rPr>
                <w:rFonts w:asciiTheme="minorEastAsia" w:hAnsiTheme="minorEastAsia" w:eastAsiaTheme="minorEastAsia" w:cstheme="minorEastAsia"/>
                <w:sz w:val="18"/>
                <w:szCs w:val="18"/>
                <w:highlight w:val="none"/>
              </w:rPr>
              <w:t>：支持统一管理和维护高血压高危随访记录。</w:t>
            </w:r>
          </w:p>
          <w:p>
            <w:pPr>
              <w:ind w:firstLine="480"/>
              <w:rPr>
                <w:rFonts w:asciiTheme="minorEastAsia" w:hAnsiTheme="minorEastAsia" w:eastAsiaTheme="minorEastAsia" w:cstheme="minorEastAsia"/>
                <w:sz w:val="18"/>
                <w:szCs w:val="18"/>
                <w:highlight w:val="none"/>
              </w:rPr>
            </w:pPr>
            <w:bookmarkStart w:id="389" w:name="_Toc1606486774"/>
            <w:r>
              <w:rPr>
                <w:rFonts w:asciiTheme="minorEastAsia" w:hAnsiTheme="minorEastAsia" w:eastAsiaTheme="minorEastAsia" w:cstheme="minorEastAsia"/>
                <w:sz w:val="18"/>
                <w:szCs w:val="18"/>
                <w:highlight w:val="none"/>
              </w:rPr>
              <w:t>患者管理</w:t>
            </w:r>
            <w:bookmarkEnd w:id="389"/>
            <w:r>
              <w:rPr>
                <w:rFonts w:asciiTheme="minorEastAsia" w:hAnsiTheme="minorEastAsia" w:eastAsiaTheme="minorEastAsia" w:cstheme="minorEastAsia"/>
                <w:sz w:val="18"/>
                <w:szCs w:val="18"/>
                <w:highlight w:val="none"/>
              </w:rPr>
              <w:t>：支持糖尿病患者健康档案的建立、修改与注销功能。</w:t>
            </w:r>
          </w:p>
          <w:p>
            <w:pPr>
              <w:ind w:firstLine="480"/>
              <w:rPr>
                <w:rFonts w:asciiTheme="minorEastAsia" w:hAnsiTheme="minorEastAsia" w:eastAsiaTheme="minorEastAsia" w:cstheme="minorEastAsia"/>
                <w:sz w:val="18"/>
                <w:szCs w:val="18"/>
                <w:highlight w:val="none"/>
              </w:rPr>
            </w:pPr>
            <w:bookmarkStart w:id="390" w:name="_Toc2058800534"/>
            <w:r>
              <w:rPr>
                <w:rFonts w:asciiTheme="minorEastAsia" w:hAnsiTheme="minorEastAsia" w:eastAsiaTheme="minorEastAsia" w:cstheme="minorEastAsia"/>
                <w:sz w:val="18"/>
                <w:szCs w:val="18"/>
                <w:highlight w:val="none"/>
              </w:rPr>
              <w:t>随访管理</w:t>
            </w:r>
            <w:bookmarkEnd w:id="390"/>
            <w:r>
              <w:rPr>
                <w:rFonts w:asciiTheme="minorEastAsia" w:hAnsiTheme="minorEastAsia" w:eastAsiaTheme="minorEastAsia" w:cstheme="minorEastAsia"/>
                <w:sz w:val="18"/>
                <w:szCs w:val="18"/>
                <w:highlight w:val="none"/>
              </w:rPr>
              <w:t>：支持统一管理糖尿病随访记录并对接转诊系统。</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重性精神疾病患者管理</w:t>
            </w:r>
          </w:p>
          <w:p>
            <w:pPr>
              <w:ind w:firstLine="480"/>
              <w:rPr>
                <w:rFonts w:asciiTheme="minorEastAsia" w:hAnsiTheme="minorEastAsia" w:eastAsiaTheme="minorEastAsia" w:cstheme="minorEastAsia"/>
                <w:sz w:val="18"/>
                <w:szCs w:val="18"/>
                <w:highlight w:val="none"/>
              </w:rPr>
            </w:pPr>
            <w:bookmarkStart w:id="391" w:name="_Toc1581574265"/>
            <w:r>
              <w:rPr>
                <w:rFonts w:asciiTheme="minorEastAsia" w:hAnsiTheme="minorEastAsia" w:eastAsiaTheme="minorEastAsia" w:cstheme="minorEastAsia"/>
                <w:sz w:val="18"/>
                <w:szCs w:val="18"/>
                <w:highlight w:val="none"/>
              </w:rPr>
              <w:t>患者管理</w:t>
            </w:r>
            <w:bookmarkEnd w:id="391"/>
            <w:r>
              <w:rPr>
                <w:rFonts w:asciiTheme="minorEastAsia" w:hAnsiTheme="minorEastAsia" w:eastAsiaTheme="minorEastAsia" w:cstheme="minorEastAsia"/>
                <w:sz w:val="18"/>
                <w:szCs w:val="18"/>
                <w:highlight w:val="none"/>
              </w:rPr>
              <w:t>：支持重症精神障碍患者管理，可查看患者信息、注销和恢复操作。</w:t>
            </w:r>
          </w:p>
          <w:p>
            <w:pPr>
              <w:ind w:firstLine="480"/>
              <w:rPr>
                <w:rFonts w:asciiTheme="minorEastAsia" w:hAnsiTheme="minorEastAsia" w:eastAsiaTheme="minorEastAsia" w:cstheme="minorEastAsia"/>
                <w:sz w:val="18"/>
                <w:szCs w:val="18"/>
                <w:highlight w:val="none"/>
              </w:rPr>
            </w:pPr>
            <w:bookmarkStart w:id="392" w:name="_Toc2113572936"/>
            <w:r>
              <w:rPr>
                <w:rFonts w:asciiTheme="minorEastAsia" w:hAnsiTheme="minorEastAsia" w:eastAsiaTheme="minorEastAsia" w:cstheme="minorEastAsia"/>
                <w:sz w:val="18"/>
                <w:szCs w:val="18"/>
                <w:highlight w:val="none"/>
              </w:rPr>
              <w:t>随访管理</w:t>
            </w:r>
            <w:bookmarkEnd w:id="392"/>
            <w:r>
              <w:rPr>
                <w:rFonts w:asciiTheme="minorEastAsia" w:hAnsiTheme="minorEastAsia" w:eastAsiaTheme="minorEastAsia" w:cstheme="minorEastAsia"/>
                <w:sz w:val="18"/>
                <w:szCs w:val="18"/>
                <w:highlight w:val="none"/>
              </w:rPr>
              <w:t>：支持统一管理重症精神障碍随访记录。</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结核病患者健康管理</w:t>
            </w:r>
          </w:p>
          <w:p>
            <w:pPr>
              <w:ind w:firstLine="480"/>
              <w:rPr>
                <w:rFonts w:asciiTheme="minorEastAsia" w:hAnsiTheme="minorEastAsia" w:eastAsiaTheme="minorEastAsia" w:cstheme="minorEastAsia"/>
                <w:sz w:val="18"/>
                <w:szCs w:val="18"/>
                <w:highlight w:val="none"/>
              </w:rPr>
            </w:pPr>
            <w:bookmarkStart w:id="393" w:name="_Toc1010024970"/>
            <w:r>
              <w:rPr>
                <w:rFonts w:asciiTheme="minorEastAsia" w:hAnsiTheme="minorEastAsia" w:eastAsiaTheme="minorEastAsia" w:cstheme="minorEastAsia"/>
                <w:sz w:val="18"/>
                <w:szCs w:val="18"/>
                <w:highlight w:val="none"/>
              </w:rPr>
              <w:t>患者管理</w:t>
            </w:r>
            <w:bookmarkEnd w:id="393"/>
            <w:r>
              <w:rPr>
                <w:rFonts w:asciiTheme="minorEastAsia" w:hAnsiTheme="minorEastAsia" w:eastAsiaTheme="minorEastAsia" w:cstheme="minorEastAsia"/>
                <w:sz w:val="18"/>
                <w:szCs w:val="18"/>
                <w:highlight w:val="none"/>
              </w:rPr>
              <w:t>：支持肺结核病人进行统一管理，用于新建及结案操作。</w:t>
            </w:r>
          </w:p>
          <w:p>
            <w:pPr>
              <w:ind w:firstLine="480"/>
              <w:rPr>
                <w:rFonts w:asciiTheme="minorEastAsia" w:hAnsiTheme="minorEastAsia" w:eastAsiaTheme="minorEastAsia" w:cstheme="minorEastAsia"/>
                <w:sz w:val="18"/>
                <w:szCs w:val="18"/>
                <w:highlight w:val="none"/>
              </w:rPr>
            </w:pPr>
            <w:bookmarkStart w:id="394" w:name="_Toc1778924902"/>
            <w:r>
              <w:rPr>
                <w:rFonts w:asciiTheme="minorEastAsia" w:hAnsiTheme="minorEastAsia" w:eastAsiaTheme="minorEastAsia" w:cstheme="minorEastAsia"/>
                <w:sz w:val="18"/>
                <w:szCs w:val="18"/>
                <w:highlight w:val="none"/>
              </w:rPr>
              <w:t>首次随访</w:t>
            </w:r>
            <w:bookmarkEnd w:id="394"/>
            <w:r>
              <w:rPr>
                <w:rFonts w:asciiTheme="minorEastAsia" w:hAnsiTheme="minorEastAsia" w:eastAsiaTheme="minorEastAsia" w:cstheme="minorEastAsia"/>
                <w:sz w:val="18"/>
                <w:szCs w:val="18"/>
                <w:highlight w:val="none"/>
              </w:rPr>
              <w:t>：支持查看肺结核首次随访记录。</w:t>
            </w:r>
          </w:p>
          <w:p>
            <w:pPr>
              <w:ind w:firstLine="480"/>
              <w:rPr>
                <w:rFonts w:asciiTheme="minorEastAsia" w:hAnsiTheme="minorEastAsia" w:eastAsiaTheme="minorEastAsia" w:cstheme="minorEastAsia"/>
                <w:sz w:val="18"/>
                <w:szCs w:val="18"/>
                <w:highlight w:val="none"/>
              </w:rPr>
            </w:pPr>
            <w:bookmarkStart w:id="395" w:name="_Toc1123494380"/>
            <w:r>
              <w:rPr>
                <w:rFonts w:asciiTheme="minorEastAsia" w:hAnsiTheme="minorEastAsia" w:eastAsiaTheme="minorEastAsia" w:cstheme="minorEastAsia"/>
                <w:sz w:val="18"/>
                <w:szCs w:val="18"/>
                <w:highlight w:val="none"/>
              </w:rPr>
              <w:t>随访管理</w:t>
            </w:r>
            <w:bookmarkEnd w:id="395"/>
            <w:r>
              <w:rPr>
                <w:rFonts w:asciiTheme="minorEastAsia" w:hAnsiTheme="minorEastAsia" w:eastAsiaTheme="minorEastAsia" w:cstheme="minorEastAsia"/>
                <w:sz w:val="18"/>
                <w:szCs w:val="18"/>
                <w:highlight w:val="none"/>
              </w:rPr>
              <w:t>：支持统一管理肺结核随访记录。</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传染病及突发公共卫生事件报告和处理</w:t>
            </w:r>
          </w:p>
          <w:p>
            <w:pPr>
              <w:ind w:firstLine="480"/>
              <w:rPr>
                <w:rFonts w:asciiTheme="minorEastAsia" w:hAnsiTheme="minorEastAsia" w:eastAsiaTheme="minorEastAsia" w:cstheme="minorEastAsia"/>
                <w:sz w:val="18"/>
                <w:szCs w:val="18"/>
                <w:highlight w:val="none"/>
              </w:rPr>
            </w:pPr>
            <w:bookmarkStart w:id="396" w:name="_Toc1671132284"/>
            <w:r>
              <w:rPr>
                <w:rFonts w:asciiTheme="minorEastAsia" w:hAnsiTheme="minorEastAsia" w:eastAsiaTheme="minorEastAsia" w:cstheme="minorEastAsia"/>
                <w:sz w:val="18"/>
                <w:szCs w:val="18"/>
                <w:highlight w:val="none"/>
              </w:rPr>
              <w:t>传染病报卡管理</w:t>
            </w:r>
            <w:bookmarkEnd w:id="396"/>
            <w:r>
              <w:rPr>
                <w:rFonts w:asciiTheme="minorEastAsia" w:hAnsiTheme="minorEastAsia" w:eastAsiaTheme="minorEastAsia" w:cstheme="minorEastAsia"/>
                <w:sz w:val="18"/>
                <w:szCs w:val="18"/>
                <w:highlight w:val="none"/>
              </w:rPr>
              <w:t>：对接DSCS传染病报卡，支持基本信息互通。</w:t>
            </w:r>
            <w:r>
              <w:rPr>
                <w:rFonts w:hint="eastAsia" w:asciiTheme="minorEastAsia" w:hAnsiTheme="minorEastAsia" w:eastAsiaTheme="minorEastAsia" w:cstheme="minorEastAsia"/>
                <w:sz w:val="18"/>
                <w:szCs w:val="18"/>
                <w:highlight w:val="none"/>
              </w:rPr>
              <w:t>支持对传染病报卡的维护、审核、上报、统计和导出功能。</w:t>
            </w:r>
          </w:p>
          <w:p>
            <w:pPr>
              <w:ind w:firstLine="480"/>
              <w:rPr>
                <w:rFonts w:asciiTheme="minorEastAsia" w:hAnsiTheme="minorEastAsia" w:eastAsiaTheme="minorEastAsia" w:cstheme="minorEastAsia"/>
                <w:sz w:val="18"/>
                <w:szCs w:val="18"/>
                <w:highlight w:val="none"/>
              </w:rPr>
            </w:pPr>
            <w:bookmarkStart w:id="397" w:name="_Toc1929161722"/>
            <w:r>
              <w:rPr>
                <w:rFonts w:asciiTheme="minorEastAsia" w:hAnsiTheme="minorEastAsia" w:eastAsiaTheme="minorEastAsia" w:cstheme="minorEastAsia"/>
                <w:sz w:val="18"/>
                <w:szCs w:val="18"/>
                <w:highlight w:val="none"/>
              </w:rPr>
              <w:t>突发公共卫生</w:t>
            </w:r>
            <w:bookmarkEnd w:id="397"/>
            <w:r>
              <w:rPr>
                <w:rFonts w:asciiTheme="minorEastAsia" w:hAnsiTheme="minorEastAsia" w:eastAsiaTheme="minorEastAsia" w:cstheme="minorEastAsia"/>
                <w:sz w:val="18"/>
                <w:szCs w:val="18"/>
                <w:highlight w:val="none"/>
              </w:rPr>
              <w:t>：支持基层卫生人员针对突发公共卫生事件进行的一项管理。</w:t>
            </w:r>
          </w:p>
          <w:p>
            <w:pPr>
              <w:ind w:firstLine="480"/>
              <w:rPr>
                <w:rFonts w:asciiTheme="minorEastAsia" w:hAnsiTheme="minorEastAsia" w:eastAsiaTheme="minorEastAsia" w:cstheme="minorEastAsia"/>
                <w:sz w:val="18"/>
                <w:szCs w:val="18"/>
                <w:highlight w:val="none"/>
              </w:rPr>
            </w:pPr>
            <w:bookmarkStart w:id="398" w:name="_Toc712959248"/>
            <w:r>
              <w:rPr>
                <w:rFonts w:asciiTheme="minorEastAsia" w:hAnsiTheme="minorEastAsia" w:eastAsiaTheme="minorEastAsia" w:cstheme="minorEastAsia"/>
                <w:sz w:val="18"/>
                <w:szCs w:val="18"/>
                <w:highlight w:val="none"/>
              </w:rPr>
              <w:t>环境卫生事件</w:t>
            </w:r>
            <w:bookmarkEnd w:id="398"/>
            <w:r>
              <w:rPr>
                <w:rFonts w:asciiTheme="minorEastAsia" w:hAnsiTheme="minorEastAsia" w:eastAsiaTheme="minorEastAsia" w:cstheme="minorEastAsia"/>
                <w:sz w:val="18"/>
                <w:szCs w:val="18"/>
                <w:highlight w:val="none"/>
              </w:rPr>
              <w:t>：支持基层卫生人员针对环境卫生事件进行的一项管理。</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中医药健康管理</w:t>
            </w:r>
          </w:p>
          <w:p>
            <w:pPr>
              <w:ind w:firstLine="480"/>
              <w:rPr>
                <w:rFonts w:asciiTheme="minorEastAsia" w:hAnsiTheme="minorEastAsia" w:eastAsiaTheme="minorEastAsia" w:cstheme="minorEastAsia"/>
                <w:sz w:val="18"/>
                <w:szCs w:val="18"/>
                <w:highlight w:val="none"/>
              </w:rPr>
            </w:pPr>
            <w:bookmarkStart w:id="399" w:name="_Toc784424455"/>
            <w:r>
              <w:rPr>
                <w:rFonts w:asciiTheme="minorEastAsia" w:hAnsiTheme="minorEastAsia" w:eastAsiaTheme="minorEastAsia" w:cstheme="minorEastAsia"/>
                <w:sz w:val="18"/>
                <w:szCs w:val="18"/>
                <w:highlight w:val="none"/>
              </w:rPr>
              <w:t>中医体质辨识</w:t>
            </w:r>
            <w:bookmarkEnd w:id="399"/>
            <w:r>
              <w:rPr>
                <w:rFonts w:asciiTheme="minorEastAsia" w:hAnsiTheme="minorEastAsia" w:eastAsiaTheme="minorEastAsia" w:cstheme="minorEastAsia"/>
                <w:sz w:val="18"/>
                <w:szCs w:val="18"/>
                <w:highlight w:val="none"/>
              </w:rPr>
              <w:t>：对接智慧评估系统中医体质辨识问卷，对问卷结果进行反馈</w:t>
            </w:r>
            <w:r>
              <w:rPr>
                <w:rFonts w:hint="eastAsia" w:asciiTheme="minorEastAsia" w:hAnsiTheme="minorEastAsia" w:eastAsiaTheme="minorEastAsia" w:cstheme="minorEastAsia"/>
                <w:sz w:val="18"/>
                <w:szCs w:val="18"/>
                <w:highlight w:val="none"/>
              </w:rPr>
              <w:t>。</w:t>
            </w:r>
          </w:p>
          <w:p>
            <w:pPr>
              <w:ind w:firstLine="480"/>
              <w:rPr>
                <w:rFonts w:asciiTheme="minorEastAsia" w:hAnsiTheme="minorEastAsia" w:eastAsiaTheme="minorEastAsia" w:cstheme="minorEastAsia"/>
                <w:sz w:val="18"/>
                <w:szCs w:val="18"/>
                <w:highlight w:val="none"/>
              </w:rPr>
            </w:pPr>
            <w:bookmarkStart w:id="400" w:name="_Toc419706252"/>
            <w:r>
              <w:rPr>
                <w:rFonts w:asciiTheme="minorEastAsia" w:hAnsiTheme="minorEastAsia" w:eastAsiaTheme="minorEastAsia" w:cstheme="minorEastAsia"/>
                <w:sz w:val="18"/>
                <w:szCs w:val="18"/>
                <w:highlight w:val="none"/>
              </w:rPr>
              <w:t>中医指导知识库</w:t>
            </w:r>
            <w:bookmarkEnd w:id="400"/>
            <w:r>
              <w:rPr>
                <w:rFonts w:asciiTheme="minorEastAsia" w:hAnsiTheme="minorEastAsia" w:eastAsiaTheme="minorEastAsia" w:cstheme="minorEastAsia"/>
                <w:sz w:val="18"/>
                <w:szCs w:val="18"/>
                <w:highlight w:val="none"/>
              </w:rPr>
              <w:t>：支持中医指导知识的创建及保存。</w:t>
            </w:r>
          </w:p>
          <w:p>
            <w:pPr>
              <w:pStyle w:val="5"/>
              <w:numPr>
                <w:ilvl w:val="3"/>
                <w:numId w:val="0"/>
              </w:numPr>
              <w:tabs>
                <w:tab w:val="left" w:pos="0"/>
              </w:tabs>
              <w:ind w:left="864"/>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卫生监督协管</w:t>
            </w:r>
          </w:p>
          <w:p>
            <w:pPr>
              <w:ind w:firstLine="480"/>
              <w:rPr>
                <w:rFonts w:asciiTheme="minorEastAsia" w:hAnsiTheme="minorEastAsia" w:eastAsiaTheme="minorEastAsia" w:cstheme="minorEastAsia"/>
                <w:sz w:val="18"/>
                <w:szCs w:val="18"/>
                <w:highlight w:val="none"/>
              </w:rPr>
            </w:pPr>
            <w:bookmarkStart w:id="401" w:name="_Toc1112686698"/>
            <w:r>
              <w:rPr>
                <w:rFonts w:hint="eastAsia" w:asciiTheme="minorEastAsia" w:hAnsiTheme="minorEastAsia" w:eastAsiaTheme="minorEastAsia" w:cstheme="minorEastAsia"/>
                <w:sz w:val="18"/>
                <w:szCs w:val="18"/>
                <w:highlight w:val="none"/>
              </w:rPr>
              <w:t>监督协管信息</w:t>
            </w:r>
            <w:bookmarkEnd w:id="401"/>
            <w:r>
              <w:rPr>
                <w:rFonts w:hint="eastAsia" w:asciiTheme="minorEastAsia" w:hAnsiTheme="minorEastAsia" w:eastAsiaTheme="minorEastAsia" w:cstheme="minorEastAsia"/>
                <w:sz w:val="18"/>
                <w:szCs w:val="18"/>
                <w:highlight w:val="none"/>
              </w:rPr>
              <w:t>：</w:t>
            </w:r>
            <w:r>
              <w:rPr>
                <w:rFonts w:asciiTheme="minorEastAsia" w:hAnsiTheme="minorEastAsia" w:eastAsiaTheme="minorEastAsia" w:cstheme="minorEastAsia"/>
                <w:sz w:val="18"/>
                <w:szCs w:val="18"/>
                <w:highlight w:val="none"/>
              </w:rPr>
              <w:t>支持对食品安全、职业卫生、饮用水卫生安全等问题进行统一管理记录。</w:t>
            </w:r>
          </w:p>
          <w:p>
            <w:pPr>
              <w:ind w:firstLine="590" w:firstLineChars="328"/>
              <w:rPr>
                <w:rFonts w:ascii="宋体" w:hAnsi="宋体" w:cs="宋体"/>
                <w:color w:val="000000"/>
                <w:kern w:val="0"/>
                <w:sz w:val="18"/>
                <w:szCs w:val="18"/>
                <w:highlight w:val="none"/>
                <w:lang w:bidi="ar"/>
              </w:rPr>
            </w:pPr>
            <w:bookmarkStart w:id="402" w:name="_Toc637735210"/>
            <w:r>
              <w:rPr>
                <w:rFonts w:asciiTheme="minorEastAsia" w:hAnsiTheme="minorEastAsia" w:eastAsiaTheme="minorEastAsia" w:cstheme="minorEastAsia"/>
                <w:sz w:val="18"/>
                <w:szCs w:val="18"/>
                <w:highlight w:val="none"/>
              </w:rPr>
              <w:t>监督协管巡查</w:t>
            </w:r>
            <w:bookmarkEnd w:id="402"/>
            <w:r>
              <w:rPr>
                <w:rFonts w:asciiTheme="minorEastAsia" w:hAnsiTheme="minorEastAsia" w:eastAsiaTheme="minorEastAsia" w:cstheme="minorEastAsia"/>
                <w:sz w:val="18"/>
                <w:szCs w:val="18"/>
                <w:highlight w:val="none"/>
              </w:rPr>
              <w:t>：支持卫生计生监督协管巡查记录进行统一管理。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37"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176</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区域电子票据对接</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 xml:space="preserve">    </w:t>
            </w:r>
            <w:r>
              <w:rPr>
                <w:rFonts w:hint="eastAsia" w:ascii="宋体" w:hAnsi="宋体" w:cs="宋体"/>
                <w:color w:val="000000"/>
                <w:kern w:val="0"/>
                <w:sz w:val="18"/>
                <w:szCs w:val="18"/>
                <w:highlight w:val="none"/>
                <w:lang w:bidi="ar"/>
              </w:rPr>
              <w:t>支持与区域电子票据进行数据对接。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177</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基层合理用药系统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4"/>
              <w:ind w:left="115" w:right="-86" w:rightChars="-41" w:firstLine="48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建设合理用药系统,可对药品属性、说明书、给药途径及频次进行基础信息设定和维护,保障临床用药合理性。可利用软件对不合理用药情况进行统计监测,并在非常规 医嘱及不合理医嘱开具时及时对医师进行警示和提醒。</w:t>
            </w:r>
          </w:p>
          <w:p>
            <w:pPr>
              <w:pStyle w:val="14"/>
              <w:spacing w:before="120"/>
              <w:ind w:left="115" w:right="-86" w:rightChars="-41" w:firstLine="480"/>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合理用药系统的知识库应支持定期更新和功能扩展,实现对疾病诊断、过敏原、患者生理或病理状态等基础信息的比对设置;智能审查提醒应实现对药物医嘱的药物相互作用、配伍禁忌、适应症等的事前学习、事中提醒、事后点评;提供合理用药统计分析, 对临床医生的不合理用药行为进行回顾性指标分析,具有合理用药的历史回顾分析功能。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178</w:t>
            </w:r>
          </w:p>
        </w:tc>
        <w:tc>
          <w:tcPr>
            <w:tcW w:w="526" w:type="dxa"/>
            <w:vMerge w:val="continue"/>
            <w:tcBorders>
              <w:top w:val="single" w:color="000000" w:sz="4" w:space="0"/>
              <w:left w:val="single" w:color="000000" w:sz="4" w:space="0"/>
              <w:bottom w:val="nil"/>
              <w:right w:val="single" w:color="000000" w:sz="4" w:space="0"/>
            </w:tcBorders>
            <w:shd w:val="clear" w:color="auto" w:fill="BDD7EE"/>
            <w:vAlign w:val="center"/>
          </w:tcPr>
          <w:p>
            <w:pPr>
              <w:widowControl/>
              <w:snapToGrid w:val="0"/>
              <w:jc w:val="center"/>
              <w:textAlignment w:val="center"/>
              <w:rPr>
                <w:rFonts w:ascii="宋体" w:hAnsi="宋体" w:cs="宋体"/>
                <w:bCs/>
                <w:kern w:val="0"/>
                <w:sz w:val="18"/>
                <w:szCs w:val="18"/>
                <w:highlight w:val="none"/>
                <w:lang w:bidi="ar"/>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村卫生室系统</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村医业务系统提供的是村医的基层医疗服务单元，满足村医的诊疗需求。在建设过程中，可以接入电子健康卡；可以调阅居民个人既往健康信息；可以与公卫系统联动，对于未建档和建档需随访的居民实时提醒；对接所在地医保系统确保正常支付。在村医业务系统建设前，重点考虑其基础硬件支撑，确保系统上线后正常运行。</w:t>
            </w:r>
          </w:p>
          <w:p>
            <w:pPr>
              <w:pStyle w:val="5"/>
              <w:numPr>
                <w:ilvl w:val="3"/>
                <w:numId w:val="0"/>
              </w:numPr>
              <w:tabs>
                <w:tab w:val="left" w:pos="0"/>
              </w:tabs>
              <w:ind w:left="864"/>
              <w:rPr>
                <w:rFonts w:asciiTheme="minorEastAsia" w:hAnsiTheme="minorEastAsia" w:eastAsiaTheme="minorEastAsia" w:cstheme="minorEastAsia"/>
                <w:b w:val="0"/>
                <w:sz w:val="18"/>
                <w:szCs w:val="18"/>
                <w:highlight w:val="none"/>
              </w:rPr>
            </w:pPr>
            <w:r>
              <w:rPr>
                <w:rFonts w:hint="eastAsia" w:asciiTheme="minorEastAsia" w:hAnsiTheme="minorEastAsia" w:eastAsiaTheme="minorEastAsia" w:cstheme="minorEastAsia"/>
                <w:b w:val="0"/>
                <w:sz w:val="18"/>
                <w:szCs w:val="18"/>
                <w:highlight w:val="none"/>
              </w:rPr>
              <w:t>档案建立</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获取就诊对象基本信息，查询就诊对象的健康档案或为就诊对象建立健康档案。</w:t>
            </w:r>
          </w:p>
          <w:p>
            <w:pPr>
              <w:pStyle w:val="5"/>
              <w:numPr>
                <w:ilvl w:val="3"/>
                <w:numId w:val="0"/>
              </w:numPr>
              <w:tabs>
                <w:tab w:val="left" w:pos="0"/>
              </w:tabs>
              <w:ind w:left="864"/>
              <w:rPr>
                <w:rFonts w:asciiTheme="minorEastAsia" w:hAnsiTheme="minorEastAsia" w:eastAsiaTheme="minorEastAsia" w:cstheme="minorEastAsia"/>
                <w:b w:val="0"/>
                <w:sz w:val="18"/>
                <w:szCs w:val="18"/>
                <w:highlight w:val="none"/>
              </w:rPr>
            </w:pPr>
            <w:r>
              <w:rPr>
                <w:rFonts w:hint="eastAsia" w:asciiTheme="minorEastAsia" w:hAnsiTheme="minorEastAsia" w:eastAsiaTheme="minorEastAsia" w:cstheme="minorEastAsia"/>
                <w:b w:val="0"/>
                <w:sz w:val="18"/>
                <w:szCs w:val="18"/>
                <w:highlight w:val="none"/>
              </w:rPr>
              <w:t>门诊病历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提供门诊病历新建、浏览、书写、删除、打印、医生签名、病历模版导入导出、病历查询等功能。</w:t>
            </w:r>
          </w:p>
          <w:p>
            <w:pPr>
              <w:pStyle w:val="5"/>
              <w:numPr>
                <w:ilvl w:val="3"/>
                <w:numId w:val="0"/>
              </w:numPr>
              <w:tabs>
                <w:tab w:val="left" w:pos="0"/>
              </w:tabs>
              <w:ind w:left="864"/>
              <w:rPr>
                <w:rFonts w:asciiTheme="minorEastAsia" w:hAnsiTheme="minorEastAsia" w:eastAsiaTheme="minorEastAsia" w:cstheme="minorEastAsia"/>
                <w:b w:val="0"/>
                <w:sz w:val="18"/>
                <w:szCs w:val="18"/>
                <w:highlight w:val="none"/>
              </w:rPr>
            </w:pPr>
            <w:r>
              <w:rPr>
                <w:rFonts w:hint="eastAsia" w:asciiTheme="minorEastAsia" w:hAnsiTheme="minorEastAsia" w:eastAsiaTheme="minorEastAsia" w:cstheme="minorEastAsia"/>
                <w:b w:val="0"/>
                <w:sz w:val="18"/>
                <w:szCs w:val="18"/>
                <w:highlight w:val="none"/>
              </w:rPr>
              <w:t>门诊处方</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该功能用于医生开处方，提供处方录入的新组、删除、新处方、删除处方、复制处方、保存、打印、注射卡、关闭等操作功能，同时提供常用药、处方组套等助手功能以及药品的附件计价功能。</w:t>
            </w:r>
          </w:p>
          <w:p>
            <w:pPr>
              <w:pStyle w:val="5"/>
              <w:numPr>
                <w:ilvl w:val="3"/>
                <w:numId w:val="0"/>
              </w:numPr>
              <w:tabs>
                <w:tab w:val="left" w:pos="0"/>
              </w:tabs>
              <w:ind w:left="864"/>
              <w:rPr>
                <w:rFonts w:asciiTheme="minorEastAsia" w:hAnsiTheme="minorEastAsia" w:eastAsiaTheme="minorEastAsia" w:cstheme="minorEastAsia"/>
                <w:b w:val="0"/>
                <w:sz w:val="18"/>
                <w:szCs w:val="18"/>
                <w:highlight w:val="none"/>
              </w:rPr>
            </w:pPr>
            <w:r>
              <w:rPr>
                <w:rFonts w:hint="eastAsia" w:asciiTheme="minorEastAsia" w:hAnsiTheme="minorEastAsia" w:eastAsiaTheme="minorEastAsia" w:cstheme="minorEastAsia"/>
                <w:b w:val="0"/>
                <w:sz w:val="18"/>
                <w:szCs w:val="18"/>
                <w:highlight w:val="none"/>
              </w:rPr>
              <w:t>门诊收费</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rPr>
              <w:t>针对</w:t>
            </w:r>
            <w:r>
              <w:rPr>
                <w:rFonts w:hint="eastAsia" w:asciiTheme="minorEastAsia" w:hAnsiTheme="minorEastAsia" w:eastAsiaTheme="minorEastAsia" w:cstheme="minorEastAsia"/>
                <w:sz w:val="18"/>
                <w:szCs w:val="18"/>
                <w:highlight w:val="none"/>
              </w:rPr>
              <w:t>门诊诊毕完成的患者就诊处方、处置单、检查检验申请单进行调入并完成收费。</w:t>
            </w:r>
          </w:p>
          <w:p>
            <w:pPr>
              <w:pStyle w:val="5"/>
              <w:numPr>
                <w:ilvl w:val="3"/>
                <w:numId w:val="0"/>
              </w:numPr>
              <w:tabs>
                <w:tab w:val="left" w:pos="0"/>
              </w:tabs>
              <w:ind w:left="864"/>
              <w:rPr>
                <w:rFonts w:asciiTheme="minorEastAsia" w:hAnsiTheme="minorEastAsia" w:eastAsiaTheme="minorEastAsia" w:cstheme="minorEastAsia"/>
                <w:b w:val="0"/>
                <w:sz w:val="18"/>
                <w:szCs w:val="18"/>
                <w:highlight w:val="none"/>
              </w:rPr>
            </w:pPr>
            <w:r>
              <w:rPr>
                <w:rFonts w:hint="eastAsia" w:asciiTheme="minorEastAsia" w:hAnsiTheme="minorEastAsia" w:eastAsiaTheme="minorEastAsia" w:cstheme="minorEastAsia"/>
                <w:b w:val="0"/>
                <w:sz w:val="18"/>
                <w:szCs w:val="18"/>
                <w:highlight w:val="none"/>
              </w:rPr>
              <w:t>药品管理</w:t>
            </w:r>
          </w:p>
          <w:p>
            <w:pPr>
              <w:ind w:firstLine="48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有药品管理、查询常见疾病诊疗信息和有关技术资料等功能，传送诊疗信息和费用明细，提示并上报有关规定的报表和数据。</w:t>
            </w:r>
          </w:p>
          <w:p>
            <w:pPr>
              <w:pStyle w:val="5"/>
              <w:numPr>
                <w:ilvl w:val="3"/>
                <w:numId w:val="0"/>
              </w:numPr>
              <w:tabs>
                <w:tab w:val="left" w:pos="0"/>
              </w:tabs>
              <w:ind w:left="864"/>
              <w:rPr>
                <w:rFonts w:asciiTheme="minorEastAsia" w:hAnsiTheme="minorEastAsia" w:eastAsiaTheme="minorEastAsia" w:cstheme="minorEastAsia"/>
                <w:b w:val="0"/>
                <w:sz w:val="18"/>
                <w:szCs w:val="18"/>
                <w:highlight w:val="none"/>
              </w:rPr>
            </w:pPr>
            <w:r>
              <w:rPr>
                <w:rFonts w:hint="eastAsia" w:asciiTheme="minorEastAsia" w:hAnsiTheme="minorEastAsia" w:eastAsiaTheme="minorEastAsia" w:cstheme="minorEastAsia"/>
                <w:b w:val="0"/>
                <w:sz w:val="18"/>
                <w:szCs w:val="18"/>
                <w:highlight w:val="none"/>
              </w:rPr>
              <w:t>查询统计</w:t>
            </w:r>
          </w:p>
          <w:p>
            <w:pPr>
              <w:ind w:firstLine="480"/>
              <w:rPr>
                <w:rFonts w:ascii="宋体" w:hAnsi="宋体" w:cs="宋体"/>
                <w:bCs/>
                <w:kern w:val="0"/>
                <w:sz w:val="18"/>
                <w:szCs w:val="18"/>
                <w:highlight w:val="none"/>
                <w:lang w:bidi="ar"/>
              </w:rPr>
            </w:pPr>
            <w:r>
              <w:rPr>
                <w:rFonts w:hint="eastAsia" w:asciiTheme="minorEastAsia" w:hAnsiTheme="minorEastAsia" w:eastAsiaTheme="minorEastAsia" w:cstheme="minorEastAsia"/>
                <w:sz w:val="18"/>
                <w:szCs w:val="18"/>
                <w:highlight w:val="none"/>
              </w:rPr>
              <w:t>提供服务提示、综合查询和统计报表的功能与公共卫生服务有关模块进行关联。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179</w:t>
            </w:r>
          </w:p>
        </w:tc>
        <w:tc>
          <w:tcPr>
            <w:tcW w:w="526" w:type="dxa"/>
            <w:vMerge w:val="restart"/>
            <w:tcBorders>
              <w:top w:val="single" w:color="000000" w:sz="4" w:space="0"/>
              <w:left w:val="single" w:color="000000" w:sz="4" w:space="0"/>
              <w:right w:val="single" w:color="000000" w:sz="4" w:space="0"/>
            </w:tcBorders>
            <w:shd w:val="clear" w:color="auto" w:fill="E2EFDA"/>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互联互通接口</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与市级医疗机构对接</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支持与</w:t>
            </w:r>
            <w:r>
              <w:rPr>
                <w:rFonts w:hint="eastAsia" w:asciiTheme="minorEastAsia" w:hAnsiTheme="minorEastAsia" w:cstheme="minorEastAsia"/>
                <w:sz w:val="18"/>
                <w:szCs w:val="18"/>
                <w:highlight w:val="none"/>
              </w:rPr>
              <w:t>荥阳</w:t>
            </w:r>
            <w:r>
              <w:rPr>
                <w:rFonts w:hint="eastAsia" w:asciiTheme="minorEastAsia" w:hAnsiTheme="minorEastAsia" w:eastAsiaTheme="minorEastAsia" w:cstheme="minorEastAsia"/>
                <w:sz w:val="18"/>
                <w:szCs w:val="18"/>
                <w:highlight w:val="none"/>
              </w:rPr>
              <w:t>市市级医疗机构对接，实现数据资源上传、利用。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Cs/>
                <w:kern w:val="0"/>
                <w:sz w:val="18"/>
                <w:szCs w:val="18"/>
                <w:highlight w:val="none"/>
                <w:lang w:bidi="ar"/>
              </w:rPr>
            </w:pPr>
            <w:r>
              <w:rPr>
                <w:rFonts w:hint="eastAsia" w:ascii="宋体" w:hAnsi="宋体" w:cs="宋体"/>
                <w:color w:val="000000"/>
                <w:kern w:val="0"/>
                <w:sz w:val="18"/>
                <w:szCs w:val="18"/>
                <w:highlight w:val="none"/>
                <w:lang w:bidi="ar"/>
              </w:rPr>
              <w:t>180</w:t>
            </w:r>
          </w:p>
        </w:tc>
        <w:tc>
          <w:tcPr>
            <w:tcW w:w="526" w:type="dxa"/>
            <w:vMerge w:val="continue"/>
            <w:tcBorders>
              <w:left w:val="single" w:color="000000" w:sz="4" w:space="0"/>
              <w:right w:val="single" w:color="000000" w:sz="4" w:space="0"/>
            </w:tcBorders>
            <w:shd w:val="clear" w:color="auto" w:fill="E2EFDA"/>
            <w:vAlign w:val="center"/>
          </w:tcPr>
          <w:p>
            <w:pPr>
              <w:widowControl/>
              <w:snapToGrid w:val="0"/>
              <w:jc w:val="center"/>
              <w:textAlignment w:val="center"/>
              <w:rPr>
                <w:rFonts w:ascii="宋体" w:hAnsi="宋体" w:cs="宋体"/>
                <w:bCs/>
                <w:kern w:val="0"/>
                <w:sz w:val="18"/>
                <w:szCs w:val="18"/>
                <w:highlight w:val="none"/>
                <w:lang w:bidi="ar"/>
              </w:rPr>
            </w:pP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与上级平台对接</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支持与具有数据共享需求的其他上级平台对接，实现数据上报。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r>
        <w:tblPrEx>
          <w:tblCellMar>
            <w:top w:w="0" w:type="dxa"/>
            <w:left w:w="108" w:type="dxa"/>
            <w:bottom w:w="0" w:type="dxa"/>
            <w:right w:w="108" w:type="dxa"/>
          </w:tblCellMar>
        </w:tblPrEx>
        <w:trPr>
          <w:trHeight w:val="4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181</w:t>
            </w:r>
          </w:p>
        </w:tc>
        <w:tc>
          <w:tcPr>
            <w:tcW w:w="526" w:type="dxa"/>
            <w:vMerge w:val="continue"/>
            <w:tcBorders>
              <w:left w:val="single" w:color="000000" w:sz="4" w:space="0"/>
              <w:bottom w:val="single" w:color="auto" w:sz="4" w:space="0"/>
              <w:right w:val="single" w:color="000000" w:sz="4" w:space="0"/>
            </w:tcBorders>
            <w:shd w:val="clear" w:color="auto" w:fill="E2EFDA"/>
            <w:vAlign w:val="center"/>
          </w:tcPr>
          <w:p>
            <w:pPr>
              <w:widowControl/>
              <w:snapToGrid w:val="0"/>
              <w:jc w:val="center"/>
              <w:textAlignment w:val="center"/>
              <w:rPr>
                <w:rFonts w:ascii="宋体" w:hAnsi="宋体" w:cs="宋体"/>
                <w:bCs/>
                <w:kern w:val="0"/>
                <w:sz w:val="18"/>
                <w:szCs w:val="18"/>
                <w:highlight w:val="none"/>
                <w:lang w:bidi="ar"/>
              </w:rPr>
            </w:pP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r>
              <w:rPr>
                <w:rFonts w:hint="eastAsia" w:ascii="宋体" w:hAnsi="宋体" w:cs="宋体"/>
                <w:bCs/>
                <w:kern w:val="0"/>
                <w:sz w:val="18"/>
                <w:szCs w:val="18"/>
                <w:highlight w:val="none"/>
                <w:lang w:bidi="ar"/>
              </w:rPr>
              <w:t>区域互联互通四甲测评咨询服务</w:t>
            </w:r>
          </w:p>
        </w:tc>
        <w:tc>
          <w:tcPr>
            <w:tcW w:w="52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2"/>
              <w:rPr>
                <w:rFonts w:asciiTheme="minorEastAsia" w:hAnsiTheme="minorEastAsia" w:eastAsiaTheme="minorEastAsia" w:cstheme="minorEastAsia"/>
                <w:sz w:val="18"/>
                <w:szCs w:val="18"/>
                <w:highlight w:val="none"/>
              </w:rPr>
            </w:pPr>
            <w:r>
              <w:rPr>
                <w:rFonts w:hint="eastAsia" w:asciiTheme="minorEastAsia" w:hAnsiTheme="minorEastAsia" w:cstheme="minorEastAsia"/>
                <w:sz w:val="18"/>
                <w:szCs w:val="18"/>
                <w:highlight w:val="none"/>
              </w:rPr>
              <w:t>提供</w:t>
            </w:r>
            <w:r>
              <w:rPr>
                <w:rFonts w:hint="eastAsia" w:asciiTheme="minorEastAsia" w:hAnsiTheme="minorEastAsia" w:eastAsiaTheme="minorEastAsia" w:cstheme="minorEastAsia"/>
                <w:sz w:val="18"/>
                <w:szCs w:val="18"/>
                <w:highlight w:val="none"/>
              </w:rPr>
              <w:t>区域互联互通四甲测评咨询</w:t>
            </w:r>
            <w:r>
              <w:rPr>
                <w:rFonts w:hint="eastAsia" w:asciiTheme="minorEastAsia" w:hAnsiTheme="minorEastAsia" w:cstheme="minorEastAsia"/>
                <w:sz w:val="18"/>
                <w:szCs w:val="18"/>
                <w:highlight w:val="none"/>
              </w:rPr>
              <w:t>服务。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宋体" w:hAnsi="宋体" w:cs="宋体"/>
                <w:bCs/>
                <w:kern w:val="0"/>
                <w:sz w:val="18"/>
                <w:szCs w:val="18"/>
                <w:highlight w:val="none"/>
                <w:lang w:bidi="ar"/>
              </w:rPr>
            </w:pPr>
          </w:p>
        </w:tc>
      </w:tr>
    </w:tbl>
    <w:p>
      <w:pPr>
        <w:spacing w:line="360" w:lineRule="auto"/>
        <w:ind w:firstLine="883" w:firstLineChars="200"/>
        <w:jc w:val="center"/>
        <w:rPr>
          <w:b/>
          <w:bCs/>
          <w:sz w:val="44"/>
          <w:szCs w:val="44"/>
          <w:highlight w:val="none"/>
        </w:rPr>
        <w:sectPr>
          <w:pgSz w:w="16838" w:h="11906" w:orient="landscape"/>
          <w:pgMar w:top="1134" w:right="1418" w:bottom="1134" w:left="1418" w:header="851" w:footer="992" w:gutter="0"/>
          <w:cols w:space="720" w:num="1"/>
          <w:docGrid w:type="lines" w:linePitch="312" w:charSpace="0"/>
        </w:sectPr>
      </w:pPr>
    </w:p>
    <w:p>
      <w:pPr>
        <w:pStyle w:val="2"/>
        <w:keepNext w:val="0"/>
        <w:spacing w:line="360" w:lineRule="auto"/>
        <w:jc w:val="center"/>
        <w:rPr>
          <w:rFonts w:ascii="宋体" w:hAnsi="宋体" w:cs="宋体"/>
          <w:sz w:val="32"/>
          <w:szCs w:val="32"/>
          <w:highlight w:val="none"/>
        </w:rPr>
      </w:pPr>
      <w:bookmarkStart w:id="403" w:name="_Toc4592"/>
      <w:r>
        <w:rPr>
          <w:rFonts w:hint="eastAsia" w:ascii="宋体" w:hAnsi="宋体" w:cs="宋体"/>
          <w:sz w:val="32"/>
          <w:szCs w:val="32"/>
          <w:highlight w:val="none"/>
        </w:rPr>
        <w:t>第六章  投标文件格式</w:t>
      </w:r>
      <w:bookmarkEnd w:id="220"/>
      <w:bookmarkEnd w:id="403"/>
    </w:p>
    <w:p>
      <w:pPr>
        <w:spacing w:line="360" w:lineRule="auto"/>
        <w:ind w:firstLine="723" w:firstLineChars="200"/>
        <w:jc w:val="center"/>
        <w:rPr>
          <w:rFonts w:ascii="宋体" w:hAnsi="宋体" w:cs="宋体"/>
          <w:sz w:val="66"/>
          <w:szCs w:val="66"/>
          <w:highlight w:val="none"/>
        </w:rPr>
      </w:pPr>
      <w:r>
        <w:rPr>
          <w:rFonts w:hint="eastAsia" w:ascii="宋体" w:hAnsi="宋体" w:cs="宋体"/>
          <w:b/>
          <w:sz w:val="36"/>
          <w:szCs w:val="36"/>
          <w:highlight w:val="none"/>
          <w:u w:val="single"/>
        </w:rPr>
        <w:t xml:space="preserve">（项目名称）  标段  </w:t>
      </w:r>
      <w:r>
        <w:rPr>
          <w:rFonts w:hint="eastAsia" w:ascii="宋体" w:hAnsi="宋体" w:cs="宋体"/>
          <w:b/>
          <w:sz w:val="36"/>
          <w:szCs w:val="36"/>
          <w:highlight w:val="none"/>
        </w:rPr>
        <w:t xml:space="preserve"> </w:t>
      </w:r>
    </w:p>
    <w:p>
      <w:pPr>
        <w:spacing w:line="360" w:lineRule="auto"/>
        <w:jc w:val="center"/>
        <w:rPr>
          <w:rFonts w:ascii="宋体" w:hAnsi="宋体" w:cs="宋体"/>
          <w:b/>
          <w:bCs/>
          <w:sz w:val="96"/>
          <w:szCs w:val="96"/>
          <w:highlight w:val="none"/>
        </w:rPr>
      </w:pPr>
    </w:p>
    <w:p>
      <w:pPr>
        <w:spacing w:line="360" w:lineRule="auto"/>
        <w:jc w:val="center"/>
        <w:rPr>
          <w:rFonts w:ascii="宋体" w:hAnsi="宋体" w:cs="宋体"/>
          <w:sz w:val="96"/>
          <w:szCs w:val="96"/>
          <w:highlight w:val="none"/>
        </w:rPr>
      </w:pPr>
      <w:r>
        <w:rPr>
          <w:rFonts w:hint="eastAsia" w:ascii="宋体" w:hAnsi="宋体" w:cs="宋体"/>
          <w:b/>
          <w:bCs/>
          <w:sz w:val="96"/>
          <w:szCs w:val="96"/>
          <w:highlight w:val="none"/>
        </w:rPr>
        <w:t>投 标 文 件</w:t>
      </w:r>
    </w:p>
    <w:p>
      <w:pPr>
        <w:spacing w:line="360" w:lineRule="auto"/>
        <w:ind w:firstLine="3213" w:firstLineChars="1000"/>
        <w:rPr>
          <w:rFonts w:ascii="宋体" w:hAnsi="宋体" w:cs="宋体"/>
          <w:b/>
          <w:bCs/>
          <w:sz w:val="32"/>
          <w:szCs w:val="32"/>
          <w:highlight w:val="none"/>
        </w:rPr>
      </w:pPr>
    </w:p>
    <w:p>
      <w:pPr>
        <w:spacing w:line="360" w:lineRule="auto"/>
        <w:ind w:firstLine="3213" w:firstLineChars="1000"/>
        <w:rPr>
          <w:rFonts w:ascii="宋体" w:hAnsi="宋体" w:cs="宋体"/>
          <w:b/>
          <w:bCs/>
          <w:sz w:val="32"/>
          <w:szCs w:val="32"/>
          <w:highlight w:val="none"/>
        </w:rPr>
      </w:pPr>
    </w:p>
    <w:p>
      <w:pPr>
        <w:spacing w:line="360" w:lineRule="auto"/>
        <w:ind w:firstLine="3855" w:firstLineChars="1200"/>
        <w:rPr>
          <w:rFonts w:ascii="宋体" w:hAnsi="宋体" w:cs="宋体"/>
          <w:b/>
          <w:bCs/>
          <w:sz w:val="32"/>
          <w:szCs w:val="32"/>
          <w:highlight w:val="none"/>
        </w:rPr>
      </w:pPr>
      <w:r>
        <w:rPr>
          <w:rFonts w:hint="eastAsia" w:ascii="宋体" w:hAnsi="宋体" w:cs="宋体"/>
          <w:b/>
          <w:bCs/>
          <w:sz w:val="32"/>
          <w:szCs w:val="32"/>
          <w:highlight w:val="none"/>
        </w:rPr>
        <w:t>项目编号：</w:t>
      </w: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ind w:firstLine="380" w:firstLineChars="200"/>
        <w:rPr>
          <w:rFonts w:ascii="宋体" w:hAnsi="宋体" w:cs="宋体"/>
          <w:sz w:val="19"/>
          <w:szCs w:val="19"/>
          <w:highlight w:val="none"/>
        </w:rPr>
      </w:pPr>
    </w:p>
    <w:p>
      <w:pPr>
        <w:spacing w:line="360" w:lineRule="auto"/>
        <w:jc w:val="center"/>
        <w:rPr>
          <w:rFonts w:ascii="宋体" w:hAnsi="宋体" w:cs="宋体"/>
          <w:sz w:val="19"/>
          <w:szCs w:val="19"/>
          <w:highlight w:val="none"/>
        </w:rPr>
      </w:pPr>
    </w:p>
    <w:p>
      <w:pPr>
        <w:spacing w:line="360" w:lineRule="auto"/>
        <w:jc w:val="center"/>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pStyle w:val="31"/>
        <w:ind w:firstLine="190"/>
        <w:rPr>
          <w:rFonts w:ascii="宋体" w:hAnsi="宋体" w:cs="宋体"/>
          <w:sz w:val="19"/>
          <w:szCs w:val="19"/>
          <w:highlight w:val="none"/>
        </w:rPr>
      </w:pPr>
    </w:p>
    <w:p>
      <w:pPr>
        <w:spacing w:line="360" w:lineRule="auto"/>
        <w:ind w:firstLine="1285" w:firstLineChars="400"/>
        <w:rPr>
          <w:rFonts w:ascii="宋体" w:hAnsi="宋体" w:cs="宋体"/>
          <w:b/>
          <w:bCs/>
          <w:sz w:val="32"/>
          <w:szCs w:val="32"/>
          <w:highlight w:val="none"/>
        </w:rPr>
      </w:pPr>
      <w:r>
        <w:rPr>
          <w:rFonts w:hint="eastAsia" w:ascii="宋体" w:hAnsi="宋体" w:cs="宋体"/>
          <w:b/>
          <w:bCs/>
          <w:sz w:val="32"/>
          <w:szCs w:val="32"/>
          <w:highlight w:val="none"/>
        </w:rPr>
        <w:t>投标人：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（盖单位章或电子签章）</w:t>
      </w: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 xml:space="preserve">  法定代表人或其委托代理人：</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（签字或电子签章）</w:t>
      </w:r>
    </w:p>
    <w:p>
      <w:pPr>
        <w:spacing w:line="360" w:lineRule="auto"/>
        <w:jc w:val="center"/>
        <w:rPr>
          <w:rFonts w:ascii="宋体" w:hAnsi="宋体" w:cs="宋体"/>
          <w:b/>
          <w:bCs/>
          <w:sz w:val="32"/>
          <w:szCs w:val="32"/>
          <w:highlight w:val="none"/>
        </w:rPr>
        <w:sectPr>
          <w:pgSz w:w="11906" w:h="16838"/>
          <w:pgMar w:top="1418" w:right="1134" w:bottom="1418" w:left="1134" w:header="851" w:footer="992" w:gutter="0"/>
          <w:cols w:space="720" w:num="1"/>
          <w:docGrid w:type="lines" w:linePitch="312" w:charSpace="0"/>
        </w:sectPr>
      </w:pP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年</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月</w:t>
      </w:r>
      <w:r>
        <w:rPr>
          <w:rFonts w:hint="eastAsia" w:ascii="宋体" w:hAnsi="宋体" w:cs="宋体"/>
          <w:b/>
          <w:bCs/>
          <w:sz w:val="32"/>
          <w:szCs w:val="32"/>
          <w:highlight w:val="none"/>
          <w:u w:val="single"/>
        </w:rPr>
        <w:t xml:space="preserve">    </w:t>
      </w:r>
      <w:r>
        <w:rPr>
          <w:rFonts w:hint="eastAsia" w:ascii="宋体" w:hAnsi="宋体" w:cs="宋体"/>
          <w:b/>
          <w:bCs/>
          <w:sz w:val="32"/>
          <w:szCs w:val="32"/>
          <w:highlight w:val="none"/>
        </w:rPr>
        <w:t>日</w:t>
      </w:r>
    </w:p>
    <w:p>
      <w:pPr>
        <w:spacing w:line="360" w:lineRule="auto"/>
        <w:jc w:val="center"/>
        <w:rPr>
          <w:rFonts w:ascii="宋体" w:hAnsi="宋体" w:cs="宋体"/>
          <w:b/>
          <w:bCs/>
          <w:sz w:val="32"/>
          <w:szCs w:val="32"/>
          <w:highlight w:val="none"/>
        </w:rPr>
      </w:pPr>
      <w:bookmarkStart w:id="404" w:name="_Toc184635137"/>
      <w:r>
        <w:rPr>
          <w:rFonts w:hint="eastAsia" w:ascii="宋体" w:hAnsi="宋体" w:cs="宋体"/>
          <w:b/>
          <w:bCs/>
          <w:sz w:val="32"/>
          <w:szCs w:val="32"/>
          <w:highlight w:val="none"/>
        </w:rPr>
        <w:t>目  录</w:t>
      </w:r>
      <w:bookmarkEnd w:id="404"/>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一、投标函及投标函附录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二、法定代表人身份证明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三、授权委托书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四、报价明细表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五、投标承诺函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六、招标代理服务费承诺函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七、资格审查资料</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八、技术偏离表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九、项目实施方案</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十、供应商企业实力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十一、反商业贿赂承诺书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十二、中小企业声明函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十三、残疾人福利性单位声明函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十四、其他材料    </w:t>
      </w:r>
    </w:p>
    <w:p>
      <w:pPr>
        <w:spacing w:line="360" w:lineRule="auto"/>
        <w:ind w:left="378" w:leftChars="180"/>
        <w:rPr>
          <w:rFonts w:ascii="宋体" w:hAnsi="宋体" w:cs="宋体"/>
          <w:szCs w:val="21"/>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4"/>
        <w:spacing w:line="360" w:lineRule="auto"/>
        <w:jc w:val="center"/>
        <w:rPr>
          <w:rFonts w:ascii="宋体" w:hAnsi="宋体" w:cs="宋体"/>
          <w:highlight w:val="none"/>
        </w:rPr>
      </w:pPr>
      <w:bookmarkStart w:id="405" w:name="_Toc184635138"/>
      <w:bookmarkStart w:id="406" w:name="_Toc358"/>
      <w:bookmarkStart w:id="407" w:name="_Toc12151"/>
      <w:bookmarkStart w:id="408" w:name="_Toc24719"/>
      <w:r>
        <w:rPr>
          <w:rFonts w:hint="eastAsia" w:ascii="宋体" w:hAnsi="宋体" w:cs="宋体"/>
          <w:highlight w:val="none"/>
        </w:rPr>
        <w:t>一、投标函及投标函附录</w:t>
      </w:r>
      <w:bookmarkEnd w:id="405"/>
      <w:bookmarkEnd w:id="406"/>
      <w:bookmarkEnd w:id="407"/>
      <w:bookmarkEnd w:id="408"/>
    </w:p>
    <w:p>
      <w:pPr>
        <w:pStyle w:val="5"/>
        <w:spacing w:line="360" w:lineRule="auto"/>
        <w:jc w:val="center"/>
        <w:rPr>
          <w:rFonts w:ascii="宋体" w:hAnsi="宋体" w:eastAsia="宋体" w:cs="宋体"/>
          <w:sz w:val="22"/>
          <w:szCs w:val="22"/>
          <w:highlight w:val="none"/>
        </w:rPr>
      </w:pPr>
      <w:bookmarkStart w:id="409" w:name="_Toc21686"/>
      <w:bookmarkStart w:id="410" w:name="_Toc16310"/>
      <w:bookmarkStart w:id="411" w:name="_Toc18866"/>
      <w:r>
        <w:rPr>
          <w:rFonts w:hint="eastAsia" w:ascii="宋体" w:hAnsi="宋体" w:eastAsia="宋体" w:cs="宋体"/>
          <w:sz w:val="22"/>
          <w:szCs w:val="22"/>
          <w:highlight w:val="none"/>
        </w:rPr>
        <w:t>（一）投标函</w:t>
      </w:r>
      <w:bookmarkEnd w:id="409"/>
      <w:bookmarkEnd w:id="410"/>
      <w:bookmarkEnd w:id="411"/>
    </w:p>
    <w:p>
      <w:pPr>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（采购人名称）: </w:t>
      </w:r>
    </w:p>
    <w:p>
      <w:pPr>
        <w:spacing w:line="360" w:lineRule="auto"/>
        <w:ind w:left="210" w:leftChars="100" w:firstLine="210" w:firstLineChars="100"/>
        <w:rPr>
          <w:rFonts w:ascii="宋体" w:hAnsi="宋体" w:cs="宋体"/>
          <w:szCs w:val="21"/>
          <w:highlight w:val="none"/>
        </w:rPr>
      </w:pPr>
      <w:r>
        <w:rPr>
          <w:rFonts w:hint="eastAsia" w:ascii="宋体" w:hAnsi="宋体" w:cs="宋体"/>
          <w:szCs w:val="21"/>
          <w:highlight w:val="none"/>
        </w:rPr>
        <w:t>1．我方己仔细研究了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（项目名称）采购文件的全部内容，愿意以人民币（大写）</w:t>
      </w:r>
      <w:r>
        <w:rPr>
          <w:rFonts w:hint="eastAsia" w:ascii="宋体" w:hAnsi="宋体" w:cs="宋体"/>
          <w:szCs w:val="21"/>
          <w:highlight w:val="none"/>
          <w:u w:val="single"/>
        </w:rPr>
        <w:t xml:space="preserve">         元</w:t>
      </w:r>
      <w:r>
        <w:rPr>
          <w:rFonts w:hint="eastAsia" w:ascii="宋体" w:hAnsi="宋体" w:cs="宋体"/>
          <w:szCs w:val="21"/>
          <w:highlight w:val="none"/>
        </w:rPr>
        <w:t>（</w:t>
      </w:r>
      <w:r>
        <w:rPr>
          <w:rFonts w:ascii="Arial" w:hAnsi="Arial" w:cs="Arial"/>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）的投标报价，</w:t>
      </w:r>
      <w:r>
        <w:rPr>
          <w:rFonts w:hint="eastAsia" w:ascii="宋体" w:hAnsi="宋体" w:cs="宋体"/>
          <w:szCs w:val="21"/>
          <w:highlight w:val="none"/>
          <w:lang w:eastAsia="zh-CN"/>
        </w:rPr>
        <w:t>计划工期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，按合同约定实施和完成项目内容，质量达到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2．我方承诺在投标有效期内不修改、撤销投标文件。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3．如我方中标：</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(l）我方承诺在收到中标通知书后，在中标通知书规定的期限内与你方签订合同。</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(2）随同本投标函递交的投标函附录属于合同文件的组成部分。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(3）我方承诺按照招标文件规定向你方递交履约担保（现金或转账形式之一）。</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(4）我方承诺在合同约定的期限内完成并移交全部合同工程。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4．我方在此声明，所递交的投标文件及有关资料内容完整、真实和准确，且不存在第二章“投标人须知”第1.4.3 项规定的任何一种情形。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 如果我方中标,我方将按照招标文件规定一次性交纳中标服务费。</w:t>
      </w:r>
    </w:p>
    <w:p>
      <w:pPr>
        <w:spacing w:line="360" w:lineRule="auto"/>
        <w:ind w:firstLine="4305" w:firstLineChars="2050"/>
        <w:rPr>
          <w:rFonts w:ascii="宋体" w:hAnsi="宋体" w:cs="宋体"/>
          <w:szCs w:val="21"/>
          <w:highlight w:val="none"/>
        </w:rPr>
      </w:pPr>
    </w:p>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地址：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网址：</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传真：</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邮政编码：</w:t>
      </w:r>
      <w:r>
        <w:rPr>
          <w:rFonts w:hint="eastAsia" w:ascii="宋体" w:hAnsi="宋体" w:cs="宋体"/>
          <w:szCs w:val="21"/>
          <w:highlight w:val="none"/>
          <w:u w:val="single"/>
        </w:rPr>
        <w:t xml:space="preserve">                             </w:t>
      </w:r>
    </w:p>
    <w:p>
      <w:pPr>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cols w:space="720" w:num="1"/>
          <w:docGrid w:type="lines" w:linePitch="312" w:charSpace="0"/>
        </w:sectPr>
      </w:pPr>
    </w:p>
    <w:p>
      <w:pPr>
        <w:pStyle w:val="5"/>
        <w:spacing w:line="360" w:lineRule="auto"/>
        <w:jc w:val="center"/>
        <w:rPr>
          <w:rFonts w:ascii="宋体" w:hAnsi="宋体" w:eastAsia="宋体" w:cs="宋体"/>
          <w:sz w:val="24"/>
          <w:szCs w:val="24"/>
          <w:highlight w:val="none"/>
        </w:rPr>
      </w:pPr>
      <w:bookmarkStart w:id="412" w:name="_Toc18386"/>
      <w:bookmarkStart w:id="413" w:name="_Toc11903"/>
      <w:bookmarkStart w:id="414" w:name="_Toc7903"/>
      <w:r>
        <w:rPr>
          <w:rFonts w:hint="eastAsia" w:ascii="宋体" w:hAnsi="宋体" w:eastAsia="宋体" w:cs="宋体"/>
          <w:sz w:val="24"/>
          <w:szCs w:val="24"/>
          <w:highlight w:val="none"/>
        </w:rPr>
        <w:t>（二）投标函附录</w:t>
      </w:r>
      <w:bookmarkEnd w:id="412"/>
      <w:bookmarkEnd w:id="413"/>
      <w:bookmarkEnd w:id="414"/>
    </w:p>
    <w:tbl>
      <w:tblPr>
        <w:tblStyle w:val="33"/>
        <w:tblW w:w="903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2730"/>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项目名称</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标段</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投标单位</w:t>
            </w:r>
          </w:p>
        </w:tc>
        <w:tc>
          <w:tcPr>
            <w:tcW w:w="5558" w:type="dxa"/>
            <w:gridSpan w:val="2"/>
            <w:vAlign w:val="center"/>
          </w:tcPr>
          <w:p>
            <w:pPr>
              <w:spacing w:line="360" w:lineRule="auto"/>
              <w:jc w:val="center"/>
              <w:rPr>
                <w:rFonts w:ascii="宋体" w:hAnsi="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投标范围</w:t>
            </w:r>
          </w:p>
        </w:tc>
        <w:tc>
          <w:tcPr>
            <w:tcW w:w="5558" w:type="dxa"/>
            <w:gridSpan w:val="2"/>
            <w:vAlign w:val="center"/>
          </w:tcPr>
          <w:p>
            <w:pPr>
              <w:spacing w:line="360" w:lineRule="auto"/>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投标报价（元）</w:t>
            </w:r>
          </w:p>
        </w:tc>
        <w:tc>
          <w:tcPr>
            <w:tcW w:w="2730"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大写：</w:t>
            </w:r>
          </w:p>
        </w:tc>
        <w:tc>
          <w:tcPr>
            <w:tcW w:w="2828" w:type="dxa"/>
            <w:vAlign w:val="center"/>
          </w:tcPr>
          <w:p>
            <w:pPr>
              <w:spacing w:line="360" w:lineRule="auto"/>
              <w:ind w:firstLine="105" w:firstLineChars="50"/>
              <w:jc w:val="center"/>
              <w:rPr>
                <w:rFonts w:ascii="宋体" w:hAnsi="宋体" w:cs="宋体"/>
                <w:bCs/>
                <w:szCs w:val="21"/>
                <w:highlight w:val="none"/>
              </w:rPr>
            </w:pPr>
            <w:r>
              <w:rPr>
                <w:rFonts w:hint="eastAsia" w:ascii="宋体" w:hAnsi="宋体" w:cs="宋体"/>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计划工期</w:t>
            </w:r>
          </w:p>
        </w:tc>
        <w:tc>
          <w:tcPr>
            <w:tcW w:w="5558" w:type="dxa"/>
            <w:gridSpan w:val="2"/>
            <w:vAlign w:val="center"/>
          </w:tcPr>
          <w:p>
            <w:pPr>
              <w:spacing w:line="360" w:lineRule="auto"/>
              <w:ind w:firstLine="105" w:firstLineChars="50"/>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质量要求</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项目负责人</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2"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投标有效期</w:t>
            </w:r>
          </w:p>
        </w:tc>
        <w:tc>
          <w:tcPr>
            <w:tcW w:w="5558" w:type="dxa"/>
            <w:gridSpan w:val="2"/>
            <w:vAlign w:val="center"/>
          </w:tcPr>
          <w:p>
            <w:pPr>
              <w:spacing w:line="360" w:lineRule="auto"/>
              <w:ind w:firstLine="1543" w:firstLineChars="732"/>
              <w:jc w:val="center"/>
              <w:rPr>
                <w:rFonts w:ascii="宋体" w:hAnsi="宋体" w:cs="宋体"/>
                <w:b/>
                <w:bCs/>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30" w:type="dxa"/>
            <w:gridSpan w:val="3"/>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优惠条件及其他承诺（不够可另附页）</w:t>
            </w:r>
          </w:p>
          <w:p>
            <w:pPr>
              <w:spacing w:line="360" w:lineRule="auto"/>
              <w:jc w:val="center"/>
              <w:rPr>
                <w:rFonts w:ascii="宋体" w:hAnsi="宋体" w:cs="宋体"/>
                <w:szCs w:val="21"/>
                <w:highlight w:val="none"/>
              </w:rPr>
            </w:pPr>
          </w:p>
          <w:p>
            <w:pPr>
              <w:spacing w:line="360" w:lineRule="auto"/>
              <w:jc w:val="center"/>
              <w:rPr>
                <w:rFonts w:ascii="宋体" w:hAnsi="宋体" w:cs="宋体"/>
                <w:b/>
                <w:bCs/>
                <w:szCs w:val="21"/>
                <w:highlight w:val="none"/>
                <w:u w:val="single"/>
              </w:rPr>
            </w:pPr>
          </w:p>
        </w:tc>
      </w:tr>
    </w:tbl>
    <w:p>
      <w:pPr>
        <w:spacing w:line="360" w:lineRule="auto"/>
        <w:ind w:right="380"/>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jc w:val="center"/>
        <w:rPr>
          <w:rFonts w:ascii="宋体" w:hAnsi="宋体" w:cs="宋体"/>
          <w:szCs w:val="21"/>
          <w:highlight w:val="none"/>
        </w:rPr>
      </w:pPr>
      <w:r>
        <w:rPr>
          <w:rFonts w:hint="eastAsia" w:ascii="宋体" w:hAnsi="宋体" w:cs="宋体"/>
          <w:szCs w:val="21"/>
          <w:highlight w:val="none"/>
        </w:rPr>
        <w:t xml:space="preserve">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p>
    <w:p>
      <w:pPr>
        <w:autoSpaceDE w:val="0"/>
        <w:autoSpaceDN w:val="0"/>
        <w:adjustRightInd w:val="0"/>
        <w:spacing w:line="360" w:lineRule="auto"/>
        <w:ind w:right="380"/>
        <w:rPr>
          <w:rFonts w:ascii="宋体" w:hAnsi="宋体" w:cs="宋体"/>
          <w:szCs w:val="21"/>
          <w:highlight w:val="none"/>
        </w:rPr>
      </w:pPr>
      <w:r>
        <w:rPr>
          <w:rFonts w:hint="eastAsia" w:ascii="宋体" w:hAnsi="宋体" w:cs="宋体"/>
          <w:szCs w:val="21"/>
          <w:highlight w:val="none"/>
        </w:rPr>
        <w:t xml:space="preserve">                                            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jc w:val="center"/>
        <w:rPr>
          <w:rFonts w:ascii="宋体" w:hAnsi="宋体" w:cs="宋体"/>
          <w:szCs w:val="21"/>
          <w:highlight w:val="none"/>
        </w:rPr>
        <w:sectPr>
          <w:pgSz w:w="11906" w:h="16838"/>
          <w:pgMar w:top="1418" w:right="1134" w:bottom="1418" w:left="1134" w:header="851" w:footer="992" w:gutter="0"/>
          <w:cols w:space="720" w:num="1"/>
          <w:docGrid w:type="lines" w:linePitch="312" w:charSpace="0"/>
        </w:sectPr>
      </w:pPr>
    </w:p>
    <w:p>
      <w:pPr>
        <w:pStyle w:val="4"/>
        <w:spacing w:line="360" w:lineRule="auto"/>
        <w:jc w:val="center"/>
        <w:rPr>
          <w:rFonts w:ascii="宋体" w:hAnsi="宋体" w:cs="宋体"/>
          <w:highlight w:val="none"/>
        </w:rPr>
      </w:pPr>
      <w:bookmarkStart w:id="415" w:name="_Toc3818"/>
      <w:bookmarkStart w:id="416" w:name="_Toc12937"/>
      <w:bookmarkStart w:id="417" w:name="_Toc184635139"/>
      <w:bookmarkStart w:id="418" w:name="_Toc28453"/>
      <w:r>
        <w:rPr>
          <w:rFonts w:hint="eastAsia" w:ascii="宋体" w:hAnsi="宋体" w:cs="宋体"/>
          <w:highlight w:val="none"/>
        </w:rPr>
        <w:t>二、法定代表人身份证明</w:t>
      </w:r>
      <w:bookmarkEnd w:id="415"/>
      <w:bookmarkEnd w:id="416"/>
      <w:bookmarkEnd w:id="417"/>
      <w:bookmarkEnd w:id="418"/>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特此证明。</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sectPr>
          <w:pgSz w:w="11906" w:h="16838"/>
          <w:pgMar w:top="1418" w:right="1134" w:bottom="1418" w:left="1134" w:header="851" w:footer="992" w:gutter="0"/>
          <w:cols w:space="720" w:num="1"/>
          <w:docGrid w:type="lines" w:linePitch="312" w:charSpace="0"/>
        </w:sectPr>
      </w:pPr>
    </w:p>
    <w:p>
      <w:pPr>
        <w:pStyle w:val="4"/>
        <w:spacing w:line="360" w:lineRule="auto"/>
        <w:jc w:val="center"/>
        <w:rPr>
          <w:rFonts w:ascii="宋体" w:hAnsi="宋体" w:cs="宋体"/>
          <w:highlight w:val="none"/>
        </w:rPr>
      </w:pPr>
      <w:bookmarkStart w:id="419" w:name="_Toc9676"/>
      <w:bookmarkStart w:id="420" w:name="_Toc15273"/>
      <w:bookmarkStart w:id="421" w:name="_Toc13029"/>
      <w:bookmarkStart w:id="422" w:name="_Toc184635140"/>
      <w:r>
        <w:rPr>
          <w:rFonts w:hint="eastAsia" w:ascii="宋体" w:hAnsi="宋体" w:cs="宋体"/>
          <w:highlight w:val="none"/>
        </w:rPr>
        <w:t>三、授权委托书</w:t>
      </w:r>
      <w:bookmarkEnd w:id="419"/>
      <w:bookmarkEnd w:id="420"/>
      <w:bookmarkEnd w:id="421"/>
      <w:bookmarkEnd w:id="422"/>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（项目名称）投标文件、签订合同和处理有关事宜，其法律后果由我方承担。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附：法定代表人身份证复印件、委托代理人身份证复印件或扫描件</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wordWrap w:val="0"/>
        <w:spacing w:line="360" w:lineRule="auto"/>
        <w:jc w:val="right"/>
        <w:rPr>
          <w:rFonts w:ascii="宋体" w:hAnsi="宋体" w:cs="宋体"/>
          <w:szCs w:val="21"/>
          <w:highlight w:val="none"/>
        </w:rPr>
      </w:pPr>
      <w:r>
        <w:rPr>
          <w:rFonts w:hint="eastAsia" w:ascii="宋体" w:hAnsi="宋体" w:cs="宋体"/>
          <w:szCs w:val="21"/>
          <w:highlight w:val="none"/>
        </w:rPr>
        <w:t xml:space="preserve">     投标人：</w:t>
      </w:r>
      <w:r>
        <w:rPr>
          <w:rFonts w:hint="eastAsia" w:ascii="宋体" w:hAnsi="宋体" w:cs="宋体"/>
          <w:szCs w:val="21"/>
          <w:highlight w:val="none"/>
          <w:u w:val="single"/>
        </w:rPr>
        <w:t xml:space="preserve">                       </w:t>
      </w:r>
      <w:r>
        <w:rPr>
          <w:rFonts w:hint="eastAsia" w:ascii="宋体" w:hAnsi="宋体" w:cs="宋体"/>
          <w:szCs w:val="21"/>
          <w:highlight w:val="none"/>
        </w:rPr>
        <w:t>（盖单位章或电子签章）</w:t>
      </w:r>
    </w:p>
    <w:p>
      <w:pPr>
        <w:spacing w:line="360" w:lineRule="auto"/>
        <w:ind w:right="190"/>
        <w:jc w:val="center"/>
        <w:rPr>
          <w:rFonts w:ascii="宋体" w:hAnsi="宋体" w:cs="宋体"/>
          <w:szCs w:val="21"/>
          <w:highlight w:val="none"/>
        </w:rPr>
      </w:pP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rPr>
          <w:rFonts w:ascii="宋体" w:hAnsi="宋体" w:cs="宋体"/>
          <w:szCs w:val="21"/>
          <w:highlight w:val="none"/>
          <w:u w:val="single"/>
        </w:rPr>
      </w:pPr>
      <w:r>
        <w:rPr>
          <w:rFonts w:hint="eastAsia" w:ascii="宋体" w:hAnsi="宋体" w:cs="宋体"/>
          <w:szCs w:val="21"/>
          <w:highlight w:val="none"/>
        </w:rPr>
        <w:t xml:space="preserve">                                       身份证号码：</w:t>
      </w:r>
    </w:p>
    <w:p>
      <w:pPr>
        <w:spacing w:line="360" w:lineRule="auto"/>
        <w:ind w:right="95"/>
        <w:jc w:val="center"/>
        <w:rPr>
          <w:rFonts w:ascii="宋体" w:hAnsi="宋体" w:cs="宋体"/>
          <w:szCs w:val="21"/>
          <w:highlight w:val="none"/>
        </w:rPr>
      </w:pP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p>
    <w:p>
      <w:pPr>
        <w:spacing w:line="360" w:lineRule="auto"/>
        <w:ind w:right="380"/>
        <w:jc w:val="center"/>
        <w:rPr>
          <w:rFonts w:ascii="宋体" w:hAnsi="宋体" w:cs="宋体"/>
          <w:szCs w:val="21"/>
          <w:highlight w:val="none"/>
          <w:u w:val="single"/>
        </w:rPr>
      </w:pPr>
      <w:r>
        <w:rPr>
          <w:rFonts w:hint="eastAsia" w:ascii="宋体" w:hAnsi="宋体" w:cs="宋体"/>
          <w:szCs w:val="21"/>
          <w:highlight w:val="none"/>
        </w:rPr>
        <w:t xml:space="preserve">  身份证号码：</w:t>
      </w:r>
      <w:r>
        <w:rPr>
          <w:rFonts w:hint="eastAsia" w:ascii="宋体" w:hAnsi="宋体" w:cs="宋体"/>
          <w:szCs w:val="21"/>
          <w:highlight w:val="none"/>
          <w:u w:val="single"/>
        </w:rPr>
        <w:t xml:space="preserve">                                     </w:t>
      </w:r>
    </w:p>
    <w:p>
      <w:pPr>
        <w:spacing w:line="360" w:lineRule="auto"/>
        <w:ind w:right="380"/>
        <w:jc w:val="center"/>
        <w:rPr>
          <w:rFonts w:ascii="宋体" w:hAnsi="宋体" w:cs="宋体"/>
          <w:szCs w:val="21"/>
          <w:highlight w:val="none"/>
        </w:rPr>
      </w:pPr>
      <w:r>
        <w:rPr>
          <w:rFonts w:hint="eastAsia" w:ascii="宋体" w:hAnsi="宋体" w:cs="宋体"/>
          <w:szCs w:val="21"/>
          <w:highlight w:val="none"/>
        </w:rPr>
        <w:t xml:space="preserve">                                         日期：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p>
    <w:p>
      <w:pPr>
        <w:spacing w:line="360" w:lineRule="auto"/>
        <w:rPr>
          <w:rFonts w:ascii="宋体" w:hAnsi="宋体" w:cs="宋体"/>
          <w:szCs w:val="21"/>
          <w:highlight w:val="none"/>
        </w:rPr>
        <w:sectPr>
          <w:pgSz w:w="11906" w:h="16838"/>
          <w:pgMar w:top="1418" w:right="1134" w:bottom="1418" w:left="1134" w:header="851" w:footer="992" w:gutter="0"/>
          <w:cols w:space="720" w:num="1"/>
          <w:docGrid w:type="lines" w:linePitch="312" w:charSpace="0"/>
        </w:sectPr>
      </w:pPr>
    </w:p>
    <w:p>
      <w:pPr>
        <w:pStyle w:val="4"/>
        <w:spacing w:line="360" w:lineRule="auto"/>
        <w:jc w:val="center"/>
        <w:rPr>
          <w:rFonts w:ascii="宋体" w:hAnsi="宋体" w:cs="宋体"/>
          <w:highlight w:val="none"/>
        </w:rPr>
      </w:pPr>
      <w:bookmarkStart w:id="423" w:name="_Toc15405"/>
      <w:bookmarkStart w:id="424" w:name="_Toc184635142"/>
      <w:bookmarkStart w:id="425" w:name="_Toc341"/>
      <w:bookmarkStart w:id="426" w:name="_Toc25132"/>
      <w:r>
        <w:rPr>
          <w:rFonts w:hint="eastAsia" w:ascii="宋体" w:hAnsi="宋体" w:cs="宋体"/>
          <w:highlight w:val="none"/>
        </w:rPr>
        <w:t>四、报价明细表</w:t>
      </w:r>
      <w:bookmarkEnd w:id="423"/>
    </w:p>
    <w:tbl>
      <w:tblPr>
        <w:tblStyle w:val="33"/>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238"/>
        <w:gridCol w:w="992"/>
        <w:gridCol w:w="992"/>
        <w:gridCol w:w="992"/>
        <w:gridCol w:w="1237"/>
        <w:gridCol w:w="1237"/>
        <w:gridCol w:w="1031"/>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序号</w:t>
            </w:r>
          </w:p>
        </w:tc>
        <w:tc>
          <w:tcPr>
            <w:tcW w:w="2238"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货物（服务）名称</w:t>
            </w:r>
          </w:p>
        </w:tc>
        <w:tc>
          <w:tcPr>
            <w:tcW w:w="99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品牌</w:t>
            </w:r>
          </w:p>
        </w:tc>
        <w:tc>
          <w:tcPr>
            <w:tcW w:w="99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型号或规格</w:t>
            </w:r>
          </w:p>
        </w:tc>
        <w:tc>
          <w:tcPr>
            <w:tcW w:w="99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单位</w:t>
            </w:r>
          </w:p>
        </w:tc>
        <w:tc>
          <w:tcPr>
            <w:tcW w:w="1237"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数量</w:t>
            </w:r>
          </w:p>
        </w:tc>
        <w:tc>
          <w:tcPr>
            <w:tcW w:w="1237"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单价</w:t>
            </w:r>
          </w:p>
        </w:tc>
        <w:tc>
          <w:tcPr>
            <w:tcW w:w="1031"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金额</w:t>
            </w:r>
          </w:p>
        </w:tc>
        <w:tc>
          <w:tcPr>
            <w:tcW w:w="1007"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088" w:type="dxa"/>
            <w:gridSpan w:val="9"/>
            <w:vAlign w:val="center"/>
          </w:tcPr>
          <w:p>
            <w:pPr>
              <w:adjustRightInd w:val="0"/>
              <w:snapToGrid w:val="0"/>
              <w:spacing w:line="440" w:lineRule="exact"/>
              <w:rPr>
                <w:rFonts w:ascii="宋体" w:hAnsi="宋体" w:cs="宋体"/>
                <w:sz w:val="24"/>
                <w:highlight w:val="none"/>
              </w:rPr>
            </w:pPr>
            <w:r>
              <w:rPr>
                <w:rFonts w:hint="eastAsia" w:ascii="宋体" w:hAnsi="宋体" w:cs="宋体"/>
                <w:sz w:val="24"/>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2238" w:type="dxa"/>
            <w:shd w:val="clear" w:color="auto" w:fill="auto"/>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2</w:t>
            </w:r>
          </w:p>
        </w:tc>
        <w:tc>
          <w:tcPr>
            <w:tcW w:w="2238" w:type="dxa"/>
            <w:shd w:val="clear" w:color="auto" w:fill="auto"/>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1088" w:type="dxa"/>
            <w:gridSpan w:val="9"/>
            <w:vAlign w:val="center"/>
          </w:tcPr>
          <w:p>
            <w:pPr>
              <w:adjustRightInd w:val="0"/>
              <w:snapToGrid w:val="0"/>
              <w:spacing w:line="440" w:lineRule="exact"/>
              <w:jc w:val="left"/>
              <w:rPr>
                <w:rFonts w:ascii="宋体" w:hAnsi="宋体" w:cs="宋体"/>
                <w:sz w:val="24"/>
                <w:highlight w:val="none"/>
              </w:rPr>
            </w:pPr>
            <w:r>
              <w:rPr>
                <w:rFonts w:hint="eastAsia" w:ascii="宋体" w:hAnsi="宋体" w:cs="宋体"/>
                <w:sz w:val="24"/>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2238" w:type="dxa"/>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w:t>
            </w:r>
          </w:p>
        </w:tc>
        <w:tc>
          <w:tcPr>
            <w:tcW w:w="2238" w:type="dxa"/>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62"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合计</w:t>
            </w:r>
          </w:p>
        </w:tc>
        <w:tc>
          <w:tcPr>
            <w:tcW w:w="2238" w:type="dxa"/>
            <w:vAlign w:val="center"/>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992" w:type="dxa"/>
          </w:tcPr>
          <w:p>
            <w:pPr>
              <w:adjustRightInd w:val="0"/>
              <w:snapToGrid w:val="0"/>
              <w:spacing w:line="440" w:lineRule="exact"/>
              <w:jc w:val="center"/>
              <w:rPr>
                <w:rFonts w:ascii="宋体" w:hAnsi="宋体" w:cs="宋体"/>
                <w:sz w:val="24"/>
                <w:highlight w:val="none"/>
              </w:rPr>
            </w:pPr>
          </w:p>
        </w:tc>
        <w:tc>
          <w:tcPr>
            <w:tcW w:w="1237" w:type="dxa"/>
          </w:tcPr>
          <w:p>
            <w:pPr>
              <w:adjustRightInd w:val="0"/>
              <w:snapToGrid w:val="0"/>
              <w:spacing w:line="440" w:lineRule="exact"/>
              <w:jc w:val="center"/>
              <w:rPr>
                <w:rFonts w:ascii="宋体" w:hAnsi="宋体" w:cs="宋体"/>
                <w:sz w:val="24"/>
                <w:highlight w:val="none"/>
              </w:rPr>
            </w:pPr>
          </w:p>
        </w:tc>
        <w:tc>
          <w:tcPr>
            <w:tcW w:w="1237" w:type="dxa"/>
            <w:vAlign w:val="center"/>
          </w:tcPr>
          <w:p>
            <w:pPr>
              <w:adjustRightInd w:val="0"/>
              <w:snapToGrid w:val="0"/>
              <w:spacing w:line="440" w:lineRule="exact"/>
              <w:jc w:val="center"/>
              <w:rPr>
                <w:rFonts w:ascii="宋体" w:hAnsi="宋体" w:cs="宋体"/>
                <w:sz w:val="24"/>
                <w:highlight w:val="none"/>
              </w:rPr>
            </w:pPr>
          </w:p>
        </w:tc>
        <w:tc>
          <w:tcPr>
            <w:tcW w:w="1031" w:type="dxa"/>
          </w:tcPr>
          <w:p>
            <w:pPr>
              <w:adjustRightInd w:val="0"/>
              <w:snapToGrid w:val="0"/>
              <w:spacing w:line="440" w:lineRule="exact"/>
              <w:jc w:val="center"/>
              <w:rPr>
                <w:rFonts w:ascii="宋体" w:hAnsi="宋体" w:cs="宋体"/>
                <w:sz w:val="24"/>
                <w:highlight w:val="none"/>
              </w:rPr>
            </w:pPr>
          </w:p>
        </w:tc>
        <w:tc>
          <w:tcPr>
            <w:tcW w:w="1007" w:type="dxa"/>
          </w:tcPr>
          <w:p>
            <w:pPr>
              <w:adjustRightInd w:val="0"/>
              <w:snapToGrid w:val="0"/>
              <w:spacing w:line="440" w:lineRule="exact"/>
              <w:jc w:val="center"/>
              <w:rPr>
                <w:rFonts w:ascii="宋体" w:hAnsi="宋体" w:cs="宋体"/>
                <w:sz w:val="24"/>
                <w:highlight w:val="none"/>
              </w:rPr>
            </w:pPr>
          </w:p>
        </w:tc>
      </w:tr>
    </w:tbl>
    <w:p>
      <w:pPr>
        <w:adjustRightInd w:val="0"/>
        <w:snapToGrid w:val="0"/>
        <w:spacing w:line="440" w:lineRule="exact"/>
        <w:rPr>
          <w:rFonts w:ascii="宋体" w:hAnsi="宋体" w:cs="宋体"/>
          <w:color w:val="000000"/>
          <w:sz w:val="24"/>
          <w:highlight w:val="none"/>
        </w:rPr>
      </w:pPr>
      <w:r>
        <w:rPr>
          <w:rFonts w:hint="eastAsia" w:ascii="宋体" w:hAnsi="宋体" w:cs="宋体"/>
          <w:color w:val="000000"/>
          <w:sz w:val="24"/>
          <w:highlight w:val="none"/>
        </w:rPr>
        <w:t>注：投标人可根据实际情况自行添加删减表格内容。</w:t>
      </w:r>
    </w:p>
    <w:p>
      <w:pPr>
        <w:adjustRightInd w:val="0"/>
        <w:snapToGrid w:val="0"/>
        <w:spacing w:line="440" w:lineRule="exact"/>
        <w:rPr>
          <w:rFonts w:ascii="宋体" w:hAnsi="宋体" w:cs="宋体"/>
          <w:sz w:val="24"/>
          <w:highlight w:val="none"/>
        </w:rPr>
      </w:pP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投标人：</w:t>
      </w:r>
      <w:r>
        <w:rPr>
          <w:rFonts w:hint="eastAsia" w:ascii="宋体" w:hAnsi="宋体" w:cs="宋体"/>
          <w:sz w:val="24"/>
          <w:highlight w:val="none"/>
          <w:u w:val="single"/>
        </w:rPr>
        <w:t xml:space="preserve">                               </w:t>
      </w:r>
      <w:r>
        <w:rPr>
          <w:rFonts w:hint="eastAsia" w:ascii="宋体" w:hAnsi="宋体" w:cs="宋体"/>
          <w:sz w:val="24"/>
          <w:highlight w:val="none"/>
        </w:rPr>
        <w:t>（盖章或电子签章）</w:t>
      </w:r>
    </w:p>
    <w:p>
      <w:pPr>
        <w:adjustRightInd w:val="0"/>
        <w:snapToGrid w:val="0"/>
        <w:spacing w:line="440" w:lineRule="exact"/>
        <w:rPr>
          <w:rFonts w:ascii="宋体" w:hAnsi="宋体" w:cs="宋体"/>
          <w:b/>
          <w:bCs/>
          <w:sz w:val="24"/>
          <w:highlight w:val="none"/>
        </w:rPr>
      </w:pPr>
      <w:r>
        <w:rPr>
          <w:rFonts w:hint="eastAsia" w:ascii="宋体" w:hAnsi="宋体" w:cs="宋体"/>
          <w:sz w:val="24"/>
          <w:highlight w:val="none"/>
        </w:rPr>
        <w:t xml:space="preserve">法定代表人或其委托代理人（签字或盖章或电子签章）：    </w:t>
      </w:r>
      <w:r>
        <w:rPr>
          <w:rFonts w:hint="eastAsia" w:ascii="宋体" w:hAnsi="宋体" w:cs="宋体"/>
          <w:sz w:val="24"/>
          <w:highlight w:val="none"/>
          <w:u w:val="single"/>
        </w:rPr>
        <w:t xml:space="preserve">                  </w:t>
      </w: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日期：  年    月   日</w:t>
      </w: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17"/>
        <w:rPr>
          <w:rFonts w:hAnsi="宋体" w:cs="宋体"/>
          <w:sz w:val="24"/>
          <w:szCs w:val="24"/>
          <w:highlight w:val="none"/>
        </w:rPr>
      </w:pPr>
    </w:p>
    <w:p>
      <w:pPr>
        <w:pStyle w:val="4"/>
        <w:spacing w:line="360" w:lineRule="auto"/>
        <w:jc w:val="center"/>
        <w:rPr>
          <w:rFonts w:ascii="宋体" w:hAnsi="宋体" w:cs="宋体"/>
          <w:highlight w:val="none"/>
        </w:rPr>
      </w:pPr>
      <w:bookmarkStart w:id="427" w:name="_Toc30652"/>
      <w:r>
        <w:rPr>
          <w:rFonts w:hint="eastAsia" w:ascii="宋体" w:hAnsi="宋体" w:cs="宋体"/>
          <w:highlight w:val="none"/>
        </w:rPr>
        <w:t>五、投标</w:t>
      </w:r>
      <w:bookmarkEnd w:id="424"/>
      <w:bookmarkEnd w:id="425"/>
      <w:bookmarkEnd w:id="426"/>
      <w:r>
        <w:rPr>
          <w:rFonts w:hint="eastAsia" w:ascii="宋体" w:hAnsi="宋体" w:cs="宋体"/>
          <w:highlight w:val="none"/>
        </w:rPr>
        <w:t>承诺函</w:t>
      </w:r>
      <w:bookmarkEnd w:id="427"/>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000000"/>
          <w:sz w:val="21"/>
          <w:szCs w:val="21"/>
          <w:highlight w:val="none"/>
          <w:shd w:val="clear" w:color="auto" w:fill="FFFFFF"/>
        </w:rPr>
        <w:t>致（采购人及采购代理机构）</w:t>
      </w:r>
      <w:r>
        <w:rPr>
          <w:rFonts w:cs="宋体"/>
          <w:color w:val="333333"/>
          <w:spacing w:val="7"/>
          <w:sz w:val="21"/>
          <w:szCs w:val="21"/>
          <w:highlight w:val="none"/>
          <w:shd w:val="clear" w:color="auto" w:fill="FFFFFF"/>
        </w:rPr>
        <w:t>：</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我公司作为本次采购项目的投标人，根据招标文件要求，现郑重承诺如下：</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一、具备《中华人民共和国政府采购法》第二十二条第一款和本项目规定的条件：</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（一）具有独立承担民事责任的能力；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（二）具有良好的商业信誉和健全的财务会计制度；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（三）具有履行合同所必需的设备和专业技术能力；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（四）有依法缴纳税收和社会保障资金的良好记录；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（五）参加政府采购活动前三年内，在经营活动中没有重大违法记录；</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（六）法律、行政法规规定的其他条件；</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（七）根据采购项目提出的特殊条件。</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三、参加本次招标采购活动，不存在与单位负责人为同一人或者存在直接控股、管理关系的其他供应商参与同一合同项下的政府采购活动的行为。    </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四、参加本次招标采购活动，不存在为采购项目提供整体设计、规范编制或者项目管理、监理、检测等服务的行为。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五、参加本次招标采购活动，不存在和其他供应商在同一合同项下的采购项目中，同时委托同一个自然人、同一家庭的人员、同一单位的人员作为代理人的行为。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六、投标人参加本次政府采购活动要求在近三年内投标人和其法定代表人没有行贿犯罪行为。</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七、参加本次招标采购活动，不存在联合体投标。</w:t>
      </w:r>
    </w:p>
    <w:p>
      <w:pPr>
        <w:pStyle w:val="29"/>
        <w:shd w:val="clear" w:color="auto" w:fill="FFFFFF"/>
        <w:spacing w:before="0" w:beforeAutospacing="0" w:after="0" w:afterAutospacing="0" w:line="360" w:lineRule="auto"/>
        <w:ind w:firstLine="480"/>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八、投标文件中提供的能够给予我公司带来优惠、好处的任何材料资料和技术、服务、商务等响应承诺情况都是真实的、有效的、合法的。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十、存在以下行为之一的愿意接受相关部门的处理：</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（一）投标有效期内撤销投标文件的；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（二）在采购人确定中标人以前放弃中标候选资格的；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（三）由于中标人的原因未能按照招标文件的规定与采购人签订合同；</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（四）由于中标人的原因未能按照招标文件的规定交纳履约保证金；</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（五）在投标文件中提供虚假材料谋取中标；</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（六）与采购人、其他供应商或者采购代理机构恶意串通的；</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（七）投标有效期内，投标人在政府采购活动中有违法、违规、违纪行为。</w:t>
      </w:r>
    </w:p>
    <w:p>
      <w:pPr>
        <w:pStyle w:val="29"/>
        <w:shd w:val="clear" w:color="auto" w:fill="FFFFFF"/>
        <w:spacing w:before="0" w:beforeAutospacing="0" w:after="0" w:afterAutospacing="0" w:line="360" w:lineRule="auto"/>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由此产生的一切法律后果和责任由我公司承担。我公司声明放弃对此提出任何异议和追索的权利。</w:t>
      </w:r>
    </w:p>
    <w:p>
      <w:pPr>
        <w:pStyle w:val="29"/>
        <w:shd w:val="clear" w:color="auto" w:fill="FFFFFF"/>
        <w:spacing w:before="0" w:beforeAutospacing="0" w:after="0" w:afterAutospacing="0" w:line="360" w:lineRule="auto"/>
        <w:ind w:firstLine="69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本公司对上述承诺的内容事项真实性负责。如经查实上述承诺的内容事项存在虚假，我公司愿意接受以提供虚假材料谋取中标追究法律责任。</w:t>
      </w:r>
    </w:p>
    <w:p>
      <w:pPr>
        <w:pStyle w:val="29"/>
        <w:shd w:val="clear" w:color="auto" w:fill="FFFFFF"/>
        <w:spacing w:before="0" w:beforeAutospacing="0" w:after="0" w:afterAutospacing="0" w:line="360" w:lineRule="auto"/>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       </w:t>
      </w:r>
    </w:p>
    <w:p>
      <w:pPr>
        <w:pStyle w:val="29"/>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投标人名称：</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（盖章或电子签章）</w:t>
      </w:r>
    </w:p>
    <w:p>
      <w:pPr>
        <w:pStyle w:val="29"/>
        <w:shd w:val="clear" w:color="auto" w:fill="FFFFFF"/>
        <w:spacing w:before="0" w:beforeAutospacing="0" w:after="0" w:afterAutospacing="0" w:line="360" w:lineRule="auto"/>
        <w:ind w:firstLine="465"/>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法定代表人或授权代表：</w:t>
      </w:r>
      <w:r>
        <w:rPr>
          <w:rFonts w:cs="宋体"/>
          <w:color w:val="333333"/>
          <w:spacing w:val="7"/>
          <w:sz w:val="21"/>
          <w:szCs w:val="21"/>
          <w:highlight w:val="none"/>
          <w:u w:val="single"/>
          <w:shd w:val="clear" w:color="auto" w:fill="FFFFFF"/>
        </w:rPr>
        <w:t>                </w:t>
      </w:r>
      <w:r>
        <w:rPr>
          <w:rFonts w:cs="宋体"/>
          <w:color w:val="333333"/>
          <w:spacing w:val="7"/>
          <w:sz w:val="21"/>
          <w:szCs w:val="21"/>
          <w:highlight w:val="none"/>
          <w:shd w:val="clear" w:color="auto" w:fill="FFFFFF"/>
        </w:rPr>
        <w:t>（签字或盖章或电子签章）</w:t>
      </w:r>
    </w:p>
    <w:p>
      <w:pPr>
        <w:pStyle w:val="29"/>
        <w:shd w:val="clear" w:color="auto" w:fill="FFFFFF"/>
        <w:spacing w:before="0" w:beforeAutospacing="0" w:after="0" w:afterAutospacing="0" w:line="360" w:lineRule="auto"/>
        <w:ind w:firstLine="480"/>
        <w:jc w:val="both"/>
        <w:rPr>
          <w:rFonts w:hint="default" w:ascii="Microsoft YaHei UI" w:hAnsi="Microsoft YaHei UI" w:eastAsia="Microsoft YaHei UI" w:cs="Microsoft YaHei UI"/>
          <w:color w:val="333333"/>
          <w:spacing w:val="7"/>
          <w:sz w:val="21"/>
          <w:szCs w:val="21"/>
          <w:highlight w:val="none"/>
        </w:rPr>
      </w:pPr>
      <w:r>
        <w:rPr>
          <w:rFonts w:cs="宋体"/>
          <w:color w:val="333333"/>
          <w:spacing w:val="7"/>
          <w:sz w:val="21"/>
          <w:szCs w:val="21"/>
          <w:highlight w:val="none"/>
          <w:shd w:val="clear" w:color="auto" w:fill="FFFFFF"/>
        </w:rPr>
        <w:t>日期：</w:t>
      </w:r>
      <w:r>
        <w:rPr>
          <w:rFonts w:cs="宋体"/>
          <w:color w:val="333333"/>
          <w:spacing w:val="7"/>
          <w:sz w:val="21"/>
          <w:szCs w:val="21"/>
          <w:highlight w:val="none"/>
          <w:u w:val="single"/>
          <w:shd w:val="clear" w:color="auto" w:fill="FFFFFF"/>
        </w:rPr>
        <w:t>              </w:t>
      </w:r>
    </w:p>
    <w:p>
      <w:pPr>
        <w:rPr>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ind w:firstLine="380" w:firstLineChars="200"/>
        <w:rPr>
          <w:rFonts w:ascii="宋体" w:hAnsi="宋体" w:cs="宋体"/>
          <w:sz w:val="19"/>
          <w:szCs w:val="19"/>
          <w:highlight w:val="none"/>
          <w:u w:val="single"/>
        </w:rPr>
      </w:pPr>
    </w:p>
    <w:p>
      <w:pPr>
        <w:spacing w:line="360" w:lineRule="auto"/>
        <w:ind w:firstLine="480" w:firstLineChars="200"/>
        <w:rPr>
          <w:rFonts w:ascii="宋体" w:hAnsi="宋体" w:cs="宋体"/>
          <w:sz w:val="24"/>
          <w:highlight w:val="none"/>
        </w:rPr>
      </w:pPr>
    </w:p>
    <w:p>
      <w:pPr>
        <w:spacing w:line="360" w:lineRule="auto"/>
        <w:rPr>
          <w:rFonts w:ascii="宋体" w:hAnsi="宋体" w:cs="宋体"/>
          <w:sz w:val="19"/>
          <w:szCs w:val="19"/>
          <w:highlight w:val="none"/>
        </w:rPr>
      </w:pPr>
    </w:p>
    <w:p>
      <w:pPr>
        <w:tabs>
          <w:tab w:val="left" w:pos="4410"/>
        </w:tabs>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4"/>
        <w:spacing w:line="360" w:lineRule="auto"/>
        <w:jc w:val="center"/>
        <w:rPr>
          <w:rFonts w:ascii="宋体" w:hAnsi="宋体" w:cs="宋体"/>
          <w:highlight w:val="none"/>
        </w:rPr>
      </w:pPr>
      <w:bookmarkStart w:id="428" w:name="_Toc7017"/>
      <w:r>
        <w:rPr>
          <w:rFonts w:hint="eastAsia" w:ascii="宋体" w:hAnsi="宋体" w:cs="宋体"/>
          <w:highlight w:val="none"/>
        </w:rPr>
        <w:t>六、招标代理服务费承诺函</w:t>
      </w:r>
      <w:bookmarkEnd w:id="428"/>
    </w:p>
    <w:p>
      <w:pPr>
        <w:pStyle w:val="29"/>
        <w:shd w:val="clear" w:color="auto" w:fill="FFFFFF"/>
        <w:spacing w:before="0" w:beforeAutospacing="0" w:after="0" w:afterAutospacing="0"/>
        <w:jc w:val="both"/>
        <w:rPr>
          <w:rFonts w:hint="default" w:ascii="微软雅黑" w:hAnsi="微软雅黑" w:eastAsia="微软雅黑" w:cs="微软雅黑"/>
          <w:color w:val="333333"/>
          <w:spacing w:val="8"/>
          <w:sz w:val="25"/>
          <w:szCs w:val="25"/>
          <w:highlight w:val="none"/>
        </w:rPr>
      </w:pPr>
      <w:r>
        <w:rPr>
          <w:rFonts w:cs="宋体"/>
          <w:color w:val="333333"/>
          <w:spacing w:val="8"/>
          <w:highlight w:val="none"/>
          <w:shd w:val="clear" w:color="auto" w:fill="FFFFFF"/>
        </w:rPr>
        <w:t> </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致（采购人及采购代理机构） ：</w:t>
      </w:r>
    </w:p>
    <w:p>
      <w:pPr>
        <w:pStyle w:val="29"/>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我们在贵公司组织的（项目名称：</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，项目编号：</w:t>
      </w:r>
      <w:r>
        <w:rPr>
          <w:rFonts w:cs="宋体"/>
          <w:color w:val="333333"/>
          <w:spacing w:val="8"/>
          <w:sz w:val="21"/>
          <w:szCs w:val="21"/>
          <w:highlight w:val="none"/>
          <w:u w:val="single"/>
          <w:shd w:val="clear" w:color="auto" w:fill="FFFFFF"/>
        </w:rPr>
        <w:t xml:space="preserve">    </w:t>
      </w:r>
      <w:r>
        <w:rPr>
          <w:rFonts w:cs="宋体"/>
          <w:color w:val="333333"/>
          <w:spacing w:val="8"/>
          <w:sz w:val="21"/>
          <w:szCs w:val="21"/>
          <w:highlight w:val="none"/>
          <w:shd w:val="clear" w:color="auto" w:fill="FFFFFF"/>
        </w:rPr>
        <w:t>）招标中若获中标，我们保证在中标公告发布后5个工作日内，按招标文件的规定，以支票、银行转账、汇票或现金，向贵公司一次性支付招标代理服务费用。否则，由此产生的一切法律后果和责任由我公司承担。我公司声明放弃对此提出任何异议和追索的权利。</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特此承诺。</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29"/>
        <w:shd w:val="clear" w:color="auto" w:fill="FFFFFF"/>
        <w:spacing w:before="0" w:beforeAutospacing="0" w:after="0" w:afterAutospacing="0" w:line="360" w:lineRule="auto"/>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 </w:t>
      </w:r>
    </w:p>
    <w:p>
      <w:pPr>
        <w:pStyle w:val="29"/>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投标人名称：</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（盖章或电子签章）</w:t>
      </w:r>
    </w:p>
    <w:p>
      <w:pPr>
        <w:pStyle w:val="29"/>
        <w:shd w:val="clear" w:color="auto" w:fill="FFFFFF"/>
        <w:spacing w:before="0" w:beforeAutospacing="0" w:after="0" w:afterAutospacing="0" w:line="360" w:lineRule="auto"/>
        <w:ind w:firstLine="465"/>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法定代表人或授权代表：</w:t>
      </w:r>
      <w:r>
        <w:rPr>
          <w:rFonts w:cs="宋体"/>
          <w:color w:val="333333"/>
          <w:spacing w:val="8"/>
          <w:sz w:val="21"/>
          <w:szCs w:val="21"/>
          <w:highlight w:val="none"/>
          <w:u w:val="single"/>
          <w:shd w:val="clear" w:color="auto" w:fill="FFFFFF"/>
        </w:rPr>
        <w:t>                </w:t>
      </w:r>
      <w:r>
        <w:rPr>
          <w:rFonts w:cs="宋体"/>
          <w:color w:val="333333"/>
          <w:spacing w:val="8"/>
          <w:sz w:val="21"/>
          <w:szCs w:val="21"/>
          <w:highlight w:val="none"/>
          <w:shd w:val="clear" w:color="auto" w:fill="FFFFFF"/>
        </w:rPr>
        <w:t>（签字或盖章或电子签章）</w:t>
      </w:r>
    </w:p>
    <w:p>
      <w:pPr>
        <w:pStyle w:val="29"/>
        <w:shd w:val="clear" w:color="auto" w:fill="FFFFFF"/>
        <w:spacing w:before="0" w:beforeAutospacing="0" w:after="0" w:afterAutospacing="0" w:line="360" w:lineRule="auto"/>
        <w:ind w:firstLine="480"/>
        <w:jc w:val="both"/>
        <w:rPr>
          <w:rFonts w:hint="default" w:ascii="微软雅黑" w:hAnsi="微软雅黑" w:eastAsia="微软雅黑" w:cs="微软雅黑"/>
          <w:color w:val="333333"/>
          <w:spacing w:val="8"/>
          <w:sz w:val="21"/>
          <w:szCs w:val="21"/>
          <w:highlight w:val="none"/>
        </w:rPr>
      </w:pPr>
      <w:r>
        <w:rPr>
          <w:rFonts w:cs="宋体"/>
          <w:color w:val="333333"/>
          <w:spacing w:val="8"/>
          <w:sz w:val="21"/>
          <w:szCs w:val="21"/>
          <w:highlight w:val="none"/>
          <w:shd w:val="clear" w:color="auto" w:fill="FFFFFF"/>
        </w:rPr>
        <w:t>日期：</w:t>
      </w:r>
      <w:r>
        <w:rPr>
          <w:rFonts w:cs="宋体"/>
          <w:color w:val="333333"/>
          <w:spacing w:val="8"/>
          <w:sz w:val="21"/>
          <w:szCs w:val="21"/>
          <w:highlight w:val="none"/>
          <w:u w:val="single"/>
          <w:shd w:val="clear" w:color="auto" w:fill="FFFFFF"/>
        </w:rPr>
        <w:t>              </w:t>
      </w: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pStyle w:val="19"/>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sectPr>
          <w:pgSz w:w="11906" w:h="16838"/>
          <w:pgMar w:top="1418" w:right="1134" w:bottom="1418" w:left="1134" w:header="851" w:footer="992" w:gutter="0"/>
          <w:cols w:space="720" w:num="1"/>
          <w:docGrid w:type="lines" w:linePitch="312" w:charSpace="0"/>
        </w:sectPr>
      </w:pPr>
      <w:r>
        <w:rPr>
          <w:rFonts w:hint="eastAsia" w:ascii="宋体" w:hAnsi="宋体" w:cs="宋体"/>
          <w:b/>
          <w:bCs/>
          <w:sz w:val="32"/>
          <w:szCs w:val="32"/>
          <w:highlight w:val="none"/>
        </w:rPr>
        <w:br w:type="page"/>
      </w:r>
    </w:p>
    <w:p>
      <w:pPr>
        <w:pStyle w:val="4"/>
        <w:spacing w:line="360" w:lineRule="auto"/>
        <w:jc w:val="center"/>
        <w:rPr>
          <w:highlight w:val="none"/>
        </w:rPr>
      </w:pPr>
      <w:bookmarkStart w:id="429" w:name="_Toc20932"/>
      <w:bookmarkStart w:id="430" w:name="_Toc184635147"/>
      <w:bookmarkStart w:id="431" w:name="_Toc30211"/>
      <w:bookmarkStart w:id="432" w:name="_Toc28879"/>
      <w:r>
        <w:rPr>
          <w:rFonts w:hint="eastAsia" w:ascii="宋体" w:hAnsi="宋体" w:cs="宋体"/>
          <w:highlight w:val="none"/>
        </w:rPr>
        <w:t>七、资格审查资料</w:t>
      </w:r>
      <w:bookmarkEnd w:id="429"/>
      <w:bookmarkEnd w:id="430"/>
      <w:bookmarkEnd w:id="431"/>
      <w:bookmarkEnd w:id="432"/>
    </w:p>
    <w:p>
      <w:pPr>
        <w:spacing w:line="360" w:lineRule="auto"/>
        <w:ind w:firstLine="480" w:firstLineChars="200"/>
        <w:rPr>
          <w:sz w:val="24"/>
          <w:highlight w:val="none"/>
        </w:rPr>
      </w:pPr>
      <w:bookmarkStart w:id="433" w:name="_Toc23688"/>
      <w:bookmarkStart w:id="434" w:name="_Toc8665"/>
      <w:r>
        <w:rPr>
          <w:rFonts w:hint="eastAsia"/>
          <w:sz w:val="24"/>
          <w:highlight w:val="none"/>
        </w:rPr>
        <w:t>附按照招标文件要求（投标须知前附表、评分办法前附表等）规定附相关证明材料</w:t>
      </w:r>
      <w:bookmarkEnd w:id="433"/>
      <w:bookmarkEnd w:id="434"/>
      <w:r>
        <w:rPr>
          <w:rFonts w:hint="eastAsia"/>
          <w:sz w:val="24"/>
          <w:highlight w:val="none"/>
        </w:rPr>
        <w:t>。</w:t>
      </w: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r>
        <w:rPr>
          <w:highlight w:val="none"/>
        </w:rPr>
        <w:br w:type="page"/>
      </w:r>
    </w:p>
    <w:p>
      <w:pPr>
        <w:pStyle w:val="4"/>
        <w:spacing w:line="360" w:lineRule="auto"/>
        <w:jc w:val="center"/>
        <w:rPr>
          <w:rFonts w:ascii="宋体" w:hAnsi="宋体" w:cs="宋体"/>
          <w:highlight w:val="none"/>
        </w:rPr>
      </w:pPr>
      <w:bookmarkStart w:id="435" w:name="_Toc31556"/>
      <w:r>
        <w:rPr>
          <w:rFonts w:hint="eastAsia" w:ascii="宋体" w:hAnsi="宋体" w:cs="宋体"/>
          <w:highlight w:val="none"/>
        </w:rPr>
        <w:t>八、技术偏离表</w:t>
      </w:r>
      <w:bookmarkEnd w:id="435"/>
    </w:p>
    <w:p>
      <w:pPr>
        <w:rPr>
          <w:rFonts w:ascii="宋体" w:hAnsi="宋体" w:cs="宋体"/>
          <w:sz w:val="24"/>
          <w:highlight w:val="none"/>
        </w:rPr>
      </w:pPr>
      <w:r>
        <w:rPr>
          <w:rFonts w:hint="eastAsia" w:ascii="宋体" w:hAnsi="宋体" w:cs="宋体"/>
          <w:sz w:val="24"/>
          <w:highlight w:val="none"/>
        </w:rPr>
        <w:t xml:space="preserve">投标人名称：                                 </w:t>
      </w:r>
    </w:p>
    <w:tbl>
      <w:tblPr>
        <w:tblStyle w:val="33"/>
        <w:tblpPr w:leftFromText="180" w:rightFromText="180" w:vertAnchor="text" w:horzAnchor="margin" w:tblpY="5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8"/>
        <w:gridCol w:w="2295"/>
        <w:gridCol w:w="1863"/>
        <w:gridCol w:w="186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576" w:type="pct"/>
            <w:vAlign w:val="center"/>
          </w:tcPr>
          <w:p>
            <w:pPr>
              <w:rPr>
                <w:highlight w:val="none"/>
              </w:rPr>
            </w:pPr>
            <w:r>
              <w:rPr>
                <w:rFonts w:hint="eastAsia"/>
                <w:highlight w:val="none"/>
              </w:rPr>
              <w:t>序号</w:t>
            </w:r>
          </w:p>
        </w:tc>
        <w:tc>
          <w:tcPr>
            <w:tcW w:w="1380" w:type="pct"/>
            <w:vAlign w:val="center"/>
          </w:tcPr>
          <w:p>
            <w:pPr>
              <w:rPr>
                <w:highlight w:val="none"/>
              </w:rPr>
            </w:pPr>
            <w:r>
              <w:rPr>
                <w:rFonts w:hint="eastAsia"/>
                <w:highlight w:val="none"/>
              </w:rPr>
              <w:t>货物（服务）名称</w:t>
            </w:r>
          </w:p>
        </w:tc>
        <w:tc>
          <w:tcPr>
            <w:tcW w:w="1120" w:type="pct"/>
            <w:vAlign w:val="center"/>
          </w:tcPr>
          <w:p>
            <w:pPr>
              <w:rPr>
                <w:highlight w:val="none"/>
              </w:rPr>
            </w:pPr>
            <w:r>
              <w:rPr>
                <w:rFonts w:hint="eastAsia"/>
                <w:highlight w:val="none"/>
              </w:rPr>
              <w:t>招标规格</w:t>
            </w:r>
          </w:p>
        </w:tc>
        <w:tc>
          <w:tcPr>
            <w:tcW w:w="1121" w:type="pct"/>
            <w:vAlign w:val="center"/>
          </w:tcPr>
          <w:p>
            <w:pPr>
              <w:rPr>
                <w:highlight w:val="none"/>
              </w:rPr>
            </w:pPr>
            <w:r>
              <w:rPr>
                <w:rFonts w:hint="eastAsia"/>
                <w:highlight w:val="none"/>
              </w:rPr>
              <w:t>投标规格</w:t>
            </w:r>
          </w:p>
        </w:tc>
        <w:tc>
          <w:tcPr>
            <w:tcW w:w="803" w:type="pct"/>
            <w:vAlign w:val="center"/>
          </w:tcPr>
          <w:p>
            <w:pPr>
              <w:rPr>
                <w:highlight w:val="none"/>
              </w:rPr>
            </w:pPr>
            <w:r>
              <w:rPr>
                <w:rFonts w:hint="eastAsia"/>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576" w:type="pct"/>
            <w:vAlign w:val="center"/>
          </w:tcPr>
          <w:p>
            <w:pPr>
              <w:rPr>
                <w:b/>
                <w:highlight w:val="none"/>
              </w:rPr>
            </w:pPr>
          </w:p>
        </w:tc>
        <w:tc>
          <w:tcPr>
            <w:tcW w:w="1380" w:type="pct"/>
            <w:vAlign w:val="center"/>
          </w:tcPr>
          <w:p>
            <w:pPr>
              <w:rPr>
                <w:b/>
                <w:highlight w:val="none"/>
              </w:rPr>
            </w:pPr>
          </w:p>
        </w:tc>
        <w:tc>
          <w:tcPr>
            <w:tcW w:w="1120" w:type="pct"/>
            <w:vAlign w:val="center"/>
          </w:tcPr>
          <w:p>
            <w:pPr>
              <w:rPr>
                <w:b/>
                <w:highlight w:val="none"/>
              </w:rPr>
            </w:pPr>
          </w:p>
        </w:tc>
        <w:tc>
          <w:tcPr>
            <w:tcW w:w="1121" w:type="pct"/>
            <w:vAlign w:val="center"/>
          </w:tcPr>
          <w:p>
            <w:pPr>
              <w:rPr>
                <w:b/>
                <w:highlight w:val="none"/>
              </w:rPr>
            </w:pPr>
          </w:p>
        </w:tc>
        <w:tc>
          <w:tcPr>
            <w:tcW w:w="803" w:type="pct"/>
            <w:vAlign w:val="center"/>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76" w:type="pct"/>
          </w:tcPr>
          <w:p>
            <w:pPr>
              <w:rPr>
                <w:b/>
                <w:highlight w:val="none"/>
              </w:rPr>
            </w:pPr>
          </w:p>
        </w:tc>
        <w:tc>
          <w:tcPr>
            <w:tcW w:w="1380" w:type="pct"/>
          </w:tcPr>
          <w:p>
            <w:pPr>
              <w:rPr>
                <w:b/>
                <w:highlight w:val="none"/>
              </w:rPr>
            </w:pPr>
          </w:p>
        </w:tc>
        <w:tc>
          <w:tcPr>
            <w:tcW w:w="1120" w:type="pct"/>
          </w:tcPr>
          <w:p>
            <w:pPr>
              <w:rPr>
                <w:b/>
                <w:highlight w:val="none"/>
              </w:rPr>
            </w:pPr>
          </w:p>
        </w:tc>
        <w:tc>
          <w:tcPr>
            <w:tcW w:w="1121" w:type="pct"/>
          </w:tcPr>
          <w:p>
            <w:pPr>
              <w:rPr>
                <w:b/>
                <w:highlight w:val="none"/>
              </w:rPr>
            </w:pPr>
          </w:p>
        </w:tc>
        <w:tc>
          <w:tcPr>
            <w:tcW w:w="803" w:type="pct"/>
          </w:tcPr>
          <w:p>
            <w:pPr>
              <w:rPr>
                <w:b/>
                <w:highlight w:val="none"/>
              </w:rPr>
            </w:pPr>
          </w:p>
        </w:tc>
      </w:tr>
    </w:tbl>
    <w:p>
      <w:pPr>
        <w:rPr>
          <w:rFonts w:ascii="宋体" w:hAnsi="宋体" w:cs="宋体"/>
          <w:sz w:val="24"/>
          <w:highlight w:val="none"/>
        </w:rPr>
      </w:pPr>
    </w:p>
    <w:p>
      <w:pPr>
        <w:rPr>
          <w:rFonts w:ascii="宋体" w:hAnsi="宋体" w:cs="宋体"/>
          <w:sz w:val="24"/>
          <w:highlight w:val="none"/>
        </w:rPr>
      </w:pPr>
    </w:p>
    <w:p>
      <w:pPr>
        <w:spacing w:line="400" w:lineRule="exact"/>
        <w:rPr>
          <w:rFonts w:ascii="宋体" w:hAnsi="宋体"/>
          <w:b/>
          <w:snapToGrid w:val="0"/>
          <w:sz w:val="24"/>
          <w:highlight w:val="none"/>
        </w:rPr>
      </w:pPr>
      <w:r>
        <w:rPr>
          <w:rFonts w:hint="eastAsia" w:ascii="宋体" w:hAnsi="宋体"/>
          <w:b/>
          <w:snapToGrid w:val="0"/>
          <w:sz w:val="24"/>
          <w:highlight w:val="none"/>
        </w:rPr>
        <w:t>说明：</w:t>
      </w:r>
    </w:p>
    <w:p>
      <w:pPr>
        <w:spacing w:line="400" w:lineRule="exact"/>
        <w:rPr>
          <w:rFonts w:ascii="宋体" w:hAnsi="宋体"/>
          <w:snapToGrid w:val="0"/>
          <w:sz w:val="24"/>
          <w:highlight w:val="none"/>
        </w:rPr>
      </w:pPr>
      <w:r>
        <w:rPr>
          <w:rFonts w:hint="eastAsia" w:ascii="宋体" w:hAnsi="宋体"/>
          <w:snapToGrid w:val="0"/>
          <w:sz w:val="24"/>
          <w:highlight w:val="none"/>
        </w:rPr>
        <w:t>1、根据招标文件第五章“技术参数及要求”，投标人须在“投标规格”一列中逐条响应；</w:t>
      </w:r>
    </w:p>
    <w:p>
      <w:pPr>
        <w:spacing w:line="400" w:lineRule="exact"/>
        <w:rPr>
          <w:rFonts w:ascii="宋体" w:hAnsi="宋体"/>
          <w:snapToGrid w:val="0"/>
          <w:sz w:val="24"/>
          <w:highlight w:val="none"/>
        </w:rPr>
      </w:pPr>
      <w:r>
        <w:rPr>
          <w:rFonts w:hint="eastAsia" w:ascii="宋体" w:hAnsi="宋体"/>
          <w:snapToGrid w:val="0"/>
          <w:sz w:val="24"/>
          <w:highlight w:val="none"/>
        </w:rPr>
        <w:t>2、“偏离说明”一栏中投标人应对所投货物（服务）的技术参数与招标文件的要求进行对比，如无偏差请填写“无”的字样，如有偏差请注明“正偏差”或“负偏差”字样；</w:t>
      </w:r>
    </w:p>
    <w:p>
      <w:pPr>
        <w:spacing w:line="400" w:lineRule="exact"/>
        <w:rPr>
          <w:rFonts w:ascii="宋体" w:hAnsi="宋体"/>
          <w:snapToGrid w:val="0"/>
          <w:sz w:val="24"/>
          <w:highlight w:val="none"/>
        </w:rPr>
      </w:pPr>
      <w:r>
        <w:rPr>
          <w:rFonts w:hint="eastAsia" w:ascii="宋体" w:hAnsi="宋体"/>
          <w:snapToGrid w:val="0"/>
          <w:sz w:val="24"/>
          <w:highlight w:val="none"/>
        </w:rPr>
        <w:t>3、“偏离说明”一栏中由投标人对所投产品的技术性能对应招标文件要求就偏差之处作以重点描述；</w:t>
      </w:r>
    </w:p>
    <w:p>
      <w:pPr>
        <w:spacing w:line="400" w:lineRule="exact"/>
        <w:rPr>
          <w:rFonts w:ascii="宋体" w:hAnsi="宋体"/>
          <w:snapToGrid w:val="0"/>
          <w:sz w:val="24"/>
          <w:highlight w:val="none"/>
        </w:rPr>
      </w:pPr>
      <w:r>
        <w:rPr>
          <w:rFonts w:hint="eastAsia" w:ascii="宋体" w:hAnsi="宋体"/>
          <w:snapToGrid w:val="0"/>
          <w:sz w:val="24"/>
          <w:highlight w:val="none"/>
        </w:rPr>
        <w:t>4、表格不够投标人自行添加。</w:t>
      </w: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pStyle w:val="17"/>
        <w:rPr>
          <w:rFonts w:hAnsi="宋体" w:cs="宋体"/>
          <w:sz w:val="19"/>
          <w:szCs w:val="19"/>
          <w:highlight w:val="none"/>
        </w:rPr>
      </w:pPr>
    </w:p>
    <w:p>
      <w:pPr>
        <w:pStyle w:val="17"/>
        <w:rPr>
          <w:rFonts w:hAnsi="宋体" w:cs="宋体"/>
          <w:sz w:val="19"/>
          <w:szCs w:val="19"/>
          <w:highlight w:val="none"/>
        </w:rPr>
      </w:pPr>
    </w:p>
    <w:p>
      <w:pPr>
        <w:pStyle w:val="4"/>
        <w:jc w:val="center"/>
        <w:rPr>
          <w:highlight w:val="none"/>
        </w:rPr>
      </w:pPr>
      <w:bookmarkStart w:id="436" w:name="_Toc14982"/>
      <w:r>
        <w:rPr>
          <w:rFonts w:hint="eastAsia"/>
          <w:highlight w:val="none"/>
        </w:rPr>
        <w:t>九、项目实施方案</w:t>
      </w:r>
      <w:bookmarkEnd w:id="436"/>
    </w:p>
    <w:p>
      <w:pPr>
        <w:spacing w:line="360" w:lineRule="auto"/>
        <w:jc w:val="center"/>
        <w:rPr>
          <w:rFonts w:ascii="宋体" w:hAnsi="宋体" w:cs="宋体"/>
          <w:sz w:val="19"/>
          <w:szCs w:val="19"/>
          <w:highlight w:val="none"/>
        </w:rPr>
      </w:pPr>
      <w:r>
        <w:rPr>
          <w:rFonts w:hint="eastAsia" w:ascii="宋体" w:hAnsi="宋体" w:cs="宋体"/>
          <w:sz w:val="19"/>
          <w:szCs w:val="19"/>
          <w:highlight w:val="none"/>
        </w:rPr>
        <w:t>（</w:t>
      </w:r>
      <w:r>
        <w:rPr>
          <w:rFonts w:hint="eastAsia" w:ascii="宋体" w:hAnsi="宋体" w:cs="宋体"/>
          <w:sz w:val="24"/>
          <w:highlight w:val="none"/>
        </w:rPr>
        <w:t>投标人根据采购文件的要求（含评标办法）自行编制</w:t>
      </w:r>
      <w:r>
        <w:rPr>
          <w:rFonts w:hint="eastAsia" w:ascii="宋体" w:hAnsi="宋体" w:cs="宋体"/>
          <w:sz w:val="19"/>
          <w:szCs w:val="19"/>
          <w:highlight w:val="none"/>
        </w:rPr>
        <w: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4"/>
        <w:jc w:val="center"/>
        <w:rPr>
          <w:highlight w:val="none"/>
        </w:rPr>
      </w:pPr>
      <w:bookmarkStart w:id="437" w:name="_Toc9500"/>
      <w:r>
        <w:rPr>
          <w:rFonts w:hint="eastAsia"/>
          <w:highlight w:val="none"/>
        </w:rPr>
        <w:t>十、供应商企业实力</w:t>
      </w:r>
      <w:bookmarkEnd w:id="437"/>
    </w:p>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（投标人简介、人员证书和业绩等）</w:t>
      </w:r>
    </w:p>
    <w:p>
      <w:pPr>
        <w:pStyle w:val="17"/>
        <w:rPr>
          <w:rFonts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p>
    <w:p>
      <w:pPr>
        <w:spacing w:line="360" w:lineRule="auto"/>
        <w:rPr>
          <w:rFonts w:ascii="宋体" w:hAnsi="宋体" w:cs="宋体"/>
          <w:sz w:val="19"/>
          <w:szCs w:val="19"/>
          <w:highlight w:val="none"/>
        </w:rPr>
      </w:pPr>
      <w:r>
        <w:rPr>
          <w:rFonts w:hint="eastAsia" w:ascii="宋体" w:hAnsi="宋体" w:cs="宋体"/>
          <w:sz w:val="19"/>
          <w:szCs w:val="19"/>
          <w:highlight w:val="none"/>
        </w:rPr>
        <w:t xml:space="preserve"> </w:t>
      </w:r>
    </w:p>
    <w:p>
      <w:pPr>
        <w:spacing w:line="360" w:lineRule="auto"/>
        <w:jc w:val="center"/>
        <w:rPr>
          <w:rFonts w:ascii="宋体" w:hAnsi="宋体" w:cs="宋体"/>
          <w:sz w:val="19"/>
          <w:szCs w:val="19"/>
          <w:highlight w:val="none"/>
        </w:rPr>
      </w:pPr>
      <w:r>
        <w:rPr>
          <w:rFonts w:hint="eastAsia" w:ascii="宋体" w:hAnsi="宋体" w:cs="宋体"/>
          <w:sz w:val="19"/>
          <w:szCs w:val="19"/>
          <w:highlight w:val="none"/>
        </w:rPr>
        <w:br w:type="page"/>
      </w:r>
    </w:p>
    <w:p>
      <w:pPr>
        <w:pStyle w:val="31"/>
        <w:ind w:firstLine="0" w:firstLineChars="0"/>
        <w:rPr>
          <w:rFonts w:ascii="宋体" w:hAnsi="宋体" w:cs="宋体"/>
          <w:b/>
          <w:bCs/>
          <w:szCs w:val="24"/>
          <w:highlight w:val="none"/>
        </w:rPr>
      </w:pPr>
    </w:p>
    <w:p>
      <w:pPr>
        <w:pStyle w:val="4"/>
        <w:spacing w:line="360" w:lineRule="auto"/>
        <w:jc w:val="center"/>
        <w:rPr>
          <w:rFonts w:ascii="宋体" w:hAnsi="宋体" w:cs="宋体"/>
          <w:highlight w:val="none"/>
        </w:rPr>
      </w:pPr>
      <w:bookmarkStart w:id="438" w:name="_Toc27639"/>
      <w:bookmarkStart w:id="439" w:name="_Toc15219"/>
      <w:bookmarkStart w:id="440" w:name="_Toc19591"/>
      <w:r>
        <w:rPr>
          <w:rFonts w:hint="eastAsia" w:ascii="宋体" w:hAnsi="宋体" w:cs="宋体"/>
          <w:highlight w:val="none"/>
        </w:rPr>
        <w:t>十一、反商业贿赂承诺书</w:t>
      </w:r>
      <w:bookmarkEnd w:id="438"/>
    </w:p>
    <w:p>
      <w:pPr>
        <w:tabs>
          <w:tab w:val="left" w:pos="780"/>
        </w:tabs>
        <w:adjustRightInd w:val="0"/>
        <w:snapToGrid w:val="0"/>
        <w:spacing w:line="360" w:lineRule="auto"/>
        <w:rPr>
          <w:rFonts w:ascii="宋体" w:hAnsi="宋体" w:cs="宋体"/>
          <w:szCs w:val="21"/>
          <w:highlight w:val="none"/>
          <w:lang w:bidi="en-US"/>
        </w:rPr>
      </w:pPr>
      <w:r>
        <w:rPr>
          <w:rFonts w:hint="eastAsia" w:ascii="宋体" w:hAnsi="宋体" w:cs="宋体"/>
          <w:szCs w:val="21"/>
          <w:highlight w:val="none"/>
          <w:lang w:bidi="en-US"/>
        </w:rPr>
        <w:t>我方承诺：</w:t>
      </w:r>
    </w:p>
    <w:p>
      <w:pPr>
        <w:tabs>
          <w:tab w:val="left" w:pos="780"/>
        </w:tabs>
        <w:adjustRightInd w:val="0"/>
        <w:snapToGrid w:val="0"/>
        <w:spacing w:line="360" w:lineRule="auto"/>
        <w:ind w:firstLine="210" w:firstLineChars="100"/>
        <w:rPr>
          <w:rFonts w:ascii="宋体" w:hAnsi="宋体" w:cs="宋体"/>
          <w:szCs w:val="21"/>
          <w:highlight w:val="none"/>
          <w:lang w:bidi="en-US"/>
        </w:rPr>
      </w:pPr>
      <w:r>
        <w:rPr>
          <w:rFonts w:hint="eastAsia" w:ascii="宋体" w:hAnsi="宋体" w:cs="宋体"/>
          <w:szCs w:val="21"/>
          <w:highlight w:val="none"/>
          <w:lang w:bidi="en-US"/>
        </w:rPr>
        <w:t>在</w:t>
      </w:r>
      <w:r>
        <w:rPr>
          <w:rFonts w:hint="eastAsia" w:ascii="宋体" w:hAnsi="宋体" w:cs="宋体"/>
          <w:szCs w:val="21"/>
          <w:highlight w:val="none"/>
          <w:u w:val="single"/>
          <w:lang w:bidi="en-US"/>
        </w:rPr>
        <w:t xml:space="preserve">          </w:t>
      </w:r>
      <w:r>
        <w:rPr>
          <w:rFonts w:hint="eastAsia" w:ascii="宋体" w:hAnsi="宋体" w:cs="宋体"/>
          <w:szCs w:val="21"/>
          <w:highlight w:val="none"/>
          <w:lang w:bidi="en-US"/>
        </w:rPr>
        <w:t>（项目名称）招标活动中，我方保证做到：</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一、公平竞争参加本次招标活动。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780"/>
        </w:tabs>
        <w:adjustRightInd w:val="0"/>
        <w:snapToGrid w:val="0"/>
        <w:spacing w:line="360" w:lineRule="auto"/>
        <w:ind w:firstLine="420" w:firstLineChars="200"/>
        <w:rPr>
          <w:rFonts w:ascii="宋体" w:hAnsi="宋体" w:cs="宋体"/>
          <w:szCs w:val="21"/>
          <w:highlight w:val="none"/>
          <w:lang w:bidi="en-US"/>
        </w:rPr>
      </w:pPr>
      <w:r>
        <w:rPr>
          <w:rFonts w:hint="eastAsia" w:ascii="宋体" w:hAnsi="宋体" w:cs="宋体"/>
          <w:szCs w:val="21"/>
          <w:highlight w:val="none"/>
          <w:lang w:bidi="en-US"/>
        </w:rPr>
        <w:t>三、若出现上述行为，我方及参与投标的工作人员愿意接受按照国家法律法规等有关规定给予的处罚。</w:t>
      </w:r>
    </w:p>
    <w:p>
      <w:pPr>
        <w:tabs>
          <w:tab w:val="left" w:pos="780"/>
        </w:tabs>
        <w:adjustRightInd w:val="0"/>
        <w:snapToGrid w:val="0"/>
        <w:spacing w:line="360" w:lineRule="auto"/>
        <w:rPr>
          <w:rFonts w:ascii="宋体" w:hAnsi="宋体" w:cs="宋体"/>
          <w:szCs w:val="21"/>
          <w:highlight w:val="none"/>
          <w:lang w:bidi="en-US"/>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（盖章或电子签章）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（签字或电子签章）</w:t>
      </w:r>
      <w:r>
        <w:rPr>
          <w:rFonts w:hint="eastAsia" w:ascii="宋体" w:hAnsi="宋体" w:cs="宋体"/>
          <w:szCs w:val="21"/>
          <w:highlight w:val="none"/>
          <w:u w:val="single"/>
        </w:rPr>
        <w:t xml:space="preserve">            </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4"/>
        <w:spacing w:line="360" w:lineRule="auto"/>
        <w:jc w:val="center"/>
        <w:rPr>
          <w:rFonts w:ascii="宋体" w:hAnsi="宋体" w:cs="宋体"/>
          <w:highlight w:val="none"/>
        </w:rPr>
      </w:pPr>
      <w:bookmarkStart w:id="441" w:name="_Toc17540"/>
      <w:r>
        <w:rPr>
          <w:rFonts w:hint="eastAsia" w:ascii="宋体" w:hAnsi="宋体" w:cs="宋体"/>
          <w:highlight w:val="none"/>
        </w:rPr>
        <w:t>十二、中小企业声明函</w:t>
      </w:r>
      <w:bookmarkEnd w:id="441"/>
    </w:p>
    <w:p>
      <w:pPr>
        <w:spacing w:line="332" w:lineRule="exact"/>
        <w:rPr>
          <w:rFonts w:ascii="宋体" w:hAnsi="宋体" w:cs="宋体"/>
          <w:sz w:val="24"/>
          <w:highlight w:val="none"/>
        </w:rPr>
      </w:pP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声明，根据《政府采购促进中小企业发展管理办法》（财库[2020]46号）的规定，本公司参加______（采购人名称）______（项目名称）采购活动，货物全部由符合政策要求的中小企业制造。相关企业的具体情况如下：</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1.______（标的名称），属于</w:t>
      </w:r>
      <w:r>
        <w:rPr>
          <w:rFonts w:hint="eastAsia" w:ascii="宋体" w:hAnsi="宋体" w:cs="宋体"/>
          <w:sz w:val="24"/>
          <w:highlight w:val="none"/>
          <w:u w:val="single"/>
        </w:rPr>
        <w:t>软件和信息技术服务业</w:t>
      </w:r>
      <w:r>
        <w:rPr>
          <w:rFonts w:hint="eastAsia" w:ascii="宋体" w:hAnsi="宋体" w:cs="宋体"/>
          <w:sz w:val="24"/>
          <w:highlight w:val="none"/>
        </w:rPr>
        <w:t>行业，</w:t>
      </w:r>
      <w:r>
        <w:rPr>
          <w:rFonts w:hint="eastAsia" w:ascii="宋体" w:hAnsi="宋体" w:cs="宋体"/>
          <w:sz w:val="24"/>
          <w:highlight w:val="none"/>
          <w:lang w:eastAsia="zh-CN"/>
        </w:rPr>
        <w:t>制造商</w:t>
      </w:r>
      <w:r>
        <w:rPr>
          <w:rFonts w:hint="eastAsia" w:ascii="宋体" w:hAnsi="宋体" w:cs="宋体"/>
          <w:sz w:val="24"/>
          <w:highlight w:val="none"/>
        </w:rPr>
        <w:t>为______（企业名称），从业人员______人，营业收入为______万元，资产总额为______万元，属于______（请填写：中型、小型、微型）企业。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2.______（标的名称），属于______行业，</w:t>
      </w:r>
      <w:r>
        <w:rPr>
          <w:rFonts w:hint="eastAsia" w:ascii="宋体" w:hAnsi="宋体" w:cs="宋体"/>
          <w:sz w:val="24"/>
          <w:highlight w:val="none"/>
          <w:lang w:eastAsia="zh-CN"/>
        </w:rPr>
        <w:t>制造商</w:t>
      </w:r>
      <w:r>
        <w:rPr>
          <w:rFonts w:hint="eastAsia" w:ascii="宋体" w:hAnsi="宋体" w:cs="宋体"/>
          <w:sz w:val="24"/>
          <w:highlight w:val="none"/>
        </w:rPr>
        <w:t>为______（企业名称），从业人员 ______人，营业收入为______万元，资产总额为______万元，属于______（请填写：中型、小型、微型）企业。</w:t>
      </w:r>
    </w:p>
    <w:p>
      <w:pPr>
        <w:adjustRightInd w:val="0"/>
        <w:snapToGrid w:val="0"/>
        <w:spacing w:line="360" w:lineRule="auto"/>
        <w:jc w:val="left"/>
        <w:rPr>
          <w:rFonts w:ascii="宋体" w:hAnsi="宋体" w:cs="宋体"/>
          <w:sz w:val="24"/>
          <w:highlight w:val="none"/>
        </w:rPr>
      </w:pPr>
    </w:p>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w:t>
      </w:r>
    </w:p>
    <w:p>
      <w:pPr>
        <w:adjustRightInd w:val="0"/>
        <w:snapToGrid w:val="0"/>
        <w:spacing w:line="360" w:lineRule="auto"/>
        <w:jc w:val="left"/>
        <w:rPr>
          <w:rFonts w:ascii="宋体" w:hAnsi="宋体" w:cs="宋体"/>
          <w:szCs w:val="21"/>
          <w:highlight w:val="none"/>
        </w:rPr>
      </w:pP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以上企业，不属于大企业的分支机构，不存在控股股东为大企业的情形，也不存在与大企业的负责人为同一人的情形。</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本企业对上述声明内容的真实性负责。如有虚假，将依法承担相应责任。</w:t>
      </w:r>
    </w:p>
    <w:p>
      <w:p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注：从业人员、营业收入、资产总额填报上一年度数据，无上一年度数据的新成立企业可不填报。</w:t>
      </w:r>
    </w:p>
    <w:p>
      <w:pPr>
        <w:adjustRightInd w:val="0"/>
        <w:snapToGrid w:val="0"/>
        <w:spacing w:line="360" w:lineRule="auto"/>
        <w:jc w:val="right"/>
        <w:rPr>
          <w:rFonts w:ascii="宋体" w:hAnsi="宋体" w:cs="宋体"/>
          <w:sz w:val="24"/>
          <w:highlight w:val="none"/>
          <w:lang w:val="en-GB"/>
        </w:rPr>
      </w:pPr>
      <w:r>
        <w:rPr>
          <w:rFonts w:hint="eastAsia" w:ascii="宋体" w:hAnsi="宋体" w:cs="宋体"/>
          <w:sz w:val="24"/>
          <w:highlight w:val="none"/>
          <w:lang w:val="en-GB"/>
        </w:rPr>
        <w:t xml:space="preserve">                       </w:t>
      </w:r>
    </w:p>
    <w:p>
      <w:pPr>
        <w:adjustRightInd w:val="0"/>
        <w:snapToGrid w:val="0"/>
        <w:spacing w:line="360" w:lineRule="auto"/>
        <w:rPr>
          <w:rFonts w:ascii="宋体" w:hAnsi="宋体" w:cs="宋体"/>
          <w:sz w:val="24"/>
          <w:highlight w:val="none"/>
        </w:rPr>
      </w:pPr>
    </w:p>
    <w:p>
      <w:pPr>
        <w:adjustRightInd w:val="0"/>
        <w:snapToGrid w:val="0"/>
        <w:spacing w:line="360" w:lineRule="auto"/>
        <w:ind w:firstLine="5280" w:firstLineChars="2200"/>
        <w:rPr>
          <w:rFonts w:ascii="宋体" w:hAnsi="宋体" w:cs="宋体"/>
          <w:sz w:val="24"/>
          <w:highlight w:val="none"/>
        </w:rPr>
      </w:pPr>
      <w:r>
        <w:rPr>
          <w:rFonts w:hint="eastAsia" w:ascii="宋体" w:hAnsi="宋体" w:cs="宋体"/>
          <w:sz w:val="24"/>
          <w:highlight w:val="none"/>
        </w:rPr>
        <w:t>企业名称：（盖章或电子签章）</w:t>
      </w:r>
    </w:p>
    <w:p>
      <w:pPr>
        <w:pStyle w:val="10"/>
        <w:spacing w:line="360" w:lineRule="auto"/>
        <w:ind w:firstLine="480"/>
        <w:jc w:val="right"/>
        <w:rPr>
          <w:rFonts w:ascii="宋体" w:hAnsi="宋体" w:cs="宋体"/>
          <w:b/>
          <w:szCs w:val="21"/>
          <w:highlight w:val="none"/>
        </w:rPr>
      </w:pPr>
      <w:r>
        <w:rPr>
          <w:rFonts w:hint="eastAsia" w:ascii="宋体" w:hAnsi="宋体" w:cs="宋体"/>
          <w:sz w:val="24"/>
          <w:highlight w:val="none"/>
        </w:rPr>
        <w:t>日期：</w:t>
      </w:r>
    </w:p>
    <w:p>
      <w:pPr>
        <w:spacing w:line="360" w:lineRule="auto"/>
        <w:jc w:val="center"/>
        <w:outlineLvl w:val="1"/>
        <w:rPr>
          <w:rFonts w:ascii="宋体" w:hAnsi="宋体" w:cs="宋体"/>
          <w:b/>
          <w:szCs w:val="21"/>
          <w:highlight w:val="none"/>
        </w:rPr>
      </w:pPr>
    </w:p>
    <w:p>
      <w:pPr>
        <w:pStyle w:val="31"/>
        <w:ind w:firstLine="240"/>
        <w:rPr>
          <w:highlight w:val="none"/>
        </w:rPr>
      </w:pPr>
    </w:p>
    <w:p>
      <w:pPr>
        <w:spacing w:line="360" w:lineRule="auto"/>
        <w:jc w:val="center"/>
        <w:outlineLvl w:val="1"/>
        <w:rPr>
          <w:rFonts w:ascii="宋体" w:hAnsi="宋体" w:cs="宋体"/>
          <w:b/>
          <w:szCs w:val="21"/>
          <w:highlight w:val="none"/>
        </w:rPr>
      </w:pPr>
    </w:p>
    <w:p>
      <w:pPr>
        <w:pStyle w:val="4"/>
        <w:spacing w:line="360" w:lineRule="auto"/>
        <w:jc w:val="center"/>
        <w:rPr>
          <w:rFonts w:ascii="宋体" w:hAnsi="宋体" w:cs="宋体"/>
          <w:highlight w:val="none"/>
        </w:rPr>
      </w:pPr>
      <w:bookmarkStart w:id="442" w:name="_Toc12467"/>
      <w:r>
        <w:rPr>
          <w:rFonts w:hint="eastAsia" w:ascii="宋体" w:hAnsi="宋体" w:cs="宋体"/>
          <w:highlight w:val="none"/>
        </w:rPr>
        <w:t>十三、残疾人福利性单位声明函</w:t>
      </w:r>
      <w:bookmarkEnd w:id="442"/>
    </w:p>
    <w:p>
      <w:pPr>
        <w:adjustRightInd w:val="0"/>
        <w:snapToGrid w:val="0"/>
        <w:spacing w:line="360" w:lineRule="auto"/>
        <w:jc w:val="center"/>
        <w:rPr>
          <w:rFonts w:ascii="宋体" w:hAnsi="宋体" w:cs="宋体"/>
          <w:szCs w:val="21"/>
          <w:highlight w:val="none"/>
          <w:lang w:val="en-GB"/>
        </w:rPr>
      </w:pPr>
      <w:r>
        <w:rPr>
          <w:rFonts w:hint="eastAsia" w:ascii="宋体" w:hAnsi="宋体" w:cs="宋体"/>
          <w:szCs w:val="21"/>
          <w:highlight w:val="none"/>
          <w:lang w:val="en-GB"/>
        </w:rPr>
        <w:t>（属于残疾人福利性单位的填写，不属于的无需填写此项内容）</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rPr>
        <w:t xml:space="preserve">   </w:t>
      </w:r>
      <w:r>
        <w:rPr>
          <w:rFonts w:hint="eastAsia" w:ascii="宋体" w:hAnsi="宋体" w:cs="宋体"/>
          <w:szCs w:val="21"/>
          <w:highlight w:val="none"/>
          <w:lang w:val="en-GB"/>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本单位对上述声明的真实性负责。如有虚假，将依法承担相应责任。</w:t>
      </w:r>
    </w:p>
    <w:p>
      <w:pPr>
        <w:adjustRightInd w:val="0"/>
        <w:snapToGrid w:val="0"/>
        <w:spacing w:line="360" w:lineRule="auto"/>
        <w:jc w:val="center"/>
        <w:rPr>
          <w:rFonts w:ascii="宋体" w:hAnsi="宋体" w:cs="宋体"/>
          <w:szCs w:val="21"/>
          <w:highlight w:val="none"/>
          <w:lang w:val="en-GB"/>
        </w:rPr>
      </w:pPr>
    </w:p>
    <w:p>
      <w:pPr>
        <w:adjustRightInd w:val="0"/>
        <w:snapToGrid w:val="0"/>
        <w:spacing w:line="360" w:lineRule="auto"/>
        <w:jc w:val="left"/>
        <w:rPr>
          <w:rFonts w:ascii="宋体" w:hAnsi="宋体" w:cs="宋体"/>
          <w:szCs w:val="21"/>
          <w:highlight w:val="none"/>
        </w:rPr>
      </w:pPr>
      <w:r>
        <w:rPr>
          <w:rFonts w:hint="eastAsia" w:ascii="宋体" w:hAnsi="宋体" w:cs="宋体"/>
          <w:kern w:val="0"/>
          <w:szCs w:val="21"/>
          <w:highlight w:val="none"/>
        </w:rPr>
        <w:t>投标人</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 xml:space="preserve">（盖章） </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adjustRightInd w:val="0"/>
        <w:snapToGrid w:val="0"/>
        <w:spacing w:line="360" w:lineRule="auto"/>
        <w:jc w:val="left"/>
        <w:rPr>
          <w:rFonts w:ascii="宋体" w:hAnsi="宋体" w:cs="宋体"/>
          <w:szCs w:val="21"/>
          <w:highlight w:val="none"/>
          <w:u w:val="single"/>
        </w:rPr>
      </w:pPr>
      <w:r>
        <w:rPr>
          <w:rFonts w:hint="eastAsia" w:ascii="宋体" w:hAnsi="宋体" w:cs="宋体"/>
          <w:szCs w:val="21"/>
          <w:highlight w:val="none"/>
        </w:rPr>
        <w:t>法定代表人或其委托代理人 ：</w:t>
      </w:r>
      <w:r>
        <w:rPr>
          <w:rFonts w:hint="eastAsia" w:ascii="宋体" w:hAnsi="宋体" w:cs="宋体"/>
          <w:szCs w:val="21"/>
          <w:highlight w:val="none"/>
          <w:u w:val="single"/>
        </w:rPr>
        <w:t xml:space="preserve">       </w:t>
      </w:r>
      <w:r>
        <w:rPr>
          <w:rFonts w:hint="eastAsia" w:ascii="宋体" w:hAnsi="宋体" w:cs="宋体"/>
          <w:szCs w:val="21"/>
          <w:highlight w:val="none"/>
        </w:rPr>
        <w:t>（签字或盖章或电子签章）</w:t>
      </w:r>
      <w:r>
        <w:rPr>
          <w:rFonts w:hint="eastAsia" w:ascii="宋体" w:hAnsi="宋体" w:cs="宋体"/>
          <w:szCs w:val="21"/>
          <w:highlight w:val="none"/>
          <w:u w:val="single"/>
        </w:rPr>
        <w:t xml:space="preserve">            </w:t>
      </w:r>
    </w:p>
    <w:p>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4"/>
        <w:spacing w:line="360" w:lineRule="auto"/>
        <w:jc w:val="center"/>
        <w:rPr>
          <w:rFonts w:ascii="宋体" w:hAnsi="宋体" w:cs="宋体"/>
          <w:highlight w:val="none"/>
        </w:rPr>
      </w:pPr>
    </w:p>
    <w:p>
      <w:pPr>
        <w:pStyle w:val="4"/>
        <w:spacing w:line="360" w:lineRule="auto"/>
        <w:jc w:val="center"/>
        <w:rPr>
          <w:rFonts w:ascii="宋体" w:hAnsi="宋体" w:cs="宋体"/>
          <w:highlight w:val="none"/>
        </w:rPr>
      </w:pPr>
    </w:p>
    <w:p>
      <w:pPr>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14"/>
        <w:rPr>
          <w:rFonts w:ascii="宋体" w:hAnsi="宋体" w:cs="宋体"/>
          <w:highlight w:val="none"/>
        </w:rPr>
      </w:pPr>
    </w:p>
    <w:p>
      <w:pPr>
        <w:pStyle w:val="4"/>
        <w:spacing w:line="360" w:lineRule="auto"/>
        <w:jc w:val="center"/>
        <w:rPr>
          <w:rFonts w:ascii="宋体" w:hAnsi="宋体" w:cs="宋体"/>
          <w:highlight w:val="none"/>
        </w:rPr>
      </w:pPr>
      <w:bookmarkStart w:id="443" w:name="_Toc21264"/>
      <w:r>
        <w:rPr>
          <w:rFonts w:hint="eastAsia" w:ascii="宋体" w:hAnsi="宋体" w:cs="宋体"/>
          <w:highlight w:val="none"/>
        </w:rPr>
        <w:t>十四、其他材料</w:t>
      </w:r>
      <w:bookmarkEnd w:id="439"/>
      <w:bookmarkEnd w:id="440"/>
      <w:bookmarkEnd w:id="443"/>
    </w:p>
    <w:p>
      <w:pPr>
        <w:spacing w:line="360" w:lineRule="auto"/>
        <w:jc w:val="center"/>
        <w:rPr>
          <w:highlight w:val="none"/>
        </w:rPr>
      </w:pPr>
      <w:r>
        <w:rPr>
          <w:rFonts w:hint="eastAsia"/>
          <w:highlight w:val="none"/>
        </w:rPr>
        <w:t>（投标人认为有必要的其他资料）</w:t>
      </w:r>
    </w:p>
    <w:p>
      <w:pPr>
        <w:spacing w:line="360" w:lineRule="auto"/>
        <w:ind w:left="840" w:leftChars="400"/>
        <w:rPr>
          <w:rFonts w:ascii="宋体" w:hAnsi="宋体" w:cs="宋体"/>
          <w:b/>
          <w:bCs/>
          <w:szCs w:val="21"/>
          <w:highlight w:val="none"/>
        </w:rPr>
      </w:pPr>
    </w:p>
    <w:sectPr>
      <w:headerReference r:id="rId1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微软雅黑"/>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Menlo">
    <w:altName w:val="Courier New"/>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宋体fal">
    <w:altName w:val="宋体"/>
    <w:panose1 w:val="00000000000000000000"/>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sz w:val="16"/>
        <w:szCs w:val="16"/>
      </w:rPr>
    </w:pPr>
    <w:r>
      <w:rPr>
        <w:sz w:val="16"/>
        <w:szCs w:val="16"/>
      </w:rPr>
      <w:fldChar w:fldCharType="begin"/>
    </w:r>
    <w:r>
      <w:rPr>
        <w:rStyle w:val="37"/>
        <w:sz w:val="16"/>
        <w:szCs w:val="16"/>
      </w:rPr>
      <w:instrText xml:space="preserve">PAGE  </w:instrText>
    </w:r>
    <w:r>
      <w:rPr>
        <w:sz w:val="16"/>
        <w:szCs w:val="16"/>
      </w:rPr>
      <w:fldChar w:fldCharType="separate"/>
    </w:r>
    <w:r>
      <w:rPr>
        <w:rStyle w:val="37"/>
        <w:sz w:val="16"/>
        <w:szCs w:val="16"/>
      </w:rPr>
      <w:t>122</w:t>
    </w:r>
    <w:r>
      <w:rPr>
        <w:sz w:val="16"/>
        <w:szCs w:val="16"/>
      </w:rPr>
      <w:fldChar w:fldCharType="end"/>
    </w:r>
  </w:p>
  <w:p>
    <w:pPr>
      <w:pStyle w:val="21"/>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 xml:space="preserve"> 中弘天合工程咨询有限公司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w:rPr>
        <w:rFonts w:hint="eastAsia"/>
      </w:rPr>
      <w:t xml:space="preserve"> 中弘天合工程咨询有限公司  </w:t>
    </w:r>
    <w:r>
      <w:rPr>
        <w:rFonts w:hint="eastAsia"/>
      </w:rPr>
      <w:tab/>
    </w:r>
    <w:r>
      <w:rPr>
        <w:rFonts w:hint="eastAsia"/>
      </w:rPr>
      <w:tab/>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t>中弘天合工程咨询有限公司</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1"/>
                      <w:jc w:val="center"/>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pPr>
                          <w:r>
                            <w:rPr>
                              <w:rFonts w:hint="eastAsia"/>
                            </w:rPr>
                            <w:t xml:space="preserve"> </w:t>
                          </w: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1"/>
                      <w:jc w:val="center"/>
                    </w:pPr>
                    <w:r>
                      <w:rPr>
                        <w:rFonts w:hint="eastAsia"/>
                      </w:rPr>
                      <w:t xml:space="preserve"> </w:t>
                    </w: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5482590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left:431.7pt;margin-top:0pt;height:144pt;width:144pt;mso-position-horizontal-relative:margin;mso-wrap-style:none;z-index:251662336;mso-width-relative:page;mso-height-relative:page;" filled="f" stroked="f" coordsize="21600,21600" o:gfxdata="UEsDBAoAAAAAAIdO4kAAAAAAAAAAAAAAAAAEAAAAZHJzL1BLAwQUAAAACACHTuJAnpeKgdQAAAAJ&#10;AQAADwAAAGRycy9kb3ducmV2LnhtbE2PMU/DMBSEdyT+g/WQ2KidAsUKcTpUYmGjoEpsbvwaR9jP&#10;ke2myb/HnWA83enuu2Y7e8cmjGkIpKBaCWBIXTAD9Qq+Pt8eJLCUNRntAqGCBRNs29ubRtcmXOgD&#10;p33uWSmhVGsFNuex5jx1Fr1OqzAiFe8Uote5yNhzE/WllHvH10JsuNcDlQWrR9xZ7H72Z6/gZT4E&#10;HBPu8Ps0ddEOi3Tvi1L3d5V4BZZxzn9huOIXdGgL0zGcySTmFMjN41OJKiiPrnb1XBV9VLCWUgBv&#10;G/7/QfsLUEsDBBQAAAAIAIdO4kCJMiJ2wgEAAI8DAAAOAAAAZHJzL2Uyb0RvYy54bWytU0tu2zAQ&#10;3QfoHQjuaypeFIZgOWhhpChQtAWSHICmSIsAf+DQlnyB9gZdddN9z+VzZEhJTppusuiGGs4M38x7&#10;M1rfDNaQo4ygvWvo9aKiRDrhW+32DX24v327ogQSdy033smGniTQm82bq3Ufarn0nTetjARBHNR9&#10;aGiXUqgZA9FJy2Hhg3QYVD5anvAa96yNvEd0a9iyqt6x3sc2RC8kAHq3Y5BOiPE1gF4pLeTWi4OV&#10;Lo2oURqekBJ0OgDdlG6VkiJ9VQpkIqahyDSVE4ugvcsn26x5vY88dFpMLfDXtPCCk+XaYdEL1JYn&#10;Tg5R/wNltYgevEoL4S0biRRFkMV19UKbu44HWbig1BAuosP/gxVfjt8i0S1uwpISxy1O/Pzzx/nX&#10;n/Pv7wR9KFAfoMa8u4CZafjgB0ye/YDOzHtQ0eYvMiIYR3lPF3nlkIjIj1bL1arCkMDYfEF89vQ8&#10;REgfpbckGw2NOL8iKz9+hjSmzim5mvO32pgyQ+P+ciBm9rDc+9hjttKwGyZCO9+ekE+Po2+ow02n&#10;xHxyqGzektmIs7GbjFwDwvtDwsKln4w6Qk3FcE6F0bRTeRGe30vW03+0e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l4qB1AAAAAkBAAAPAAAAAAAAAAEAIAAAACIAAABkcnMvZG93bnJldi54bWxQ&#10;SwECFAAUAAAACACHTuJAiTIidsIBAACPAwAADgAAAAAAAAABACAAAAAjAQAAZHJzL2Uyb0RvYy54&#10;bWxQSwUGAAAAAAYABgBZAQAAVwU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rPr>
      <w:t xml:space="preserve"> 中弘天合工程咨询有限公司  </w:t>
    </w:r>
  </w:p>
  <w:p>
    <w:pPr>
      <w:pStyle w:val="21"/>
      <w:tabs>
        <w:tab w:val="left" w:pos="523"/>
        <w:tab w:val="center" w:pos="4782"/>
      </w:tabs>
    </w:pPr>
    <w:r>
      <w:rPr>
        <w:rFonts w:hint="eastAsia"/>
      </w:rPr>
      <w:tab/>
    </w:r>
    <w:r>
      <w:rPr>
        <w:rFonts w:hint="eastAsia"/>
      </w:rPr>
      <w:tab/>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中弘天合工程咨询有限公司</w:t>
    </w: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BC0DF"/>
    <w:multiLevelType w:val="singleLevel"/>
    <w:tmpl w:val="910BC0DF"/>
    <w:lvl w:ilvl="0" w:tentative="0">
      <w:start w:val="1"/>
      <w:numFmt w:val="decimal"/>
      <w:lvlText w:val="%1."/>
      <w:lvlJc w:val="left"/>
      <w:pPr>
        <w:tabs>
          <w:tab w:val="left" w:pos="621"/>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3B53521"/>
    <w:multiLevelType w:val="singleLevel"/>
    <w:tmpl w:val="C3B53521"/>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B79A07D"/>
    <w:multiLevelType w:val="singleLevel"/>
    <w:tmpl w:val="DB79A07D"/>
    <w:lvl w:ilvl="0" w:tentative="0">
      <w:start w:val="2"/>
      <w:numFmt w:val="chineseCounting"/>
      <w:suff w:val="space"/>
      <w:lvlText w:val="第%1章"/>
      <w:lvlJc w:val="left"/>
      <w:rPr>
        <w:rFonts w:hint="eastAsia"/>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7B5E402"/>
    <w:multiLevelType w:val="singleLevel"/>
    <w:tmpl w:val="E7B5E402"/>
    <w:lvl w:ilvl="0" w:tentative="0">
      <w:start w:val="1"/>
      <w:numFmt w:val="decimal"/>
      <w:suff w:val="space"/>
      <w:lvlText w:val="(%1)"/>
      <w:lvlJc w:val="left"/>
      <w:pPr>
        <w:ind w:left="570" w:firstLine="0"/>
      </w:p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3B"/>
    <w:multiLevelType w:val="multilevel"/>
    <w:tmpl w:val="000000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DE005D3"/>
    <w:multiLevelType w:val="singleLevel"/>
    <w:tmpl w:val="1DE005D3"/>
    <w:lvl w:ilvl="0" w:tentative="0">
      <w:start w:val="1"/>
      <w:numFmt w:val="chineseCounting"/>
      <w:suff w:val="nothing"/>
      <w:lvlText w:val="%1、"/>
      <w:lvlJc w:val="left"/>
      <w:rPr>
        <w:rFonts w:hint="eastAsia"/>
      </w:rPr>
    </w:lvl>
  </w:abstractNum>
  <w:abstractNum w:abstractNumId="12">
    <w:nsid w:val="7A0F6431"/>
    <w:multiLevelType w:val="singleLevel"/>
    <w:tmpl w:val="7A0F6431"/>
    <w:lvl w:ilvl="0" w:tentative="0">
      <w:start w:val="1"/>
      <w:numFmt w:val="decimal"/>
      <w:suff w:val="space"/>
      <w:lvlText w:val="%1."/>
      <w:lvlJc w:val="left"/>
    </w:lvl>
  </w:abstractNum>
  <w:num w:numId="1">
    <w:abstractNumId w:val="11"/>
  </w:num>
  <w:num w:numId="2">
    <w:abstractNumId w:val="4"/>
  </w:num>
  <w:num w:numId="3">
    <w:abstractNumId w:val="12"/>
  </w:num>
  <w:num w:numId="4">
    <w:abstractNumId w:val="3"/>
  </w:num>
  <w:num w:numId="5">
    <w:abstractNumId w:val="9"/>
  </w:num>
  <w:num w:numId="6">
    <w:abstractNumId w:val="6"/>
  </w:num>
  <w:num w:numId="7">
    <w:abstractNumId w:val="5"/>
  </w:num>
  <w:num w:numId="8">
    <w:abstractNumId w:val="1"/>
  </w:num>
  <w:num w:numId="9">
    <w:abstractNumId w:val="7"/>
  </w:num>
  <w:num w:numId="10">
    <w:abstractNumId w:val="8"/>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2OGFjYzNiYTBhYzk2YmY2OWU2NzZjMWE1NmUxZGMifQ=="/>
  </w:docVars>
  <w:rsids>
    <w:rsidRoot w:val="00172A27"/>
    <w:rsid w:val="0000154B"/>
    <w:rsid w:val="000015D9"/>
    <w:rsid w:val="00001BEC"/>
    <w:rsid w:val="0000242B"/>
    <w:rsid w:val="00006762"/>
    <w:rsid w:val="0000683F"/>
    <w:rsid w:val="00007FAB"/>
    <w:rsid w:val="00011EBC"/>
    <w:rsid w:val="00012A18"/>
    <w:rsid w:val="0002175F"/>
    <w:rsid w:val="00023C55"/>
    <w:rsid w:val="000240BA"/>
    <w:rsid w:val="0002486B"/>
    <w:rsid w:val="00042BB1"/>
    <w:rsid w:val="000431A9"/>
    <w:rsid w:val="000512C5"/>
    <w:rsid w:val="00051799"/>
    <w:rsid w:val="00057DC7"/>
    <w:rsid w:val="00063DAC"/>
    <w:rsid w:val="00064E8D"/>
    <w:rsid w:val="0007104B"/>
    <w:rsid w:val="00075B56"/>
    <w:rsid w:val="000809C7"/>
    <w:rsid w:val="00080D17"/>
    <w:rsid w:val="00081662"/>
    <w:rsid w:val="0008530E"/>
    <w:rsid w:val="00093B10"/>
    <w:rsid w:val="000A288C"/>
    <w:rsid w:val="000A6386"/>
    <w:rsid w:val="000C130C"/>
    <w:rsid w:val="000C5D07"/>
    <w:rsid w:val="000C79C6"/>
    <w:rsid w:val="000C7EEC"/>
    <w:rsid w:val="000D1FA2"/>
    <w:rsid w:val="000D25A2"/>
    <w:rsid w:val="000E4B7E"/>
    <w:rsid w:val="000F01E6"/>
    <w:rsid w:val="000F0344"/>
    <w:rsid w:val="000F4C51"/>
    <w:rsid w:val="000F4E32"/>
    <w:rsid w:val="001030D6"/>
    <w:rsid w:val="0010324D"/>
    <w:rsid w:val="001156A9"/>
    <w:rsid w:val="001172F4"/>
    <w:rsid w:val="001232F0"/>
    <w:rsid w:val="001307BE"/>
    <w:rsid w:val="00130DEC"/>
    <w:rsid w:val="001324C8"/>
    <w:rsid w:val="001336E7"/>
    <w:rsid w:val="0013558E"/>
    <w:rsid w:val="001541F0"/>
    <w:rsid w:val="001652D7"/>
    <w:rsid w:val="001653BD"/>
    <w:rsid w:val="001666F2"/>
    <w:rsid w:val="001713D0"/>
    <w:rsid w:val="00172A27"/>
    <w:rsid w:val="00172F4B"/>
    <w:rsid w:val="00175259"/>
    <w:rsid w:val="00180C21"/>
    <w:rsid w:val="0018229E"/>
    <w:rsid w:val="00186CC7"/>
    <w:rsid w:val="00187480"/>
    <w:rsid w:val="001B5E8D"/>
    <w:rsid w:val="001C1AE8"/>
    <w:rsid w:val="001C256D"/>
    <w:rsid w:val="001C7A5B"/>
    <w:rsid w:val="001D074A"/>
    <w:rsid w:val="001D0CB5"/>
    <w:rsid w:val="001D3155"/>
    <w:rsid w:val="001D5018"/>
    <w:rsid w:val="001E0504"/>
    <w:rsid w:val="001E15A7"/>
    <w:rsid w:val="00203062"/>
    <w:rsid w:val="00207BBC"/>
    <w:rsid w:val="00211F97"/>
    <w:rsid w:val="00213A77"/>
    <w:rsid w:val="00215488"/>
    <w:rsid w:val="002162D4"/>
    <w:rsid w:val="002209E2"/>
    <w:rsid w:val="00222B21"/>
    <w:rsid w:val="00225964"/>
    <w:rsid w:val="002260FE"/>
    <w:rsid w:val="00226B65"/>
    <w:rsid w:val="002275DA"/>
    <w:rsid w:val="00231209"/>
    <w:rsid w:val="00232625"/>
    <w:rsid w:val="00233542"/>
    <w:rsid w:val="00236420"/>
    <w:rsid w:val="00247682"/>
    <w:rsid w:val="002476EB"/>
    <w:rsid w:val="002529FD"/>
    <w:rsid w:val="00252B5F"/>
    <w:rsid w:val="002637F2"/>
    <w:rsid w:val="00270458"/>
    <w:rsid w:val="002759F5"/>
    <w:rsid w:val="00277AE0"/>
    <w:rsid w:val="00285115"/>
    <w:rsid w:val="002915D6"/>
    <w:rsid w:val="00292783"/>
    <w:rsid w:val="00293093"/>
    <w:rsid w:val="00293147"/>
    <w:rsid w:val="00293268"/>
    <w:rsid w:val="00294197"/>
    <w:rsid w:val="002A18CD"/>
    <w:rsid w:val="002A4BD9"/>
    <w:rsid w:val="002B6ED6"/>
    <w:rsid w:val="002B73C0"/>
    <w:rsid w:val="002C0F4C"/>
    <w:rsid w:val="002C163B"/>
    <w:rsid w:val="002C41D0"/>
    <w:rsid w:val="002C5D31"/>
    <w:rsid w:val="002D1594"/>
    <w:rsid w:val="002D716D"/>
    <w:rsid w:val="002D7FAC"/>
    <w:rsid w:val="002D7FEA"/>
    <w:rsid w:val="002E0B66"/>
    <w:rsid w:val="002E2EB3"/>
    <w:rsid w:val="002E4AE6"/>
    <w:rsid w:val="002E4DC3"/>
    <w:rsid w:val="002F07F1"/>
    <w:rsid w:val="002F3066"/>
    <w:rsid w:val="002F6935"/>
    <w:rsid w:val="00300AEF"/>
    <w:rsid w:val="003057C5"/>
    <w:rsid w:val="00325490"/>
    <w:rsid w:val="00326CC8"/>
    <w:rsid w:val="003410BD"/>
    <w:rsid w:val="0034704E"/>
    <w:rsid w:val="0034715D"/>
    <w:rsid w:val="003514F2"/>
    <w:rsid w:val="003535CE"/>
    <w:rsid w:val="00356D57"/>
    <w:rsid w:val="003667D9"/>
    <w:rsid w:val="003713AC"/>
    <w:rsid w:val="00373896"/>
    <w:rsid w:val="00373CE4"/>
    <w:rsid w:val="00380B29"/>
    <w:rsid w:val="00382DFE"/>
    <w:rsid w:val="003A0589"/>
    <w:rsid w:val="003A3B8B"/>
    <w:rsid w:val="003A65BC"/>
    <w:rsid w:val="003B643A"/>
    <w:rsid w:val="003E0B56"/>
    <w:rsid w:val="003E120B"/>
    <w:rsid w:val="003F0007"/>
    <w:rsid w:val="003F09DC"/>
    <w:rsid w:val="003F27BC"/>
    <w:rsid w:val="003F2E1C"/>
    <w:rsid w:val="004017C7"/>
    <w:rsid w:val="004025FC"/>
    <w:rsid w:val="00405C00"/>
    <w:rsid w:val="00410B7B"/>
    <w:rsid w:val="00413294"/>
    <w:rsid w:val="00420DAB"/>
    <w:rsid w:val="00431781"/>
    <w:rsid w:val="00432FD2"/>
    <w:rsid w:val="0043431D"/>
    <w:rsid w:val="00435598"/>
    <w:rsid w:val="00435976"/>
    <w:rsid w:val="0045418E"/>
    <w:rsid w:val="00456EC8"/>
    <w:rsid w:val="0046344C"/>
    <w:rsid w:val="00464754"/>
    <w:rsid w:val="00471118"/>
    <w:rsid w:val="00474744"/>
    <w:rsid w:val="00475334"/>
    <w:rsid w:val="004757B7"/>
    <w:rsid w:val="00481137"/>
    <w:rsid w:val="00484B5C"/>
    <w:rsid w:val="00484E8C"/>
    <w:rsid w:val="004853C2"/>
    <w:rsid w:val="004878BC"/>
    <w:rsid w:val="00487B31"/>
    <w:rsid w:val="004910CF"/>
    <w:rsid w:val="004A106A"/>
    <w:rsid w:val="004A329B"/>
    <w:rsid w:val="004A633B"/>
    <w:rsid w:val="004B1E3A"/>
    <w:rsid w:val="004B5A18"/>
    <w:rsid w:val="004C621B"/>
    <w:rsid w:val="004D47B8"/>
    <w:rsid w:val="004E3039"/>
    <w:rsid w:val="004E4248"/>
    <w:rsid w:val="004F3690"/>
    <w:rsid w:val="004F5AA7"/>
    <w:rsid w:val="004F5EFC"/>
    <w:rsid w:val="0050107B"/>
    <w:rsid w:val="00513C34"/>
    <w:rsid w:val="005207B6"/>
    <w:rsid w:val="005212B7"/>
    <w:rsid w:val="00523459"/>
    <w:rsid w:val="00527B26"/>
    <w:rsid w:val="00533C47"/>
    <w:rsid w:val="005442FB"/>
    <w:rsid w:val="00545170"/>
    <w:rsid w:val="0054634C"/>
    <w:rsid w:val="00550717"/>
    <w:rsid w:val="00553567"/>
    <w:rsid w:val="005549E9"/>
    <w:rsid w:val="00557066"/>
    <w:rsid w:val="005611FE"/>
    <w:rsid w:val="005624AF"/>
    <w:rsid w:val="00571E84"/>
    <w:rsid w:val="00572544"/>
    <w:rsid w:val="00573B80"/>
    <w:rsid w:val="00575834"/>
    <w:rsid w:val="005762DA"/>
    <w:rsid w:val="00586411"/>
    <w:rsid w:val="00591063"/>
    <w:rsid w:val="005A5846"/>
    <w:rsid w:val="005B0A7D"/>
    <w:rsid w:val="005B5711"/>
    <w:rsid w:val="005E44CB"/>
    <w:rsid w:val="005E6D10"/>
    <w:rsid w:val="005E7FBA"/>
    <w:rsid w:val="005F3796"/>
    <w:rsid w:val="005F5751"/>
    <w:rsid w:val="005F6373"/>
    <w:rsid w:val="005F6803"/>
    <w:rsid w:val="005F7F18"/>
    <w:rsid w:val="006055E2"/>
    <w:rsid w:val="006150EB"/>
    <w:rsid w:val="00617C31"/>
    <w:rsid w:val="006201AE"/>
    <w:rsid w:val="006275A2"/>
    <w:rsid w:val="00630715"/>
    <w:rsid w:val="006640E3"/>
    <w:rsid w:val="00674C8D"/>
    <w:rsid w:val="00676884"/>
    <w:rsid w:val="0068006C"/>
    <w:rsid w:val="0068359F"/>
    <w:rsid w:val="00684B73"/>
    <w:rsid w:val="00692FA7"/>
    <w:rsid w:val="006936D4"/>
    <w:rsid w:val="00693DA5"/>
    <w:rsid w:val="006A2D53"/>
    <w:rsid w:val="006A36C7"/>
    <w:rsid w:val="006A4CAC"/>
    <w:rsid w:val="006A6322"/>
    <w:rsid w:val="006B1BCE"/>
    <w:rsid w:val="006B222F"/>
    <w:rsid w:val="006B3A09"/>
    <w:rsid w:val="006C174B"/>
    <w:rsid w:val="006C5DF7"/>
    <w:rsid w:val="006D3C8F"/>
    <w:rsid w:val="006D7BB2"/>
    <w:rsid w:val="006E659F"/>
    <w:rsid w:val="006F05D2"/>
    <w:rsid w:val="006F36D0"/>
    <w:rsid w:val="006F4897"/>
    <w:rsid w:val="006F645D"/>
    <w:rsid w:val="00700CA9"/>
    <w:rsid w:val="00701510"/>
    <w:rsid w:val="00702F11"/>
    <w:rsid w:val="0070502F"/>
    <w:rsid w:val="0071108A"/>
    <w:rsid w:val="00717C3E"/>
    <w:rsid w:val="00736FCD"/>
    <w:rsid w:val="00740AA6"/>
    <w:rsid w:val="00742881"/>
    <w:rsid w:val="00752C3A"/>
    <w:rsid w:val="00755117"/>
    <w:rsid w:val="007568B1"/>
    <w:rsid w:val="00761A39"/>
    <w:rsid w:val="00765578"/>
    <w:rsid w:val="00770331"/>
    <w:rsid w:val="007710EC"/>
    <w:rsid w:val="00772479"/>
    <w:rsid w:val="00775170"/>
    <w:rsid w:val="00775A52"/>
    <w:rsid w:val="00780486"/>
    <w:rsid w:val="00791C8F"/>
    <w:rsid w:val="00792E1B"/>
    <w:rsid w:val="007963C3"/>
    <w:rsid w:val="007C2659"/>
    <w:rsid w:val="007C2A46"/>
    <w:rsid w:val="007C6054"/>
    <w:rsid w:val="007C6126"/>
    <w:rsid w:val="007D07BC"/>
    <w:rsid w:val="007D10A5"/>
    <w:rsid w:val="007D6D00"/>
    <w:rsid w:val="007D7529"/>
    <w:rsid w:val="007D79C3"/>
    <w:rsid w:val="007E222A"/>
    <w:rsid w:val="007F1ED3"/>
    <w:rsid w:val="007F4814"/>
    <w:rsid w:val="007F65E1"/>
    <w:rsid w:val="007F6905"/>
    <w:rsid w:val="007F6CCE"/>
    <w:rsid w:val="00802401"/>
    <w:rsid w:val="00804C9B"/>
    <w:rsid w:val="00804E03"/>
    <w:rsid w:val="00805AD8"/>
    <w:rsid w:val="0081161C"/>
    <w:rsid w:val="00851AB8"/>
    <w:rsid w:val="0085540F"/>
    <w:rsid w:val="00855C2E"/>
    <w:rsid w:val="00856776"/>
    <w:rsid w:val="00860CC4"/>
    <w:rsid w:val="00865CDC"/>
    <w:rsid w:val="00872382"/>
    <w:rsid w:val="00873045"/>
    <w:rsid w:val="008760F7"/>
    <w:rsid w:val="0088288F"/>
    <w:rsid w:val="00887979"/>
    <w:rsid w:val="00891D6B"/>
    <w:rsid w:val="00893716"/>
    <w:rsid w:val="008A055A"/>
    <w:rsid w:val="008A52FC"/>
    <w:rsid w:val="008B11CC"/>
    <w:rsid w:val="008B2149"/>
    <w:rsid w:val="008B4900"/>
    <w:rsid w:val="008B5E71"/>
    <w:rsid w:val="008C30C7"/>
    <w:rsid w:val="008D0FCA"/>
    <w:rsid w:val="008D1B3F"/>
    <w:rsid w:val="008F4EF7"/>
    <w:rsid w:val="00900295"/>
    <w:rsid w:val="0090083E"/>
    <w:rsid w:val="00902FFC"/>
    <w:rsid w:val="009114A5"/>
    <w:rsid w:val="00911751"/>
    <w:rsid w:val="009169B3"/>
    <w:rsid w:val="00921FB1"/>
    <w:rsid w:val="00925CEF"/>
    <w:rsid w:val="00927DE6"/>
    <w:rsid w:val="00936A46"/>
    <w:rsid w:val="00940636"/>
    <w:rsid w:val="009416FC"/>
    <w:rsid w:val="00941B8A"/>
    <w:rsid w:val="009438DA"/>
    <w:rsid w:val="00945580"/>
    <w:rsid w:val="00950B68"/>
    <w:rsid w:val="0095144B"/>
    <w:rsid w:val="00957B6B"/>
    <w:rsid w:val="00965AB7"/>
    <w:rsid w:val="00966667"/>
    <w:rsid w:val="0097049A"/>
    <w:rsid w:val="00971FD2"/>
    <w:rsid w:val="00973350"/>
    <w:rsid w:val="00974AE2"/>
    <w:rsid w:val="00976C5D"/>
    <w:rsid w:val="00980DC2"/>
    <w:rsid w:val="00987BC8"/>
    <w:rsid w:val="00990E66"/>
    <w:rsid w:val="00991DDA"/>
    <w:rsid w:val="00992D75"/>
    <w:rsid w:val="00995386"/>
    <w:rsid w:val="009A4101"/>
    <w:rsid w:val="009A5AD8"/>
    <w:rsid w:val="009B1ADC"/>
    <w:rsid w:val="009B3FC1"/>
    <w:rsid w:val="009B6F91"/>
    <w:rsid w:val="009C1566"/>
    <w:rsid w:val="009C2083"/>
    <w:rsid w:val="009C2E30"/>
    <w:rsid w:val="009C658C"/>
    <w:rsid w:val="009D6F1E"/>
    <w:rsid w:val="009E54C0"/>
    <w:rsid w:val="009E586B"/>
    <w:rsid w:val="009E760C"/>
    <w:rsid w:val="00A00A13"/>
    <w:rsid w:val="00A0177F"/>
    <w:rsid w:val="00A017D0"/>
    <w:rsid w:val="00A025B7"/>
    <w:rsid w:val="00A02625"/>
    <w:rsid w:val="00A03329"/>
    <w:rsid w:val="00A0405A"/>
    <w:rsid w:val="00A04206"/>
    <w:rsid w:val="00A14DD5"/>
    <w:rsid w:val="00A200A4"/>
    <w:rsid w:val="00A25F1B"/>
    <w:rsid w:val="00A26432"/>
    <w:rsid w:val="00A34EA5"/>
    <w:rsid w:val="00A454D2"/>
    <w:rsid w:val="00A57AE7"/>
    <w:rsid w:val="00A64141"/>
    <w:rsid w:val="00A646FA"/>
    <w:rsid w:val="00A7519E"/>
    <w:rsid w:val="00A80357"/>
    <w:rsid w:val="00A91F69"/>
    <w:rsid w:val="00A96FF6"/>
    <w:rsid w:val="00AA1C71"/>
    <w:rsid w:val="00AB30ED"/>
    <w:rsid w:val="00AB780E"/>
    <w:rsid w:val="00AC3C43"/>
    <w:rsid w:val="00AD0269"/>
    <w:rsid w:val="00AD08AA"/>
    <w:rsid w:val="00AD141E"/>
    <w:rsid w:val="00AD78D3"/>
    <w:rsid w:val="00AE2899"/>
    <w:rsid w:val="00AE3912"/>
    <w:rsid w:val="00AE60F0"/>
    <w:rsid w:val="00AF011D"/>
    <w:rsid w:val="00AF7F96"/>
    <w:rsid w:val="00B11814"/>
    <w:rsid w:val="00B12492"/>
    <w:rsid w:val="00B1386A"/>
    <w:rsid w:val="00B2756E"/>
    <w:rsid w:val="00B33FA7"/>
    <w:rsid w:val="00B3450F"/>
    <w:rsid w:val="00B41BD2"/>
    <w:rsid w:val="00B45A07"/>
    <w:rsid w:val="00B51012"/>
    <w:rsid w:val="00B5504B"/>
    <w:rsid w:val="00B559F7"/>
    <w:rsid w:val="00B634B6"/>
    <w:rsid w:val="00BA7A5C"/>
    <w:rsid w:val="00BB4467"/>
    <w:rsid w:val="00BB5014"/>
    <w:rsid w:val="00BB58AE"/>
    <w:rsid w:val="00BB7F96"/>
    <w:rsid w:val="00BC240B"/>
    <w:rsid w:val="00BC3035"/>
    <w:rsid w:val="00BC41A8"/>
    <w:rsid w:val="00BC54F8"/>
    <w:rsid w:val="00BD480D"/>
    <w:rsid w:val="00BE2493"/>
    <w:rsid w:val="00BE5AEA"/>
    <w:rsid w:val="00BF0BF7"/>
    <w:rsid w:val="00BF43D3"/>
    <w:rsid w:val="00BF596A"/>
    <w:rsid w:val="00BF7023"/>
    <w:rsid w:val="00C02680"/>
    <w:rsid w:val="00C039F7"/>
    <w:rsid w:val="00C12AFA"/>
    <w:rsid w:val="00C15523"/>
    <w:rsid w:val="00C175B3"/>
    <w:rsid w:val="00C21F20"/>
    <w:rsid w:val="00C3009C"/>
    <w:rsid w:val="00C301F4"/>
    <w:rsid w:val="00C46CE8"/>
    <w:rsid w:val="00C47C81"/>
    <w:rsid w:val="00C575D3"/>
    <w:rsid w:val="00C67696"/>
    <w:rsid w:val="00C769CA"/>
    <w:rsid w:val="00C775B8"/>
    <w:rsid w:val="00C82197"/>
    <w:rsid w:val="00C86E6A"/>
    <w:rsid w:val="00C87448"/>
    <w:rsid w:val="00C95BAB"/>
    <w:rsid w:val="00C97CA8"/>
    <w:rsid w:val="00CA0483"/>
    <w:rsid w:val="00CA1334"/>
    <w:rsid w:val="00CA1362"/>
    <w:rsid w:val="00CA5ED2"/>
    <w:rsid w:val="00CB3848"/>
    <w:rsid w:val="00CB48CB"/>
    <w:rsid w:val="00CC131A"/>
    <w:rsid w:val="00CD1E92"/>
    <w:rsid w:val="00CD5049"/>
    <w:rsid w:val="00CD7D7C"/>
    <w:rsid w:val="00CE7626"/>
    <w:rsid w:val="00CF2191"/>
    <w:rsid w:val="00D00E76"/>
    <w:rsid w:val="00D038D7"/>
    <w:rsid w:val="00D063E2"/>
    <w:rsid w:val="00D128A2"/>
    <w:rsid w:val="00D23C8D"/>
    <w:rsid w:val="00D3243E"/>
    <w:rsid w:val="00D45137"/>
    <w:rsid w:val="00D50BB2"/>
    <w:rsid w:val="00D53336"/>
    <w:rsid w:val="00D562C3"/>
    <w:rsid w:val="00D75E9B"/>
    <w:rsid w:val="00D7676D"/>
    <w:rsid w:val="00D837D7"/>
    <w:rsid w:val="00D85EDB"/>
    <w:rsid w:val="00D95B48"/>
    <w:rsid w:val="00DA3BD9"/>
    <w:rsid w:val="00DA4997"/>
    <w:rsid w:val="00DA6199"/>
    <w:rsid w:val="00DB16B1"/>
    <w:rsid w:val="00DB264D"/>
    <w:rsid w:val="00DB3AB9"/>
    <w:rsid w:val="00DC28DC"/>
    <w:rsid w:val="00DC54C1"/>
    <w:rsid w:val="00DC6A16"/>
    <w:rsid w:val="00DD4C96"/>
    <w:rsid w:val="00DE59F3"/>
    <w:rsid w:val="00DE6AB2"/>
    <w:rsid w:val="00DF6667"/>
    <w:rsid w:val="00DF793D"/>
    <w:rsid w:val="00E0168E"/>
    <w:rsid w:val="00E01748"/>
    <w:rsid w:val="00E034C4"/>
    <w:rsid w:val="00E1139A"/>
    <w:rsid w:val="00E1612E"/>
    <w:rsid w:val="00E26D79"/>
    <w:rsid w:val="00E4430B"/>
    <w:rsid w:val="00E45C3E"/>
    <w:rsid w:val="00E502E0"/>
    <w:rsid w:val="00E57162"/>
    <w:rsid w:val="00E63143"/>
    <w:rsid w:val="00E6456C"/>
    <w:rsid w:val="00E64663"/>
    <w:rsid w:val="00E6467C"/>
    <w:rsid w:val="00E66430"/>
    <w:rsid w:val="00E725D9"/>
    <w:rsid w:val="00E761D8"/>
    <w:rsid w:val="00E76E9F"/>
    <w:rsid w:val="00E770A8"/>
    <w:rsid w:val="00E85199"/>
    <w:rsid w:val="00E90970"/>
    <w:rsid w:val="00E93ACA"/>
    <w:rsid w:val="00E94E4C"/>
    <w:rsid w:val="00EA2973"/>
    <w:rsid w:val="00EA2EA2"/>
    <w:rsid w:val="00EB5ED8"/>
    <w:rsid w:val="00EC6B1B"/>
    <w:rsid w:val="00ED5A89"/>
    <w:rsid w:val="00EE07A9"/>
    <w:rsid w:val="00EE7EA3"/>
    <w:rsid w:val="00EF40F8"/>
    <w:rsid w:val="00EF669A"/>
    <w:rsid w:val="00F0052E"/>
    <w:rsid w:val="00F00AC5"/>
    <w:rsid w:val="00F0512B"/>
    <w:rsid w:val="00F10B1D"/>
    <w:rsid w:val="00F131BA"/>
    <w:rsid w:val="00F152FD"/>
    <w:rsid w:val="00F21304"/>
    <w:rsid w:val="00F25CD9"/>
    <w:rsid w:val="00F42F55"/>
    <w:rsid w:val="00F52F88"/>
    <w:rsid w:val="00F57ACB"/>
    <w:rsid w:val="00F622EF"/>
    <w:rsid w:val="00F67454"/>
    <w:rsid w:val="00F776DD"/>
    <w:rsid w:val="00F8264F"/>
    <w:rsid w:val="00F85A49"/>
    <w:rsid w:val="00F87061"/>
    <w:rsid w:val="00F924F3"/>
    <w:rsid w:val="00F93FE8"/>
    <w:rsid w:val="00FA070F"/>
    <w:rsid w:val="00FA1CCF"/>
    <w:rsid w:val="00FA6658"/>
    <w:rsid w:val="00FB15FC"/>
    <w:rsid w:val="00FB1E6A"/>
    <w:rsid w:val="00FB5BF6"/>
    <w:rsid w:val="00FB6852"/>
    <w:rsid w:val="00FC10C0"/>
    <w:rsid w:val="00FC51F8"/>
    <w:rsid w:val="00FC643A"/>
    <w:rsid w:val="00FD323F"/>
    <w:rsid w:val="00FD742D"/>
    <w:rsid w:val="00FE457D"/>
    <w:rsid w:val="00FE6C5A"/>
    <w:rsid w:val="00FF0BC0"/>
    <w:rsid w:val="00FF5965"/>
    <w:rsid w:val="010031D9"/>
    <w:rsid w:val="010116F9"/>
    <w:rsid w:val="010E37DC"/>
    <w:rsid w:val="011122AE"/>
    <w:rsid w:val="0118401E"/>
    <w:rsid w:val="01224C76"/>
    <w:rsid w:val="013452E8"/>
    <w:rsid w:val="013B0DE8"/>
    <w:rsid w:val="013E5336"/>
    <w:rsid w:val="01451524"/>
    <w:rsid w:val="01487061"/>
    <w:rsid w:val="014929F8"/>
    <w:rsid w:val="01546E74"/>
    <w:rsid w:val="0159301C"/>
    <w:rsid w:val="01653306"/>
    <w:rsid w:val="016814B1"/>
    <w:rsid w:val="01765F88"/>
    <w:rsid w:val="017F5DEB"/>
    <w:rsid w:val="01865615"/>
    <w:rsid w:val="018948FB"/>
    <w:rsid w:val="019B7FF1"/>
    <w:rsid w:val="01B64DBC"/>
    <w:rsid w:val="01BD7A4F"/>
    <w:rsid w:val="01C85F78"/>
    <w:rsid w:val="01D32B76"/>
    <w:rsid w:val="01DE33E0"/>
    <w:rsid w:val="01EB07AB"/>
    <w:rsid w:val="01EC5C3E"/>
    <w:rsid w:val="01F22533"/>
    <w:rsid w:val="021A1019"/>
    <w:rsid w:val="02291098"/>
    <w:rsid w:val="0234468B"/>
    <w:rsid w:val="023664F2"/>
    <w:rsid w:val="025C126D"/>
    <w:rsid w:val="0262027F"/>
    <w:rsid w:val="026F68EA"/>
    <w:rsid w:val="027605E4"/>
    <w:rsid w:val="027C24BC"/>
    <w:rsid w:val="02886175"/>
    <w:rsid w:val="028D66E5"/>
    <w:rsid w:val="02932C69"/>
    <w:rsid w:val="029517B4"/>
    <w:rsid w:val="029A133E"/>
    <w:rsid w:val="02B77584"/>
    <w:rsid w:val="02D16BE5"/>
    <w:rsid w:val="02DA6A5E"/>
    <w:rsid w:val="02DC2186"/>
    <w:rsid w:val="02DD6F11"/>
    <w:rsid w:val="02E87FE4"/>
    <w:rsid w:val="02E97BB6"/>
    <w:rsid w:val="02FC7392"/>
    <w:rsid w:val="03056ED8"/>
    <w:rsid w:val="03062260"/>
    <w:rsid w:val="031B5B3F"/>
    <w:rsid w:val="032B6C3A"/>
    <w:rsid w:val="033A1937"/>
    <w:rsid w:val="034101F0"/>
    <w:rsid w:val="034722F9"/>
    <w:rsid w:val="035917B3"/>
    <w:rsid w:val="036B7422"/>
    <w:rsid w:val="037115F3"/>
    <w:rsid w:val="03797A2B"/>
    <w:rsid w:val="03815B1E"/>
    <w:rsid w:val="038740F9"/>
    <w:rsid w:val="038A0F4D"/>
    <w:rsid w:val="038F5CF1"/>
    <w:rsid w:val="03912F41"/>
    <w:rsid w:val="03977E2B"/>
    <w:rsid w:val="039D2861"/>
    <w:rsid w:val="039D369E"/>
    <w:rsid w:val="03A21A69"/>
    <w:rsid w:val="03A41501"/>
    <w:rsid w:val="03B92498"/>
    <w:rsid w:val="03C050B3"/>
    <w:rsid w:val="03C116DF"/>
    <w:rsid w:val="03C54F6F"/>
    <w:rsid w:val="03C932BE"/>
    <w:rsid w:val="03CB3EB9"/>
    <w:rsid w:val="03CD5D31"/>
    <w:rsid w:val="03CE1705"/>
    <w:rsid w:val="03D554AB"/>
    <w:rsid w:val="03DC6E2A"/>
    <w:rsid w:val="03DF10B2"/>
    <w:rsid w:val="03E17528"/>
    <w:rsid w:val="03F0017C"/>
    <w:rsid w:val="03F35891"/>
    <w:rsid w:val="03FB0714"/>
    <w:rsid w:val="04081E7D"/>
    <w:rsid w:val="040D5F94"/>
    <w:rsid w:val="040E6340"/>
    <w:rsid w:val="040F1CDD"/>
    <w:rsid w:val="04153DF8"/>
    <w:rsid w:val="04190284"/>
    <w:rsid w:val="042132B1"/>
    <w:rsid w:val="04262824"/>
    <w:rsid w:val="042706EB"/>
    <w:rsid w:val="042F6108"/>
    <w:rsid w:val="0431050E"/>
    <w:rsid w:val="04437B16"/>
    <w:rsid w:val="044646A8"/>
    <w:rsid w:val="044D6D08"/>
    <w:rsid w:val="04570286"/>
    <w:rsid w:val="045804E9"/>
    <w:rsid w:val="045C5A66"/>
    <w:rsid w:val="04617A5D"/>
    <w:rsid w:val="0465768E"/>
    <w:rsid w:val="04756ABC"/>
    <w:rsid w:val="047A0169"/>
    <w:rsid w:val="04853043"/>
    <w:rsid w:val="04881B0C"/>
    <w:rsid w:val="048C7E10"/>
    <w:rsid w:val="049745EC"/>
    <w:rsid w:val="04A15406"/>
    <w:rsid w:val="04AB1797"/>
    <w:rsid w:val="04B17209"/>
    <w:rsid w:val="04B3420E"/>
    <w:rsid w:val="04B471CA"/>
    <w:rsid w:val="04B90CE5"/>
    <w:rsid w:val="04BE75A2"/>
    <w:rsid w:val="04BE7A94"/>
    <w:rsid w:val="04C26011"/>
    <w:rsid w:val="04C57E88"/>
    <w:rsid w:val="04D01B7D"/>
    <w:rsid w:val="04D233A2"/>
    <w:rsid w:val="04D74983"/>
    <w:rsid w:val="04DD1F13"/>
    <w:rsid w:val="04EC6E64"/>
    <w:rsid w:val="04F106CD"/>
    <w:rsid w:val="04F76C39"/>
    <w:rsid w:val="05022BAD"/>
    <w:rsid w:val="0503529A"/>
    <w:rsid w:val="05051C06"/>
    <w:rsid w:val="050D5035"/>
    <w:rsid w:val="05152B23"/>
    <w:rsid w:val="05166AC5"/>
    <w:rsid w:val="051A214C"/>
    <w:rsid w:val="051B18B9"/>
    <w:rsid w:val="051C60D7"/>
    <w:rsid w:val="0529371B"/>
    <w:rsid w:val="052E3EEF"/>
    <w:rsid w:val="05317299"/>
    <w:rsid w:val="05342A10"/>
    <w:rsid w:val="053658D4"/>
    <w:rsid w:val="0537246E"/>
    <w:rsid w:val="053E38CF"/>
    <w:rsid w:val="05453E3C"/>
    <w:rsid w:val="054873D2"/>
    <w:rsid w:val="054D4843"/>
    <w:rsid w:val="0550591D"/>
    <w:rsid w:val="055164E7"/>
    <w:rsid w:val="055436D7"/>
    <w:rsid w:val="05556BC3"/>
    <w:rsid w:val="05594F83"/>
    <w:rsid w:val="05684227"/>
    <w:rsid w:val="056B2CAF"/>
    <w:rsid w:val="05704CD5"/>
    <w:rsid w:val="057411A1"/>
    <w:rsid w:val="0588214B"/>
    <w:rsid w:val="059733B5"/>
    <w:rsid w:val="059E3B86"/>
    <w:rsid w:val="05A30A30"/>
    <w:rsid w:val="05B34780"/>
    <w:rsid w:val="05B920F5"/>
    <w:rsid w:val="05BA5972"/>
    <w:rsid w:val="05BD67F8"/>
    <w:rsid w:val="05BE40EE"/>
    <w:rsid w:val="05C1575D"/>
    <w:rsid w:val="05C30828"/>
    <w:rsid w:val="05C74181"/>
    <w:rsid w:val="05CF4EB3"/>
    <w:rsid w:val="05D1303A"/>
    <w:rsid w:val="05E42052"/>
    <w:rsid w:val="05FC0CD4"/>
    <w:rsid w:val="060A72F3"/>
    <w:rsid w:val="0611150F"/>
    <w:rsid w:val="06113EC5"/>
    <w:rsid w:val="06206C00"/>
    <w:rsid w:val="06244176"/>
    <w:rsid w:val="063021A9"/>
    <w:rsid w:val="064B6404"/>
    <w:rsid w:val="064C7850"/>
    <w:rsid w:val="0652786B"/>
    <w:rsid w:val="065B3392"/>
    <w:rsid w:val="06682DE6"/>
    <w:rsid w:val="06683B83"/>
    <w:rsid w:val="06735DC5"/>
    <w:rsid w:val="067A0FD9"/>
    <w:rsid w:val="067B4CEE"/>
    <w:rsid w:val="06823015"/>
    <w:rsid w:val="068831EC"/>
    <w:rsid w:val="068E7A1B"/>
    <w:rsid w:val="06900278"/>
    <w:rsid w:val="069B5E85"/>
    <w:rsid w:val="069C0789"/>
    <w:rsid w:val="06AA1C52"/>
    <w:rsid w:val="06AE536C"/>
    <w:rsid w:val="06B35831"/>
    <w:rsid w:val="06BD229F"/>
    <w:rsid w:val="06CB7D2B"/>
    <w:rsid w:val="06CC3B01"/>
    <w:rsid w:val="06D34773"/>
    <w:rsid w:val="06D37B1F"/>
    <w:rsid w:val="06D76F14"/>
    <w:rsid w:val="06D80992"/>
    <w:rsid w:val="07101078"/>
    <w:rsid w:val="07161B74"/>
    <w:rsid w:val="071B5929"/>
    <w:rsid w:val="071B7025"/>
    <w:rsid w:val="072254F2"/>
    <w:rsid w:val="07240C51"/>
    <w:rsid w:val="072E2C4D"/>
    <w:rsid w:val="0748560B"/>
    <w:rsid w:val="07512AE9"/>
    <w:rsid w:val="07577994"/>
    <w:rsid w:val="07603356"/>
    <w:rsid w:val="07633A48"/>
    <w:rsid w:val="07697D31"/>
    <w:rsid w:val="076F6E9A"/>
    <w:rsid w:val="077E2440"/>
    <w:rsid w:val="07835ED5"/>
    <w:rsid w:val="07866291"/>
    <w:rsid w:val="07871154"/>
    <w:rsid w:val="0797664C"/>
    <w:rsid w:val="07997F47"/>
    <w:rsid w:val="07AF1FD4"/>
    <w:rsid w:val="07B23022"/>
    <w:rsid w:val="07B51A5F"/>
    <w:rsid w:val="07BA7779"/>
    <w:rsid w:val="07C87D48"/>
    <w:rsid w:val="07D21680"/>
    <w:rsid w:val="07DF60F7"/>
    <w:rsid w:val="07E23FA4"/>
    <w:rsid w:val="07E46421"/>
    <w:rsid w:val="07E75618"/>
    <w:rsid w:val="07EF6CF5"/>
    <w:rsid w:val="07F6543F"/>
    <w:rsid w:val="080173C8"/>
    <w:rsid w:val="08057177"/>
    <w:rsid w:val="08070D6F"/>
    <w:rsid w:val="08114CA2"/>
    <w:rsid w:val="08150A1D"/>
    <w:rsid w:val="081859DC"/>
    <w:rsid w:val="081A7D8C"/>
    <w:rsid w:val="081E1916"/>
    <w:rsid w:val="0826551C"/>
    <w:rsid w:val="082B3377"/>
    <w:rsid w:val="08315BBE"/>
    <w:rsid w:val="083D1B3B"/>
    <w:rsid w:val="0840490D"/>
    <w:rsid w:val="08514A4D"/>
    <w:rsid w:val="085F72F5"/>
    <w:rsid w:val="08624090"/>
    <w:rsid w:val="087022D6"/>
    <w:rsid w:val="08806AA2"/>
    <w:rsid w:val="0881089F"/>
    <w:rsid w:val="08850D7B"/>
    <w:rsid w:val="08880137"/>
    <w:rsid w:val="088C0246"/>
    <w:rsid w:val="089112ED"/>
    <w:rsid w:val="0893062D"/>
    <w:rsid w:val="08973958"/>
    <w:rsid w:val="08993BDC"/>
    <w:rsid w:val="089F64C2"/>
    <w:rsid w:val="08A059D4"/>
    <w:rsid w:val="08C33C96"/>
    <w:rsid w:val="08E83B6C"/>
    <w:rsid w:val="08F06ED6"/>
    <w:rsid w:val="08F25309"/>
    <w:rsid w:val="08F62094"/>
    <w:rsid w:val="08F8711B"/>
    <w:rsid w:val="09061355"/>
    <w:rsid w:val="09093764"/>
    <w:rsid w:val="09104BFD"/>
    <w:rsid w:val="091202ED"/>
    <w:rsid w:val="09121004"/>
    <w:rsid w:val="09173338"/>
    <w:rsid w:val="091B2F85"/>
    <w:rsid w:val="091C0B5C"/>
    <w:rsid w:val="09202CB8"/>
    <w:rsid w:val="09225DCB"/>
    <w:rsid w:val="09230B43"/>
    <w:rsid w:val="09274EB4"/>
    <w:rsid w:val="09281247"/>
    <w:rsid w:val="092B169B"/>
    <w:rsid w:val="092C3817"/>
    <w:rsid w:val="092D7D86"/>
    <w:rsid w:val="092E6E62"/>
    <w:rsid w:val="092F64DE"/>
    <w:rsid w:val="0932249C"/>
    <w:rsid w:val="0932467A"/>
    <w:rsid w:val="09380BA7"/>
    <w:rsid w:val="093E00A8"/>
    <w:rsid w:val="093E2345"/>
    <w:rsid w:val="09421A46"/>
    <w:rsid w:val="094516AC"/>
    <w:rsid w:val="09460104"/>
    <w:rsid w:val="09511D9C"/>
    <w:rsid w:val="09723EBB"/>
    <w:rsid w:val="097315B3"/>
    <w:rsid w:val="09731CEF"/>
    <w:rsid w:val="097A7FD3"/>
    <w:rsid w:val="097C79CF"/>
    <w:rsid w:val="098A05C8"/>
    <w:rsid w:val="099357EC"/>
    <w:rsid w:val="099B4796"/>
    <w:rsid w:val="09A1210B"/>
    <w:rsid w:val="09A339CE"/>
    <w:rsid w:val="09AC61C1"/>
    <w:rsid w:val="09B73AE9"/>
    <w:rsid w:val="09B75714"/>
    <w:rsid w:val="09B86A8D"/>
    <w:rsid w:val="09BC0421"/>
    <w:rsid w:val="09C45B60"/>
    <w:rsid w:val="09CE7C39"/>
    <w:rsid w:val="09D534B7"/>
    <w:rsid w:val="09DB41EB"/>
    <w:rsid w:val="09DC495F"/>
    <w:rsid w:val="09DD3876"/>
    <w:rsid w:val="09E0246A"/>
    <w:rsid w:val="09E66C0E"/>
    <w:rsid w:val="09EC6271"/>
    <w:rsid w:val="09EE29E7"/>
    <w:rsid w:val="09F2225F"/>
    <w:rsid w:val="09F53EAC"/>
    <w:rsid w:val="09F76B2C"/>
    <w:rsid w:val="0A023E16"/>
    <w:rsid w:val="0A074C42"/>
    <w:rsid w:val="0A0D05B5"/>
    <w:rsid w:val="0A103826"/>
    <w:rsid w:val="0A150A8E"/>
    <w:rsid w:val="0A352F73"/>
    <w:rsid w:val="0A387C7E"/>
    <w:rsid w:val="0A553D91"/>
    <w:rsid w:val="0A56785B"/>
    <w:rsid w:val="0A5E4002"/>
    <w:rsid w:val="0A600EE6"/>
    <w:rsid w:val="0A6027C0"/>
    <w:rsid w:val="0A64139E"/>
    <w:rsid w:val="0A7047D2"/>
    <w:rsid w:val="0A7E70AD"/>
    <w:rsid w:val="0A811438"/>
    <w:rsid w:val="0A820EBF"/>
    <w:rsid w:val="0A830F59"/>
    <w:rsid w:val="0A853A84"/>
    <w:rsid w:val="0A867594"/>
    <w:rsid w:val="0A920CA5"/>
    <w:rsid w:val="0A98680D"/>
    <w:rsid w:val="0A9D5E3E"/>
    <w:rsid w:val="0AA47813"/>
    <w:rsid w:val="0AA94110"/>
    <w:rsid w:val="0AAC45C1"/>
    <w:rsid w:val="0AB63EF0"/>
    <w:rsid w:val="0ABC797B"/>
    <w:rsid w:val="0AC005A3"/>
    <w:rsid w:val="0AC97256"/>
    <w:rsid w:val="0ACA554E"/>
    <w:rsid w:val="0AD20579"/>
    <w:rsid w:val="0AD374F8"/>
    <w:rsid w:val="0AD43F1F"/>
    <w:rsid w:val="0ADF7F96"/>
    <w:rsid w:val="0AEC42A5"/>
    <w:rsid w:val="0AF35470"/>
    <w:rsid w:val="0AF50259"/>
    <w:rsid w:val="0B090A9E"/>
    <w:rsid w:val="0B0A570F"/>
    <w:rsid w:val="0B107E2C"/>
    <w:rsid w:val="0B1B751C"/>
    <w:rsid w:val="0B3678BC"/>
    <w:rsid w:val="0B442E3D"/>
    <w:rsid w:val="0B4A3C02"/>
    <w:rsid w:val="0B4A4917"/>
    <w:rsid w:val="0B4D33BF"/>
    <w:rsid w:val="0B4E16F1"/>
    <w:rsid w:val="0B583040"/>
    <w:rsid w:val="0B5F3AA9"/>
    <w:rsid w:val="0B637193"/>
    <w:rsid w:val="0B64299B"/>
    <w:rsid w:val="0B64479A"/>
    <w:rsid w:val="0B725059"/>
    <w:rsid w:val="0B73066F"/>
    <w:rsid w:val="0B7E2A0E"/>
    <w:rsid w:val="0B8A3E24"/>
    <w:rsid w:val="0B8E7EDA"/>
    <w:rsid w:val="0B903767"/>
    <w:rsid w:val="0B910224"/>
    <w:rsid w:val="0BA64321"/>
    <w:rsid w:val="0BA92DF2"/>
    <w:rsid w:val="0BC70D3B"/>
    <w:rsid w:val="0BD065D0"/>
    <w:rsid w:val="0BD51F94"/>
    <w:rsid w:val="0BDB0002"/>
    <w:rsid w:val="0BEC6631"/>
    <w:rsid w:val="0BF80385"/>
    <w:rsid w:val="0BFC74EE"/>
    <w:rsid w:val="0BFE2BC2"/>
    <w:rsid w:val="0C040970"/>
    <w:rsid w:val="0C072C79"/>
    <w:rsid w:val="0C233519"/>
    <w:rsid w:val="0C3515D2"/>
    <w:rsid w:val="0C392B11"/>
    <w:rsid w:val="0C4F75A1"/>
    <w:rsid w:val="0C517260"/>
    <w:rsid w:val="0C53282E"/>
    <w:rsid w:val="0C554B91"/>
    <w:rsid w:val="0C6274FE"/>
    <w:rsid w:val="0C66774C"/>
    <w:rsid w:val="0C673DCB"/>
    <w:rsid w:val="0C6D3109"/>
    <w:rsid w:val="0C7D7694"/>
    <w:rsid w:val="0C8E1BC8"/>
    <w:rsid w:val="0C8F1B8C"/>
    <w:rsid w:val="0C8F3D96"/>
    <w:rsid w:val="0C987041"/>
    <w:rsid w:val="0C9B1932"/>
    <w:rsid w:val="0C9B3F7B"/>
    <w:rsid w:val="0CA0216C"/>
    <w:rsid w:val="0CA03E85"/>
    <w:rsid w:val="0CA041F5"/>
    <w:rsid w:val="0CA12A89"/>
    <w:rsid w:val="0CB012D7"/>
    <w:rsid w:val="0CBC085E"/>
    <w:rsid w:val="0CBD02E8"/>
    <w:rsid w:val="0CC0532C"/>
    <w:rsid w:val="0CD003CF"/>
    <w:rsid w:val="0CD01744"/>
    <w:rsid w:val="0CD315A4"/>
    <w:rsid w:val="0CDA62E9"/>
    <w:rsid w:val="0CE3748D"/>
    <w:rsid w:val="0CE70A1D"/>
    <w:rsid w:val="0CFB5EF4"/>
    <w:rsid w:val="0CFD6A07"/>
    <w:rsid w:val="0D020F0E"/>
    <w:rsid w:val="0D0A3999"/>
    <w:rsid w:val="0D0E2BAC"/>
    <w:rsid w:val="0D110C4F"/>
    <w:rsid w:val="0D196EB1"/>
    <w:rsid w:val="0D1C6E83"/>
    <w:rsid w:val="0D2176CA"/>
    <w:rsid w:val="0D2541EB"/>
    <w:rsid w:val="0D2723A0"/>
    <w:rsid w:val="0D2D4D8A"/>
    <w:rsid w:val="0D4576A3"/>
    <w:rsid w:val="0D487D89"/>
    <w:rsid w:val="0D4B3498"/>
    <w:rsid w:val="0D4B5BE1"/>
    <w:rsid w:val="0D4F16F4"/>
    <w:rsid w:val="0D5079AE"/>
    <w:rsid w:val="0D5711C4"/>
    <w:rsid w:val="0D572370"/>
    <w:rsid w:val="0D5D2AFC"/>
    <w:rsid w:val="0D5D3E94"/>
    <w:rsid w:val="0D88760F"/>
    <w:rsid w:val="0D9153C0"/>
    <w:rsid w:val="0D9415FB"/>
    <w:rsid w:val="0D987605"/>
    <w:rsid w:val="0D9A6FA7"/>
    <w:rsid w:val="0D9F3A7F"/>
    <w:rsid w:val="0D9F5727"/>
    <w:rsid w:val="0DA323DA"/>
    <w:rsid w:val="0DA52F0A"/>
    <w:rsid w:val="0DAE501D"/>
    <w:rsid w:val="0DB56754"/>
    <w:rsid w:val="0DB91073"/>
    <w:rsid w:val="0DC062FD"/>
    <w:rsid w:val="0DD04683"/>
    <w:rsid w:val="0DD30D16"/>
    <w:rsid w:val="0DD643F2"/>
    <w:rsid w:val="0DD77E1F"/>
    <w:rsid w:val="0DDB1A65"/>
    <w:rsid w:val="0DE6032D"/>
    <w:rsid w:val="0DEA2F9D"/>
    <w:rsid w:val="0DF536C2"/>
    <w:rsid w:val="0DFF77A4"/>
    <w:rsid w:val="0E012E7D"/>
    <w:rsid w:val="0E051B69"/>
    <w:rsid w:val="0E056A05"/>
    <w:rsid w:val="0E062F13"/>
    <w:rsid w:val="0E065B92"/>
    <w:rsid w:val="0E087DBF"/>
    <w:rsid w:val="0E0942AE"/>
    <w:rsid w:val="0E1075D3"/>
    <w:rsid w:val="0E19600D"/>
    <w:rsid w:val="0E2A60A5"/>
    <w:rsid w:val="0E2F1A1F"/>
    <w:rsid w:val="0E320043"/>
    <w:rsid w:val="0E3A5563"/>
    <w:rsid w:val="0E43066C"/>
    <w:rsid w:val="0E496B86"/>
    <w:rsid w:val="0E4A7E09"/>
    <w:rsid w:val="0E4E74BA"/>
    <w:rsid w:val="0E4F06DE"/>
    <w:rsid w:val="0E571A7F"/>
    <w:rsid w:val="0E587FAC"/>
    <w:rsid w:val="0E5F5FAE"/>
    <w:rsid w:val="0E5F69A6"/>
    <w:rsid w:val="0E657452"/>
    <w:rsid w:val="0E67012F"/>
    <w:rsid w:val="0E6B00B9"/>
    <w:rsid w:val="0E6C7FC6"/>
    <w:rsid w:val="0E6F6E27"/>
    <w:rsid w:val="0E705B90"/>
    <w:rsid w:val="0E744F9B"/>
    <w:rsid w:val="0E8B3131"/>
    <w:rsid w:val="0E8B3FA0"/>
    <w:rsid w:val="0E8D3D67"/>
    <w:rsid w:val="0E8E4B5E"/>
    <w:rsid w:val="0E923546"/>
    <w:rsid w:val="0E9418A7"/>
    <w:rsid w:val="0E9E397A"/>
    <w:rsid w:val="0EA36CEB"/>
    <w:rsid w:val="0EA66B4F"/>
    <w:rsid w:val="0EA8541A"/>
    <w:rsid w:val="0EAC51BD"/>
    <w:rsid w:val="0EB07778"/>
    <w:rsid w:val="0ECF4AF4"/>
    <w:rsid w:val="0EEA3F51"/>
    <w:rsid w:val="0EEF4BF7"/>
    <w:rsid w:val="0EF83F55"/>
    <w:rsid w:val="0F027AF2"/>
    <w:rsid w:val="0F09708E"/>
    <w:rsid w:val="0F0C4F63"/>
    <w:rsid w:val="0F0E2B29"/>
    <w:rsid w:val="0F0F4BA1"/>
    <w:rsid w:val="0F135841"/>
    <w:rsid w:val="0F234B7B"/>
    <w:rsid w:val="0F2C7FC2"/>
    <w:rsid w:val="0F2E0DF2"/>
    <w:rsid w:val="0F3424C8"/>
    <w:rsid w:val="0F4D155D"/>
    <w:rsid w:val="0F597E36"/>
    <w:rsid w:val="0F5F073C"/>
    <w:rsid w:val="0F6031E9"/>
    <w:rsid w:val="0F664981"/>
    <w:rsid w:val="0F693606"/>
    <w:rsid w:val="0F6C03BE"/>
    <w:rsid w:val="0F6C3BC1"/>
    <w:rsid w:val="0F7470E9"/>
    <w:rsid w:val="0F7826CF"/>
    <w:rsid w:val="0F7C6757"/>
    <w:rsid w:val="0F7E5CE7"/>
    <w:rsid w:val="0F833A88"/>
    <w:rsid w:val="0F911842"/>
    <w:rsid w:val="0F96710E"/>
    <w:rsid w:val="0F9C112A"/>
    <w:rsid w:val="0FA13FCD"/>
    <w:rsid w:val="0FA37AD7"/>
    <w:rsid w:val="0FA91DC6"/>
    <w:rsid w:val="0FB36CBB"/>
    <w:rsid w:val="0FB57FB7"/>
    <w:rsid w:val="0FBD6F05"/>
    <w:rsid w:val="0FBF59B6"/>
    <w:rsid w:val="0FC47903"/>
    <w:rsid w:val="0FC85F3C"/>
    <w:rsid w:val="0FD16D0A"/>
    <w:rsid w:val="0FDB6927"/>
    <w:rsid w:val="0FE116C8"/>
    <w:rsid w:val="0FED0284"/>
    <w:rsid w:val="0FF0516E"/>
    <w:rsid w:val="0FF30ADF"/>
    <w:rsid w:val="0FFF570F"/>
    <w:rsid w:val="10065563"/>
    <w:rsid w:val="100A210A"/>
    <w:rsid w:val="10117F35"/>
    <w:rsid w:val="101747CE"/>
    <w:rsid w:val="101A5725"/>
    <w:rsid w:val="101B1483"/>
    <w:rsid w:val="101B6A56"/>
    <w:rsid w:val="101F0430"/>
    <w:rsid w:val="10290EB1"/>
    <w:rsid w:val="102A4AD9"/>
    <w:rsid w:val="102E68E4"/>
    <w:rsid w:val="10466A68"/>
    <w:rsid w:val="10477349"/>
    <w:rsid w:val="104B178A"/>
    <w:rsid w:val="105119C8"/>
    <w:rsid w:val="105E41AB"/>
    <w:rsid w:val="1060257A"/>
    <w:rsid w:val="10604748"/>
    <w:rsid w:val="10627047"/>
    <w:rsid w:val="106373EC"/>
    <w:rsid w:val="106D666C"/>
    <w:rsid w:val="10700AF4"/>
    <w:rsid w:val="10783799"/>
    <w:rsid w:val="107F35E4"/>
    <w:rsid w:val="108B18E3"/>
    <w:rsid w:val="10910D2E"/>
    <w:rsid w:val="109275E1"/>
    <w:rsid w:val="109E159F"/>
    <w:rsid w:val="10A06011"/>
    <w:rsid w:val="10A97151"/>
    <w:rsid w:val="10B1190D"/>
    <w:rsid w:val="10B717E9"/>
    <w:rsid w:val="10B93AD7"/>
    <w:rsid w:val="10BD3C5F"/>
    <w:rsid w:val="10C449D3"/>
    <w:rsid w:val="10C54B9D"/>
    <w:rsid w:val="10CB28D1"/>
    <w:rsid w:val="10CF36C0"/>
    <w:rsid w:val="10D73F5D"/>
    <w:rsid w:val="10DD3AC4"/>
    <w:rsid w:val="10E11713"/>
    <w:rsid w:val="10EC75D0"/>
    <w:rsid w:val="10F0483F"/>
    <w:rsid w:val="10FD6BE7"/>
    <w:rsid w:val="110E51BD"/>
    <w:rsid w:val="111313B4"/>
    <w:rsid w:val="11136A3C"/>
    <w:rsid w:val="11183AC2"/>
    <w:rsid w:val="1122264B"/>
    <w:rsid w:val="113D191A"/>
    <w:rsid w:val="113E22FA"/>
    <w:rsid w:val="1141240B"/>
    <w:rsid w:val="1152267D"/>
    <w:rsid w:val="11625BC3"/>
    <w:rsid w:val="11647116"/>
    <w:rsid w:val="116537F9"/>
    <w:rsid w:val="117259DC"/>
    <w:rsid w:val="11733C86"/>
    <w:rsid w:val="117572F4"/>
    <w:rsid w:val="11763B5C"/>
    <w:rsid w:val="11896A5D"/>
    <w:rsid w:val="11956701"/>
    <w:rsid w:val="11957116"/>
    <w:rsid w:val="11A6428C"/>
    <w:rsid w:val="11A9033A"/>
    <w:rsid w:val="11AA504A"/>
    <w:rsid w:val="11AB7F5E"/>
    <w:rsid w:val="11AD233E"/>
    <w:rsid w:val="11AF30AB"/>
    <w:rsid w:val="11B957A4"/>
    <w:rsid w:val="11BE2EC8"/>
    <w:rsid w:val="11D43F23"/>
    <w:rsid w:val="11D634BC"/>
    <w:rsid w:val="11D71598"/>
    <w:rsid w:val="11DA359A"/>
    <w:rsid w:val="11DD4D3C"/>
    <w:rsid w:val="11DE0128"/>
    <w:rsid w:val="11DE17CB"/>
    <w:rsid w:val="11E5248F"/>
    <w:rsid w:val="11E574F2"/>
    <w:rsid w:val="11F06A3F"/>
    <w:rsid w:val="12022C73"/>
    <w:rsid w:val="1202732E"/>
    <w:rsid w:val="120308CB"/>
    <w:rsid w:val="120E16EF"/>
    <w:rsid w:val="12142C4F"/>
    <w:rsid w:val="122F020C"/>
    <w:rsid w:val="123705E0"/>
    <w:rsid w:val="123A1263"/>
    <w:rsid w:val="123D6AE3"/>
    <w:rsid w:val="12433E61"/>
    <w:rsid w:val="12435BAF"/>
    <w:rsid w:val="12456F76"/>
    <w:rsid w:val="12482E99"/>
    <w:rsid w:val="12554304"/>
    <w:rsid w:val="12584BD6"/>
    <w:rsid w:val="12655FC3"/>
    <w:rsid w:val="12696E37"/>
    <w:rsid w:val="126A1D73"/>
    <w:rsid w:val="126C76F3"/>
    <w:rsid w:val="12724097"/>
    <w:rsid w:val="127903D7"/>
    <w:rsid w:val="129B1E5C"/>
    <w:rsid w:val="129F645E"/>
    <w:rsid w:val="12B41589"/>
    <w:rsid w:val="12B659C6"/>
    <w:rsid w:val="12B85CD0"/>
    <w:rsid w:val="12B9706A"/>
    <w:rsid w:val="12BC3C8D"/>
    <w:rsid w:val="12C93CCE"/>
    <w:rsid w:val="12D21D69"/>
    <w:rsid w:val="12D246FB"/>
    <w:rsid w:val="12E03024"/>
    <w:rsid w:val="12ED07D0"/>
    <w:rsid w:val="130220BC"/>
    <w:rsid w:val="13073411"/>
    <w:rsid w:val="130A7CFB"/>
    <w:rsid w:val="131B5B4D"/>
    <w:rsid w:val="13212A14"/>
    <w:rsid w:val="133718C1"/>
    <w:rsid w:val="13420116"/>
    <w:rsid w:val="13485C4D"/>
    <w:rsid w:val="13513AC1"/>
    <w:rsid w:val="1365147B"/>
    <w:rsid w:val="136F5FC9"/>
    <w:rsid w:val="13763164"/>
    <w:rsid w:val="138007AD"/>
    <w:rsid w:val="138828EE"/>
    <w:rsid w:val="138943CE"/>
    <w:rsid w:val="13895FD8"/>
    <w:rsid w:val="138F7A69"/>
    <w:rsid w:val="13916373"/>
    <w:rsid w:val="13966785"/>
    <w:rsid w:val="13C552FF"/>
    <w:rsid w:val="13CA79A5"/>
    <w:rsid w:val="13CB50E7"/>
    <w:rsid w:val="13D1150B"/>
    <w:rsid w:val="13D20640"/>
    <w:rsid w:val="13D732F5"/>
    <w:rsid w:val="13ED0EA0"/>
    <w:rsid w:val="13ED5B7C"/>
    <w:rsid w:val="13F4400D"/>
    <w:rsid w:val="13F52FA8"/>
    <w:rsid w:val="13F55CB9"/>
    <w:rsid w:val="13FA294E"/>
    <w:rsid w:val="13FC735F"/>
    <w:rsid w:val="14040A32"/>
    <w:rsid w:val="1414220A"/>
    <w:rsid w:val="141A0AE5"/>
    <w:rsid w:val="14207C69"/>
    <w:rsid w:val="1424395D"/>
    <w:rsid w:val="14340164"/>
    <w:rsid w:val="14390AAF"/>
    <w:rsid w:val="143B4B8F"/>
    <w:rsid w:val="143C2A55"/>
    <w:rsid w:val="143E192A"/>
    <w:rsid w:val="14412687"/>
    <w:rsid w:val="1441368D"/>
    <w:rsid w:val="144D5FB8"/>
    <w:rsid w:val="144D7638"/>
    <w:rsid w:val="144F0EE0"/>
    <w:rsid w:val="14597CA6"/>
    <w:rsid w:val="145C0D7F"/>
    <w:rsid w:val="14627670"/>
    <w:rsid w:val="147208C6"/>
    <w:rsid w:val="14720CA8"/>
    <w:rsid w:val="1480651C"/>
    <w:rsid w:val="14813049"/>
    <w:rsid w:val="1485486A"/>
    <w:rsid w:val="148766B3"/>
    <w:rsid w:val="148A009D"/>
    <w:rsid w:val="148A6F8C"/>
    <w:rsid w:val="14901F87"/>
    <w:rsid w:val="14A60C29"/>
    <w:rsid w:val="14A71DF5"/>
    <w:rsid w:val="14B16FF6"/>
    <w:rsid w:val="14B545B5"/>
    <w:rsid w:val="14B57709"/>
    <w:rsid w:val="14BB24E6"/>
    <w:rsid w:val="14CF4B90"/>
    <w:rsid w:val="14D005B2"/>
    <w:rsid w:val="14D40BC5"/>
    <w:rsid w:val="14D81C43"/>
    <w:rsid w:val="14DD2501"/>
    <w:rsid w:val="14DE1995"/>
    <w:rsid w:val="14DE7EA3"/>
    <w:rsid w:val="14E50558"/>
    <w:rsid w:val="14F30FDD"/>
    <w:rsid w:val="14F65E47"/>
    <w:rsid w:val="14FD5E62"/>
    <w:rsid w:val="15007F26"/>
    <w:rsid w:val="151E12DE"/>
    <w:rsid w:val="151E64FC"/>
    <w:rsid w:val="152D239E"/>
    <w:rsid w:val="153E7AB0"/>
    <w:rsid w:val="15424CAE"/>
    <w:rsid w:val="15431BC1"/>
    <w:rsid w:val="15482861"/>
    <w:rsid w:val="154D5845"/>
    <w:rsid w:val="154F336F"/>
    <w:rsid w:val="15502EB7"/>
    <w:rsid w:val="15604521"/>
    <w:rsid w:val="15644CE6"/>
    <w:rsid w:val="156A610C"/>
    <w:rsid w:val="156E3119"/>
    <w:rsid w:val="15950580"/>
    <w:rsid w:val="159C631B"/>
    <w:rsid w:val="15A96FC0"/>
    <w:rsid w:val="15AA4E0A"/>
    <w:rsid w:val="15B067B4"/>
    <w:rsid w:val="15B14D7D"/>
    <w:rsid w:val="15C07A6F"/>
    <w:rsid w:val="15C63157"/>
    <w:rsid w:val="15CC07AB"/>
    <w:rsid w:val="15D1177C"/>
    <w:rsid w:val="15DB23B9"/>
    <w:rsid w:val="15DF11F2"/>
    <w:rsid w:val="15E51807"/>
    <w:rsid w:val="15EA0C31"/>
    <w:rsid w:val="15EA716B"/>
    <w:rsid w:val="15F260AE"/>
    <w:rsid w:val="15F44A9F"/>
    <w:rsid w:val="160767EC"/>
    <w:rsid w:val="160B7EBB"/>
    <w:rsid w:val="161F0F67"/>
    <w:rsid w:val="161F1EC8"/>
    <w:rsid w:val="1621287B"/>
    <w:rsid w:val="162915B0"/>
    <w:rsid w:val="162B2AEA"/>
    <w:rsid w:val="162D6F19"/>
    <w:rsid w:val="162F5942"/>
    <w:rsid w:val="163115DB"/>
    <w:rsid w:val="163B68A3"/>
    <w:rsid w:val="163C673D"/>
    <w:rsid w:val="16421C15"/>
    <w:rsid w:val="164E0096"/>
    <w:rsid w:val="16563027"/>
    <w:rsid w:val="16576A03"/>
    <w:rsid w:val="165E3A27"/>
    <w:rsid w:val="165E4C2B"/>
    <w:rsid w:val="16601F62"/>
    <w:rsid w:val="1666748F"/>
    <w:rsid w:val="166A21FF"/>
    <w:rsid w:val="166B2B8F"/>
    <w:rsid w:val="166B5CA7"/>
    <w:rsid w:val="16860B58"/>
    <w:rsid w:val="168F4A9E"/>
    <w:rsid w:val="16900E36"/>
    <w:rsid w:val="169B2CF6"/>
    <w:rsid w:val="16A75C7D"/>
    <w:rsid w:val="16B63A00"/>
    <w:rsid w:val="16B77CE5"/>
    <w:rsid w:val="16B94D69"/>
    <w:rsid w:val="16B95D60"/>
    <w:rsid w:val="16C02CEC"/>
    <w:rsid w:val="16D50FFA"/>
    <w:rsid w:val="16D71102"/>
    <w:rsid w:val="16DB73B2"/>
    <w:rsid w:val="16E024F2"/>
    <w:rsid w:val="16E11978"/>
    <w:rsid w:val="16E3432F"/>
    <w:rsid w:val="16F11333"/>
    <w:rsid w:val="16F57CC0"/>
    <w:rsid w:val="16FB6628"/>
    <w:rsid w:val="16FC471D"/>
    <w:rsid w:val="16FD47CD"/>
    <w:rsid w:val="17045C50"/>
    <w:rsid w:val="17115DCB"/>
    <w:rsid w:val="1715758D"/>
    <w:rsid w:val="17184788"/>
    <w:rsid w:val="17195D01"/>
    <w:rsid w:val="171F177F"/>
    <w:rsid w:val="17296B60"/>
    <w:rsid w:val="17383BFB"/>
    <w:rsid w:val="173F799D"/>
    <w:rsid w:val="1746670E"/>
    <w:rsid w:val="174B2CF4"/>
    <w:rsid w:val="17544A20"/>
    <w:rsid w:val="17563598"/>
    <w:rsid w:val="1759391E"/>
    <w:rsid w:val="17827D60"/>
    <w:rsid w:val="17891CD3"/>
    <w:rsid w:val="179030EC"/>
    <w:rsid w:val="179B2476"/>
    <w:rsid w:val="179E03CA"/>
    <w:rsid w:val="17A42166"/>
    <w:rsid w:val="17A66DF2"/>
    <w:rsid w:val="17B047EE"/>
    <w:rsid w:val="17C1169F"/>
    <w:rsid w:val="17C15AD8"/>
    <w:rsid w:val="17C603AD"/>
    <w:rsid w:val="17D026BE"/>
    <w:rsid w:val="17DA6E1C"/>
    <w:rsid w:val="17DE54CF"/>
    <w:rsid w:val="17ED7A5B"/>
    <w:rsid w:val="17F2118E"/>
    <w:rsid w:val="17F5638D"/>
    <w:rsid w:val="17F72BAD"/>
    <w:rsid w:val="1804523A"/>
    <w:rsid w:val="18056E38"/>
    <w:rsid w:val="180E24AB"/>
    <w:rsid w:val="180E64B6"/>
    <w:rsid w:val="18230DE5"/>
    <w:rsid w:val="18253800"/>
    <w:rsid w:val="182F178A"/>
    <w:rsid w:val="18302450"/>
    <w:rsid w:val="18335F1D"/>
    <w:rsid w:val="18377C9B"/>
    <w:rsid w:val="183D6360"/>
    <w:rsid w:val="18422453"/>
    <w:rsid w:val="185873D2"/>
    <w:rsid w:val="185A1152"/>
    <w:rsid w:val="185A4059"/>
    <w:rsid w:val="185B12FE"/>
    <w:rsid w:val="185E431F"/>
    <w:rsid w:val="185E6B8F"/>
    <w:rsid w:val="185F398F"/>
    <w:rsid w:val="18697FE9"/>
    <w:rsid w:val="186B1430"/>
    <w:rsid w:val="18715500"/>
    <w:rsid w:val="187415EB"/>
    <w:rsid w:val="18757DB9"/>
    <w:rsid w:val="187B4DD9"/>
    <w:rsid w:val="18860743"/>
    <w:rsid w:val="18975325"/>
    <w:rsid w:val="18A57BA5"/>
    <w:rsid w:val="18AA31ED"/>
    <w:rsid w:val="18AB1F57"/>
    <w:rsid w:val="18AE4DC6"/>
    <w:rsid w:val="18B4181A"/>
    <w:rsid w:val="18C60582"/>
    <w:rsid w:val="18CD19A9"/>
    <w:rsid w:val="18D43D90"/>
    <w:rsid w:val="18D4609C"/>
    <w:rsid w:val="18DD0071"/>
    <w:rsid w:val="18E11E1D"/>
    <w:rsid w:val="18E41DD5"/>
    <w:rsid w:val="18E611E1"/>
    <w:rsid w:val="18F157F6"/>
    <w:rsid w:val="18F5225B"/>
    <w:rsid w:val="18FB56F6"/>
    <w:rsid w:val="18FB6499"/>
    <w:rsid w:val="19026D77"/>
    <w:rsid w:val="191127F1"/>
    <w:rsid w:val="19120C9B"/>
    <w:rsid w:val="191B4C30"/>
    <w:rsid w:val="19213891"/>
    <w:rsid w:val="19306300"/>
    <w:rsid w:val="193122EB"/>
    <w:rsid w:val="193B2DCA"/>
    <w:rsid w:val="193B4364"/>
    <w:rsid w:val="193D2731"/>
    <w:rsid w:val="194131F1"/>
    <w:rsid w:val="19432438"/>
    <w:rsid w:val="194373AD"/>
    <w:rsid w:val="194C5F25"/>
    <w:rsid w:val="194E3F63"/>
    <w:rsid w:val="19523F34"/>
    <w:rsid w:val="1953283D"/>
    <w:rsid w:val="19543171"/>
    <w:rsid w:val="19596D8C"/>
    <w:rsid w:val="195B36C8"/>
    <w:rsid w:val="195F417D"/>
    <w:rsid w:val="19630789"/>
    <w:rsid w:val="196332D9"/>
    <w:rsid w:val="19715B13"/>
    <w:rsid w:val="19736D76"/>
    <w:rsid w:val="197A1785"/>
    <w:rsid w:val="1983447B"/>
    <w:rsid w:val="19882B27"/>
    <w:rsid w:val="198B6355"/>
    <w:rsid w:val="1994056E"/>
    <w:rsid w:val="199C5DC6"/>
    <w:rsid w:val="19A20389"/>
    <w:rsid w:val="19BD106E"/>
    <w:rsid w:val="19BF4B41"/>
    <w:rsid w:val="19C02829"/>
    <w:rsid w:val="19C176CB"/>
    <w:rsid w:val="19CA1AAD"/>
    <w:rsid w:val="19CC57C7"/>
    <w:rsid w:val="19E63F61"/>
    <w:rsid w:val="19E705D3"/>
    <w:rsid w:val="19EB1CDB"/>
    <w:rsid w:val="19F918CB"/>
    <w:rsid w:val="19FC424A"/>
    <w:rsid w:val="1A01700B"/>
    <w:rsid w:val="1A0A1573"/>
    <w:rsid w:val="1A0D0502"/>
    <w:rsid w:val="1A0D1475"/>
    <w:rsid w:val="1A105C54"/>
    <w:rsid w:val="1A132E2D"/>
    <w:rsid w:val="1A1876FA"/>
    <w:rsid w:val="1A1E1F14"/>
    <w:rsid w:val="1A234703"/>
    <w:rsid w:val="1A264770"/>
    <w:rsid w:val="1A27309C"/>
    <w:rsid w:val="1A2937CF"/>
    <w:rsid w:val="1A3560AD"/>
    <w:rsid w:val="1A3C0940"/>
    <w:rsid w:val="1A3D5D53"/>
    <w:rsid w:val="1A3D7594"/>
    <w:rsid w:val="1A400DC5"/>
    <w:rsid w:val="1A4221F1"/>
    <w:rsid w:val="1A424ABA"/>
    <w:rsid w:val="1A48678A"/>
    <w:rsid w:val="1A564C81"/>
    <w:rsid w:val="1A564D3C"/>
    <w:rsid w:val="1A6F3628"/>
    <w:rsid w:val="1A742B0A"/>
    <w:rsid w:val="1A781320"/>
    <w:rsid w:val="1A7840BB"/>
    <w:rsid w:val="1A8D63F1"/>
    <w:rsid w:val="1A9133CF"/>
    <w:rsid w:val="1A9C2717"/>
    <w:rsid w:val="1AAF3A91"/>
    <w:rsid w:val="1AC35D02"/>
    <w:rsid w:val="1AC40254"/>
    <w:rsid w:val="1AC55D7E"/>
    <w:rsid w:val="1ADC0AEE"/>
    <w:rsid w:val="1ADC31C7"/>
    <w:rsid w:val="1ADF0524"/>
    <w:rsid w:val="1ADF3144"/>
    <w:rsid w:val="1AE442C2"/>
    <w:rsid w:val="1AE57655"/>
    <w:rsid w:val="1AF11F09"/>
    <w:rsid w:val="1AF63BE2"/>
    <w:rsid w:val="1AF6410C"/>
    <w:rsid w:val="1B020F4A"/>
    <w:rsid w:val="1B0863A4"/>
    <w:rsid w:val="1B155936"/>
    <w:rsid w:val="1B232CAD"/>
    <w:rsid w:val="1B2566EC"/>
    <w:rsid w:val="1B2F5FE7"/>
    <w:rsid w:val="1B2F74F8"/>
    <w:rsid w:val="1B3242FD"/>
    <w:rsid w:val="1B326F97"/>
    <w:rsid w:val="1B375D24"/>
    <w:rsid w:val="1B381767"/>
    <w:rsid w:val="1B3E6CD7"/>
    <w:rsid w:val="1B3F5B5A"/>
    <w:rsid w:val="1B4C062A"/>
    <w:rsid w:val="1B4F3197"/>
    <w:rsid w:val="1B5675BB"/>
    <w:rsid w:val="1B5A1702"/>
    <w:rsid w:val="1B5B58CF"/>
    <w:rsid w:val="1B63398E"/>
    <w:rsid w:val="1B6E1D13"/>
    <w:rsid w:val="1B717A18"/>
    <w:rsid w:val="1B740D26"/>
    <w:rsid w:val="1B7A6E01"/>
    <w:rsid w:val="1B7C164C"/>
    <w:rsid w:val="1B867A80"/>
    <w:rsid w:val="1B88518F"/>
    <w:rsid w:val="1B9437DE"/>
    <w:rsid w:val="1B9844B2"/>
    <w:rsid w:val="1B9D6122"/>
    <w:rsid w:val="1BA851DA"/>
    <w:rsid w:val="1BAF33FD"/>
    <w:rsid w:val="1BB1023B"/>
    <w:rsid w:val="1BB2566A"/>
    <w:rsid w:val="1BB62D57"/>
    <w:rsid w:val="1BBD7BEF"/>
    <w:rsid w:val="1BCD6688"/>
    <w:rsid w:val="1BD74068"/>
    <w:rsid w:val="1BE30B1D"/>
    <w:rsid w:val="1BE40175"/>
    <w:rsid w:val="1BE50696"/>
    <w:rsid w:val="1BE80E55"/>
    <w:rsid w:val="1BEB1E7D"/>
    <w:rsid w:val="1BFB492E"/>
    <w:rsid w:val="1C0652C0"/>
    <w:rsid w:val="1C154227"/>
    <w:rsid w:val="1C181CE4"/>
    <w:rsid w:val="1C1A09CD"/>
    <w:rsid w:val="1C1C4FD6"/>
    <w:rsid w:val="1C2208E7"/>
    <w:rsid w:val="1C260735"/>
    <w:rsid w:val="1C35495A"/>
    <w:rsid w:val="1C3F3867"/>
    <w:rsid w:val="1C460CDF"/>
    <w:rsid w:val="1C48389A"/>
    <w:rsid w:val="1C49419E"/>
    <w:rsid w:val="1C504AC9"/>
    <w:rsid w:val="1C5F277E"/>
    <w:rsid w:val="1C636AC6"/>
    <w:rsid w:val="1C6B6C2B"/>
    <w:rsid w:val="1C6D688A"/>
    <w:rsid w:val="1C727070"/>
    <w:rsid w:val="1C7E20EE"/>
    <w:rsid w:val="1CB1341B"/>
    <w:rsid w:val="1CB346D5"/>
    <w:rsid w:val="1CB92C06"/>
    <w:rsid w:val="1CBE63F4"/>
    <w:rsid w:val="1CBF410A"/>
    <w:rsid w:val="1CC034CB"/>
    <w:rsid w:val="1CD35F20"/>
    <w:rsid w:val="1CD91276"/>
    <w:rsid w:val="1CD97FD9"/>
    <w:rsid w:val="1CDF2BB6"/>
    <w:rsid w:val="1CDF76C0"/>
    <w:rsid w:val="1CE758DB"/>
    <w:rsid w:val="1CFF7B37"/>
    <w:rsid w:val="1D0016D9"/>
    <w:rsid w:val="1D083E1C"/>
    <w:rsid w:val="1D097ABA"/>
    <w:rsid w:val="1D0F374B"/>
    <w:rsid w:val="1D173C7A"/>
    <w:rsid w:val="1D1F06C6"/>
    <w:rsid w:val="1D214670"/>
    <w:rsid w:val="1D2A22D9"/>
    <w:rsid w:val="1D2D363D"/>
    <w:rsid w:val="1D2D3883"/>
    <w:rsid w:val="1D2D3D96"/>
    <w:rsid w:val="1D3240BA"/>
    <w:rsid w:val="1D387C01"/>
    <w:rsid w:val="1D4330A6"/>
    <w:rsid w:val="1D4F705A"/>
    <w:rsid w:val="1D6004CB"/>
    <w:rsid w:val="1D61753A"/>
    <w:rsid w:val="1D6208A3"/>
    <w:rsid w:val="1D661B7E"/>
    <w:rsid w:val="1D682EF6"/>
    <w:rsid w:val="1D6A7C4D"/>
    <w:rsid w:val="1D6B53C2"/>
    <w:rsid w:val="1D6C3B4B"/>
    <w:rsid w:val="1D6C4B38"/>
    <w:rsid w:val="1D864D41"/>
    <w:rsid w:val="1D8C279C"/>
    <w:rsid w:val="1D8E792B"/>
    <w:rsid w:val="1D980443"/>
    <w:rsid w:val="1DA37ACD"/>
    <w:rsid w:val="1DA72707"/>
    <w:rsid w:val="1DAA4CE0"/>
    <w:rsid w:val="1DAC5A4E"/>
    <w:rsid w:val="1DB12444"/>
    <w:rsid w:val="1DB2751C"/>
    <w:rsid w:val="1DB877A1"/>
    <w:rsid w:val="1DC17F5A"/>
    <w:rsid w:val="1DC20162"/>
    <w:rsid w:val="1DC76553"/>
    <w:rsid w:val="1DCE5FDC"/>
    <w:rsid w:val="1DDA68A5"/>
    <w:rsid w:val="1DDF4F01"/>
    <w:rsid w:val="1DE676CD"/>
    <w:rsid w:val="1DEE6CB7"/>
    <w:rsid w:val="1DEF4B1D"/>
    <w:rsid w:val="1DF465DC"/>
    <w:rsid w:val="1DFB128B"/>
    <w:rsid w:val="1E03579D"/>
    <w:rsid w:val="1E09386E"/>
    <w:rsid w:val="1E0D7B5B"/>
    <w:rsid w:val="1E0E178F"/>
    <w:rsid w:val="1E255DA6"/>
    <w:rsid w:val="1E282BE2"/>
    <w:rsid w:val="1E2A4166"/>
    <w:rsid w:val="1E3321D3"/>
    <w:rsid w:val="1E334BC0"/>
    <w:rsid w:val="1E3457AC"/>
    <w:rsid w:val="1E360F04"/>
    <w:rsid w:val="1E39428F"/>
    <w:rsid w:val="1E436D4F"/>
    <w:rsid w:val="1E5A4D92"/>
    <w:rsid w:val="1E6A61A2"/>
    <w:rsid w:val="1E6E322C"/>
    <w:rsid w:val="1E712CDD"/>
    <w:rsid w:val="1E775C71"/>
    <w:rsid w:val="1E8F0505"/>
    <w:rsid w:val="1E9B55F2"/>
    <w:rsid w:val="1E9E5B22"/>
    <w:rsid w:val="1EA16BCD"/>
    <w:rsid w:val="1EA21281"/>
    <w:rsid w:val="1EA83461"/>
    <w:rsid w:val="1EA96937"/>
    <w:rsid w:val="1EAA11EB"/>
    <w:rsid w:val="1EB81457"/>
    <w:rsid w:val="1EBC3110"/>
    <w:rsid w:val="1EC26940"/>
    <w:rsid w:val="1EC86BB3"/>
    <w:rsid w:val="1ECA3169"/>
    <w:rsid w:val="1ECB5D09"/>
    <w:rsid w:val="1EE676C9"/>
    <w:rsid w:val="1EF81065"/>
    <w:rsid w:val="1F02219A"/>
    <w:rsid w:val="1F071EB1"/>
    <w:rsid w:val="1F0D5829"/>
    <w:rsid w:val="1F122C4E"/>
    <w:rsid w:val="1F170B6F"/>
    <w:rsid w:val="1F1F440C"/>
    <w:rsid w:val="1F2A1176"/>
    <w:rsid w:val="1F341E8A"/>
    <w:rsid w:val="1F38765F"/>
    <w:rsid w:val="1F3D46A9"/>
    <w:rsid w:val="1F42126A"/>
    <w:rsid w:val="1F4B06B7"/>
    <w:rsid w:val="1F503769"/>
    <w:rsid w:val="1F5808FD"/>
    <w:rsid w:val="1F5865E8"/>
    <w:rsid w:val="1F601041"/>
    <w:rsid w:val="1F626ECB"/>
    <w:rsid w:val="1F6A47AC"/>
    <w:rsid w:val="1F6B68E4"/>
    <w:rsid w:val="1F6F2099"/>
    <w:rsid w:val="1F704E92"/>
    <w:rsid w:val="1F8806D1"/>
    <w:rsid w:val="1F8955F9"/>
    <w:rsid w:val="1F8A5083"/>
    <w:rsid w:val="1F8D355F"/>
    <w:rsid w:val="1F917770"/>
    <w:rsid w:val="1F9A69C2"/>
    <w:rsid w:val="1F9B3DB6"/>
    <w:rsid w:val="1FAA448F"/>
    <w:rsid w:val="1FB603C8"/>
    <w:rsid w:val="1FB61963"/>
    <w:rsid w:val="1FD51E34"/>
    <w:rsid w:val="1FD8122E"/>
    <w:rsid w:val="1FDB7576"/>
    <w:rsid w:val="1FDE6A77"/>
    <w:rsid w:val="1FE01E51"/>
    <w:rsid w:val="1FE05976"/>
    <w:rsid w:val="1FE349B2"/>
    <w:rsid w:val="1FED3563"/>
    <w:rsid w:val="1FED6D47"/>
    <w:rsid w:val="1FFC664F"/>
    <w:rsid w:val="201051CF"/>
    <w:rsid w:val="2018275D"/>
    <w:rsid w:val="201B684B"/>
    <w:rsid w:val="20223FBB"/>
    <w:rsid w:val="202606B5"/>
    <w:rsid w:val="20271DCD"/>
    <w:rsid w:val="202A2F62"/>
    <w:rsid w:val="202F7BC1"/>
    <w:rsid w:val="20360CA0"/>
    <w:rsid w:val="2038322D"/>
    <w:rsid w:val="203C5EF0"/>
    <w:rsid w:val="204A6594"/>
    <w:rsid w:val="204D251B"/>
    <w:rsid w:val="204E212C"/>
    <w:rsid w:val="205323F1"/>
    <w:rsid w:val="205417E6"/>
    <w:rsid w:val="205A7B27"/>
    <w:rsid w:val="20734E45"/>
    <w:rsid w:val="207B4496"/>
    <w:rsid w:val="208F00E1"/>
    <w:rsid w:val="209135CB"/>
    <w:rsid w:val="209D0BD1"/>
    <w:rsid w:val="20A26336"/>
    <w:rsid w:val="20B10327"/>
    <w:rsid w:val="20BE7EDC"/>
    <w:rsid w:val="20C57844"/>
    <w:rsid w:val="20CA372A"/>
    <w:rsid w:val="20CE0ED9"/>
    <w:rsid w:val="20DC2189"/>
    <w:rsid w:val="20DC7148"/>
    <w:rsid w:val="20E34AAC"/>
    <w:rsid w:val="20EC7B47"/>
    <w:rsid w:val="20ED720A"/>
    <w:rsid w:val="20EF523E"/>
    <w:rsid w:val="20F32199"/>
    <w:rsid w:val="20F52EF7"/>
    <w:rsid w:val="210A7A4E"/>
    <w:rsid w:val="2114298F"/>
    <w:rsid w:val="2119433B"/>
    <w:rsid w:val="21227A81"/>
    <w:rsid w:val="212824FD"/>
    <w:rsid w:val="212F2DEF"/>
    <w:rsid w:val="2136328B"/>
    <w:rsid w:val="21366034"/>
    <w:rsid w:val="213A58CD"/>
    <w:rsid w:val="21417B5B"/>
    <w:rsid w:val="214C1078"/>
    <w:rsid w:val="214E3C78"/>
    <w:rsid w:val="214E5CFE"/>
    <w:rsid w:val="214F178D"/>
    <w:rsid w:val="21567130"/>
    <w:rsid w:val="21583558"/>
    <w:rsid w:val="215D179D"/>
    <w:rsid w:val="215F60D5"/>
    <w:rsid w:val="216919E6"/>
    <w:rsid w:val="216D12CE"/>
    <w:rsid w:val="216E1235"/>
    <w:rsid w:val="216E1C59"/>
    <w:rsid w:val="217B6320"/>
    <w:rsid w:val="218334F8"/>
    <w:rsid w:val="218A2D3B"/>
    <w:rsid w:val="21930558"/>
    <w:rsid w:val="21940DCA"/>
    <w:rsid w:val="21A83E06"/>
    <w:rsid w:val="21AE2AB8"/>
    <w:rsid w:val="21B139E5"/>
    <w:rsid w:val="21B8261E"/>
    <w:rsid w:val="21B836CC"/>
    <w:rsid w:val="21C54DC4"/>
    <w:rsid w:val="21CC0F90"/>
    <w:rsid w:val="21CD30DF"/>
    <w:rsid w:val="21D30E5A"/>
    <w:rsid w:val="21D83EC8"/>
    <w:rsid w:val="21E01851"/>
    <w:rsid w:val="21E16DF6"/>
    <w:rsid w:val="21E94E02"/>
    <w:rsid w:val="21ED4E35"/>
    <w:rsid w:val="21F90EC5"/>
    <w:rsid w:val="21FD4151"/>
    <w:rsid w:val="21FF6FD9"/>
    <w:rsid w:val="22050265"/>
    <w:rsid w:val="221B014E"/>
    <w:rsid w:val="221D2108"/>
    <w:rsid w:val="222308C9"/>
    <w:rsid w:val="22266A65"/>
    <w:rsid w:val="22327324"/>
    <w:rsid w:val="223D2C9A"/>
    <w:rsid w:val="22432751"/>
    <w:rsid w:val="22573D87"/>
    <w:rsid w:val="225C7D3A"/>
    <w:rsid w:val="226230EB"/>
    <w:rsid w:val="226C535A"/>
    <w:rsid w:val="22715F8C"/>
    <w:rsid w:val="227A1304"/>
    <w:rsid w:val="227B37B5"/>
    <w:rsid w:val="228564A0"/>
    <w:rsid w:val="2287772E"/>
    <w:rsid w:val="228C104B"/>
    <w:rsid w:val="22957F60"/>
    <w:rsid w:val="229E5B02"/>
    <w:rsid w:val="22A6674E"/>
    <w:rsid w:val="22C52599"/>
    <w:rsid w:val="22C553AD"/>
    <w:rsid w:val="22CA30CD"/>
    <w:rsid w:val="22CE51C0"/>
    <w:rsid w:val="22D301B9"/>
    <w:rsid w:val="22DC0E41"/>
    <w:rsid w:val="22DD5403"/>
    <w:rsid w:val="22F67BDE"/>
    <w:rsid w:val="23056708"/>
    <w:rsid w:val="230671B1"/>
    <w:rsid w:val="23090BF0"/>
    <w:rsid w:val="2309444A"/>
    <w:rsid w:val="233101E6"/>
    <w:rsid w:val="23332F70"/>
    <w:rsid w:val="2336404E"/>
    <w:rsid w:val="233D50DF"/>
    <w:rsid w:val="23583375"/>
    <w:rsid w:val="23591D5A"/>
    <w:rsid w:val="235F1A74"/>
    <w:rsid w:val="23794F14"/>
    <w:rsid w:val="237D502D"/>
    <w:rsid w:val="237E1C1A"/>
    <w:rsid w:val="23941D44"/>
    <w:rsid w:val="239D64E7"/>
    <w:rsid w:val="239F72BE"/>
    <w:rsid w:val="23A41026"/>
    <w:rsid w:val="23AD1426"/>
    <w:rsid w:val="23AE00BF"/>
    <w:rsid w:val="23B2147E"/>
    <w:rsid w:val="23B64282"/>
    <w:rsid w:val="23B722E9"/>
    <w:rsid w:val="23C06A12"/>
    <w:rsid w:val="23C2284B"/>
    <w:rsid w:val="23C64BEA"/>
    <w:rsid w:val="23CC3013"/>
    <w:rsid w:val="23CF5E2F"/>
    <w:rsid w:val="23DB649D"/>
    <w:rsid w:val="23DC0405"/>
    <w:rsid w:val="23EA32C6"/>
    <w:rsid w:val="23F337B6"/>
    <w:rsid w:val="240B6223"/>
    <w:rsid w:val="24113A97"/>
    <w:rsid w:val="2415202A"/>
    <w:rsid w:val="242E679A"/>
    <w:rsid w:val="24305A06"/>
    <w:rsid w:val="24341DBF"/>
    <w:rsid w:val="2449702B"/>
    <w:rsid w:val="245F0E15"/>
    <w:rsid w:val="24620080"/>
    <w:rsid w:val="24630A69"/>
    <w:rsid w:val="2463548D"/>
    <w:rsid w:val="246848FF"/>
    <w:rsid w:val="246B579F"/>
    <w:rsid w:val="246C757C"/>
    <w:rsid w:val="24741D97"/>
    <w:rsid w:val="248267F9"/>
    <w:rsid w:val="249130FB"/>
    <w:rsid w:val="249838AF"/>
    <w:rsid w:val="249E4CBC"/>
    <w:rsid w:val="24A2355A"/>
    <w:rsid w:val="24AA7051"/>
    <w:rsid w:val="24B23CFA"/>
    <w:rsid w:val="24B44889"/>
    <w:rsid w:val="24B5534E"/>
    <w:rsid w:val="24BA7F43"/>
    <w:rsid w:val="24BE1CF0"/>
    <w:rsid w:val="24C06F83"/>
    <w:rsid w:val="24CE3DF9"/>
    <w:rsid w:val="24D21266"/>
    <w:rsid w:val="24D82C75"/>
    <w:rsid w:val="24D9514F"/>
    <w:rsid w:val="24DB0C6C"/>
    <w:rsid w:val="24E103B2"/>
    <w:rsid w:val="24E43AD0"/>
    <w:rsid w:val="24E53146"/>
    <w:rsid w:val="24F1542A"/>
    <w:rsid w:val="24F43560"/>
    <w:rsid w:val="24FA7AE7"/>
    <w:rsid w:val="24FC3E5D"/>
    <w:rsid w:val="2504136D"/>
    <w:rsid w:val="25064055"/>
    <w:rsid w:val="250A1ADF"/>
    <w:rsid w:val="25127508"/>
    <w:rsid w:val="25137802"/>
    <w:rsid w:val="25187954"/>
    <w:rsid w:val="25244960"/>
    <w:rsid w:val="252634FC"/>
    <w:rsid w:val="252E7233"/>
    <w:rsid w:val="252F23BD"/>
    <w:rsid w:val="25365220"/>
    <w:rsid w:val="253B0B07"/>
    <w:rsid w:val="254214F2"/>
    <w:rsid w:val="25474F90"/>
    <w:rsid w:val="25493224"/>
    <w:rsid w:val="254B0FA7"/>
    <w:rsid w:val="254D78A0"/>
    <w:rsid w:val="254F7CA5"/>
    <w:rsid w:val="254F7CC2"/>
    <w:rsid w:val="255178FF"/>
    <w:rsid w:val="2558517C"/>
    <w:rsid w:val="25596B17"/>
    <w:rsid w:val="255F24A7"/>
    <w:rsid w:val="25603594"/>
    <w:rsid w:val="256115E6"/>
    <w:rsid w:val="2562178E"/>
    <w:rsid w:val="256D1BA5"/>
    <w:rsid w:val="25732ECE"/>
    <w:rsid w:val="25766B7D"/>
    <w:rsid w:val="25821B94"/>
    <w:rsid w:val="25834E73"/>
    <w:rsid w:val="258602A2"/>
    <w:rsid w:val="25874391"/>
    <w:rsid w:val="258F3A0D"/>
    <w:rsid w:val="25932660"/>
    <w:rsid w:val="259E63CE"/>
    <w:rsid w:val="259F5AD2"/>
    <w:rsid w:val="25A30E21"/>
    <w:rsid w:val="25A62D33"/>
    <w:rsid w:val="25AB368A"/>
    <w:rsid w:val="25B83F05"/>
    <w:rsid w:val="25BB21C7"/>
    <w:rsid w:val="25BC3D13"/>
    <w:rsid w:val="25BD32CA"/>
    <w:rsid w:val="25C70FE3"/>
    <w:rsid w:val="25CF7C7A"/>
    <w:rsid w:val="25E50110"/>
    <w:rsid w:val="25F413E1"/>
    <w:rsid w:val="25FB375D"/>
    <w:rsid w:val="25FF2CBA"/>
    <w:rsid w:val="260A1112"/>
    <w:rsid w:val="26140013"/>
    <w:rsid w:val="26163080"/>
    <w:rsid w:val="261B3C3C"/>
    <w:rsid w:val="26201809"/>
    <w:rsid w:val="26212B25"/>
    <w:rsid w:val="262C00FA"/>
    <w:rsid w:val="26466F0B"/>
    <w:rsid w:val="264D6E3A"/>
    <w:rsid w:val="26652725"/>
    <w:rsid w:val="2666496B"/>
    <w:rsid w:val="26696733"/>
    <w:rsid w:val="266A44D2"/>
    <w:rsid w:val="26785EB8"/>
    <w:rsid w:val="26793D44"/>
    <w:rsid w:val="267F099D"/>
    <w:rsid w:val="26825BD5"/>
    <w:rsid w:val="26825E47"/>
    <w:rsid w:val="2685572A"/>
    <w:rsid w:val="26864B4B"/>
    <w:rsid w:val="26AD4B51"/>
    <w:rsid w:val="26AF4742"/>
    <w:rsid w:val="26B21F0E"/>
    <w:rsid w:val="26B6002D"/>
    <w:rsid w:val="26B623E9"/>
    <w:rsid w:val="26B75F37"/>
    <w:rsid w:val="26BD4769"/>
    <w:rsid w:val="26C22823"/>
    <w:rsid w:val="26C863CA"/>
    <w:rsid w:val="26CF7759"/>
    <w:rsid w:val="26D72713"/>
    <w:rsid w:val="26DD6DA7"/>
    <w:rsid w:val="26DF3A19"/>
    <w:rsid w:val="26E2612C"/>
    <w:rsid w:val="26F7665D"/>
    <w:rsid w:val="26FC74DF"/>
    <w:rsid w:val="27067EF5"/>
    <w:rsid w:val="27142C74"/>
    <w:rsid w:val="27162ACB"/>
    <w:rsid w:val="271A73A3"/>
    <w:rsid w:val="271D05F5"/>
    <w:rsid w:val="272C3720"/>
    <w:rsid w:val="272F1B2C"/>
    <w:rsid w:val="273160D6"/>
    <w:rsid w:val="273A018A"/>
    <w:rsid w:val="27445ADF"/>
    <w:rsid w:val="274570C7"/>
    <w:rsid w:val="27474F18"/>
    <w:rsid w:val="274C5E11"/>
    <w:rsid w:val="274C7B70"/>
    <w:rsid w:val="27546C2A"/>
    <w:rsid w:val="27596A66"/>
    <w:rsid w:val="2760603D"/>
    <w:rsid w:val="27640B0C"/>
    <w:rsid w:val="276C0EF2"/>
    <w:rsid w:val="276C1AE7"/>
    <w:rsid w:val="276F0776"/>
    <w:rsid w:val="27716452"/>
    <w:rsid w:val="27731CB1"/>
    <w:rsid w:val="27825A96"/>
    <w:rsid w:val="27876D4F"/>
    <w:rsid w:val="279D70C8"/>
    <w:rsid w:val="279F712B"/>
    <w:rsid w:val="27BB129A"/>
    <w:rsid w:val="27BF5A1F"/>
    <w:rsid w:val="27BF758E"/>
    <w:rsid w:val="27C01CF8"/>
    <w:rsid w:val="27C12FF4"/>
    <w:rsid w:val="27C63370"/>
    <w:rsid w:val="27C75E88"/>
    <w:rsid w:val="27CB2FC3"/>
    <w:rsid w:val="27D50106"/>
    <w:rsid w:val="27DE00F8"/>
    <w:rsid w:val="27DE4A4B"/>
    <w:rsid w:val="27E12DB6"/>
    <w:rsid w:val="27E60D02"/>
    <w:rsid w:val="27EC0980"/>
    <w:rsid w:val="27EF68BD"/>
    <w:rsid w:val="27F11658"/>
    <w:rsid w:val="27F120C7"/>
    <w:rsid w:val="27FC2222"/>
    <w:rsid w:val="280D678A"/>
    <w:rsid w:val="281013D6"/>
    <w:rsid w:val="28153D30"/>
    <w:rsid w:val="281579B6"/>
    <w:rsid w:val="28164F13"/>
    <w:rsid w:val="282B4E3F"/>
    <w:rsid w:val="282C28D3"/>
    <w:rsid w:val="282D763F"/>
    <w:rsid w:val="2830461D"/>
    <w:rsid w:val="28314EDA"/>
    <w:rsid w:val="28315C50"/>
    <w:rsid w:val="28340A02"/>
    <w:rsid w:val="28375523"/>
    <w:rsid w:val="283855A4"/>
    <w:rsid w:val="283A435E"/>
    <w:rsid w:val="283A6A73"/>
    <w:rsid w:val="284877C3"/>
    <w:rsid w:val="28502EF4"/>
    <w:rsid w:val="2851359F"/>
    <w:rsid w:val="28514EEA"/>
    <w:rsid w:val="28631D98"/>
    <w:rsid w:val="286B2542"/>
    <w:rsid w:val="28743959"/>
    <w:rsid w:val="287C6E1B"/>
    <w:rsid w:val="287D25D2"/>
    <w:rsid w:val="288515FD"/>
    <w:rsid w:val="288D1FB2"/>
    <w:rsid w:val="28975B9D"/>
    <w:rsid w:val="289C79FA"/>
    <w:rsid w:val="28A7479C"/>
    <w:rsid w:val="28AA65C9"/>
    <w:rsid w:val="28B107F9"/>
    <w:rsid w:val="28B97DC4"/>
    <w:rsid w:val="28BB61E6"/>
    <w:rsid w:val="28C264C2"/>
    <w:rsid w:val="28D3360D"/>
    <w:rsid w:val="28D43255"/>
    <w:rsid w:val="28DB2A1B"/>
    <w:rsid w:val="28E427E4"/>
    <w:rsid w:val="28EA1C55"/>
    <w:rsid w:val="28F065B8"/>
    <w:rsid w:val="28F2772E"/>
    <w:rsid w:val="28F42013"/>
    <w:rsid w:val="290D60AB"/>
    <w:rsid w:val="29140785"/>
    <w:rsid w:val="291A0202"/>
    <w:rsid w:val="291F3D28"/>
    <w:rsid w:val="29205297"/>
    <w:rsid w:val="292761C4"/>
    <w:rsid w:val="29395DAE"/>
    <w:rsid w:val="2942755C"/>
    <w:rsid w:val="294764FE"/>
    <w:rsid w:val="29481279"/>
    <w:rsid w:val="294E60CA"/>
    <w:rsid w:val="295700F1"/>
    <w:rsid w:val="295B58AC"/>
    <w:rsid w:val="296300C5"/>
    <w:rsid w:val="29644D4B"/>
    <w:rsid w:val="29774872"/>
    <w:rsid w:val="297B09BA"/>
    <w:rsid w:val="297E1596"/>
    <w:rsid w:val="298769B3"/>
    <w:rsid w:val="29934B3A"/>
    <w:rsid w:val="29942A30"/>
    <w:rsid w:val="299A5C45"/>
    <w:rsid w:val="29A30A29"/>
    <w:rsid w:val="29A371BA"/>
    <w:rsid w:val="29AB36D1"/>
    <w:rsid w:val="29AC1183"/>
    <w:rsid w:val="29BD2B5E"/>
    <w:rsid w:val="29BE2F99"/>
    <w:rsid w:val="29C05009"/>
    <w:rsid w:val="29C82359"/>
    <w:rsid w:val="29C93226"/>
    <w:rsid w:val="29CE7751"/>
    <w:rsid w:val="29E247E2"/>
    <w:rsid w:val="29E33656"/>
    <w:rsid w:val="29E52198"/>
    <w:rsid w:val="29E96D31"/>
    <w:rsid w:val="29EB5CED"/>
    <w:rsid w:val="29F00913"/>
    <w:rsid w:val="29F13EBC"/>
    <w:rsid w:val="29F41FD8"/>
    <w:rsid w:val="29F56568"/>
    <w:rsid w:val="29FB1C80"/>
    <w:rsid w:val="2A095A42"/>
    <w:rsid w:val="2A0A5D56"/>
    <w:rsid w:val="2A0B2055"/>
    <w:rsid w:val="2A0D01DC"/>
    <w:rsid w:val="2A131120"/>
    <w:rsid w:val="2A173FDC"/>
    <w:rsid w:val="2A1C0828"/>
    <w:rsid w:val="2A254FA2"/>
    <w:rsid w:val="2A2C45F6"/>
    <w:rsid w:val="2A2C7040"/>
    <w:rsid w:val="2A362C0B"/>
    <w:rsid w:val="2A3C34D4"/>
    <w:rsid w:val="2A47374E"/>
    <w:rsid w:val="2A4B279F"/>
    <w:rsid w:val="2A4C5B25"/>
    <w:rsid w:val="2A4E72C3"/>
    <w:rsid w:val="2A530137"/>
    <w:rsid w:val="2A541347"/>
    <w:rsid w:val="2A54453D"/>
    <w:rsid w:val="2A62077D"/>
    <w:rsid w:val="2A651244"/>
    <w:rsid w:val="2A6843AD"/>
    <w:rsid w:val="2A696EF7"/>
    <w:rsid w:val="2A6A48E5"/>
    <w:rsid w:val="2A6B445A"/>
    <w:rsid w:val="2A6C7D64"/>
    <w:rsid w:val="2A785F62"/>
    <w:rsid w:val="2A8C2814"/>
    <w:rsid w:val="2A8E4EBC"/>
    <w:rsid w:val="2A927559"/>
    <w:rsid w:val="2A934E7B"/>
    <w:rsid w:val="2A944CDC"/>
    <w:rsid w:val="2A9F38E6"/>
    <w:rsid w:val="2AA046C0"/>
    <w:rsid w:val="2AA11ABB"/>
    <w:rsid w:val="2AA14A84"/>
    <w:rsid w:val="2AB300C6"/>
    <w:rsid w:val="2AB502F8"/>
    <w:rsid w:val="2AB85160"/>
    <w:rsid w:val="2ABF7AE4"/>
    <w:rsid w:val="2AC70600"/>
    <w:rsid w:val="2AC7761A"/>
    <w:rsid w:val="2ACF5B71"/>
    <w:rsid w:val="2AD1615D"/>
    <w:rsid w:val="2ADF03EB"/>
    <w:rsid w:val="2AE21F88"/>
    <w:rsid w:val="2AE97DCE"/>
    <w:rsid w:val="2AEB7602"/>
    <w:rsid w:val="2AEF3F25"/>
    <w:rsid w:val="2B0165AE"/>
    <w:rsid w:val="2B0A773A"/>
    <w:rsid w:val="2B116592"/>
    <w:rsid w:val="2B175E78"/>
    <w:rsid w:val="2B1C1BB6"/>
    <w:rsid w:val="2B232639"/>
    <w:rsid w:val="2B3322BC"/>
    <w:rsid w:val="2B332601"/>
    <w:rsid w:val="2B3B1D9A"/>
    <w:rsid w:val="2B3C5AAB"/>
    <w:rsid w:val="2B4372BD"/>
    <w:rsid w:val="2B452A68"/>
    <w:rsid w:val="2B4576C0"/>
    <w:rsid w:val="2B481875"/>
    <w:rsid w:val="2B5069D2"/>
    <w:rsid w:val="2B612B62"/>
    <w:rsid w:val="2B614F54"/>
    <w:rsid w:val="2B753BBD"/>
    <w:rsid w:val="2B7D6BB5"/>
    <w:rsid w:val="2B7F47BE"/>
    <w:rsid w:val="2B8054C5"/>
    <w:rsid w:val="2B89500E"/>
    <w:rsid w:val="2B950065"/>
    <w:rsid w:val="2B976850"/>
    <w:rsid w:val="2B9B5B30"/>
    <w:rsid w:val="2BA53244"/>
    <w:rsid w:val="2BA64D00"/>
    <w:rsid w:val="2BB22019"/>
    <w:rsid w:val="2BB84C5F"/>
    <w:rsid w:val="2BBE0F1E"/>
    <w:rsid w:val="2BBF6F28"/>
    <w:rsid w:val="2BC660ED"/>
    <w:rsid w:val="2BC900DC"/>
    <w:rsid w:val="2BE94401"/>
    <w:rsid w:val="2BF26D16"/>
    <w:rsid w:val="2BF445A2"/>
    <w:rsid w:val="2BFC7FD1"/>
    <w:rsid w:val="2BFD08C4"/>
    <w:rsid w:val="2BFD22BB"/>
    <w:rsid w:val="2BFE36A5"/>
    <w:rsid w:val="2C014B62"/>
    <w:rsid w:val="2C032CD8"/>
    <w:rsid w:val="2C11436F"/>
    <w:rsid w:val="2C271023"/>
    <w:rsid w:val="2C311496"/>
    <w:rsid w:val="2C364970"/>
    <w:rsid w:val="2C382AFA"/>
    <w:rsid w:val="2C4A29C9"/>
    <w:rsid w:val="2C5300D9"/>
    <w:rsid w:val="2C591EA7"/>
    <w:rsid w:val="2C5A3353"/>
    <w:rsid w:val="2C645299"/>
    <w:rsid w:val="2C69190D"/>
    <w:rsid w:val="2C695F59"/>
    <w:rsid w:val="2C74552D"/>
    <w:rsid w:val="2C764C55"/>
    <w:rsid w:val="2C7944E9"/>
    <w:rsid w:val="2C8E29E3"/>
    <w:rsid w:val="2C9462F6"/>
    <w:rsid w:val="2C996D60"/>
    <w:rsid w:val="2CA44361"/>
    <w:rsid w:val="2CA44FE4"/>
    <w:rsid w:val="2CC05C38"/>
    <w:rsid w:val="2CCA6FF3"/>
    <w:rsid w:val="2CD67481"/>
    <w:rsid w:val="2CD80D15"/>
    <w:rsid w:val="2CDD2306"/>
    <w:rsid w:val="2CDE7BC1"/>
    <w:rsid w:val="2CEC060F"/>
    <w:rsid w:val="2CED3D11"/>
    <w:rsid w:val="2CEE645F"/>
    <w:rsid w:val="2CF972DD"/>
    <w:rsid w:val="2D051B0D"/>
    <w:rsid w:val="2D0627D7"/>
    <w:rsid w:val="2D0D0DC7"/>
    <w:rsid w:val="2D103021"/>
    <w:rsid w:val="2D142369"/>
    <w:rsid w:val="2D151BC9"/>
    <w:rsid w:val="2D292BE5"/>
    <w:rsid w:val="2D29678C"/>
    <w:rsid w:val="2D2F2CFF"/>
    <w:rsid w:val="2D306EC8"/>
    <w:rsid w:val="2D377E06"/>
    <w:rsid w:val="2D3A01A0"/>
    <w:rsid w:val="2D406CBA"/>
    <w:rsid w:val="2D482420"/>
    <w:rsid w:val="2D6973AD"/>
    <w:rsid w:val="2D6F68D9"/>
    <w:rsid w:val="2D7760EC"/>
    <w:rsid w:val="2D84414F"/>
    <w:rsid w:val="2D8F2781"/>
    <w:rsid w:val="2D922696"/>
    <w:rsid w:val="2D9409F2"/>
    <w:rsid w:val="2D9409FD"/>
    <w:rsid w:val="2DA52FC1"/>
    <w:rsid w:val="2DA70CC0"/>
    <w:rsid w:val="2DB263AF"/>
    <w:rsid w:val="2DB32E20"/>
    <w:rsid w:val="2DBA7589"/>
    <w:rsid w:val="2DC157A8"/>
    <w:rsid w:val="2DC16572"/>
    <w:rsid w:val="2DCB233F"/>
    <w:rsid w:val="2DCE60CD"/>
    <w:rsid w:val="2DD60937"/>
    <w:rsid w:val="2DDB4C35"/>
    <w:rsid w:val="2DEF7382"/>
    <w:rsid w:val="2DF21835"/>
    <w:rsid w:val="2DF621EC"/>
    <w:rsid w:val="2DFE7DE5"/>
    <w:rsid w:val="2E0028ED"/>
    <w:rsid w:val="2E0E18AB"/>
    <w:rsid w:val="2E125449"/>
    <w:rsid w:val="2E18689A"/>
    <w:rsid w:val="2E223C3D"/>
    <w:rsid w:val="2E226994"/>
    <w:rsid w:val="2E2D6D97"/>
    <w:rsid w:val="2E2E1376"/>
    <w:rsid w:val="2E393C0E"/>
    <w:rsid w:val="2E4052D2"/>
    <w:rsid w:val="2E450300"/>
    <w:rsid w:val="2E4B555D"/>
    <w:rsid w:val="2E4E2471"/>
    <w:rsid w:val="2E4F30C4"/>
    <w:rsid w:val="2E5348FE"/>
    <w:rsid w:val="2E561EFE"/>
    <w:rsid w:val="2E575310"/>
    <w:rsid w:val="2E5A143F"/>
    <w:rsid w:val="2E636A2B"/>
    <w:rsid w:val="2E6631C3"/>
    <w:rsid w:val="2E6C551B"/>
    <w:rsid w:val="2E7B0348"/>
    <w:rsid w:val="2E804892"/>
    <w:rsid w:val="2E821FB4"/>
    <w:rsid w:val="2E8C4FC0"/>
    <w:rsid w:val="2E94134A"/>
    <w:rsid w:val="2E981CE7"/>
    <w:rsid w:val="2EA77C31"/>
    <w:rsid w:val="2EB739D8"/>
    <w:rsid w:val="2EBC3329"/>
    <w:rsid w:val="2EBD7892"/>
    <w:rsid w:val="2EBE3350"/>
    <w:rsid w:val="2EC0590C"/>
    <w:rsid w:val="2EC92CDF"/>
    <w:rsid w:val="2EDA45F6"/>
    <w:rsid w:val="2EDC6EB7"/>
    <w:rsid w:val="2EDE261C"/>
    <w:rsid w:val="2EE01E36"/>
    <w:rsid w:val="2EE06EEE"/>
    <w:rsid w:val="2EE83A1C"/>
    <w:rsid w:val="2EFB40F3"/>
    <w:rsid w:val="2EFE7B2D"/>
    <w:rsid w:val="2F0D165D"/>
    <w:rsid w:val="2F0D5767"/>
    <w:rsid w:val="2F2107CF"/>
    <w:rsid w:val="2F283958"/>
    <w:rsid w:val="2F29353E"/>
    <w:rsid w:val="2F353C26"/>
    <w:rsid w:val="2F3738F6"/>
    <w:rsid w:val="2F3840F1"/>
    <w:rsid w:val="2F3E28A6"/>
    <w:rsid w:val="2F3E28B1"/>
    <w:rsid w:val="2F4F2B35"/>
    <w:rsid w:val="2F555CBD"/>
    <w:rsid w:val="2F5641B9"/>
    <w:rsid w:val="2F5F4D76"/>
    <w:rsid w:val="2F61560E"/>
    <w:rsid w:val="2F7B0DBE"/>
    <w:rsid w:val="2F7F0DA6"/>
    <w:rsid w:val="2F8371BB"/>
    <w:rsid w:val="2F844B98"/>
    <w:rsid w:val="2F973FE0"/>
    <w:rsid w:val="2F990A87"/>
    <w:rsid w:val="2FA000A9"/>
    <w:rsid w:val="2FA27CD3"/>
    <w:rsid w:val="2FA67554"/>
    <w:rsid w:val="2FB35E69"/>
    <w:rsid w:val="2FB936AA"/>
    <w:rsid w:val="2FBB6ACC"/>
    <w:rsid w:val="2FBF7622"/>
    <w:rsid w:val="2FC25836"/>
    <w:rsid w:val="2FCC7756"/>
    <w:rsid w:val="2FD93402"/>
    <w:rsid w:val="2FDD44F0"/>
    <w:rsid w:val="2FE0047C"/>
    <w:rsid w:val="2FE01946"/>
    <w:rsid w:val="2FE37DD1"/>
    <w:rsid w:val="2FE462FB"/>
    <w:rsid w:val="300216E8"/>
    <w:rsid w:val="30047962"/>
    <w:rsid w:val="300D2FF9"/>
    <w:rsid w:val="30112B90"/>
    <w:rsid w:val="301601A6"/>
    <w:rsid w:val="30310C54"/>
    <w:rsid w:val="3046149B"/>
    <w:rsid w:val="30497D18"/>
    <w:rsid w:val="30500E36"/>
    <w:rsid w:val="30565153"/>
    <w:rsid w:val="30605E6A"/>
    <w:rsid w:val="30640C50"/>
    <w:rsid w:val="306B7DBB"/>
    <w:rsid w:val="306E33D1"/>
    <w:rsid w:val="30734A15"/>
    <w:rsid w:val="307426DE"/>
    <w:rsid w:val="30754358"/>
    <w:rsid w:val="307C24F9"/>
    <w:rsid w:val="307D410A"/>
    <w:rsid w:val="308F493B"/>
    <w:rsid w:val="30976110"/>
    <w:rsid w:val="30984BBC"/>
    <w:rsid w:val="30A111C5"/>
    <w:rsid w:val="30AA08EF"/>
    <w:rsid w:val="30AD2BCC"/>
    <w:rsid w:val="30B570CD"/>
    <w:rsid w:val="30D64D73"/>
    <w:rsid w:val="30D65426"/>
    <w:rsid w:val="30D720BF"/>
    <w:rsid w:val="30DB0076"/>
    <w:rsid w:val="30DD6F16"/>
    <w:rsid w:val="30DE7A9D"/>
    <w:rsid w:val="30DF2074"/>
    <w:rsid w:val="30E54780"/>
    <w:rsid w:val="30E57103"/>
    <w:rsid w:val="30F276E4"/>
    <w:rsid w:val="30F46CC4"/>
    <w:rsid w:val="30FF6462"/>
    <w:rsid w:val="31056121"/>
    <w:rsid w:val="31096B79"/>
    <w:rsid w:val="310B72CC"/>
    <w:rsid w:val="311C4469"/>
    <w:rsid w:val="311F3421"/>
    <w:rsid w:val="312245A1"/>
    <w:rsid w:val="31230E2E"/>
    <w:rsid w:val="31242B17"/>
    <w:rsid w:val="31433DAD"/>
    <w:rsid w:val="3144624E"/>
    <w:rsid w:val="314D5DAD"/>
    <w:rsid w:val="31537D0F"/>
    <w:rsid w:val="31590094"/>
    <w:rsid w:val="315B2D24"/>
    <w:rsid w:val="316A359F"/>
    <w:rsid w:val="316E7008"/>
    <w:rsid w:val="31701B38"/>
    <w:rsid w:val="31743025"/>
    <w:rsid w:val="317D15D6"/>
    <w:rsid w:val="31957A84"/>
    <w:rsid w:val="31AD4B3A"/>
    <w:rsid w:val="31B50BD7"/>
    <w:rsid w:val="31BD192C"/>
    <w:rsid w:val="31BE36EC"/>
    <w:rsid w:val="31C17A3B"/>
    <w:rsid w:val="31CE0059"/>
    <w:rsid w:val="31D200FD"/>
    <w:rsid w:val="31D35F0D"/>
    <w:rsid w:val="31D72FAF"/>
    <w:rsid w:val="31DC0DCE"/>
    <w:rsid w:val="31DF02DF"/>
    <w:rsid w:val="31F82079"/>
    <w:rsid w:val="31F848CD"/>
    <w:rsid w:val="32110C25"/>
    <w:rsid w:val="32130F02"/>
    <w:rsid w:val="321E3D8A"/>
    <w:rsid w:val="322152E3"/>
    <w:rsid w:val="32222220"/>
    <w:rsid w:val="322F48E2"/>
    <w:rsid w:val="324118CB"/>
    <w:rsid w:val="32466CF2"/>
    <w:rsid w:val="324B010F"/>
    <w:rsid w:val="324B0EAD"/>
    <w:rsid w:val="325440FF"/>
    <w:rsid w:val="32557876"/>
    <w:rsid w:val="326155E1"/>
    <w:rsid w:val="326769EF"/>
    <w:rsid w:val="327466C1"/>
    <w:rsid w:val="327E4F26"/>
    <w:rsid w:val="328214F6"/>
    <w:rsid w:val="3284518D"/>
    <w:rsid w:val="32883611"/>
    <w:rsid w:val="32907FCD"/>
    <w:rsid w:val="32993AC5"/>
    <w:rsid w:val="32A46494"/>
    <w:rsid w:val="32BB5035"/>
    <w:rsid w:val="32BD6FFF"/>
    <w:rsid w:val="32BF2D77"/>
    <w:rsid w:val="32C22F7B"/>
    <w:rsid w:val="32CF0104"/>
    <w:rsid w:val="32D329D1"/>
    <w:rsid w:val="32D72F62"/>
    <w:rsid w:val="32EA07CD"/>
    <w:rsid w:val="32F10406"/>
    <w:rsid w:val="32F350E7"/>
    <w:rsid w:val="32F4704A"/>
    <w:rsid w:val="32F548EE"/>
    <w:rsid w:val="330222E5"/>
    <w:rsid w:val="33095D58"/>
    <w:rsid w:val="330A0539"/>
    <w:rsid w:val="330C3F88"/>
    <w:rsid w:val="33182D72"/>
    <w:rsid w:val="331E1D3B"/>
    <w:rsid w:val="331E66B9"/>
    <w:rsid w:val="332055A0"/>
    <w:rsid w:val="33262C4D"/>
    <w:rsid w:val="33315E49"/>
    <w:rsid w:val="33400ABD"/>
    <w:rsid w:val="334450DF"/>
    <w:rsid w:val="334570A9"/>
    <w:rsid w:val="33511AC0"/>
    <w:rsid w:val="33552A7E"/>
    <w:rsid w:val="33590EDF"/>
    <w:rsid w:val="335E7563"/>
    <w:rsid w:val="33647160"/>
    <w:rsid w:val="336630E1"/>
    <w:rsid w:val="33704071"/>
    <w:rsid w:val="33730BFB"/>
    <w:rsid w:val="337556E6"/>
    <w:rsid w:val="338F274A"/>
    <w:rsid w:val="3390570F"/>
    <w:rsid w:val="33975BAE"/>
    <w:rsid w:val="33A73CE7"/>
    <w:rsid w:val="33AA194D"/>
    <w:rsid w:val="33AB5DE5"/>
    <w:rsid w:val="33B03C49"/>
    <w:rsid w:val="33C31FAF"/>
    <w:rsid w:val="33C87CB1"/>
    <w:rsid w:val="33D32A7B"/>
    <w:rsid w:val="33D47231"/>
    <w:rsid w:val="33D679A0"/>
    <w:rsid w:val="33D771F5"/>
    <w:rsid w:val="33EA4460"/>
    <w:rsid w:val="33EC7B9C"/>
    <w:rsid w:val="33ED3EC5"/>
    <w:rsid w:val="33EF1CA7"/>
    <w:rsid w:val="33F46E58"/>
    <w:rsid w:val="33F61626"/>
    <w:rsid w:val="34091FFF"/>
    <w:rsid w:val="340D09A7"/>
    <w:rsid w:val="3410617A"/>
    <w:rsid w:val="3420036B"/>
    <w:rsid w:val="34210B56"/>
    <w:rsid w:val="342273BA"/>
    <w:rsid w:val="342823AB"/>
    <w:rsid w:val="3428796F"/>
    <w:rsid w:val="34365121"/>
    <w:rsid w:val="343823C9"/>
    <w:rsid w:val="34384020"/>
    <w:rsid w:val="343C57C1"/>
    <w:rsid w:val="34441E30"/>
    <w:rsid w:val="34443AA5"/>
    <w:rsid w:val="34456F5A"/>
    <w:rsid w:val="34460801"/>
    <w:rsid w:val="344C0ADC"/>
    <w:rsid w:val="345117AD"/>
    <w:rsid w:val="34556473"/>
    <w:rsid w:val="3458689F"/>
    <w:rsid w:val="3464038B"/>
    <w:rsid w:val="3468672D"/>
    <w:rsid w:val="347A34A0"/>
    <w:rsid w:val="347A6CF0"/>
    <w:rsid w:val="34822D79"/>
    <w:rsid w:val="34827F87"/>
    <w:rsid w:val="3489363D"/>
    <w:rsid w:val="349A75F8"/>
    <w:rsid w:val="34A06499"/>
    <w:rsid w:val="34A70D88"/>
    <w:rsid w:val="34AE770E"/>
    <w:rsid w:val="34B02841"/>
    <w:rsid w:val="34BC360E"/>
    <w:rsid w:val="34BE7782"/>
    <w:rsid w:val="34CC4737"/>
    <w:rsid w:val="34CE406A"/>
    <w:rsid w:val="34D4418C"/>
    <w:rsid w:val="34DD52CB"/>
    <w:rsid w:val="34DD5E4C"/>
    <w:rsid w:val="34E83338"/>
    <w:rsid w:val="34EA3AC9"/>
    <w:rsid w:val="34F034F6"/>
    <w:rsid w:val="34F84798"/>
    <w:rsid w:val="3514522E"/>
    <w:rsid w:val="35173B52"/>
    <w:rsid w:val="351806A2"/>
    <w:rsid w:val="351F2A87"/>
    <w:rsid w:val="352C636B"/>
    <w:rsid w:val="353169C7"/>
    <w:rsid w:val="35357CE1"/>
    <w:rsid w:val="353870F0"/>
    <w:rsid w:val="353A1C80"/>
    <w:rsid w:val="353F49A3"/>
    <w:rsid w:val="353F5678"/>
    <w:rsid w:val="354952A6"/>
    <w:rsid w:val="354F1C72"/>
    <w:rsid w:val="35513D2D"/>
    <w:rsid w:val="355344C4"/>
    <w:rsid w:val="355B1C37"/>
    <w:rsid w:val="356673BB"/>
    <w:rsid w:val="356A200C"/>
    <w:rsid w:val="35707A9F"/>
    <w:rsid w:val="35725E7F"/>
    <w:rsid w:val="35785D46"/>
    <w:rsid w:val="35865B42"/>
    <w:rsid w:val="3598714F"/>
    <w:rsid w:val="35A46140"/>
    <w:rsid w:val="35BB4244"/>
    <w:rsid w:val="35C96391"/>
    <w:rsid w:val="35CA2A85"/>
    <w:rsid w:val="35D75D81"/>
    <w:rsid w:val="35D812D6"/>
    <w:rsid w:val="35D97CE1"/>
    <w:rsid w:val="35E26994"/>
    <w:rsid w:val="35EE0BEE"/>
    <w:rsid w:val="35F41C6E"/>
    <w:rsid w:val="35FC1334"/>
    <w:rsid w:val="360C4DC0"/>
    <w:rsid w:val="36126550"/>
    <w:rsid w:val="36177EDF"/>
    <w:rsid w:val="361A4C88"/>
    <w:rsid w:val="361E47D3"/>
    <w:rsid w:val="361F6C63"/>
    <w:rsid w:val="3626673D"/>
    <w:rsid w:val="3627014F"/>
    <w:rsid w:val="36280C33"/>
    <w:rsid w:val="363511EC"/>
    <w:rsid w:val="3637414A"/>
    <w:rsid w:val="364525F9"/>
    <w:rsid w:val="364738DB"/>
    <w:rsid w:val="36481187"/>
    <w:rsid w:val="364C70B3"/>
    <w:rsid w:val="3651018A"/>
    <w:rsid w:val="36530C69"/>
    <w:rsid w:val="365C1A62"/>
    <w:rsid w:val="3665323D"/>
    <w:rsid w:val="366F4808"/>
    <w:rsid w:val="3671271D"/>
    <w:rsid w:val="36874E86"/>
    <w:rsid w:val="3688674A"/>
    <w:rsid w:val="36894143"/>
    <w:rsid w:val="368C112B"/>
    <w:rsid w:val="368E14A3"/>
    <w:rsid w:val="368F2A60"/>
    <w:rsid w:val="368F480F"/>
    <w:rsid w:val="36927560"/>
    <w:rsid w:val="36980DFA"/>
    <w:rsid w:val="36B07EA5"/>
    <w:rsid w:val="36B57B19"/>
    <w:rsid w:val="36B9336A"/>
    <w:rsid w:val="36BA3DE4"/>
    <w:rsid w:val="36BF3273"/>
    <w:rsid w:val="36C91378"/>
    <w:rsid w:val="36CF1B97"/>
    <w:rsid w:val="36D14E27"/>
    <w:rsid w:val="36D772C2"/>
    <w:rsid w:val="36DD60EE"/>
    <w:rsid w:val="36E3162E"/>
    <w:rsid w:val="36F32FEF"/>
    <w:rsid w:val="36F755B5"/>
    <w:rsid w:val="370305C5"/>
    <w:rsid w:val="370A3546"/>
    <w:rsid w:val="370E019C"/>
    <w:rsid w:val="3712762C"/>
    <w:rsid w:val="37176F12"/>
    <w:rsid w:val="371A3939"/>
    <w:rsid w:val="3728560C"/>
    <w:rsid w:val="372B2789"/>
    <w:rsid w:val="372F4304"/>
    <w:rsid w:val="37332A98"/>
    <w:rsid w:val="37375CB6"/>
    <w:rsid w:val="374175EF"/>
    <w:rsid w:val="37535EDB"/>
    <w:rsid w:val="375D56AB"/>
    <w:rsid w:val="37635935"/>
    <w:rsid w:val="376E20AD"/>
    <w:rsid w:val="377324ED"/>
    <w:rsid w:val="37777FC6"/>
    <w:rsid w:val="378853F7"/>
    <w:rsid w:val="37897458"/>
    <w:rsid w:val="37963930"/>
    <w:rsid w:val="379A283B"/>
    <w:rsid w:val="379D5333"/>
    <w:rsid w:val="37A04D9E"/>
    <w:rsid w:val="37A64C99"/>
    <w:rsid w:val="37AE3507"/>
    <w:rsid w:val="37BC5EC5"/>
    <w:rsid w:val="37C404E8"/>
    <w:rsid w:val="37CE3BAD"/>
    <w:rsid w:val="37D1326E"/>
    <w:rsid w:val="37DA62F9"/>
    <w:rsid w:val="37DB79A1"/>
    <w:rsid w:val="37E24C92"/>
    <w:rsid w:val="37F43B4A"/>
    <w:rsid w:val="37F93371"/>
    <w:rsid w:val="38085FBE"/>
    <w:rsid w:val="380F6C16"/>
    <w:rsid w:val="381159C9"/>
    <w:rsid w:val="38217493"/>
    <w:rsid w:val="38273C08"/>
    <w:rsid w:val="38292BB9"/>
    <w:rsid w:val="382B659A"/>
    <w:rsid w:val="382D5B39"/>
    <w:rsid w:val="382F49CB"/>
    <w:rsid w:val="38311183"/>
    <w:rsid w:val="3839251C"/>
    <w:rsid w:val="383E7512"/>
    <w:rsid w:val="38424C04"/>
    <w:rsid w:val="38451711"/>
    <w:rsid w:val="384C395B"/>
    <w:rsid w:val="38503707"/>
    <w:rsid w:val="38560F5C"/>
    <w:rsid w:val="38582892"/>
    <w:rsid w:val="38637D01"/>
    <w:rsid w:val="38673C95"/>
    <w:rsid w:val="38687EF6"/>
    <w:rsid w:val="38795212"/>
    <w:rsid w:val="387B0309"/>
    <w:rsid w:val="387E59C2"/>
    <w:rsid w:val="387F2279"/>
    <w:rsid w:val="387F54D2"/>
    <w:rsid w:val="3884622A"/>
    <w:rsid w:val="38877E93"/>
    <w:rsid w:val="38881461"/>
    <w:rsid w:val="388C7CF5"/>
    <w:rsid w:val="38902A29"/>
    <w:rsid w:val="38915D15"/>
    <w:rsid w:val="389A30A1"/>
    <w:rsid w:val="38A447F0"/>
    <w:rsid w:val="38AB4A36"/>
    <w:rsid w:val="38B21208"/>
    <w:rsid w:val="38C316E7"/>
    <w:rsid w:val="38C87C76"/>
    <w:rsid w:val="38D055B4"/>
    <w:rsid w:val="38D374CB"/>
    <w:rsid w:val="38D429AD"/>
    <w:rsid w:val="38D8621B"/>
    <w:rsid w:val="38DF016E"/>
    <w:rsid w:val="38E67E8F"/>
    <w:rsid w:val="38ED5304"/>
    <w:rsid w:val="38EF4431"/>
    <w:rsid w:val="38F80095"/>
    <w:rsid w:val="39081F14"/>
    <w:rsid w:val="39174FBC"/>
    <w:rsid w:val="3920043B"/>
    <w:rsid w:val="39290CD1"/>
    <w:rsid w:val="393324B7"/>
    <w:rsid w:val="39374D08"/>
    <w:rsid w:val="393A1B16"/>
    <w:rsid w:val="39461462"/>
    <w:rsid w:val="39513F3D"/>
    <w:rsid w:val="39531813"/>
    <w:rsid w:val="395711DD"/>
    <w:rsid w:val="395C627C"/>
    <w:rsid w:val="39666936"/>
    <w:rsid w:val="39711886"/>
    <w:rsid w:val="397B118B"/>
    <w:rsid w:val="397E37F5"/>
    <w:rsid w:val="39894753"/>
    <w:rsid w:val="398E34A3"/>
    <w:rsid w:val="39960785"/>
    <w:rsid w:val="39971BB3"/>
    <w:rsid w:val="39A90D3E"/>
    <w:rsid w:val="39AA0A73"/>
    <w:rsid w:val="39AF2306"/>
    <w:rsid w:val="39B1546A"/>
    <w:rsid w:val="39B52CCE"/>
    <w:rsid w:val="39BA5B06"/>
    <w:rsid w:val="39BC5F39"/>
    <w:rsid w:val="39C43AA8"/>
    <w:rsid w:val="39CC5928"/>
    <w:rsid w:val="39D06982"/>
    <w:rsid w:val="39D06A1C"/>
    <w:rsid w:val="39D1277C"/>
    <w:rsid w:val="39D33C7C"/>
    <w:rsid w:val="39DA30C1"/>
    <w:rsid w:val="39E01087"/>
    <w:rsid w:val="39E0646D"/>
    <w:rsid w:val="39EF50C2"/>
    <w:rsid w:val="39F37871"/>
    <w:rsid w:val="39F66857"/>
    <w:rsid w:val="39FA79ED"/>
    <w:rsid w:val="3A002932"/>
    <w:rsid w:val="3A0C579D"/>
    <w:rsid w:val="3A12539E"/>
    <w:rsid w:val="3A183118"/>
    <w:rsid w:val="3A1E487A"/>
    <w:rsid w:val="3A212A07"/>
    <w:rsid w:val="3A302E7D"/>
    <w:rsid w:val="3A30695F"/>
    <w:rsid w:val="3A3A6BB2"/>
    <w:rsid w:val="3A3E1A76"/>
    <w:rsid w:val="3A5C61D2"/>
    <w:rsid w:val="3A6220CD"/>
    <w:rsid w:val="3A6B138C"/>
    <w:rsid w:val="3A763799"/>
    <w:rsid w:val="3A7A7093"/>
    <w:rsid w:val="3A815725"/>
    <w:rsid w:val="3A8922B6"/>
    <w:rsid w:val="3A8D2E63"/>
    <w:rsid w:val="3A940645"/>
    <w:rsid w:val="3A9B586E"/>
    <w:rsid w:val="3AA700FA"/>
    <w:rsid w:val="3AAE3CB9"/>
    <w:rsid w:val="3AB21E20"/>
    <w:rsid w:val="3AB35224"/>
    <w:rsid w:val="3AB64A60"/>
    <w:rsid w:val="3AB85D9D"/>
    <w:rsid w:val="3AC828F8"/>
    <w:rsid w:val="3ACB354E"/>
    <w:rsid w:val="3ACB4F7F"/>
    <w:rsid w:val="3ACE045D"/>
    <w:rsid w:val="3AD0772F"/>
    <w:rsid w:val="3AD32F7F"/>
    <w:rsid w:val="3AD86400"/>
    <w:rsid w:val="3AD87AA5"/>
    <w:rsid w:val="3ADB7274"/>
    <w:rsid w:val="3AEF0788"/>
    <w:rsid w:val="3AEF224A"/>
    <w:rsid w:val="3AF26B40"/>
    <w:rsid w:val="3B004C27"/>
    <w:rsid w:val="3B184C72"/>
    <w:rsid w:val="3B1F3A0F"/>
    <w:rsid w:val="3B412CE2"/>
    <w:rsid w:val="3B455DE4"/>
    <w:rsid w:val="3B463708"/>
    <w:rsid w:val="3B4E4251"/>
    <w:rsid w:val="3B594187"/>
    <w:rsid w:val="3B5A3FBB"/>
    <w:rsid w:val="3B702CD0"/>
    <w:rsid w:val="3B704E16"/>
    <w:rsid w:val="3B755E62"/>
    <w:rsid w:val="3B795C50"/>
    <w:rsid w:val="3B81253C"/>
    <w:rsid w:val="3B8714AE"/>
    <w:rsid w:val="3B8D1B45"/>
    <w:rsid w:val="3B950B19"/>
    <w:rsid w:val="3B9E4D42"/>
    <w:rsid w:val="3BA6149A"/>
    <w:rsid w:val="3BAD54AD"/>
    <w:rsid w:val="3BB1414A"/>
    <w:rsid w:val="3BB203B7"/>
    <w:rsid w:val="3BB8174E"/>
    <w:rsid w:val="3BB916A1"/>
    <w:rsid w:val="3BBA43DB"/>
    <w:rsid w:val="3BBB2B24"/>
    <w:rsid w:val="3BBC7358"/>
    <w:rsid w:val="3BC22969"/>
    <w:rsid w:val="3BCE4F24"/>
    <w:rsid w:val="3BE15DA9"/>
    <w:rsid w:val="3BE8101C"/>
    <w:rsid w:val="3BEC2013"/>
    <w:rsid w:val="3C030175"/>
    <w:rsid w:val="3C077371"/>
    <w:rsid w:val="3C0D199A"/>
    <w:rsid w:val="3C1C27EC"/>
    <w:rsid w:val="3C28373B"/>
    <w:rsid w:val="3C285FC6"/>
    <w:rsid w:val="3C2B6125"/>
    <w:rsid w:val="3C311D3C"/>
    <w:rsid w:val="3C316E0F"/>
    <w:rsid w:val="3C397601"/>
    <w:rsid w:val="3C511BB1"/>
    <w:rsid w:val="3C5C4C3C"/>
    <w:rsid w:val="3C6136C4"/>
    <w:rsid w:val="3C7A51F9"/>
    <w:rsid w:val="3C7F0FB2"/>
    <w:rsid w:val="3C8259DF"/>
    <w:rsid w:val="3C861925"/>
    <w:rsid w:val="3C8B2FAF"/>
    <w:rsid w:val="3C8D3BAB"/>
    <w:rsid w:val="3C9022DC"/>
    <w:rsid w:val="3C91725A"/>
    <w:rsid w:val="3C934B3D"/>
    <w:rsid w:val="3CBB0654"/>
    <w:rsid w:val="3CC55EB5"/>
    <w:rsid w:val="3CC61B78"/>
    <w:rsid w:val="3CCA2213"/>
    <w:rsid w:val="3CD809B0"/>
    <w:rsid w:val="3CE323F2"/>
    <w:rsid w:val="3CE70D20"/>
    <w:rsid w:val="3CEB55E0"/>
    <w:rsid w:val="3CF36EA1"/>
    <w:rsid w:val="3CF867D3"/>
    <w:rsid w:val="3D07088A"/>
    <w:rsid w:val="3D0F026C"/>
    <w:rsid w:val="3D134BE2"/>
    <w:rsid w:val="3D1C4269"/>
    <w:rsid w:val="3D1C6F74"/>
    <w:rsid w:val="3D2367BD"/>
    <w:rsid w:val="3D36404D"/>
    <w:rsid w:val="3D3A0315"/>
    <w:rsid w:val="3D3A5B51"/>
    <w:rsid w:val="3D3E7553"/>
    <w:rsid w:val="3D455EE5"/>
    <w:rsid w:val="3D590A9F"/>
    <w:rsid w:val="3D5B4690"/>
    <w:rsid w:val="3D6B4ED3"/>
    <w:rsid w:val="3D710A30"/>
    <w:rsid w:val="3D787E71"/>
    <w:rsid w:val="3D7C1E8E"/>
    <w:rsid w:val="3D845DB6"/>
    <w:rsid w:val="3D8B24E2"/>
    <w:rsid w:val="3D8F7853"/>
    <w:rsid w:val="3DA607E6"/>
    <w:rsid w:val="3DA93746"/>
    <w:rsid w:val="3DB676B6"/>
    <w:rsid w:val="3DBC79C0"/>
    <w:rsid w:val="3DC344C4"/>
    <w:rsid w:val="3DC47BD6"/>
    <w:rsid w:val="3DCD0FC0"/>
    <w:rsid w:val="3DD670F4"/>
    <w:rsid w:val="3DD77033"/>
    <w:rsid w:val="3DD94152"/>
    <w:rsid w:val="3DDA17A9"/>
    <w:rsid w:val="3DE014C9"/>
    <w:rsid w:val="3DE04D19"/>
    <w:rsid w:val="3DEE6F5C"/>
    <w:rsid w:val="3DFC4D9E"/>
    <w:rsid w:val="3E020AB9"/>
    <w:rsid w:val="3E047158"/>
    <w:rsid w:val="3E0E64BB"/>
    <w:rsid w:val="3E1F3E06"/>
    <w:rsid w:val="3E233537"/>
    <w:rsid w:val="3E3075EB"/>
    <w:rsid w:val="3E354AE9"/>
    <w:rsid w:val="3E4D4E4A"/>
    <w:rsid w:val="3E4F3CCF"/>
    <w:rsid w:val="3E50268B"/>
    <w:rsid w:val="3E530AA1"/>
    <w:rsid w:val="3E58771B"/>
    <w:rsid w:val="3E7522F7"/>
    <w:rsid w:val="3E7537C6"/>
    <w:rsid w:val="3E8C0B9C"/>
    <w:rsid w:val="3E8E79FD"/>
    <w:rsid w:val="3E8F679C"/>
    <w:rsid w:val="3EA30777"/>
    <w:rsid w:val="3EA51073"/>
    <w:rsid w:val="3EB041CD"/>
    <w:rsid w:val="3EB46E0D"/>
    <w:rsid w:val="3EB8677B"/>
    <w:rsid w:val="3EBE5E58"/>
    <w:rsid w:val="3EC17641"/>
    <w:rsid w:val="3ED447E6"/>
    <w:rsid w:val="3EDB72DD"/>
    <w:rsid w:val="3EE102A9"/>
    <w:rsid w:val="3EE73A21"/>
    <w:rsid w:val="3EE811F3"/>
    <w:rsid w:val="3EE871B2"/>
    <w:rsid w:val="3EEE0FC1"/>
    <w:rsid w:val="3EF23B8C"/>
    <w:rsid w:val="3F0A3769"/>
    <w:rsid w:val="3F0A5071"/>
    <w:rsid w:val="3F1653B1"/>
    <w:rsid w:val="3F1735F3"/>
    <w:rsid w:val="3F190F6E"/>
    <w:rsid w:val="3F1D4758"/>
    <w:rsid w:val="3F1E4B9D"/>
    <w:rsid w:val="3F2226C4"/>
    <w:rsid w:val="3F256EE9"/>
    <w:rsid w:val="3F356CB5"/>
    <w:rsid w:val="3F3D50B3"/>
    <w:rsid w:val="3F3E5D39"/>
    <w:rsid w:val="3F416534"/>
    <w:rsid w:val="3F424D20"/>
    <w:rsid w:val="3F4657D3"/>
    <w:rsid w:val="3F5C0DD0"/>
    <w:rsid w:val="3F5E59F9"/>
    <w:rsid w:val="3F696BFF"/>
    <w:rsid w:val="3F7153F9"/>
    <w:rsid w:val="3F727EFE"/>
    <w:rsid w:val="3F7A6934"/>
    <w:rsid w:val="3F8032BB"/>
    <w:rsid w:val="3F80388E"/>
    <w:rsid w:val="3F827DC4"/>
    <w:rsid w:val="3F853804"/>
    <w:rsid w:val="3F902CB7"/>
    <w:rsid w:val="3FC84440"/>
    <w:rsid w:val="3FD44FCD"/>
    <w:rsid w:val="3FD83E8A"/>
    <w:rsid w:val="3FFA4D2D"/>
    <w:rsid w:val="4009336B"/>
    <w:rsid w:val="40095632"/>
    <w:rsid w:val="400A36E7"/>
    <w:rsid w:val="400E7545"/>
    <w:rsid w:val="40126718"/>
    <w:rsid w:val="402355DF"/>
    <w:rsid w:val="4029495B"/>
    <w:rsid w:val="402E126E"/>
    <w:rsid w:val="403563D8"/>
    <w:rsid w:val="40380A84"/>
    <w:rsid w:val="403C6952"/>
    <w:rsid w:val="40401C22"/>
    <w:rsid w:val="404228F2"/>
    <w:rsid w:val="40502289"/>
    <w:rsid w:val="405D29EC"/>
    <w:rsid w:val="406520C0"/>
    <w:rsid w:val="406C7770"/>
    <w:rsid w:val="40721460"/>
    <w:rsid w:val="407C5F0D"/>
    <w:rsid w:val="40995A08"/>
    <w:rsid w:val="40997B13"/>
    <w:rsid w:val="40A03F19"/>
    <w:rsid w:val="40A90A06"/>
    <w:rsid w:val="40BD5C2E"/>
    <w:rsid w:val="40C313BE"/>
    <w:rsid w:val="40CE24EC"/>
    <w:rsid w:val="40D7424E"/>
    <w:rsid w:val="40DD0E36"/>
    <w:rsid w:val="40E46E5C"/>
    <w:rsid w:val="40F303CB"/>
    <w:rsid w:val="40F90B55"/>
    <w:rsid w:val="41063FF2"/>
    <w:rsid w:val="410C3FBE"/>
    <w:rsid w:val="410D61DB"/>
    <w:rsid w:val="41115C57"/>
    <w:rsid w:val="41181710"/>
    <w:rsid w:val="41224327"/>
    <w:rsid w:val="412D5350"/>
    <w:rsid w:val="413367EF"/>
    <w:rsid w:val="41381C6C"/>
    <w:rsid w:val="413D1EF4"/>
    <w:rsid w:val="413D3165"/>
    <w:rsid w:val="41457AA4"/>
    <w:rsid w:val="41472FCE"/>
    <w:rsid w:val="4147740F"/>
    <w:rsid w:val="414A2574"/>
    <w:rsid w:val="41505427"/>
    <w:rsid w:val="415154E2"/>
    <w:rsid w:val="415622A2"/>
    <w:rsid w:val="415F4688"/>
    <w:rsid w:val="41620B77"/>
    <w:rsid w:val="416C5182"/>
    <w:rsid w:val="416F1F96"/>
    <w:rsid w:val="41766D0B"/>
    <w:rsid w:val="417F09C3"/>
    <w:rsid w:val="41910018"/>
    <w:rsid w:val="41920E17"/>
    <w:rsid w:val="41981988"/>
    <w:rsid w:val="41A42588"/>
    <w:rsid w:val="41A85C0F"/>
    <w:rsid w:val="41B542F9"/>
    <w:rsid w:val="41B77FFB"/>
    <w:rsid w:val="41BC57C3"/>
    <w:rsid w:val="41C07F6A"/>
    <w:rsid w:val="41C43062"/>
    <w:rsid w:val="41C70358"/>
    <w:rsid w:val="41CA7043"/>
    <w:rsid w:val="41CC4B69"/>
    <w:rsid w:val="41CE5028"/>
    <w:rsid w:val="41D1217F"/>
    <w:rsid w:val="41D34149"/>
    <w:rsid w:val="41E43E10"/>
    <w:rsid w:val="41E53E7C"/>
    <w:rsid w:val="41F13FD7"/>
    <w:rsid w:val="41F210AC"/>
    <w:rsid w:val="41F8595E"/>
    <w:rsid w:val="41FD05B5"/>
    <w:rsid w:val="420326FE"/>
    <w:rsid w:val="420518E0"/>
    <w:rsid w:val="420C31B7"/>
    <w:rsid w:val="420D7E51"/>
    <w:rsid w:val="421361D5"/>
    <w:rsid w:val="42144D4F"/>
    <w:rsid w:val="42146F8E"/>
    <w:rsid w:val="421E3EFC"/>
    <w:rsid w:val="42220634"/>
    <w:rsid w:val="42222018"/>
    <w:rsid w:val="42253294"/>
    <w:rsid w:val="4226688D"/>
    <w:rsid w:val="42274448"/>
    <w:rsid w:val="42334BE8"/>
    <w:rsid w:val="42380453"/>
    <w:rsid w:val="42433BAD"/>
    <w:rsid w:val="42610060"/>
    <w:rsid w:val="42683131"/>
    <w:rsid w:val="426C3BA8"/>
    <w:rsid w:val="426E3807"/>
    <w:rsid w:val="426F6386"/>
    <w:rsid w:val="427C0479"/>
    <w:rsid w:val="428A092C"/>
    <w:rsid w:val="428B3288"/>
    <w:rsid w:val="42916AEF"/>
    <w:rsid w:val="429300D0"/>
    <w:rsid w:val="42932ECB"/>
    <w:rsid w:val="42942B9B"/>
    <w:rsid w:val="4296514B"/>
    <w:rsid w:val="429C1143"/>
    <w:rsid w:val="42AA0EAA"/>
    <w:rsid w:val="42B21691"/>
    <w:rsid w:val="42B615A7"/>
    <w:rsid w:val="42B658C0"/>
    <w:rsid w:val="42C65997"/>
    <w:rsid w:val="42D24401"/>
    <w:rsid w:val="42DE1F4F"/>
    <w:rsid w:val="42E74C6D"/>
    <w:rsid w:val="42ED7CC6"/>
    <w:rsid w:val="42F1523C"/>
    <w:rsid w:val="42F554CE"/>
    <w:rsid w:val="42F8373B"/>
    <w:rsid w:val="42FF07D8"/>
    <w:rsid w:val="43032966"/>
    <w:rsid w:val="43122487"/>
    <w:rsid w:val="43124B66"/>
    <w:rsid w:val="431B0F22"/>
    <w:rsid w:val="4321475C"/>
    <w:rsid w:val="43273465"/>
    <w:rsid w:val="432865EF"/>
    <w:rsid w:val="432B6955"/>
    <w:rsid w:val="432C156E"/>
    <w:rsid w:val="432E041B"/>
    <w:rsid w:val="4332264F"/>
    <w:rsid w:val="433229ED"/>
    <w:rsid w:val="433361C5"/>
    <w:rsid w:val="433E13D0"/>
    <w:rsid w:val="4365015C"/>
    <w:rsid w:val="43660FE1"/>
    <w:rsid w:val="43681119"/>
    <w:rsid w:val="436E413C"/>
    <w:rsid w:val="437224E2"/>
    <w:rsid w:val="43727203"/>
    <w:rsid w:val="437471CD"/>
    <w:rsid w:val="43796691"/>
    <w:rsid w:val="437C4538"/>
    <w:rsid w:val="438020AF"/>
    <w:rsid w:val="43817741"/>
    <w:rsid w:val="439671DC"/>
    <w:rsid w:val="439742C4"/>
    <w:rsid w:val="439A5FCD"/>
    <w:rsid w:val="439E1974"/>
    <w:rsid w:val="439E42E3"/>
    <w:rsid w:val="43A26833"/>
    <w:rsid w:val="43A77B03"/>
    <w:rsid w:val="43A917C6"/>
    <w:rsid w:val="43AB19E8"/>
    <w:rsid w:val="43AD17C6"/>
    <w:rsid w:val="43B9736F"/>
    <w:rsid w:val="43BB6C43"/>
    <w:rsid w:val="43C74730"/>
    <w:rsid w:val="43CD740D"/>
    <w:rsid w:val="43D32636"/>
    <w:rsid w:val="43D45F57"/>
    <w:rsid w:val="43DA1B60"/>
    <w:rsid w:val="43E330CE"/>
    <w:rsid w:val="43F01651"/>
    <w:rsid w:val="43F17DC7"/>
    <w:rsid w:val="43F65861"/>
    <w:rsid w:val="43FD4A49"/>
    <w:rsid w:val="440F1486"/>
    <w:rsid w:val="44125FF0"/>
    <w:rsid w:val="44153221"/>
    <w:rsid w:val="441D43A6"/>
    <w:rsid w:val="442C5D28"/>
    <w:rsid w:val="443171F6"/>
    <w:rsid w:val="44394E21"/>
    <w:rsid w:val="444572BC"/>
    <w:rsid w:val="44483951"/>
    <w:rsid w:val="445D7CFA"/>
    <w:rsid w:val="446A6BF4"/>
    <w:rsid w:val="446D6E8D"/>
    <w:rsid w:val="446E63AB"/>
    <w:rsid w:val="44711DA1"/>
    <w:rsid w:val="447F4114"/>
    <w:rsid w:val="44811688"/>
    <w:rsid w:val="44825DD6"/>
    <w:rsid w:val="44844F8B"/>
    <w:rsid w:val="448571E5"/>
    <w:rsid w:val="449563AF"/>
    <w:rsid w:val="44A40A6B"/>
    <w:rsid w:val="44A60CB1"/>
    <w:rsid w:val="44B26B08"/>
    <w:rsid w:val="44C6292F"/>
    <w:rsid w:val="44D97E60"/>
    <w:rsid w:val="44DE283E"/>
    <w:rsid w:val="44DF4D9E"/>
    <w:rsid w:val="44E701F2"/>
    <w:rsid w:val="44F245D0"/>
    <w:rsid w:val="44FB21A7"/>
    <w:rsid w:val="450A6A4E"/>
    <w:rsid w:val="451263AA"/>
    <w:rsid w:val="451606EB"/>
    <w:rsid w:val="451738E9"/>
    <w:rsid w:val="451A45C1"/>
    <w:rsid w:val="451B0D27"/>
    <w:rsid w:val="451F07BF"/>
    <w:rsid w:val="45230F44"/>
    <w:rsid w:val="4527537C"/>
    <w:rsid w:val="45280308"/>
    <w:rsid w:val="452B27F6"/>
    <w:rsid w:val="452B3510"/>
    <w:rsid w:val="452B6700"/>
    <w:rsid w:val="452D4A91"/>
    <w:rsid w:val="452F45DD"/>
    <w:rsid w:val="452F6AFC"/>
    <w:rsid w:val="45331610"/>
    <w:rsid w:val="453B4799"/>
    <w:rsid w:val="453B7338"/>
    <w:rsid w:val="45480DF2"/>
    <w:rsid w:val="4552502D"/>
    <w:rsid w:val="455B46DA"/>
    <w:rsid w:val="458028AC"/>
    <w:rsid w:val="4584740B"/>
    <w:rsid w:val="458E0BAD"/>
    <w:rsid w:val="45961CCD"/>
    <w:rsid w:val="459A2DEB"/>
    <w:rsid w:val="45A1384A"/>
    <w:rsid w:val="45A201F8"/>
    <w:rsid w:val="45A26DFF"/>
    <w:rsid w:val="45AA5591"/>
    <w:rsid w:val="45B80C0E"/>
    <w:rsid w:val="45BF2BDA"/>
    <w:rsid w:val="45C4064D"/>
    <w:rsid w:val="45C800D7"/>
    <w:rsid w:val="45CF5A3E"/>
    <w:rsid w:val="45D30E0C"/>
    <w:rsid w:val="45D52F9E"/>
    <w:rsid w:val="45DC5976"/>
    <w:rsid w:val="45DD06F6"/>
    <w:rsid w:val="45E17A11"/>
    <w:rsid w:val="45E90090"/>
    <w:rsid w:val="45E91A4F"/>
    <w:rsid w:val="45EB352E"/>
    <w:rsid w:val="45FE1A61"/>
    <w:rsid w:val="4601278C"/>
    <w:rsid w:val="4606073D"/>
    <w:rsid w:val="461632EE"/>
    <w:rsid w:val="461676D0"/>
    <w:rsid w:val="46193BB2"/>
    <w:rsid w:val="461E16E1"/>
    <w:rsid w:val="461F140D"/>
    <w:rsid w:val="462E3196"/>
    <w:rsid w:val="46386553"/>
    <w:rsid w:val="46466382"/>
    <w:rsid w:val="46492C2C"/>
    <w:rsid w:val="465C65EC"/>
    <w:rsid w:val="465D0EBC"/>
    <w:rsid w:val="46736F8A"/>
    <w:rsid w:val="46783C63"/>
    <w:rsid w:val="467B38AA"/>
    <w:rsid w:val="469568AC"/>
    <w:rsid w:val="46AC7981"/>
    <w:rsid w:val="46AE198B"/>
    <w:rsid w:val="46AF0D7C"/>
    <w:rsid w:val="46B06807"/>
    <w:rsid w:val="46B15C41"/>
    <w:rsid w:val="46B45895"/>
    <w:rsid w:val="46B719DD"/>
    <w:rsid w:val="46C9020F"/>
    <w:rsid w:val="46CE4EDF"/>
    <w:rsid w:val="46D04C7A"/>
    <w:rsid w:val="46DD4814"/>
    <w:rsid w:val="46DE50C7"/>
    <w:rsid w:val="46E774B8"/>
    <w:rsid w:val="46EC5486"/>
    <w:rsid w:val="46F24577"/>
    <w:rsid w:val="46F25482"/>
    <w:rsid w:val="46F4737E"/>
    <w:rsid w:val="46F474BD"/>
    <w:rsid w:val="47016C6C"/>
    <w:rsid w:val="47077BD7"/>
    <w:rsid w:val="47086ED3"/>
    <w:rsid w:val="47095F17"/>
    <w:rsid w:val="47133829"/>
    <w:rsid w:val="471565BB"/>
    <w:rsid w:val="471C7883"/>
    <w:rsid w:val="473A35ED"/>
    <w:rsid w:val="473D7507"/>
    <w:rsid w:val="473E0DB8"/>
    <w:rsid w:val="4746506D"/>
    <w:rsid w:val="47476708"/>
    <w:rsid w:val="47492F1E"/>
    <w:rsid w:val="475A2820"/>
    <w:rsid w:val="47625413"/>
    <w:rsid w:val="476875BC"/>
    <w:rsid w:val="476F32F6"/>
    <w:rsid w:val="477E2B3E"/>
    <w:rsid w:val="478A7D6B"/>
    <w:rsid w:val="479417E9"/>
    <w:rsid w:val="47956D35"/>
    <w:rsid w:val="47A434E2"/>
    <w:rsid w:val="47C22AE5"/>
    <w:rsid w:val="47C5536D"/>
    <w:rsid w:val="47C65666"/>
    <w:rsid w:val="47C75839"/>
    <w:rsid w:val="47CC7396"/>
    <w:rsid w:val="47CD36FF"/>
    <w:rsid w:val="47D45CC4"/>
    <w:rsid w:val="47DC60AC"/>
    <w:rsid w:val="47DE0504"/>
    <w:rsid w:val="47EF750D"/>
    <w:rsid w:val="47F17265"/>
    <w:rsid w:val="47F308F3"/>
    <w:rsid w:val="47FE4D02"/>
    <w:rsid w:val="48054E6C"/>
    <w:rsid w:val="480C2D2B"/>
    <w:rsid w:val="480F155C"/>
    <w:rsid w:val="48133314"/>
    <w:rsid w:val="481556BD"/>
    <w:rsid w:val="48162383"/>
    <w:rsid w:val="481F0AA9"/>
    <w:rsid w:val="48222C23"/>
    <w:rsid w:val="48270A63"/>
    <w:rsid w:val="48294AA4"/>
    <w:rsid w:val="482B1381"/>
    <w:rsid w:val="48353D45"/>
    <w:rsid w:val="4836539F"/>
    <w:rsid w:val="483667DA"/>
    <w:rsid w:val="483B0352"/>
    <w:rsid w:val="483C6FE8"/>
    <w:rsid w:val="483F7321"/>
    <w:rsid w:val="48575810"/>
    <w:rsid w:val="485B6406"/>
    <w:rsid w:val="48615D7F"/>
    <w:rsid w:val="486237D8"/>
    <w:rsid w:val="48684EBF"/>
    <w:rsid w:val="487068B9"/>
    <w:rsid w:val="487A7086"/>
    <w:rsid w:val="487F14DB"/>
    <w:rsid w:val="48872B18"/>
    <w:rsid w:val="48880AEF"/>
    <w:rsid w:val="488C6ADE"/>
    <w:rsid w:val="489335D2"/>
    <w:rsid w:val="4899127A"/>
    <w:rsid w:val="48996C33"/>
    <w:rsid w:val="489D219A"/>
    <w:rsid w:val="489D5ABD"/>
    <w:rsid w:val="48B273D6"/>
    <w:rsid w:val="48B603A0"/>
    <w:rsid w:val="48C31FD0"/>
    <w:rsid w:val="48C65230"/>
    <w:rsid w:val="48C76253"/>
    <w:rsid w:val="48C93D5B"/>
    <w:rsid w:val="48CC4B57"/>
    <w:rsid w:val="48CD5CCF"/>
    <w:rsid w:val="48CE031E"/>
    <w:rsid w:val="48DD3786"/>
    <w:rsid w:val="48E27B4C"/>
    <w:rsid w:val="48F57672"/>
    <w:rsid w:val="48F90C30"/>
    <w:rsid w:val="490003D1"/>
    <w:rsid w:val="490A448A"/>
    <w:rsid w:val="490C0DCE"/>
    <w:rsid w:val="490C50BF"/>
    <w:rsid w:val="49121B22"/>
    <w:rsid w:val="49164D77"/>
    <w:rsid w:val="491C4E95"/>
    <w:rsid w:val="491D5CAA"/>
    <w:rsid w:val="49233C45"/>
    <w:rsid w:val="49250F03"/>
    <w:rsid w:val="4933371F"/>
    <w:rsid w:val="49341447"/>
    <w:rsid w:val="493D4A1E"/>
    <w:rsid w:val="493E010F"/>
    <w:rsid w:val="494815C9"/>
    <w:rsid w:val="49576E05"/>
    <w:rsid w:val="495C4D88"/>
    <w:rsid w:val="4962016E"/>
    <w:rsid w:val="49676EE0"/>
    <w:rsid w:val="49755955"/>
    <w:rsid w:val="49764102"/>
    <w:rsid w:val="49781E26"/>
    <w:rsid w:val="4979115F"/>
    <w:rsid w:val="4979158B"/>
    <w:rsid w:val="49833BBA"/>
    <w:rsid w:val="498521CD"/>
    <w:rsid w:val="498D00C7"/>
    <w:rsid w:val="498E7890"/>
    <w:rsid w:val="49AF4568"/>
    <w:rsid w:val="49B71F2C"/>
    <w:rsid w:val="49B9553A"/>
    <w:rsid w:val="49CF262B"/>
    <w:rsid w:val="49D9732B"/>
    <w:rsid w:val="49DE3EDA"/>
    <w:rsid w:val="49E902F3"/>
    <w:rsid w:val="49E942B3"/>
    <w:rsid w:val="49F707FF"/>
    <w:rsid w:val="49F70BB9"/>
    <w:rsid w:val="49FC134C"/>
    <w:rsid w:val="49FD6919"/>
    <w:rsid w:val="4A010AB8"/>
    <w:rsid w:val="4A081DEC"/>
    <w:rsid w:val="4A125EE4"/>
    <w:rsid w:val="4A13120E"/>
    <w:rsid w:val="4A187215"/>
    <w:rsid w:val="4A1B23CC"/>
    <w:rsid w:val="4A235E6A"/>
    <w:rsid w:val="4A294FFD"/>
    <w:rsid w:val="4A314103"/>
    <w:rsid w:val="4A3370A6"/>
    <w:rsid w:val="4A360DA7"/>
    <w:rsid w:val="4A4C3A6F"/>
    <w:rsid w:val="4A4C5106"/>
    <w:rsid w:val="4A50775E"/>
    <w:rsid w:val="4A5A11E8"/>
    <w:rsid w:val="4A5A1C87"/>
    <w:rsid w:val="4A6B10D7"/>
    <w:rsid w:val="4A6B2759"/>
    <w:rsid w:val="4A707209"/>
    <w:rsid w:val="4A867A5C"/>
    <w:rsid w:val="4A8A3ABF"/>
    <w:rsid w:val="4A9309B4"/>
    <w:rsid w:val="4A9363D3"/>
    <w:rsid w:val="4A937AD3"/>
    <w:rsid w:val="4A964DA0"/>
    <w:rsid w:val="4A9B5A20"/>
    <w:rsid w:val="4A9C317A"/>
    <w:rsid w:val="4AA85601"/>
    <w:rsid w:val="4AAC5537"/>
    <w:rsid w:val="4AB41F7B"/>
    <w:rsid w:val="4AB71ED9"/>
    <w:rsid w:val="4AB8308F"/>
    <w:rsid w:val="4ABE526B"/>
    <w:rsid w:val="4ABF63CA"/>
    <w:rsid w:val="4AD33EE7"/>
    <w:rsid w:val="4AD55520"/>
    <w:rsid w:val="4AD827D0"/>
    <w:rsid w:val="4AE07217"/>
    <w:rsid w:val="4AE157E1"/>
    <w:rsid w:val="4AEA27EC"/>
    <w:rsid w:val="4AF150A5"/>
    <w:rsid w:val="4AF3476B"/>
    <w:rsid w:val="4AF602D5"/>
    <w:rsid w:val="4AF636DD"/>
    <w:rsid w:val="4AF66371"/>
    <w:rsid w:val="4AF8077D"/>
    <w:rsid w:val="4AFA4E2C"/>
    <w:rsid w:val="4AFE0713"/>
    <w:rsid w:val="4AFE1812"/>
    <w:rsid w:val="4B0716D5"/>
    <w:rsid w:val="4B0727EB"/>
    <w:rsid w:val="4B0E12C9"/>
    <w:rsid w:val="4B132F74"/>
    <w:rsid w:val="4B170AC0"/>
    <w:rsid w:val="4B262B67"/>
    <w:rsid w:val="4B290EF4"/>
    <w:rsid w:val="4B344768"/>
    <w:rsid w:val="4B35348C"/>
    <w:rsid w:val="4B3C05A1"/>
    <w:rsid w:val="4B4628D8"/>
    <w:rsid w:val="4B5E1856"/>
    <w:rsid w:val="4B5F12E0"/>
    <w:rsid w:val="4B6F44D2"/>
    <w:rsid w:val="4B703F25"/>
    <w:rsid w:val="4B7B1B20"/>
    <w:rsid w:val="4B7E22EF"/>
    <w:rsid w:val="4B832EB7"/>
    <w:rsid w:val="4B844BF6"/>
    <w:rsid w:val="4B8B09BD"/>
    <w:rsid w:val="4B8F2EDE"/>
    <w:rsid w:val="4B966813"/>
    <w:rsid w:val="4B9B18FE"/>
    <w:rsid w:val="4BA351AA"/>
    <w:rsid w:val="4BB12FD7"/>
    <w:rsid w:val="4BB2747D"/>
    <w:rsid w:val="4BC31375"/>
    <w:rsid w:val="4BCB596E"/>
    <w:rsid w:val="4BCC68CC"/>
    <w:rsid w:val="4BD102CE"/>
    <w:rsid w:val="4BE03758"/>
    <w:rsid w:val="4BE470C8"/>
    <w:rsid w:val="4BE6307C"/>
    <w:rsid w:val="4BE8741D"/>
    <w:rsid w:val="4BEC3715"/>
    <w:rsid w:val="4BF93867"/>
    <w:rsid w:val="4BF97542"/>
    <w:rsid w:val="4C03387D"/>
    <w:rsid w:val="4C0E110B"/>
    <w:rsid w:val="4C0E2D26"/>
    <w:rsid w:val="4C0F311B"/>
    <w:rsid w:val="4C110E7C"/>
    <w:rsid w:val="4C176F5D"/>
    <w:rsid w:val="4C196A5A"/>
    <w:rsid w:val="4C1E32F4"/>
    <w:rsid w:val="4C2555A1"/>
    <w:rsid w:val="4C372E39"/>
    <w:rsid w:val="4C4A5008"/>
    <w:rsid w:val="4C522685"/>
    <w:rsid w:val="4C5502BE"/>
    <w:rsid w:val="4C606DB5"/>
    <w:rsid w:val="4C646C0F"/>
    <w:rsid w:val="4C6C0CAC"/>
    <w:rsid w:val="4C6E4F14"/>
    <w:rsid w:val="4C724775"/>
    <w:rsid w:val="4C7B155E"/>
    <w:rsid w:val="4C7D5CAE"/>
    <w:rsid w:val="4C8623A2"/>
    <w:rsid w:val="4C9478A8"/>
    <w:rsid w:val="4C95064C"/>
    <w:rsid w:val="4C9B6454"/>
    <w:rsid w:val="4C9E3C93"/>
    <w:rsid w:val="4CAB20A2"/>
    <w:rsid w:val="4CAF7561"/>
    <w:rsid w:val="4CC42BE1"/>
    <w:rsid w:val="4CCC1EC1"/>
    <w:rsid w:val="4CD0311C"/>
    <w:rsid w:val="4CD74710"/>
    <w:rsid w:val="4CE758D1"/>
    <w:rsid w:val="4CEA0AD6"/>
    <w:rsid w:val="4CF023F8"/>
    <w:rsid w:val="4CF24964"/>
    <w:rsid w:val="4CFB24FB"/>
    <w:rsid w:val="4CFD291A"/>
    <w:rsid w:val="4CFD6A65"/>
    <w:rsid w:val="4CFE56F6"/>
    <w:rsid w:val="4D0A1B8C"/>
    <w:rsid w:val="4D155D24"/>
    <w:rsid w:val="4D1749F4"/>
    <w:rsid w:val="4D191715"/>
    <w:rsid w:val="4D292E6F"/>
    <w:rsid w:val="4D2B12E8"/>
    <w:rsid w:val="4D2B2F7F"/>
    <w:rsid w:val="4D327BC8"/>
    <w:rsid w:val="4D39745C"/>
    <w:rsid w:val="4D3C060B"/>
    <w:rsid w:val="4D4443C2"/>
    <w:rsid w:val="4D5362BA"/>
    <w:rsid w:val="4D5756EE"/>
    <w:rsid w:val="4D5D6AE7"/>
    <w:rsid w:val="4D665BEB"/>
    <w:rsid w:val="4D867633"/>
    <w:rsid w:val="4D875139"/>
    <w:rsid w:val="4D8D5092"/>
    <w:rsid w:val="4D8E5B3E"/>
    <w:rsid w:val="4D90494F"/>
    <w:rsid w:val="4D9228D6"/>
    <w:rsid w:val="4D9237BE"/>
    <w:rsid w:val="4D9A68AF"/>
    <w:rsid w:val="4D9A7815"/>
    <w:rsid w:val="4DA22C22"/>
    <w:rsid w:val="4DA37F9B"/>
    <w:rsid w:val="4DAB049A"/>
    <w:rsid w:val="4DB645A8"/>
    <w:rsid w:val="4DB84F31"/>
    <w:rsid w:val="4DBC7B9F"/>
    <w:rsid w:val="4DD35C4F"/>
    <w:rsid w:val="4DD6066A"/>
    <w:rsid w:val="4DDE2722"/>
    <w:rsid w:val="4DE05270"/>
    <w:rsid w:val="4DE97B22"/>
    <w:rsid w:val="4DF30F26"/>
    <w:rsid w:val="4DF31F94"/>
    <w:rsid w:val="4DF45CEC"/>
    <w:rsid w:val="4DF740D0"/>
    <w:rsid w:val="4DFC7583"/>
    <w:rsid w:val="4DFD0C89"/>
    <w:rsid w:val="4E065762"/>
    <w:rsid w:val="4E116F5D"/>
    <w:rsid w:val="4E1232E2"/>
    <w:rsid w:val="4E152412"/>
    <w:rsid w:val="4E1E04FA"/>
    <w:rsid w:val="4E1F152D"/>
    <w:rsid w:val="4E200716"/>
    <w:rsid w:val="4E277073"/>
    <w:rsid w:val="4E2A6615"/>
    <w:rsid w:val="4E2E7E7C"/>
    <w:rsid w:val="4E452C4D"/>
    <w:rsid w:val="4E486EC0"/>
    <w:rsid w:val="4E5A1A0E"/>
    <w:rsid w:val="4E5D41A3"/>
    <w:rsid w:val="4E616639"/>
    <w:rsid w:val="4E634331"/>
    <w:rsid w:val="4E64645E"/>
    <w:rsid w:val="4E6942B2"/>
    <w:rsid w:val="4E781DE4"/>
    <w:rsid w:val="4E7D1A71"/>
    <w:rsid w:val="4E7F6DDE"/>
    <w:rsid w:val="4E845420"/>
    <w:rsid w:val="4E920523"/>
    <w:rsid w:val="4E943020"/>
    <w:rsid w:val="4EA00CA6"/>
    <w:rsid w:val="4EBD0262"/>
    <w:rsid w:val="4EC22A8C"/>
    <w:rsid w:val="4ED5147F"/>
    <w:rsid w:val="4ED82D9F"/>
    <w:rsid w:val="4EF913FF"/>
    <w:rsid w:val="4EF9701E"/>
    <w:rsid w:val="4EFE2249"/>
    <w:rsid w:val="4F0969CF"/>
    <w:rsid w:val="4F0A19E7"/>
    <w:rsid w:val="4F1418FD"/>
    <w:rsid w:val="4F1A00F4"/>
    <w:rsid w:val="4F1D2EA8"/>
    <w:rsid w:val="4F211769"/>
    <w:rsid w:val="4F241610"/>
    <w:rsid w:val="4F2D34B9"/>
    <w:rsid w:val="4F42646A"/>
    <w:rsid w:val="4F493B1E"/>
    <w:rsid w:val="4F4D19E4"/>
    <w:rsid w:val="4F4E3AF6"/>
    <w:rsid w:val="4F517383"/>
    <w:rsid w:val="4F5346D7"/>
    <w:rsid w:val="4F586614"/>
    <w:rsid w:val="4F5970FC"/>
    <w:rsid w:val="4F5A0A34"/>
    <w:rsid w:val="4F5A1113"/>
    <w:rsid w:val="4F5D3ABD"/>
    <w:rsid w:val="4F620943"/>
    <w:rsid w:val="4F653CDB"/>
    <w:rsid w:val="4F6D1BD6"/>
    <w:rsid w:val="4F6E725F"/>
    <w:rsid w:val="4F7113F7"/>
    <w:rsid w:val="4F7648C7"/>
    <w:rsid w:val="4F7F43D6"/>
    <w:rsid w:val="4F8668DA"/>
    <w:rsid w:val="4F873E34"/>
    <w:rsid w:val="4F9165F0"/>
    <w:rsid w:val="4F9B6F25"/>
    <w:rsid w:val="4FAA2D7A"/>
    <w:rsid w:val="4FAF1F53"/>
    <w:rsid w:val="4FC32735"/>
    <w:rsid w:val="4FC34172"/>
    <w:rsid w:val="4FC36743"/>
    <w:rsid w:val="4FD751DA"/>
    <w:rsid w:val="4FE151D2"/>
    <w:rsid w:val="4FE56AFB"/>
    <w:rsid w:val="4FEE2B8B"/>
    <w:rsid w:val="4FF145A1"/>
    <w:rsid w:val="4FF906B6"/>
    <w:rsid w:val="4FF9299C"/>
    <w:rsid w:val="4FF9746A"/>
    <w:rsid w:val="4FFB0E25"/>
    <w:rsid w:val="4FFD566F"/>
    <w:rsid w:val="50082051"/>
    <w:rsid w:val="50151D35"/>
    <w:rsid w:val="501A73E7"/>
    <w:rsid w:val="50221E39"/>
    <w:rsid w:val="5027292C"/>
    <w:rsid w:val="50295962"/>
    <w:rsid w:val="502B338D"/>
    <w:rsid w:val="502F712D"/>
    <w:rsid w:val="503308CA"/>
    <w:rsid w:val="50376B03"/>
    <w:rsid w:val="503A43A4"/>
    <w:rsid w:val="504754F4"/>
    <w:rsid w:val="50593532"/>
    <w:rsid w:val="505A1F5C"/>
    <w:rsid w:val="505B2A66"/>
    <w:rsid w:val="50604210"/>
    <w:rsid w:val="50632AEE"/>
    <w:rsid w:val="506348EA"/>
    <w:rsid w:val="506720DD"/>
    <w:rsid w:val="50687CEE"/>
    <w:rsid w:val="50703156"/>
    <w:rsid w:val="507C68F2"/>
    <w:rsid w:val="507E467D"/>
    <w:rsid w:val="507E53A1"/>
    <w:rsid w:val="508C516E"/>
    <w:rsid w:val="50A22CD9"/>
    <w:rsid w:val="50B436E0"/>
    <w:rsid w:val="50B65F23"/>
    <w:rsid w:val="50BA6F1F"/>
    <w:rsid w:val="50BB4726"/>
    <w:rsid w:val="50C95097"/>
    <w:rsid w:val="50CE5494"/>
    <w:rsid w:val="50D7229F"/>
    <w:rsid w:val="50D824AF"/>
    <w:rsid w:val="50DC6685"/>
    <w:rsid w:val="50E15345"/>
    <w:rsid w:val="50ED2550"/>
    <w:rsid w:val="50F60EA5"/>
    <w:rsid w:val="51021242"/>
    <w:rsid w:val="510750C1"/>
    <w:rsid w:val="511153A7"/>
    <w:rsid w:val="51185011"/>
    <w:rsid w:val="51187B20"/>
    <w:rsid w:val="511F25DE"/>
    <w:rsid w:val="512147D5"/>
    <w:rsid w:val="5127398C"/>
    <w:rsid w:val="512C7C9D"/>
    <w:rsid w:val="512D2A97"/>
    <w:rsid w:val="51326785"/>
    <w:rsid w:val="5139207E"/>
    <w:rsid w:val="51413050"/>
    <w:rsid w:val="514242A4"/>
    <w:rsid w:val="51473B20"/>
    <w:rsid w:val="514A697D"/>
    <w:rsid w:val="514F2738"/>
    <w:rsid w:val="51561969"/>
    <w:rsid w:val="51567B9B"/>
    <w:rsid w:val="515D59EF"/>
    <w:rsid w:val="516473EA"/>
    <w:rsid w:val="51701D35"/>
    <w:rsid w:val="517D4DC2"/>
    <w:rsid w:val="51846843"/>
    <w:rsid w:val="51861AC4"/>
    <w:rsid w:val="51864B3F"/>
    <w:rsid w:val="51922A94"/>
    <w:rsid w:val="519B68EE"/>
    <w:rsid w:val="51A6177C"/>
    <w:rsid w:val="51A7779A"/>
    <w:rsid w:val="51AB1D14"/>
    <w:rsid w:val="51B5656C"/>
    <w:rsid w:val="51B67BA8"/>
    <w:rsid w:val="51BE3FFD"/>
    <w:rsid w:val="51C16FCD"/>
    <w:rsid w:val="51C57EC1"/>
    <w:rsid w:val="51DB5DB4"/>
    <w:rsid w:val="51DF63F5"/>
    <w:rsid w:val="51EC3535"/>
    <w:rsid w:val="51F04373"/>
    <w:rsid w:val="51F53D5C"/>
    <w:rsid w:val="51F577C4"/>
    <w:rsid w:val="51FD2503"/>
    <w:rsid w:val="52024F0B"/>
    <w:rsid w:val="520A6BE9"/>
    <w:rsid w:val="520D24E1"/>
    <w:rsid w:val="521C5209"/>
    <w:rsid w:val="522228B1"/>
    <w:rsid w:val="52230D34"/>
    <w:rsid w:val="522602C5"/>
    <w:rsid w:val="52261089"/>
    <w:rsid w:val="522B2DFA"/>
    <w:rsid w:val="522C608A"/>
    <w:rsid w:val="522D4002"/>
    <w:rsid w:val="522F4C78"/>
    <w:rsid w:val="5233653E"/>
    <w:rsid w:val="52351034"/>
    <w:rsid w:val="523B5E1E"/>
    <w:rsid w:val="524C1962"/>
    <w:rsid w:val="524F58BE"/>
    <w:rsid w:val="52526C26"/>
    <w:rsid w:val="525C0D26"/>
    <w:rsid w:val="525D7EB9"/>
    <w:rsid w:val="5268350C"/>
    <w:rsid w:val="526D0D7E"/>
    <w:rsid w:val="5273304C"/>
    <w:rsid w:val="527C3A46"/>
    <w:rsid w:val="52822282"/>
    <w:rsid w:val="528327AD"/>
    <w:rsid w:val="528C7842"/>
    <w:rsid w:val="528E3305"/>
    <w:rsid w:val="529549DC"/>
    <w:rsid w:val="52A11756"/>
    <w:rsid w:val="52A724F0"/>
    <w:rsid w:val="52A92FB3"/>
    <w:rsid w:val="52AA340B"/>
    <w:rsid w:val="52AF2E6F"/>
    <w:rsid w:val="52B8438A"/>
    <w:rsid w:val="52B93CE6"/>
    <w:rsid w:val="52C76D01"/>
    <w:rsid w:val="52C8137C"/>
    <w:rsid w:val="52D0652B"/>
    <w:rsid w:val="52D06FE2"/>
    <w:rsid w:val="52D15C16"/>
    <w:rsid w:val="52DF558A"/>
    <w:rsid w:val="5300648B"/>
    <w:rsid w:val="530230CD"/>
    <w:rsid w:val="530729CC"/>
    <w:rsid w:val="530D1303"/>
    <w:rsid w:val="53115006"/>
    <w:rsid w:val="53117ADB"/>
    <w:rsid w:val="53226403"/>
    <w:rsid w:val="53236AF5"/>
    <w:rsid w:val="532661E6"/>
    <w:rsid w:val="532D72C8"/>
    <w:rsid w:val="532E7431"/>
    <w:rsid w:val="53303BA4"/>
    <w:rsid w:val="533672CD"/>
    <w:rsid w:val="5338046B"/>
    <w:rsid w:val="534F428A"/>
    <w:rsid w:val="5351022A"/>
    <w:rsid w:val="53525701"/>
    <w:rsid w:val="535B114A"/>
    <w:rsid w:val="535D65AD"/>
    <w:rsid w:val="53615697"/>
    <w:rsid w:val="536A5B30"/>
    <w:rsid w:val="536F4D1B"/>
    <w:rsid w:val="53737443"/>
    <w:rsid w:val="537C50A9"/>
    <w:rsid w:val="537D1A12"/>
    <w:rsid w:val="5380244D"/>
    <w:rsid w:val="53807BE0"/>
    <w:rsid w:val="5387543C"/>
    <w:rsid w:val="539250E9"/>
    <w:rsid w:val="5399725F"/>
    <w:rsid w:val="539F577A"/>
    <w:rsid w:val="53A267F4"/>
    <w:rsid w:val="53A9141E"/>
    <w:rsid w:val="53C2093F"/>
    <w:rsid w:val="53CD28F3"/>
    <w:rsid w:val="53D07E15"/>
    <w:rsid w:val="53D36A56"/>
    <w:rsid w:val="53D414D7"/>
    <w:rsid w:val="53D84DA6"/>
    <w:rsid w:val="53D91C89"/>
    <w:rsid w:val="53E06CD8"/>
    <w:rsid w:val="53E61996"/>
    <w:rsid w:val="53E66DFE"/>
    <w:rsid w:val="53EB5511"/>
    <w:rsid w:val="53EB5D66"/>
    <w:rsid w:val="53F37D7F"/>
    <w:rsid w:val="53FA3887"/>
    <w:rsid w:val="5400353C"/>
    <w:rsid w:val="54014B46"/>
    <w:rsid w:val="54031BB5"/>
    <w:rsid w:val="54044174"/>
    <w:rsid w:val="54071E2A"/>
    <w:rsid w:val="54082D02"/>
    <w:rsid w:val="540D0414"/>
    <w:rsid w:val="540E305A"/>
    <w:rsid w:val="540F0C26"/>
    <w:rsid w:val="540F5A72"/>
    <w:rsid w:val="54187AB4"/>
    <w:rsid w:val="54272CC6"/>
    <w:rsid w:val="542919A7"/>
    <w:rsid w:val="54295925"/>
    <w:rsid w:val="542A5FE7"/>
    <w:rsid w:val="54326406"/>
    <w:rsid w:val="543B4551"/>
    <w:rsid w:val="543F1C5C"/>
    <w:rsid w:val="544230C5"/>
    <w:rsid w:val="54433507"/>
    <w:rsid w:val="544C23C8"/>
    <w:rsid w:val="544F3523"/>
    <w:rsid w:val="54587C12"/>
    <w:rsid w:val="54594C1B"/>
    <w:rsid w:val="545A0EA4"/>
    <w:rsid w:val="54662927"/>
    <w:rsid w:val="54755D12"/>
    <w:rsid w:val="54762367"/>
    <w:rsid w:val="547C78E6"/>
    <w:rsid w:val="547E1F94"/>
    <w:rsid w:val="54852D1F"/>
    <w:rsid w:val="548C233A"/>
    <w:rsid w:val="549247FE"/>
    <w:rsid w:val="549A79DF"/>
    <w:rsid w:val="549D4AAB"/>
    <w:rsid w:val="54A20DC9"/>
    <w:rsid w:val="54B80036"/>
    <w:rsid w:val="54BC08A8"/>
    <w:rsid w:val="54C75945"/>
    <w:rsid w:val="54CA318A"/>
    <w:rsid w:val="54D04E92"/>
    <w:rsid w:val="54D847DD"/>
    <w:rsid w:val="54DB37AE"/>
    <w:rsid w:val="54DB593C"/>
    <w:rsid w:val="54DE3775"/>
    <w:rsid w:val="54E258A1"/>
    <w:rsid w:val="54EA24BE"/>
    <w:rsid w:val="54ED4232"/>
    <w:rsid w:val="54F6614B"/>
    <w:rsid w:val="54FB3A7B"/>
    <w:rsid w:val="54FE4116"/>
    <w:rsid w:val="55066C88"/>
    <w:rsid w:val="550A555A"/>
    <w:rsid w:val="550C38C4"/>
    <w:rsid w:val="550F272A"/>
    <w:rsid w:val="550F7E86"/>
    <w:rsid w:val="55142D59"/>
    <w:rsid w:val="55216AEF"/>
    <w:rsid w:val="552247E2"/>
    <w:rsid w:val="5524445C"/>
    <w:rsid w:val="553B4117"/>
    <w:rsid w:val="554F426F"/>
    <w:rsid w:val="55511311"/>
    <w:rsid w:val="55597DDE"/>
    <w:rsid w:val="555B36E7"/>
    <w:rsid w:val="555D2611"/>
    <w:rsid w:val="55616260"/>
    <w:rsid w:val="556524DF"/>
    <w:rsid w:val="556E454B"/>
    <w:rsid w:val="556E5219"/>
    <w:rsid w:val="55701244"/>
    <w:rsid w:val="55710991"/>
    <w:rsid w:val="557E290D"/>
    <w:rsid w:val="55833339"/>
    <w:rsid w:val="558F6A6B"/>
    <w:rsid w:val="55905000"/>
    <w:rsid w:val="559432B0"/>
    <w:rsid w:val="55967CC8"/>
    <w:rsid w:val="559C52ED"/>
    <w:rsid w:val="559F4DDD"/>
    <w:rsid w:val="55A801BE"/>
    <w:rsid w:val="55AF7BEA"/>
    <w:rsid w:val="55C01A10"/>
    <w:rsid w:val="55D3528C"/>
    <w:rsid w:val="55D44DC6"/>
    <w:rsid w:val="55D703E0"/>
    <w:rsid w:val="55D957E3"/>
    <w:rsid w:val="55E03D4E"/>
    <w:rsid w:val="55F15419"/>
    <w:rsid w:val="55F36D31"/>
    <w:rsid w:val="55F71479"/>
    <w:rsid w:val="55F744B6"/>
    <w:rsid w:val="55FA184D"/>
    <w:rsid w:val="55FB4DCA"/>
    <w:rsid w:val="56007AA2"/>
    <w:rsid w:val="560F3D8B"/>
    <w:rsid w:val="5618252A"/>
    <w:rsid w:val="56195FC4"/>
    <w:rsid w:val="562154B5"/>
    <w:rsid w:val="56230B63"/>
    <w:rsid w:val="5623104D"/>
    <w:rsid w:val="56237053"/>
    <w:rsid w:val="56312D95"/>
    <w:rsid w:val="564135C2"/>
    <w:rsid w:val="564A657C"/>
    <w:rsid w:val="565359EF"/>
    <w:rsid w:val="56674144"/>
    <w:rsid w:val="566B30A9"/>
    <w:rsid w:val="5671376A"/>
    <w:rsid w:val="56715B0B"/>
    <w:rsid w:val="567175E4"/>
    <w:rsid w:val="567F25FF"/>
    <w:rsid w:val="567F4017"/>
    <w:rsid w:val="567F433A"/>
    <w:rsid w:val="56821601"/>
    <w:rsid w:val="56861107"/>
    <w:rsid w:val="568E4115"/>
    <w:rsid w:val="569137D0"/>
    <w:rsid w:val="56985568"/>
    <w:rsid w:val="569C398A"/>
    <w:rsid w:val="56A55174"/>
    <w:rsid w:val="56AB5FD3"/>
    <w:rsid w:val="56B0417B"/>
    <w:rsid w:val="56B970F3"/>
    <w:rsid w:val="56C91D8C"/>
    <w:rsid w:val="56CD148A"/>
    <w:rsid w:val="56D36451"/>
    <w:rsid w:val="56D40F85"/>
    <w:rsid w:val="56E11FFE"/>
    <w:rsid w:val="56E64265"/>
    <w:rsid w:val="56E86641"/>
    <w:rsid w:val="56EB388B"/>
    <w:rsid w:val="56F075CD"/>
    <w:rsid w:val="56F761A5"/>
    <w:rsid w:val="56F86941"/>
    <w:rsid w:val="56FE672C"/>
    <w:rsid w:val="570659F4"/>
    <w:rsid w:val="57074E77"/>
    <w:rsid w:val="570761E2"/>
    <w:rsid w:val="57082475"/>
    <w:rsid w:val="57083A41"/>
    <w:rsid w:val="570C7F57"/>
    <w:rsid w:val="57204035"/>
    <w:rsid w:val="57221369"/>
    <w:rsid w:val="57285916"/>
    <w:rsid w:val="57290C0E"/>
    <w:rsid w:val="572B49D7"/>
    <w:rsid w:val="572E0F57"/>
    <w:rsid w:val="5734530F"/>
    <w:rsid w:val="574C17A5"/>
    <w:rsid w:val="575006E4"/>
    <w:rsid w:val="57534343"/>
    <w:rsid w:val="57551634"/>
    <w:rsid w:val="575639D5"/>
    <w:rsid w:val="57645A74"/>
    <w:rsid w:val="576636BF"/>
    <w:rsid w:val="57854515"/>
    <w:rsid w:val="57861FCD"/>
    <w:rsid w:val="578D47BC"/>
    <w:rsid w:val="57974DC0"/>
    <w:rsid w:val="579F0BA0"/>
    <w:rsid w:val="57AE1F2F"/>
    <w:rsid w:val="57B53024"/>
    <w:rsid w:val="57B74699"/>
    <w:rsid w:val="57B91DA5"/>
    <w:rsid w:val="57BA2125"/>
    <w:rsid w:val="57BB325E"/>
    <w:rsid w:val="57C0097E"/>
    <w:rsid w:val="57C41411"/>
    <w:rsid w:val="57D13D90"/>
    <w:rsid w:val="57DC1045"/>
    <w:rsid w:val="57DE35F7"/>
    <w:rsid w:val="57E55435"/>
    <w:rsid w:val="57EE7B8A"/>
    <w:rsid w:val="57F14ED1"/>
    <w:rsid w:val="57FA4473"/>
    <w:rsid w:val="580224BD"/>
    <w:rsid w:val="5807343D"/>
    <w:rsid w:val="58073FE1"/>
    <w:rsid w:val="580A0B05"/>
    <w:rsid w:val="580C6E70"/>
    <w:rsid w:val="581D61CA"/>
    <w:rsid w:val="58222391"/>
    <w:rsid w:val="5823446A"/>
    <w:rsid w:val="58237626"/>
    <w:rsid w:val="582B5149"/>
    <w:rsid w:val="5835594E"/>
    <w:rsid w:val="58360DB0"/>
    <w:rsid w:val="583E0C24"/>
    <w:rsid w:val="58417A38"/>
    <w:rsid w:val="585302BB"/>
    <w:rsid w:val="585B12CA"/>
    <w:rsid w:val="58686926"/>
    <w:rsid w:val="58717B8D"/>
    <w:rsid w:val="587A6B3A"/>
    <w:rsid w:val="587F1E9D"/>
    <w:rsid w:val="58826B9D"/>
    <w:rsid w:val="58864E26"/>
    <w:rsid w:val="58895060"/>
    <w:rsid w:val="58907170"/>
    <w:rsid w:val="589D6D3E"/>
    <w:rsid w:val="58A2254E"/>
    <w:rsid w:val="58A40D0E"/>
    <w:rsid w:val="58A837E2"/>
    <w:rsid w:val="58A90AFC"/>
    <w:rsid w:val="58CB07D2"/>
    <w:rsid w:val="58E752C5"/>
    <w:rsid w:val="58ED5699"/>
    <w:rsid w:val="58EF3143"/>
    <w:rsid w:val="58F418D2"/>
    <w:rsid w:val="58F5343E"/>
    <w:rsid w:val="58F66865"/>
    <w:rsid w:val="58FA3445"/>
    <w:rsid w:val="590D6992"/>
    <w:rsid w:val="59140FDA"/>
    <w:rsid w:val="591538F9"/>
    <w:rsid w:val="591724D7"/>
    <w:rsid w:val="591D1C7D"/>
    <w:rsid w:val="59260864"/>
    <w:rsid w:val="592F47DB"/>
    <w:rsid w:val="5931496B"/>
    <w:rsid w:val="593B47E4"/>
    <w:rsid w:val="594B70C0"/>
    <w:rsid w:val="594F1EAF"/>
    <w:rsid w:val="59567CA3"/>
    <w:rsid w:val="595B266A"/>
    <w:rsid w:val="59610918"/>
    <w:rsid w:val="59706BE5"/>
    <w:rsid w:val="597102E2"/>
    <w:rsid w:val="5971043F"/>
    <w:rsid w:val="59775992"/>
    <w:rsid w:val="59874D97"/>
    <w:rsid w:val="59882F10"/>
    <w:rsid w:val="598A01F7"/>
    <w:rsid w:val="598B41B8"/>
    <w:rsid w:val="59932A2E"/>
    <w:rsid w:val="599C17F6"/>
    <w:rsid w:val="59A33563"/>
    <w:rsid w:val="59A636BE"/>
    <w:rsid w:val="59AB5D9E"/>
    <w:rsid w:val="59AB748D"/>
    <w:rsid w:val="59B06563"/>
    <w:rsid w:val="59B4260A"/>
    <w:rsid w:val="59B816D5"/>
    <w:rsid w:val="59BC3B74"/>
    <w:rsid w:val="59BC693F"/>
    <w:rsid w:val="59BD4892"/>
    <w:rsid w:val="59C00F19"/>
    <w:rsid w:val="59C31014"/>
    <w:rsid w:val="59C641DF"/>
    <w:rsid w:val="59C65335"/>
    <w:rsid w:val="59C65FAD"/>
    <w:rsid w:val="59C86701"/>
    <w:rsid w:val="59D13544"/>
    <w:rsid w:val="59D33D8C"/>
    <w:rsid w:val="59D46F33"/>
    <w:rsid w:val="59D800F7"/>
    <w:rsid w:val="59DA6F5F"/>
    <w:rsid w:val="59EC42D6"/>
    <w:rsid w:val="59F24DAB"/>
    <w:rsid w:val="59FC62E8"/>
    <w:rsid w:val="5A0203C4"/>
    <w:rsid w:val="5A03242E"/>
    <w:rsid w:val="5A0E104D"/>
    <w:rsid w:val="5A107ECC"/>
    <w:rsid w:val="5A161379"/>
    <w:rsid w:val="5A161770"/>
    <w:rsid w:val="5A17252D"/>
    <w:rsid w:val="5A182429"/>
    <w:rsid w:val="5A192E08"/>
    <w:rsid w:val="5A22309B"/>
    <w:rsid w:val="5A2A3B31"/>
    <w:rsid w:val="5A44753A"/>
    <w:rsid w:val="5A4906FA"/>
    <w:rsid w:val="5A4C6244"/>
    <w:rsid w:val="5A5A7D8D"/>
    <w:rsid w:val="5A6A1749"/>
    <w:rsid w:val="5A6A3DF7"/>
    <w:rsid w:val="5A6E7CBA"/>
    <w:rsid w:val="5A751A89"/>
    <w:rsid w:val="5A7B1640"/>
    <w:rsid w:val="5A7C49C2"/>
    <w:rsid w:val="5A7D5D9B"/>
    <w:rsid w:val="5A8171FC"/>
    <w:rsid w:val="5A874382"/>
    <w:rsid w:val="5A910755"/>
    <w:rsid w:val="5A9F29C3"/>
    <w:rsid w:val="5AA32B48"/>
    <w:rsid w:val="5AB04A36"/>
    <w:rsid w:val="5AB75FA5"/>
    <w:rsid w:val="5AC027CD"/>
    <w:rsid w:val="5AC468CD"/>
    <w:rsid w:val="5ACD4E72"/>
    <w:rsid w:val="5AE12FAC"/>
    <w:rsid w:val="5AE478C9"/>
    <w:rsid w:val="5AE807FE"/>
    <w:rsid w:val="5AF754E8"/>
    <w:rsid w:val="5B04300F"/>
    <w:rsid w:val="5B0574DD"/>
    <w:rsid w:val="5B082266"/>
    <w:rsid w:val="5B0A5C2D"/>
    <w:rsid w:val="5B0D00B9"/>
    <w:rsid w:val="5B0E7B48"/>
    <w:rsid w:val="5B102527"/>
    <w:rsid w:val="5B134716"/>
    <w:rsid w:val="5B1A029B"/>
    <w:rsid w:val="5B205367"/>
    <w:rsid w:val="5B227055"/>
    <w:rsid w:val="5B2870B8"/>
    <w:rsid w:val="5B2A44C3"/>
    <w:rsid w:val="5B3772C6"/>
    <w:rsid w:val="5B4012DE"/>
    <w:rsid w:val="5B4473E5"/>
    <w:rsid w:val="5B4E5D18"/>
    <w:rsid w:val="5B542B19"/>
    <w:rsid w:val="5B5E09DF"/>
    <w:rsid w:val="5B5F11CE"/>
    <w:rsid w:val="5B654FAD"/>
    <w:rsid w:val="5B6657D5"/>
    <w:rsid w:val="5B670172"/>
    <w:rsid w:val="5B746055"/>
    <w:rsid w:val="5B7E4CCE"/>
    <w:rsid w:val="5B812073"/>
    <w:rsid w:val="5B94541E"/>
    <w:rsid w:val="5B960F1C"/>
    <w:rsid w:val="5B994B72"/>
    <w:rsid w:val="5B9E5CA2"/>
    <w:rsid w:val="5BA50D36"/>
    <w:rsid w:val="5BB379AF"/>
    <w:rsid w:val="5BB76265"/>
    <w:rsid w:val="5BBA0E97"/>
    <w:rsid w:val="5BC47963"/>
    <w:rsid w:val="5BC508FC"/>
    <w:rsid w:val="5BD05E30"/>
    <w:rsid w:val="5BD202F8"/>
    <w:rsid w:val="5BD5501F"/>
    <w:rsid w:val="5BDF3820"/>
    <w:rsid w:val="5BE020BF"/>
    <w:rsid w:val="5BEA6483"/>
    <w:rsid w:val="5BEC1A5C"/>
    <w:rsid w:val="5BF62AB6"/>
    <w:rsid w:val="5BF9405D"/>
    <w:rsid w:val="5BF941F5"/>
    <w:rsid w:val="5BFB2DF6"/>
    <w:rsid w:val="5BFC6476"/>
    <w:rsid w:val="5C013209"/>
    <w:rsid w:val="5C0164C2"/>
    <w:rsid w:val="5C0D54EB"/>
    <w:rsid w:val="5C1075E9"/>
    <w:rsid w:val="5C114D8C"/>
    <w:rsid w:val="5C1552AB"/>
    <w:rsid w:val="5C1A30CE"/>
    <w:rsid w:val="5C1C535B"/>
    <w:rsid w:val="5C1D2DB2"/>
    <w:rsid w:val="5C1F3084"/>
    <w:rsid w:val="5C214843"/>
    <w:rsid w:val="5C231F03"/>
    <w:rsid w:val="5C257E51"/>
    <w:rsid w:val="5C297F4A"/>
    <w:rsid w:val="5C2E439D"/>
    <w:rsid w:val="5C3A0AE3"/>
    <w:rsid w:val="5C3B190B"/>
    <w:rsid w:val="5C3C7AF1"/>
    <w:rsid w:val="5C4D76D0"/>
    <w:rsid w:val="5C513537"/>
    <w:rsid w:val="5C55226A"/>
    <w:rsid w:val="5C6A1A7F"/>
    <w:rsid w:val="5C702A11"/>
    <w:rsid w:val="5C7D6B40"/>
    <w:rsid w:val="5C860032"/>
    <w:rsid w:val="5C875E04"/>
    <w:rsid w:val="5C8B0D11"/>
    <w:rsid w:val="5C8E5CFA"/>
    <w:rsid w:val="5C9A4ED2"/>
    <w:rsid w:val="5CA066E2"/>
    <w:rsid w:val="5CA853BB"/>
    <w:rsid w:val="5CAA048E"/>
    <w:rsid w:val="5CB04B26"/>
    <w:rsid w:val="5CC2508E"/>
    <w:rsid w:val="5CC6525F"/>
    <w:rsid w:val="5CC95C81"/>
    <w:rsid w:val="5CCB3F43"/>
    <w:rsid w:val="5CCC13C0"/>
    <w:rsid w:val="5CD05197"/>
    <w:rsid w:val="5CD2552C"/>
    <w:rsid w:val="5CD3605E"/>
    <w:rsid w:val="5CEA1BB3"/>
    <w:rsid w:val="5CEB0235"/>
    <w:rsid w:val="5CEF45A9"/>
    <w:rsid w:val="5CFC41B2"/>
    <w:rsid w:val="5D0441E6"/>
    <w:rsid w:val="5D086F45"/>
    <w:rsid w:val="5D0A457F"/>
    <w:rsid w:val="5D120C2C"/>
    <w:rsid w:val="5D162B06"/>
    <w:rsid w:val="5D22018C"/>
    <w:rsid w:val="5D283CD5"/>
    <w:rsid w:val="5D2E6217"/>
    <w:rsid w:val="5D3A346E"/>
    <w:rsid w:val="5D3D258A"/>
    <w:rsid w:val="5D3D69ED"/>
    <w:rsid w:val="5D4208F6"/>
    <w:rsid w:val="5D484C68"/>
    <w:rsid w:val="5D5057CF"/>
    <w:rsid w:val="5D5069A3"/>
    <w:rsid w:val="5D510438"/>
    <w:rsid w:val="5D574BBB"/>
    <w:rsid w:val="5D683540"/>
    <w:rsid w:val="5D7C59F0"/>
    <w:rsid w:val="5D8F761C"/>
    <w:rsid w:val="5D9F6C4F"/>
    <w:rsid w:val="5DA40BF6"/>
    <w:rsid w:val="5DB53958"/>
    <w:rsid w:val="5DB831F1"/>
    <w:rsid w:val="5DBE2293"/>
    <w:rsid w:val="5DC031C7"/>
    <w:rsid w:val="5DC42740"/>
    <w:rsid w:val="5DC6144D"/>
    <w:rsid w:val="5DCC1BA2"/>
    <w:rsid w:val="5DCF2646"/>
    <w:rsid w:val="5DD04D80"/>
    <w:rsid w:val="5DD1273E"/>
    <w:rsid w:val="5DD537BC"/>
    <w:rsid w:val="5DE47E7C"/>
    <w:rsid w:val="5DED1E3C"/>
    <w:rsid w:val="5DF159A6"/>
    <w:rsid w:val="5DFB43B4"/>
    <w:rsid w:val="5E01214C"/>
    <w:rsid w:val="5E0E2BEE"/>
    <w:rsid w:val="5E1C56C7"/>
    <w:rsid w:val="5E1D1B4E"/>
    <w:rsid w:val="5E1D2120"/>
    <w:rsid w:val="5E1D4E3C"/>
    <w:rsid w:val="5E2427B4"/>
    <w:rsid w:val="5E27069A"/>
    <w:rsid w:val="5E2A4017"/>
    <w:rsid w:val="5E347D3F"/>
    <w:rsid w:val="5E3D23BC"/>
    <w:rsid w:val="5E472105"/>
    <w:rsid w:val="5E4A5A51"/>
    <w:rsid w:val="5E4C1E64"/>
    <w:rsid w:val="5E4C4C10"/>
    <w:rsid w:val="5E4D0988"/>
    <w:rsid w:val="5E554891"/>
    <w:rsid w:val="5E63698F"/>
    <w:rsid w:val="5E6463FD"/>
    <w:rsid w:val="5E752EF9"/>
    <w:rsid w:val="5E7D7630"/>
    <w:rsid w:val="5E7F4165"/>
    <w:rsid w:val="5E8813AD"/>
    <w:rsid w:val="5E88724D"/>
    <w:rsid w:val="5E8C0EF7"/>
    <w:rsid w:val="5E99597B"/>
    <w:rsid w:val="5E9D2B78"/>
    <w:rsid w:val="5EA15444"/>
    <w:rsid w:val="5EB34391"/>
    <w:rsid w:val="5EB47F29"/>
    <w:rsid w:val="5EB76270"/>
    <w:rsid w:val="5EBF22C3"/>
    <w:rsid w:val="5EC677DA"/>
    <w:rsid w:val="5ED45D33"/>
    <w:rsid w:val="5ED92027"/>
    <w:rsid w:val="5EE53F70"/>
    <w:rsid w:val="5EE5676D"/>
    <w:rsid w:val="5EE92277"/>
    <w:rsid w:val="5EEB5EAC"/>
    <w:rsid w:val="5EF51E1E"/>
    <w:rsid w:val="5EF7101F"/>
    <w:rsid w:val="5EFF503E"/>
    <w:rsid w:val="5F087C88"/>
    <w:rsid w:val="5F0A72A8"/>
    <w:rsid w:val="5F130392"/>
    <w:rsid w:val="5F143F93"/>
    <w:rsid w:val="5F156626"/>
    <w:rsid w:val="5F2814C5"/>
    <w:rsid w:val="5F3662EB"/>
    <w:rsid w:val="5F441B00"/>
    <w:rsid w:val="5F487ACD"/>
    <w:rsid w:val="5F4B322A"/>
    <w:rsid w:val="5F532D75"/>
    <w:rsid w:val="5F556F33"/>
    <w:rsid w:val="5F557F6C"/>
    <w:rsid w:val="5F590AFE"/>
    <w:rsid w:val="5F591EED"/>
    <w:rsid w:val="5F6A26F0"/>
    <w:rsid w:val="5F6E0228"/>
    <w:rsid w:val="5F7C23C8"/>
    <w:rsid w:val="5F7E010D"/>
    <w:rsid w:val="5F881DEC"/>
    <w:rsid w:val="5FA105C8"/>
    <w:rsid w:val="5FA21B8C"/>
    <w:rsid w:val="5FA55FE5"/>
    <w:rsid w:val="5FA852C4"/>
    <w:rsid w:val="5FB03F5A"/>
    <w:rsid w:val="5FB10473"/>
    <w:rsid w:val="5FB12993"/>
    <w:rsid w:val="5FB47E6E"/>
    <w:rsid w:val="5FB962D5"/>
    <w:rsid w:val="5FBC7AF6"/>
    <w:rsid w:val="5FCD523E"/>
    <w:rsid w:val="5FCE38DA"/>
    <w:rsid w:val="5FD21144"/>
    <w:rsid w:val="5FD36BC0"/>
    <w:rsid w:val="5FD622E3"/>
    <w:rsid w:val="5FE06C43"/>
    <w:rsid w:val="5FE60617"/>
    <w:rsid w:val="5FE66D44"/>
    <w:rsid w:val="5FEF2AB4"/>
    <w:rsid w:val="5FF147CE"/>
    <w:rsid w:val="600E31ED"/>
    <w:rsid w:val="60107A63"/>
    <w:rsid w:val="60137EF7"/>
    <w:rsid w:val="601823AC"/>
    <w:rsid w:val="601825F6"/>
    <w:rsid w:val="603242D9"/>
    <w:rsid w:val="6038472C"/>
    <w:rsid w:val="603F3F85"/>
    <w:rsid w:val="60427936"/>
    <w:rsid w:val="604719D7"/>
    <w:rsid w:val="604E5B1A"/>
    <w:rsid w:val="604F2971"/>
    <w:rsid w:val="605B3F9A"/>
    <w:rsid w:val="60602707"/>
    <w:rsid w:val="606A551E"/>
    <w:rsid w:val="606D317C"/>
    <w:rsid w:val="6072339A"/>
    <w:rsid w:val="60740B96"/>
    <w:rsid w:val="60875206"/>
    <w:rsid w:val="60881FE9"/>
    <w:rsid w:val="608E4738"/>
    <w:rsid w:val="608F1B31"/>
    <w:rsid w:val="609151FB"/>
    <w:rsid w:val="60967C35"/>
    <w:rsid w:val="609B5F08"/>
    <w:rsid w:val="60AC7B66"/>
    <w:rsid w:val="60B14442"/>
    <w:rsid w:val="60B17065"/>
    <w:rsid w:val="60BA77D7"/>
    <w:rsid w:val="60C025B5"/>
    <w:rsid w:val="60C23BAE"/>
    <w:rsid w:val="60CC028A"/>
    <w:rsid w:val="60CD222B"/>
    <w:rsid w:val="60D21624"/>
    <w:rsid w:val="60DD4245"/>
    <w:rsid w:val="60E53EF7"/>
    <w:rsid w:val="60EB71B9"/>
    <w:rsid w:val="60EF2310"/>
    <w:rsid w:val="60FA358A"/>
    <w:rsid w:val="6105134E"/>
    <w:rsid w:val="610565F9"/>
    <w:rsid w:val="6112728D"/>
    <w:rsid w:val="61131A15"/>
    <w:rsid w:val="61174A84"/>
    <w:rsid w:val="61184007"/>
    <w:rsid w:val="61192629"/>
    <w:rsid w:val="612770EE"/>
    <w:rsid w:val="61316F6A"/>
    <w:rsid w:val="614215EB"/>
    <w:rsid w:val="614D27CE"/>
    <w:rsid w:val="615C247C"/>
    <w:rsid w:val="615D673B"/>
    <w:rsid w:val="6166423A"/>
    <w:rsid w:val="616851F1"/>
    <w:rsid w:val="616B553A"/>
    <w:rsid w:val="61760025"/>
    <w:rsid w:val="61783C9A"/>
    <w:rsid w:val="617A3609"/>
    <w:rsid w:val="61862848"/>
    <w:rsid w:val="618D67E7"/>
    <w:rsid w:val="618F19E3"/>
    <w:rsid w:val="6194205D"/>
    <w:rsid w:val="619A2CC5"/>
    <w:rsid w:val="619B6549"/>
    <w:rsid w:val="619F1CCA"/>
    <w:rsid w:val="61A03F43"/>
    <w:rsid w:val="61A30EF3"/>
    <w:rsid w:val="61B47F74"/>
    <w:rsid w:val="61B62540"/>
    <w:rsid w:val="61BC1174"/>
    <w:rsid w:val="61BF4DD9"/>
    <w:rsid w:val="61C07EA9"/>
    <w:rsid w:val="61E348DC"/>
    <w:rsid w:val="61E93B7D"/>
    <w:rsid w:val="61ED34A6"/>
    <w:rsid w:val="61FF4E24"/>
    <w:rsid w:val="620D46B6"/>
    <w:rsid w:val="62135653"/>
    <w:rsid w:val="62196DE1"/>
    <w:rsid w:val="624F5D2F"/>
    <w:rsid w:val="625314A1"/>
    <w:rsid w:val="62536426"/>
    <w:rsid w:val="625422E5"/>
    <w:rsid w:val="62606EDB"/>
    <w:rsid w:val="626547AE"/>
    <w:rsid w:val="62665122"/>
    <w:rsid w:val="62704D8B"/>
    <w:rsid w:val="62797205"/>
    <w:rsid w:val="62831DAD"/>
    <w:rsid w:val="628A1441"/>
    <w:rsid w:val="62AA3E21"/>
    <w:rsid w:val="62AB5E16"/>
    <w:rsid w:val="62AE2AAC"/>
    <w:rsid w:val="62B16496"/>
    <w:rsid w:val="62BA6BA1"/>
    <w:rsid w:val="62C01969"/>
    <w:rsid w:val="62C57469"/>
    <w:rsid w:val="62D46F10"/>
    <w:rsid w:val="62E413C1"/>
    <w:rsid w:val="62F15FE1"/>
    <w:rsid w:val="63020128"/>
    <w:rsid w:val="630A71DD"/>
    <w:rsid w:val="63113EF9"/>
    <w:rsid w:val="63234A46"/>
    <w:rsid w:val="63324C59"/>
    <w:rsid w:val="633921EE"/>
    <w:rsid w:val="633C1855"/>
    <w:rsid w:val="633D721D"/>
    <w:rsid w:val="633F5973"/>
    <w:rsid w:val="63442381"/>
    <w:rsid w:val="634836E3"/>
    <w:rsid w:val="63492DD9"/>
    <w:rsid w:val="6349397A"/>
    <w:rsid w:val="634A2566"/>
    <w:rsid w:val="6350742C"/>
    <w:rsid w:val="63625D08"/>
    <w:rsid w:val="6365410F"/>
    <w:rsid w:val="636C0FEC"/>
    <w:rsid w:val="636C555A"/>
    <w:rsid w:val="63750F39"/>
    <w:rsid w:val="63775B72"/>
    <w:rsid w:val="63791CC3"/>
    <w:rsid w:val="637F4A15"/>
    <w:rsid w:val="638D55AC"/>
    <w:rsid w:val="638F6C7B"/>
    <w:rsid w:val="6391670C"/>
    <w:rsid w:val="63A84EC6"/>
    <w:rsid w:val="63AA5EAF"/>
    <w:rsid w:val="63AF5A0B"/>
    <w:rsid w:val="63B66A74"/>
    <w:rsid w:val="63C45EE3"/>
    <w:rsid w:val="63CF054E"/>
    <w:rsid w:val="63D80CF3"/>
    <w:rsid w:val="63D850D2"/>
    <w:rsid w:val="63D91A8B"/>
    <w:rsid w:val="63DC4C88"/>
    <w:rsid w:val="63DD5EB4"/>
    <w:rsid w:val="63E34F0E"/>
    <w:rsid w:val="63E6449C"/>
    <w:rsid w:val="64060E2E"/>
    <w:rsid w:val="640F56D4"/>
    <w:rsid w:val="641174AC"/>
    <w:rsid w:val="64196C93"/>
    <w:rsid w:val="641C77E2"/>
    <w:rsid w:val="64260DA1"/>
    <w:rsid w:val="64302039"/>
    <w:rsid w:val="64307141"/>
    <w:rsid w:val="644D555D"/>
    <w:rsid w:val="645A5484"/>
    <w:rsid w:val="646422D0"/>
    <w:rsid w:val="646577F6"/>
    <w:rsid w:val="646C600B"/>
    <w:rsid w:val="64720B91"/>
    <w:rsid w:val="6474555D"/>
    <w:rsid w:val="64747F00"/>
    <w:rsid w:val="6478722C"/>
    <w:rsid w:val="647C1D24"/>
    <w:rsid w:val="647E7E4E"/>
    <w:rsid w:val="648275DD"/>
    <w:rsid w:val="64851F60"/>
    <w:rsid w:val="648B5135"/>
    <w:rsid w:val="648F44BA"/>
    <w:rsid w:val="64941AEE"/>
    <w:rsid w:val="649464C8"/>
    <w:rsid w:val="64A21DAD"/>
    <w:rsid w:val="64A2787B"/>
    <w:rsid w:val="64AC28AC"/>
    <w:rsid w:val="64AE0C73"/>
    <w:rsid w:val="64B1449D"/>
    <w:rsid w:val="64C141D2"/>
    <w:rsid w:val="64C14CAE"/>
    <w:rsid w:val="64C1593A"/>
    <w:rsid w:val="64C27325"/>
    <w:rsid w:val="64C40C12"/>
    <w:rsid w:val="64C7398F"/>
    <w:rsid w:val="64D23B24"/>
    <w:rsid w:val="64D7688B"/>
    <w:rsid w:val="64EB617D"/>
    <w:rsid w:val="64FE54CA"/>
    <w:rsid w:val="650D4497"/>
    <w:rsid w:val="65143D44"/>
    <w:rsid w:val="651613E3"/>
    <w:rsid w:val="651B15B0"/>
    <w:rsid w:val="6527143B"/>
    <w:rsid w:val="652877C0"/>
    <w:rsid w:val="652D6818"/>
    <w:rsid w:val="652E506F"/>
    <w:rsid w:val="65301A6D"/>
    <w:rsid w:val="6544019C"/>
    <w:rsid w:val="655645C6"/>
    <w:rsid w:val="655A20AF"/>
    <w:rsid w:val="655A6F7A"/>
    <w:rsid w:val="65651F67"/>
    <w:rsid w:val="65675C55"/>
    <w:rsid w:val="65856A85"/>
    <w:rsid w:val="658610D4"/>
    <w:rsid w:val="65907900"/>
    <w:rsid w:val="65914FDE"/>
    <w:rsid w:val="65925828"/>
    <w:rsid w:val="65933E63"/>
    <w:rsid w:val="659F7753"/>
    <w:rsid w:val="65A675CA"/>
    <w:rsid w:val="65AB4897"/>
    <w:rsid w:val="65AB6101"/>
    <w:rsid w:val="65CB4B09"/>
    <w:rsid w:val="65CF1799"/>
    <w:rsid w:val="65DB5194"/>
    <w:rsid w:val="65DD1D68"/>
    <w:rsid w:val="65E410E6"/>
    <w:rsid w:val="65EA789D"/>
    <w:rsid w:val="65F71905"/>
    <w:rsid w:val="65FF475C"/>
    <w:rsid w:val="66032739"/>
    <w:rsid w:val="660A2AA0"/>
    <w:rsid w:val="660B416D"/>
    <w:rsid w:val="660C44A3"/>
    <w:rsid w:val="66113227"/>
    <w:rsid w:val="66113B1F"/>
    <w:rsid w:val="661216AA"/>
    <w:rsid w:val="6615651C"/>
    <w:rsid w:val="661E0D7A"/>
    <w:rsid w:val="66221F62"/>
    <w:rsid w:val="662A1DAF"/>
    <w:rsid w:val="663F7CD5"/>
    <w:rsid w:val="6646530B"/>
    <w:rsid w:val="664E57C2"/>
    <w:rsid w:val="6659436D"/>
    <w:rsid w:val="6659717E"/>
    <w:rsid w:val="665B69E6"/>
    <w:rsid w:val="666C09E6"/>
    <w:rsid w:val="66733313"/>
    <w:rsid w:val="66756614"/>
    <w:rsid w:val="66772A46"/>
    <w:rsid w:val="6678468A"/>
    <w:rsid w:val="66942245"/>
    <w:rsid w:val="6697175E"/>
    <w:rsid w:val="66C10466"/>
    <w:rsid w:val="66CE6A4F"/>
    <w:rsid w:val="66D5657A"/>
    <w:rsid w:val="66E20AA0"/>
    <w:rsid w:val="66E75E1D"/>
    <w:rsid w:val="66E93F74"/>
    <w:rsid w:val="66F4471C"/>
    <w:rsid w:val="66F9345B"/>
    <w:rsid w:val="66FC6388"/>
    <w:rsid w:val="66FD647B"/>
    <w:rsid w:val="67071910"/>
    <w:rsid w:val="67142AD1"/>
    <w:rsid w:val="67146282"/>
    <w:rsid w:val="67155DB6"/>
    <w:rsid w:val="671F5533"/>
    <w:rsid w:val="67251B3E"/>
    <w:rsid w:val="67296320"/>
    <w:rsid w:val="673B67CA"/>
    <w:rsid w:val="674A4AB7"/>
    <w:rsid w:val="674E2737"/>
    <w:rsid w:val="67586B38"/>
    <w:rsid w:val="67630307"/>
    <w:rsid w:val="676964B8"/>
    <w:rsid w:val="67725F96"/>
    <w:rsid w:val="677C45CD"/>
    <w:rsid w:val="67993AE4"/>
    <w:rsid w:val="67A36C5B"/>
    <w:rsid w:val="67A54FFB"/>
    <w:rsid w:val="67AC52C2"/>
    <w:rsid w:val="67AD1C66"/>
    <w:rsid w:val="67B0281E"/>
    <w:rsid w:val="67B94B53"/>
    <w:rsid w:val="67C362FC"/>
    <w:rsid w:val="67C82D03"/>
    <w:rsid w:val="67C9453B"/>
    <w:rsid w:val="67D930A6"/>
    <w:rsid w:val="67DF2C3C"/>
    <w:rsid w:val="67E25149"/>
    <w:rsid w:val="67E72B1F"/>
    <w:rsid w:val="67E81911"/>
    <w:rsid w:val="67FF7460"/>
    <w:rsid w:val="68185E08"/>
    <w:rsid w:val="6828719B"/>
    <w:rsid w:val="683E3B05"/>
    <w:rsid w:val="6844533A"/>
    <w:rsid w:val="68466B73"/>
    <w:rsid w:val="684A30C5"/>
    <w:rsid w:val="685E210F"/>
    <w:rsid w:val="685E24D5"/>
    <w:rsid w:val="68614A5B"/>
    <w:rsid w:val="68745D7A"/>
    <w:rsid w:val="68757C31"/>
    <w:rsid w:val="68763826"/>
    <w:rsid w:val="688139AF"/>
    <w:rsid w:val="688708E3"/>
    <w:rsid w:val="6889040E"/>
    <w:rsid w:val="68890636"/>
    <w:rsid w:val="68895A6B"/>
    <w:rsid w:val="68922A43"/>
    <w:rsid w:val="689332F8"/>
    <w:rsid w:val="689A7798"/>
    <w:rsid w:val="68AD0565"/>
    <w:rsid w:val="68B447DD"/>
    <w:rsid w:val="68B82C6B"/>
    <w:rsid w:val="68C100A1"/>
    <w:rsid w:val="68C507ED"/>
    <w:rsid w:val="68C56646"/>
    <w:rsid w:val="68C70907"/>
    <w:rsid w:val="68E53790"/>
    <w:rsid w:val="68E70CB0"/>
    <w:rsid w:val="68E945E3"/>
    <w:rsid w:val="68EE35C4"/>
    <w:rsid w:val="68EE7A0C"/>
    <w:rsid w:val="68F265E7"/>
    <w:rsid w:val="691705A6"/>
    <w:rsid w:val="6919795E"/>
    <w:rsid w:val="69220E6D"/>
    <w:rsid w:val="69272501"/>
    <w:rsid w:val="69292E9A"/>
    <w:rsid w:val="692A1746"/>
    <w:rsid w:val="692B3CF4"/>
    <w:rsid w:val="69330906"/>
    <w:rsid w:val="693B7EF2"/>
    <w:rsid w:val="693D3CA2"/>
    <w:rsid w:val="693E3607"/>
    <w:rsid w:val="6949531F"/>
    <w:rsid w:val="69577D1C"/>
    <w:rsid w:val="69582CA2"/>
    <w:rsid w:val="69614EC7"/>
    <w:rsid w:val="69623441"/>
    <w:rsid w:val="696A5862"/>
    <w:rsid w:val="6975630E"/>
    <w:rsid w:val="69813A94"/>
    <w:rsid w:val="69847C50"/>
    <w:rsid w:val="69852464"/>
    <w:rsid w:val="69865063"/>
    <w:rsid w:val="69883F8F"/>
    <w:rsid w:val="699636C1"/>
    <w:rsid w:val="6998387F"/>
    <w:rsid w:val="6999512C"/>
    <w:rsid w:val="699D4AD5"/>
    <w:rsid w:val="69AA7AC6"/>
    <w:rsid w:val="69AC2316"/>
    <w:rsid w:val="69B31FE7"/>
    <w:rsid w:val="69B8400E"/>
    <w:rsid w:val="69BC5E8B"/>
    <w:rsid w:val="69BF7D6D"/>
    <w:rsid w:val="69D45B73"/>
    <w:rsid w:val="69E15C40"/>
    <w:rsid w:val="69F03FC1"/>
    <w:rsid w:val="69F16E45"/>
    <w:rsid w:val="69FA563E"/>
    <w:rsid w:val="69FB0A34"/>
    <w:rsid w:val="69FE18AE"/>
    <w:rsid w:val="6A023DF8"/>
    <w:rsid w:val="6A066C4A"/>
    <w:rsid w:val="6A0F28E6"/>
    <w:rsid w:val="6A187411"/>
    <w:rsid w:val="6A1B3BFF"/>
    <w:rsid w:val="6A1D7F86"/>
    <w:rsid w:val="6A2353BE"/>
    <w:rsid w:val="6A242733"/>
    <w:rsid w:val="6A2C1AA1"/>
    <w:rsid w:val="6A2D5FEC"/>
    <w:rsid w:val="6A3363DA"/>
    <w:rsid w:val="6A405365"/>
    <w:rsid w:val="6A406D6F"/>
    <w:rsid w:val="6A424F36"/>
    <w:rsid w:val="6A44113A"/>
    <w:rsid w:val="6A4E3630"/>
    <w:rsid w:val="6A576555"/>
    <w:rsid w:val="6A6A5B03"/>
    <w:rsid w:val="6A75729C"/>
    <w:rsid w:val="6A7A0307"/>
    <w:rsid w:val="6A800DA0"/>
    <w:rsid w:val="6A85018B"/>
    <w:rsid w:val="6A8E34EA"/>
    <w:rsid w:val="6A9260A0"/>
    <w:rsid w:val="6A965AC7"/>
    <w:rsid w:val="6AA51915"/>
    <w:rsid w:val="6AA53E33"/>
    <w:rsid w:val="6AA675D8"/>
    <w:rsid w:val="6AAA4522"/>
    <w:rsid w:val="6AAC6A84"/>
    <w:rsid w:val="6AB04778"/>
    <w:rsid w:val="6AB21D70"/>
    <w:rsid w:val="6AB609BA"/>
    <w:rsid w:val="6AB712C6"/>
    <w:rsid w:val="6ABA4E13"/>
    <w:rsid w:val="6AC0155F"/>
    <w:rsid w:val="6ACD525D"/>
    <w:rsid w:val="6ACF6FBC"/>
    <w:rsid w:val="6AD04D3A"/>
    <w:rsid w:val="6AD5622B"/>
    <w:rsid w:val="6AE144D8"/>
    <w:rsid w:val="6AE21ACF"/>
    <w:rsid w:val="6AE246BC"/>
    <w:rsid w:val="6AE9679F"/>
    <w:rsid w:val="6AF23FE1"/>
    <w:rsid w:val="6AF40E2B"/>
    <w:rsid w:val="6AF55884"/>
    <w:rsid w:val="6B0062F1"/>
    <w:rsid w:val="6B074014"/>
    <w:rsid w:val="6B093B96"/>
    <w:rsid w:val="6B0A35C0"/>
    <w:rsid w:val="6B0F53AB"/>
    <w:rsid w:val="6B1C0707"/>
    <w:rsid w:val="6B1C748A"/>
    <w:rsid w:val="6B1F4553"/>
    <w:rsid w:val="6B234487"/>
    <w:rsid w:val="6B2C45E3"/>
    <w:rsid w:val="6B2D213B"/>
    <w:rsid w:val="6B2D4105"/>
    <w:rsid w:val="6B2E5C5C"/>
    <w:rsid w:val="6B3727A3"/>
    <w:rsid w:val="6B3951C0"/>
    <w:rsid w:val="6B3A0700"/>
    <w:rsid w:val="6B3C2B79"/>
    <w:rsid w:val="6B457330"/>
    <w:rsid w:val="6B4A5613"/>
    <w:rsid w:val="6B4A76DB"/>
    <w:rsid w:val="6B4F6C1A"/>
    <w:rsid w:val="6B524F8D"/>
    <w:rsid w:val="6B533A81"/>
    <w:rsid w:val="6B6325B2"/>
    <w:rsid w:val="6B636EB8"/>
    <w:rsid w:val="6B6B6E61"/>
    <w:rsid w:val="6B75532F"/>
    <w:rsid w:val="6B806768"/>
    <w:rsid w:val="6B806915"/>
    <w:rsid w:val="6B9820B2"/>
    <w:rsid w:val="6B9A2731"/>
    <w:rsid w:val="6BA2165B"/>
    <w:rsid w:val="6BA53001"/>
    <w:rsid w:val="6BA76443"/>
    <w:rsid w:val="6BA90D4B"/>
    <w:rsid w:val="6BA94E3B"/>
    <w:rsid w:val="6BAD4940"/>
    <w:rsid w:val="6BB437D8"/>
    <w:rsid w:val="6BC428E4"/>
    <w:rsid w:val="6BC518B7"/>
    <w:rsid w:val="6BD912D9"/>
    <w:rsid w:val="6BE15BFB"/>
    <w:rsid w:val="6BE64BDE"/>
    <w:rsid w:val="6BEC17E0"/>
    <w:rsid w:val="6BEC4622"/>
    <w:rsid w:val="6BF16DF6"/>
    <w:rsid w:val="6BF44D68"/>
    <w:rsid w:val="6BF56082"/>
    <w:rsid w:val="6BFD3396"/>
    <w:rsid w:val="6BFE241A"/>
    <w:rsid w:val="6BFF2C3D"/>
    <w:rsid w:val="6C0651DA"/>
    <w:rsid w:val="6C0841AF"/>
    <w:rsid w:val="6C111246"/>
    <w:rsid w:val="6C1503DA"/>
    <w:rsid w:val="6C270A6A"/>
    <w:rsid w:val="6C2D0006"/>
    <w:rsid w:val="6C2F0285"/>
    <w:rsid w:val="6C456249"/>
    <w:rsid w:val="6C6121CE"/>
    <w:rsid w:val="6C6677E4"/>
    <w:rsid w:val="6C740278"/>
    <w:rsid w:val="6C7539D8"/>
    <w:rsid w:val="6C7C6EBB"/>
    <w:rsid w:val="6C830396"/>
    <w:rsid w:val="6C83516B"/>
    <w:rsid w:val="6C8B3985"/>
    <w:rsid w:val="6C8D2FC3"/>
    <w:rsid w:val="6C9070DD"/>
    <w:rsid w:val="6C947A3E"/>
    <w:rsid w:val="6CA31FE4"/>
    <w:rsid w:val="6CA5001B"/>
    <w:rsid w:val="6CA62A89"/>
    <w:rsid w:val="6CB8420F"/>
    <w:rsid w:val="6CBD7344"/>
    <w:rsid w:val="6CBE2B63"/>
    <w:rsid w:val="6CC70577"/>
    <w:rsid w:val="6CC938CF"/>
    <w:rsid w:val="6CD36118"/>
    <w:rsid w:val="6CD63E85"/>
    <w:rsid w:val="6CDD6BCD"/>
    <w:rsid w:val="6CDE126B"/>
    <w:rsid w:val="6CE13ADD"/>
    <w:rsid w:val="6CE50439"/>
    <w:rsid w:val="6CE6585A"/>
    <w:rsid w:val="6CF66EFC"/>
    <w:rsid w:val="6CFE375E"/>
    <w:rsid w:val="6CFF1520"/>
    <w:rsid w:val="6D0020A2"/>
    <w:rsid w:val="6D003795"/>
    <w:rsid w:val="6D0973A5"/>
    <w:rsid w:val="6D0E29E2"/>
    <w:rsid w:val="6D10380E"/>
    <w:rsid w:val="6D1C6600"/>
    <w:rsid w:val="6D1D3696"/>
    <w:rsid w:val="6D2055BE"/>
    <w:rsid w:val="6D2B0F02"/>
    <w:rsid w:val="6D3225DB"/>
    <w:rsid w:val="6D335185"/>
    <w:rsid w:val="6D395176"/>
    <w:rsid w:val="6D4844F6"/>
    <w:rsid w:val="6D6303D9"/>
    <w:rsid w:val="6D653565"/>
    <w:rsid w:val="6D69698D"/>
    <w:rsid w:val="6D7E290C"/>
    <w:rsid w:val="6D83105A"/>
    <w:rsid w:val="6D84476F"/>
    <w:rsid w:val="6D8C41DE"/>
    <w:rsid w:val="6D8E4225"/>
    <w:rsid w:val="6D8E720B"/>
    <w:rsid w:val="6D922CB2"/>
    <w:rsid w:val="6D953770"/>
    <w:rsid w:val="6D976EF3"/>
    <w:rsid w:val="6D981C1F"/>
    <w:rsid w:val="6D9F3E14"/>
    <w:rsid w:val="6DA206CC"/>
    <w:rsid w:val="6DAC4971"/>
    <w:rsid w:val="6DB17879"/>
    <w:rsid w:val="6DD11F86"/>
    <w:rsid w:val="6DD230A6"/>
    <w:rsid w:val="6DD726D2"/>
    <w:rsid w:val="6DD90392"/>
    <w:rsid w:val="6DD95AE1"/>
    <w:rsid w:val="6DDE0FF0"/>
    <w:rsid w:val="6DEE320C"/>
    <w:rsid w:val="6DEF7365"/>
    <w:rsid w:val="6DF47BBB"/>
    <w:rsid w:val="6DF66946"/>
    <w:rsid w:val="6DFB0974"/>
    <w:rsid w:val="6DFB5F08"/>
    <w:rsid w:val="6DFF19CC"/>
    <w:rsid w:val="6E086724"/>
    <w:rsid w:val="6E1528F3"/>
    <w:rsid w:val="6E162B44"/>
    <w:rsid w:val="6E25680D"/>
    <w:rsid w:val="6E2F622C"/>
    <w:rsid w:val="6E330C7F"/>
    <w:rsid w:val="6E384C50"/>
    <w:rsid w:val="6E3A4613"/>
    <w:rsid w:val="6E3C3C8E"/>
    <w:rsid w:val="6E3D7F5A"/>
    <w:rsid w:val="6E4C47B8"/>
    <w:rsid w:val="6E5E7306"/>
    <w:rsid w:val="6E64426E"/>
    <w:rsid w:val="6E66546E"/>
    <w:rsid w:val="6E692FB3"/>
    <w:rsid w:val="6E7837FF"/>
    <w:rsid w:val="6E9056C6"/>
    <w:rsid w:val="6E944EBF"/>
    <w:rsid w:val="6EA01C8E"/>
    <w:rsid w:val="6EA133EF"/>
    <w:rsid w:val="6EA3717F"/>
    <w:rsid w:val="6EA6211A"/>
    <w:rsid w:val="6EB360C5"/>
    <w:rsid w:val="6EB91922"/>
    <w:rsid w:val="6EBB5ED2"/>
    <w:rsid w:val="6EBC50B8"/>
    <w:rsid w:val="6ED65E9A"/>
    <w:rsid w:val="6EE169A3"/>
    <w:rsid w:val="6EF958F1"/>
    <w:rsid w:val="6F015B8D"/>
    <w:rsid w:val="6F10699D"/>
    <w:rsid w:val="6F167501"/>
    <w:rsid w:val="6F1D29D0"/>
    <w:rsid w:val="6F1E43A6"/>
    <w:rsid w:val="6F270FDA"/>
    <w:rsid w:val="6F271F62"/>
    <w:rsid w:val="6F2B1397"/>
    <w:rsid w:val="6F2B55D1"/>
    <w:rsid w:val="6F326438"/>
    <w:rsid w:val="6F337DC7"/>
    <w:rsid w:val="6F346D9E"/>
    <w:rsid w:val="6F392F8E"/>
    <w:rsid w:val="6F3C4656"/>
    <w:rsid w:val="6F450F8E"/>
    <w:rsid w:val="6F463E6D"/>
    <w:rsid w:val="6F4F36AE"/>
    <w:rsid w:val="6F561FA5"/>
    <w:rsid w:val="6F5D60B9"/>
    <w:rsid w:val="6F625C93"/>
    <w:rsid w:val="6F631DB9"/>
    <w:rsid w:val="6F6E6D2D"/>
    <w:rsid w:val="6F721233"/>
    <w:rsid w:val="6F737657"/>
    <w:rsid w:val="6F795323"/>
    <w:rsid w:val="6F7E3D5D"/>
    <w:rsid w:val="6F813FC9"/>
    <w:rsid w:val="6F8B673B"/>
    <w:rsid w:val="6F922A75"/>
    <w:rsid w:val="6F9C3BDD"/>
    <w:rsid w:val="6F9D3D5F"/>
    <w:rsid w:val="6FAB550E"/>
    <w:rsid w:val="6FAF6DBD"/>
    <w:rsid w:val="6FB02BAB"/>
    <w:rsid w:val="6FBF2A5D"/>
    <w:rsid w:val="6FC25E4A"/>
    <w:rsid w:val="6FC50F77"/>
    <w:rsid w:val="6FC637F8"/>
    <w:rsid w:val="6FD02E60"/>
    <w:rsid w:val="6FD72CCE"/>
    <w:rsid w:val="6FDD1909"/>
    <w:rsid w:val="6FE32EFA"/>
    <w:rsid w:val="6FE77B44"/>
    <w:rsid w:val="6FE96150"/>
    <w:rsid w:val="6FF227AE"/>
    <w:rsid w:val="6FF62C2D"/>
    <w:rsid w:val="6FFA2EEA"/>
    <w:rsid w:val="6FFB5D62"/>
    <w:rsid w:val="70055FB9"/>
    <w:rsid w:val="70082C61"/>
    <w:rsid w:val="700A66D9"/>
    <w:rsid w:val="702459EC"/>
    <w:rsid w:val="702501BF"/>
    <w:rsid w:val="70292E75"/>
    <w:rsid w:val="702F37EA"/>
    <w:rsid w:val="70333E81"/>
    <w:rsid w:val="703774B4"/>
    <w:rsid w:val="70396D45"/>
    <w:rsid w:val="703C6965"/>
    <w:rsid w:val="70480676"/>
    <w:rsid w:val="70506CBA"/>
    <w:rsid w:val="70510F12"/>
    <w:rsid w:val="705A7660"/>
    <w:rsid w:val="706978A3"/>
    <w:rsid w:val="706C4AA7"/>
    <w:rsid w:val="707A3C49"/>
    <w:rsid w:val="707D6EAA"/>
    <w:rsid w:val="707F0E75"/>
    <w:rsid w:val="708A6AA8"/>
    <w:rsid w:val="70922112"/>
    <w:rsid w:val="70985E4C"/>
    <w:rsid w:val="709D2EAA"/>
    <w:rsid w:val="70A83EE6"/>
    <w:rsid w:val="70AD212D"/>
    <w:rsid w:val="70B566F6"/>
    <w:rsid w:val="70C32899"/>
    <w:rsid w:val="70C571FE"/>
    <w:rsid w:val="70C607AE"/>
    <w:rsid w:val="70C60F8B"/>
    <w:rsid w:val="70CA70AD"/>
    <w:rsid w:val="70CB5D91"/>
    <w:rsid w:val="70D37433"/>
    <w:rsid w:val="70DE214E"/>
    <w:rsid w:val="70DE32F2"/>
    <w:rsid w:val="70E11CC1"/>
    <w:rsid w:val="70E2012F"/>
    <w:rsid w:val="70E67AEE"/>
    <w:rsid w:val="70E80DCA"/>
    <w:rsid w:val="70F03426"/>
    <w:rsid w:val="70F65CEB"/>
    <w:rsid w:val="7100686B"/>
    <w:rsid w:val="71007627"/>
    <w:rsid w:val="71033AE0"/>
    <w:rsid w:val="71051A59"/>
    <w:rsid w:val="7108617E"/>
    <w:rsid w:val="710B3229"/>
    <w:rsid w:val="71141057"/>
    <w:rsid w:val="711B3313"/>
    <w:rsid w:val="7122572F"/>
    <w:rsid w:val="71232B5C"/>
    <w:rsid w:val="71243B3C"/>
    <w:rsid w:val="712938C7"/>
    <w:rsid w:val="7134597F"/>
    <w:rsid w:val="7137192A"/>
    <w:rsid w:val="713D048A"/>
    <w:rsid w:val="713D0DCB"/>
    <w:rsid w:val="71461992"/>
    <w:rsid w:val="71477AB6"/>
    <w:rsid w:val="7148708A"/>
    <w:rsid w:val="714929EC"/>
    <w:rsid w:val="71554626"/>
    <w:rsid w:val="7159714B"/>
    <w:rsid w:val="71601542"/>
    <w:rsid w:val="717540AE"/>
    <w:rsid w:val="718062CA"/>
    <w:rsid w:val="71885501"/>
    <w:rsid w:val="718F79D2"/>
    <w:rsid w:val="71902C0D"/>
    <w:rsid w:val="71956476"/>
    <w:rsid w:val="719F1D68"/>
    <w:rsid w:val="71A96FAF"/>
    <w:rsid w:val="71AD7C63"/>
    <w:rsid w:val="71B049C3"/>
    <w:rsid w:val="71B765E7"/>
    <w:rsid w:val="71BD4205"/>
    <w:rsid w:val="71CF3736"/>
    <w:rsid w:val="71D33ABB"/>
    <w:rsid w:val="71D71157"/>
    <w:rsid w:val="71E75B48"/>
    <w:rsid w:val="7205386D"/>
    <w:rsid w:val="721550E1"/>
    <w:rsid w:val="72160961"/>
    <w:rsid w:val="721C6EBC"/>
    <w:rsid w:val="7232043E"/>
    <w:rsid w:val="7232300E"/>
    <w:rsid w:val="7234420D"/>
    <w:rsid w:val="723745EB"/>
    <w:rsid w:val="72453E73"/>
    <w:rsid w:val="7250777C"/>
    <w:rsid w:val="72523909"/>
    <w:rsid w:val="7256391D"/>
    <w:rsid w:val="72624F7E"/>
    <w:rsid w:val="72643A65"/>
    <w:rsid w:val="72764218"/>
    <w:rsid w:val="72786EF5"/>
    <w:rsid w:val="7286291F"/>
    <w:rsid w:val="72897D89"/>
    <w:rsid w:val="728A2FD0"/>
    <w:rsid w:val="728B51D7"/>
    <w:rsid w:val="728C30F1"/>
    <w:rsid w:val="728F2290"/>
    <w:rsid w:val="729519E3"/>
    <w:rsid w:val="729F4A1B"/>
    <w:rsid w:val="72A4723B"/>
    <w:rsid w:val="72A526E9"/>
    <w:rsid w:val="72AB0261"/>
    <w:rsid w:val="72AF1C9F"/>
    <w:rsid w:val="72B75F62"/>
    <w:rsid w:val="72BD366F"/>
    <w:rsid w:val="72C772B3"/>
    <w:rsid w:val="72CA264F"/>
    <w:rsid w:val="72CC32DA"/>
    <w:rsid w:val="72CC6AB7"/>
    <w:rsid w:val="72D33E4B"/>
    <w:rsid w:val="72DD6BEA"/>
    <w:rsid w:val="72E27923"/>
    <w:rsid w:val="72E46BCC"/>
    <w:rsid w:val="72E664CF"/>
    <w:rsid w:val="72E9383C"/>
    <w:rsid w:val="72EA4BC1"/>
    <w:rsid w:val="72EF1210"/>
    <w:rsid w:val="72EF4B73"/>
    <w:rsid w:val="72F01BB6"/>
    <w:rsid w:val="72F01D9C"/>
    <w:rsid w:val="72F77B91"/>
    <w:rsid w:val="73041383"/>
    <w:rsid w:val="7304769C"/>
    <w:rsid w:val="730729A7"/>
    <w:rsid w:val="7310578F"/>
    <w:rsid w:val="7311106C"/>
    <w:rsid w:val="73192BE4"/>
    <w:rsid w:val="731C35D9"/>
    <w:rsid w:val="731E07BF"/>
    <w:rsid w:val="731F4362"/>
    <w:rsid w:val="732D02B9"/>
    <w:rsid w:val="732F69E9"/>
    <w:rsid w:val="73343940"/>
    <w:rsid w:val="7338428B"/>
    <w:rsid w:val="73413DB6"/>
    <w:rsid w:val="73504D4A"/>
    <w:rsid w:val="735E399C"/>
    <w:rsid w:val="736D3B07"/>
    <w:rsid w:val="738D5656"/>
    <w:rsid w:val="73935D80"/>
    <w:rsid w:val="739B3740"/>
    <w:rsid w:val="739C3A16"/>
    <w:rsid w:val="739D47D6"/>
    <w:rsid w:val="739E5A9F"/>
    <w:rsid w:val="73A958D5"/>
    <w:rsid w:val="73B426E2"/>
    <w:rsid w:val="73C6500C"/>
    <w:rsid w:val="73CF3731"/>
    <w:rsid w:val="73DF2180"/>
    <w:rsid w:val="73E346D9"/>
    <w:rsid w:val="73E4368C"/>
    <w:rsid w:val="73F136E7"/>
    <w:rsid w:val="73F14D3F"/>
    <w:rsid w:val="73F514E6"/>
    <w:rsid w:val="73F82909"/>
    <w:rsid w:val="73FB198B"/>
    <w:rsid w:val="73FD0D20"/>
    <w:rsid w:val="73FE5B68"/>
    <w:rsid w:val="740274B7"/>
    <w:rsid w:val="740C585E"/>
    <w:rsid w:val="740C6A95"/>
    <w:rsid w:val="741110E4"/>
    <w:rsid w:val="7414694F"/>
    <w:rsid w:val="74151258"/>
    <w:rsid w:val="74180B27"/>
    <w:rsid w:val="741D1307"/>
    <w:rsid w:val="74252DF5"/>
    <w:rsid w:val="742D20B1"/>
    <w:rsid w:val="74323535"/>
    <w:rsid w:val="74392EB2"/>
    <w:rsid w:val="744331E5"/>
    <w:rsid w:val="744523D5"/>
    <w:rsid w:val="74494F35"/>
    <w:rsid w:val="744E128A"/>
    <w:rsid w:val="74551C8A"/>
    <w:rsid w:val="74601B3F"/>
    <w:rsid w:val="7469176F"/>
    <w:rsid w:val="746960C4"/>
    <w:rsid w:val="74720F26"/>
    <w:rsid w:val="74725D20"/>
    <w:rsid w:val="7472785C"/>
    <w:rsid w:val="74761E2D"/>
    <w:rsid w:val="747745CC"/>
    <w:rsid w:val="74792DAA"/>
    <w:rsid w:val="747C2511"/>
    <w:rsid w:val="747D56CB"/>
    <w:rsid w:val="748357C2"/>
    <w:rsid w:val="74881C7C"/>
    <w:rsid w:val="748968C4"/>
    <w:rsid w:val="748A0878"/>
    <w:rsid w:val="748B755C"/>
    <w:rsid w:val="749448CF"/>
    <w:rsid w:val="749647FF"/>
    <w:rsid w:val="74964E61"/>
    <w:rsid w:val="74A000A5"/>
    <w:rsid w:val="74A30DC0"/>
    <w:rsid w:val="74AA2FD6"/>
    <w:rsid w:val="74AA40E6"/>
    <w:rsid w:val="74AB182F"/>
    <w:rsid w:val="74B32EAA"/>
    <w:rsid w:val="74B87267"/>
    <w:rsid w:val="74B97410"/>
    <w:rsid w:val="74C22113"/>
    <w:rsid w:val="74C74455"/>
    <w:rsid w:val="74C82B5E"/>
    <w:rsid w:val="74CD105A"/>
    <w:rsid w:val="74CE0F93"/>
    <w:rsid w:val="74CF40A6"/>
    <w:rsid w:val="74D17287"/>
    <w:rsid w:val="74D34D3F"/>
    <w:rsid w:val="74D75403"/>
    <w:rsid w:val="74E57CBB"/>
    <w:rsid w:val="74E667A8"/>
    <w:rsid w:val="74E86450"/>
    <w:rsid w:val="74E912A8"/>
    <w:rsid w:val="74F1789A"/>
    <w:rsid w:val="74F737BC"/>
    <w:rsid w:val="74F75707"/>
    <w:rsid w:val="74F90BF2"/>
    <w:rsid w:val="7504796A"/>
    <w:rsid w:val="75094540"/>
    <w:rsid w:val="750B5F50"/>
    <w:rsid w:val="750F1C1A"/>
    <w:rsid w:val="75220020"/>
    <w:rsid w:val="753E5BAE"/>
    <w:rsid w:val="754A7B14"/>
    <w:rsid w:val="754E52B9"/>
    <w:rsid w:val="75520D13"/>
    <w:rsid w:val="757721CB"/>
    <w:rsid w:val="75805669"/>
    <w:rsid w:val="75834AF7"/>
    <w:rsid w:val="75847030"/>
    <w:rsid w:val="758739F0"/>
    <w:rsid w:val="758F74BD"/>
    <w:rsid w:val="75957C9B"/>
    <w:rsid w:val="759E6DD1"/>
    <w:rsid w:val="75A44C93"/>
    <w:rsid w:val="75AB2697"/>
    <w:rsid w:val="75AD1FE0"/>
    <w:rsid w:val="75AE28DF"/>
    <w:rsid w:val="75B428E3"/>
    <w:rsid w:val="75B73A43"/>
    <w:rsid w:val="75BA542E"/>
    <w:rsid w:val="75BD2CCE"/>
    <w:rsid w:val="75BF1E2B"/>
    <w:rsid w:val="75C007BF"/>
    <w:rsid w:val="75C06086"/>
    <w:rsid w:val="75C80BC8"/>
    <w:rsid w:val="75DE0CB8"/>
    <w:rsid w:val="75DF4166"/>
    <w:rsid w:val="75E01211"/>
    <w:rsid w:val="75E60321"/>
    <w:rsid w:val="75EB0D5A"/>
    <w:rsid w:val="75ED7219"/>
    <w:rsid w:val="75EE1E38"/>
    <w:rsid w:val="75EE35B4"/>
    <w:rsid w:val="75F37323"/>
    <w:rsid w:val="75F96342"/>
    <w:rsid w:val="76016322"/>
    <w:rsid w:val="76037765"/>
    <w:rsid w:val="76064F34"/>
    <w:rsid w:val="760805C2"/>
    <w:rsid w:val="760F6032"/>
    <w:rsid w:val="761C2D54"/>
    <w:rsid w:val="76221D83"/>
    <w:rsid w:val="76257DC8"/>
    <w:rsid w:val="762A17DE"/>
    <w:rsid w:val="762A35E9"/>
    <w:rsid w:val="762D70E5"/>
    <w:rsid w:val="762E7C24"/>
    <w:rsid w:val="763636BD"/>
    <w:rsid w:val="76377BFF"/>
    <w:rsid w:val="764D3A3D"/>
    <w:rsid w:val="76555049"/>
    <w:rsid w:val="7658507C"/>
    <w:rsid w:val="76627A65"/>
    <w:rsid w:val="766D7CD8"/>
    <w:rsid w:val="767B3F52"/>
    <w:rsid w:val="767D4CD8"/>
    <w:rsid w:val="767F3DC0"/>
    <w:rsid w:val="76864DE9"/>
    <w:rsid w:val="768D17AC"/>
    <w:rsid w:val="76926DE7"/>
    <w:rsid w:val="769913BF"/>
    <w:rsid w:val="76A373F0"/>
    <w:rsid w:val="76A9202F"/>
    <w:rsid w:val="76AF4713"/>
    <w:rsid w:val="76D1785B"/>
    <w:rsid w:val="76D54004"/>
    <w:rsid w:val="76D7108B"/>
    <w:rsid w:val="76E45398"/>
    <w:rsid w:val="76E539FB"/>
    <w:rsid w:val="76E94496"/>
    <w:rsid w:val="76F20CBD"/>
    <w:rsid w:val="76F459ED"/>
    <w:rsid w:val="76F737F3"/>
    <w:rsid w:val="76F9062A"/>
    <w:rsid w:val="76FB4FCD"/>
    <w:rsid w:val="77025E6B"/>
    <w:rsid w:val="77112674"/>
    <w:rsid w:val="77177644"/>
    <w:rsid w:val="77197F14"/>
    <w:rsid w:val="77237533"/>
    <w:rsid w:val="772B321B"/>
    <w:rsid w:val="773A180E"/>
    <w:rsid w:val="77514BED"/>
    <w:rsid w:val="7757406A"/>
    <w:rsid w:val="776834D0"/>
    <w:rsid w:val="776D790C"/>
    <w:rsid w:val="7770259E"/>
    <w:rsid w:val="777270A8"/>
    <w:rsid w:val="77727D8C"/>
    <w:rsid w:val="777A0EDA"/>
    <w:rsid w:val="777A1FEA"/>
    <w:rsid w:val="777D7FBA"/>
    <w:rsid w:val="77983E37"/>
    <w:rsid w:val="779B5F59"/>
    <w:rsid w:val="779C5E72"/>
    <w:rsid w:val="779E42D6"/>
    <w:rsid w:val="77AB379F"/>
    <w:rsid w:val="77B43AFA"/>
    <w:rsid w:val="77B50AD7"/>
    <w:rsid w:val="77B703A9"/>
    <w:rsid w:val="77BA50C0"/>
    <w:rsid w:val="77BC6F8C"/>
    <w:rsid w:val="77BE1482"/>
    <w:rsid w:val="77C22F08"/>
    <w:rsid w:val="77D31609"/>
    <w:rsid w:val="77D94BD2"/>
    <w:rsid w:val="77DE1622"/>
    <w:rsid w:val="77E06D2C"/>
    <w:rsid w:val="77E6269A"/>
    <w:rsid w:val="77E90825"/>
    <w:rsid w:val="77EA2FCB"/>
    <w:rsid w:val="77EB63C4"/>
    <w:rsid w:val="77F8736F"/>
    <w:rsid w:val="780103C1"/>
    <w:rsid w:val="78024AAB"/>
    <w:rsid w:val="780454CF"/>
    <w:rsid w:val="780C1817"/>
    <w:rsid w:val="780E5EE6"/>
    <w:rsid w:val="78127F3A"/>
    <w:rsid w:val="781374D5"/>
    <w:rsid w:val="782213C4"/>
    <w:rsid w:val="78282783"/>
    <w:rsid w:val="783A42F2"/>
    <w:rsid w:val="78456DA1"/>
    <w:rsid w:val="784B6519"/>
    <w:rsid w:val="78551D51"/>
    <w:rsid w:val="785823B5"/>
    <w:rsid w:val="78591D97"/>
    <w:rsid w:val="785A420E"/>
    <w:rsid w:val="785A794A"/>
    <w:rsid w:val="785E3A65"/>
    <w:rsid w:val="785E6CF5"/>
    <w:rsid w:val="786348BD"/>
    <w:rsid w:val="78861C30"/>
    <w:rsid w:val="788D7EA7"/>
    <w:rsid w:val="789910B6"/>
    <w:rsid w:val="789A4711"/>
    <w:rsid w:val="789D33A9"/>
    <w:rsid w:val="78A62379"/>
    <w:rsid w:val="78B06145"/>
    <w:rsid w:val="78B542EB"/>
    <w:rsid w:val="78B81577"/>
    <w:rsid w:val="78BE7456"/>
    <w:rsid w:val="78CC0A19"/>
    <w:rsid w:val="78D371FA"/>
    <w:rsid w:val="78D52059"/>
    <w:rsid w:val="78D85637"/>
    <w:rsid w:val="78DB677B"/>
    <w:rsid w:val="78E27A47"/>
    <w:rsid w:val="78E6567F"/>
    <w:rsid w:val="78EC1F5E"/>
    <w:rsid w:val="78EF6D73"/>
    <w:rsid w:val="78F41E4A"/>
    <w:rsid w:val="78F47F26"/>
    <w:rsid w:val="78F54175"/>
    <w:rsid w:val="78FB3845"/>
    <w:rsid w:val="79074D68"/>
    <w:rsid w:val="790B5E62"/>
    <w:rsid w:val="790F26B5"/>
    <w:rsid w:val="79162F0C"/>
    <w:rsid w:val="79173195"/>
    <w:rsid w:val="791E2446"/>
    <w:rsid w:val="79206F6D"/>
    <w:rsid w:val="792C0D20"/>
    <w:rsid w:val="79305497"/>
    <w:rsid w:val="79363CE2"/>
    <w:rsid w:val="79387FF8"/>
    <w:rsid w:val="793B7903"/>
    <w:rsid w:val="793F0E67"/>
    <w:rsid w:val="793F7983"/>
    <w:rsid w:val="79446861"/>
    <w:rsid w:val="794835E0"/>
    <w:rsid w:val="79486809"/>
    <w:rsid w:val="795221A9"/>
    <w:rsid w:val="795B0D9A"/>
    <w:rsid w:val="795E2293"/>
    <w:rsid w:val="796125D6"/>
    <w:rsid w:val="79634253"/>
    <w:rsid w:val="796926C2"/>
    <w:rsid w:val="797812F4"/>
    <w:rsid w:val="79795A73"/>
    <w:rsid w:val="797D07AD"/>
    <w:rsid w:val="79843DDF"/>
    <w:rsid w:val="79900665"/>
    <w:rsid w:val="79A237F5"/>
    <w:rsid w:val="79B12C7A"/>
    <w:rsid w:val="79B340C0"/>
    <w:rsid w:val="79B63ACC"/>
    <w:rsid w:val="79BE09EB"/>
    <w:rsid w:val="79CC6C13"/>
    <w:rsid w:val="79CD3B77"/>
    <w:rsid w:val="79D31050"/>
    <w:rsid w:val="79DA35C0"/>
    <w:rsid w:val="79E07FA5"/>
    <w:rsid w:val="79E70027"/>
    <w:rsid w:val="79E85C3E"/>
    <w:rsid w:val="79F67CF8"/>
    <w:rsid w:val="79F72CF6"/>
    <w:rsid w:val="79FE6725"/>
    <w:rsid w:val="7A093B06"/>
    <w:rsid w:val="7A0C1342"/>
    <w:rsid w:val="7A0E2EDD"/>
    <w:rsid w:val="7A10031A"/>
    <w:rsid w:val="7A1C085C"/>
    <w:rsid w:val="7A211F69"/>
    <w:rsid w:val="7A253E3F"/>
    <w:rsid w:val="7A2B3E2A"/>
    <w:rsid w:val="7A2D0876"/>
    <w:rsid w:val="7A301BCA"/>
    <w:rsid w:val="7A410F49"/>
    <w:rsid w:val="7A4A0A61"/>
    <w:rsid w:val="7A4D633F"/>
    <w:rsid w:val="7A5377F9"/>
    <w:rsid w:val="7A5E1C81"/>
    <w:rsid w:val="7A600FC6"/>
    <w:rsid w:val="7A6D5FC5"/>
    <w:rsid w:val="7A7819CA"/>
    <w:rsid w:val="7A7838C0"/>
    <w:rsid w:val="7A7C4F7A"/>
    <w:rsid w:val="7A7E0C61"/>
    <w:rsid w:val="7A8970E3"/>
    <w:rsid w:val="7A8A3B30"/>
    <w:rsid w:val="7A904FE2"/>
    <w:rsid w:val="7A933257"/>
    <w:rsid w:val="7A9536AB"/>
    <w:rsid w:val="7A9C6D69"/>
    <w:rsid w:val="7AA1509A"/>
    <w:rsid w:val="7AA3725B"/>
    <w:rsid w:val="7ABC37A6"/>
    <w:rsid w:val="7AC775CB"/>
    <w:rsid w:val="7ACB1EA5"/>
    <w:rsid w:val="7ACB3A3E"/>
    <w:rsid w:val="7ACE0806"/>
    <w:rsid w:val="7AD518CD"/>
    <w:rsid w:val="7AD61FD9"/>
    <w:rsid w:val="7AE30252"/>
    <w:rsid w:val="7AE652B0"/>
    <w:rsid w:val="7AE910EE"/>
    <w:rsid w:val="7AED10D1"/>
    <w:rsid w:val="7B016602"/>
    <w:rsid w:val="7B0575E5"/>
    <w:rsid w:val="7B0C411B"/>
    <w:rsid w:val="7B127206"/>
    <w:rsid w:val="7B155901"/>
    <w:rsid w:val="7B186D1D"/>
    <w:rsid w:val="7B290B4F"/>
    <w:rsid w:val="7B2C2FC9"/>
    <w:rsid w:val="7B2C7E4B"/>
    <w:rsid w:val="7B2D6B78"/>
    <w:rsid w:val="7B371CF8"/>
    <w:rsid w:val="7B3B003F"/>
    <w:rsid w:val="7B4634E6"/>
    <w:rsid w:val="7B4F7A6E"/>
    <w:rsid w:val="7B5353D8"/>
    <w:rsid w:val="7B544F69"/>
    <w:rsid w:val="7B5C73C2"/>
    <w:rsid w:val="7B656509"/>
    <w:rsid w:val="7B74710A"/>
    <w:rsid w:val="7B7D4202"/>
    <w:rsid w:val="7B872EB0"/>
    <w:rsid w:val="7B8767A2"/>
    <w:rsid w:val="7B8B147B"/>
    <w:rsid w:val="7B9652C4"/>
    <w:rsid w:val="7BA95EDD"/>
    <w:rsid w:val="7BB11890"/>
    <w:rsid w:val="7BB51BEE"/>
    <w:rsid w:val="7BBF70AE"/>
    <w:rsid w:val="7BC0634F"/>
    <w:rsid w:val="7BCF6B67"/>
    <w:rsid w:val="7BE52BAD"/>
    <w:rsid w:val="7BE62BA7"/>
    <w:rsid w:val="7BFB4C2B"/>
    <w:rsid w:val="7BFD22C7"/>
    <w:rsid w:val="7C1852F0"/>
    <w:rsid w:val="7C1F772A"/>
    <w:rsid w:val="7C2C02CB"/>
    <w:rsid w:val="7C317EFF"/>
    <w:rsid w:val="7C336D80"/>
    <w:rsid w:val="7C393694"/>
    <w:rsid w:val="7C415D27"/>
    <w:rsid w:val="7C433566"/>
    <w:rsid w:val="7C4342F0"/>
    <w:rsid w:val="7C474733"/>
    <w:rsid w:val="7C63405C"/>
    <w:rsid w:val="7C635AEE"/>
    <w:rsid w:val="7C6641D8"/>
    <w:rsid w:val="7C755E7C"/>
    <w:rsid w:val="7C791CE3"/>
    <w:rsid w:val="7C814E01"/>
    <w:rsid w:val="7C8A6EA3"/>
    <w:rsid w:val="7C8F3058"/>
    <w:rsid w:val="7C8F5C4D"/>
    <w:rsid w:val="7CA45F39"/>
    <w:rsid w:val="7CA73C2D"/>
    <w:rsid w:val="7CB101A4"/>
    <w:rsid w:val="7CB575AC"/>
    <w:rsid w:val="7CBF4BC6"/>
    <w:rsid w:val="7CBF7F50"/>
    <w:rsid w:val="7CC74412"/>
    <w:rsid w:val="7CCB71F0"/>
    <w:rsid w:val="7CCD2A84"/>
    <w:rsid w:val="7CD00206"/>
    <w:rsid w:val="7CD25652"/>
    <w:rsid w:val="7CDC31AB"/>
    <w:rsid w:val="7CE225DF"/>
    <w:rsid w:val="7CE50D7E"/>
    <w:rsid w:val="7CF51226"/>
    <w:rsid w:val="7CFA491C"/>
    <w:rsid w:val="7D106DEC"/>
    <w:rsid w:val="7D1E7BFC"/>
    <w:rsid w:val="7D2A1843"/>
    <w:rsid w:val="7D30510B"/>
    <w:rsid w:val="7D3204F3"/>
    <w:rsid w:val="7D37124E"/>
    <w:rsid w:val="7D47083E"/>
    <w:rsid w:val="7D484C1D"/>
    <w:rsid w:val="7D4D49A2"/>
    <w:rsid w:val="7D5402C7"/>
    <w:rsid w:val="7D557F57"/>
    <w:rsid w:val="7D5F06EF"/>
    <w:rsid w:val="7D666116"/>
    <w:rsid w:val="7D6A184B"/>
    <w:rsid w:val="7D7737AB"/>
    <w:rsid w:val="7D7B4A27"/>
    <w:rsid w:val="7D7C7790"/>
    <w:rsid w:val="7D845821"/>
    <w:rsid w:val="7D88040A"/>
    <w:rsid w:val="7D911ED3"/>
    <w:rsid w:val="7DA22414"/>
    <w:rsid w:val="7DB01A4B"/>
    <w:rsid w:val="7DB17A8E"/>
    <w:rsid w:val="7DB31FA3"/>
    <w:rsid w:val="7DC13536"/>
    <w:rsid w:val="7DC17FA2"/>
    <w:rsid w:val="7DC744ED"/>
    <w:rsid w:val="7DC8020D"/>
    <w:rsid w:val="7DC90FEF"/>
    <w:rsid w:val="7DCD1114"/>
    <w:rsid w:val="7DD70175"/>
    <w:rsid w:val="7DE55660"/>
    <w:rsid w:val="7DED7E33"/>
    <w:rsid w:val="7DF03594"/>
    <w:rsid w:val="7DF165F0"/>
    <w:rsid w:val="7DFB1D3B"/>
    <w:rsid w:val="7DFF3B64"/>
    <w:rsid w:val="7E052AF5"/>
    <w:rsid w:val="7E123328"/>
    <w:rsid w:val="7E1D2291"/>
    <w:rsid w:val="7E282B4B"/>
    <w:rsid w:val="7E2B655D"/>
    <w:rsid w:val="7E3F75E3"/>
    <w:rsid w:val="7E46173D"/>
    <w:rsid w:val="7E541548"/>
    <w:rsid w:val="7E5433D1"/>
    <w:rsid w:val="7E5951AB"/>
    <w:rsid w:val="7E657884"/>
    <w:rsid w:val="7E665E65"/>
    <w:rsid w:val="7E7608A2"/>
    <w:rsid w:val="7E80604C"/>
    <w:rsid w:val="7E861766"/>
    <w:rsid w:val="7E926140"/>
    <w:rsid w:val="7E993C38"/>
    <w:rsid w:val="7EA41AAA"/>
    <w:rsid w:val="7EAB457A"/>
    <w:rsid w:val="7EAC1F5D"/>
    <w:rsid w:val="7EB1589C"/>
    <w:rsid w:val="7EB83495"/>
    <w:rsid w:val="7EC90417"/>
    <w:rsid w:val="7ED00AED"/>
    <w:rsid w:val="7ED94432"/>
    <w:rsid w:val="7EDA08B5"/>
    <w:rsid w:val="7EDE7566"/>
    <w:rsid w:val="7EED19E8"/>
    <w:rsid w:val="7EFA3077"/>
    <w:rsid w:val="7EFC7F44"/>
    <w:rsid w:val="7F01339C"/>
    <w:rsid w:val="7F0331ED"/>
    <w:rsid w:val="7F053C25"/>
    <w:rsid w:val="7F1C2B1F"/>
    <w:rsid w:val="7F1E259D"/>
    <w:rsid w:val="7F1E6A05"/>
    <w:rsid w:val="7F1E7735"/>
    <w:rsid w:val="7F1F17D1"/>
    <w:rsid w:val="7F2040A3"/>
    <w:rsid w:val="7F253203"/>
    <w:rsid w:val="7F264BB1"/>
    <w:rsid w:val="7F277C71"/>
    <w:rsid w:val="7F2938FF"/>
    <w:rsid w:val="7F2B66E3"/>
    <w:rsid w:val="7F337985"/>
    <w:rsid w:val="7F396F9B"/>
    <w:rsid w:val="7F3C378F"/>
    <w:rsid w:val="7F4C4266"/>
    <w:rsid w:val="7F4D207E"/>
    <w:rsid w:val="7F534371"/>
    <w:rsid w:val="7F5D0CBC"/>
    <w:rsid w:val="7F5E7632"/>
    <w:rsid w:val="7F650C4A"/>
    <w:rsid w:val="7F657DD4"/>
    <w:rsid w:val="7F680E49"/>
    <w:rsid w:val="7F6C0077"/>
    <w:rsid w:val="7F6F08D2"/>
    <w:rsid w:val="7F714D9C"/>
    <w:rsid w:val="7F9322BF"/>
    <w:rsid w:val="7F9B411C"/>
    <w:rsid w:val="7FA048BB"/>
    <w:rsid w:val="7FA62EF1"/>
    <w:rsid w:val="7FB26E61"/>
    <w:rsid w:val="7FB86C81"/>
    <w:rsid w:val="7FBA4923"/>
    <w:rsid w:val="7FBB4D4C"/>
    <w:rsid w:val="7FC723FF"/>
    <w:rsid w:val="7FC92B0C"/>
    <w:rsid w:val="7FCC32A3"/>
    <w:rsid w:val="7FD12D6F"/>
    <w:rsid w:val="7FD36012"/>
    <w:rsid w:val="7FDB4B99"/>
    <w:rsid w:val="7FEC6AB6"/>
    <w:rsid w:val="7FFA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94"/>
    <w:autoRedefine/>
    <w:qFormat/>
    <w:uiPriority w:val="0"/>
    <w:pPr>
      <w:outlineLvl w:val="1"/>
    </w:pPr>
    <w:rPr>
      <w:rFonts w:ascii="..ì." w:eastAsia="..ì."/>
      <w:szCs w:val="20"/>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84"/>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autoRedefine/>
    <w:qFormat/>
    <w:uiPriority w:val="0"/>
    <w:pPr>
      <w:spacing w:before="100" w:beforeAutospacing="1" w:after="100" w:afterAutospacing="1"/>
      <w:jc w:val="left"/>
      <w:outlineLvl w:val="4"/>
    </w:pPr>
    <w:rPr>
      <w:rFonts w:hint="eastAsia" w:ascii="宋体" w:hAnsi="宋体" w:cs="宋体"/>
      <w:b/>
      <w:kern w:val="0"/>
      <w:sz w:val="20"/>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te Heading"/>
    <w:basedOn w:val="8"/>
    <w:next w:val="8"/>
    <w:autoRedefine/>
    <w:qFormat/>
    <w:uiPriority w:val="0"/>
    <w:rPr>
      <w:rFonts w:ascii="..ì." w:eastAsia="..ì." w:cs="Times New Roman"/>
      <w:color w:val="auto"/>
      <w:szCs w:val="20"/>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index 8"/>
    <w:basedOn w:val="1"/>
    <w:next w:val="1"/>
    <w:autoRedefine/>
    <w:qFormat/>
    <w:uiPriority w:val="0"/>
    <w:pPr>
      <w:jc w:val="center"/>
    </w:pPr>
    <w:rPr>
      <w:color w:val="000000"/>
      <w:sz w:val="32"/>
    </w:rPr>
  </w:style>
  <w:style w:type="paragraph" w:styleId="10">
    <w:name w:val="Normal Indent"/>
    <w:basedOn w:val="1"/>
    <w:autoRedefine/>
    <w:qFormat/>
    <w:uiPriority w:val="0"/>
    <w:pPr>
      <w:ind w:firstLine="420" w:firstLineChars="200"/>
    </w:pPr>
  </w:style>
  <w:style w:type="paragraph" w:styleId="11">
    <w:name w:val="Document Map"/>
    <w:basedOn w:val="1"/>
    <w:autoRedefine/>
    <w:qFormat/>
    <w:uiPriority w:val="0"/>
    <w:pPr>
      <w:shd w:val="clear" w:color="auto" w:fill="000080"/>
    </w:pPr>
  </w:style>
  <w:style w:type="paragraph" w:styleId="12">
    <w:name w:val="annotation text"/>
    <w:basedOn w:val="1"/>
    <w:link w:val="78"/>
    <w:autoRedefine/>
    <w:qFormat/>
    <w:uiPriority w:val="0"/>
    <w:pPr>
      <w:jc w:val="left"/>
    </w:pPr>
  </w:style>
  <w:style w:type="paragraph" w:styleId="13">
    <w:name w:val="Salutation"/>
    <w:basedOn w:val="8"/>
    <w:next w:val="8"/>
    <w:autoRedefine/>
    <w:qFormat/>
    <w:uiPriority w:val="0"/>
    <w:rPr>
      <w:rFonts w:ascii="..ì." w:eastAsia="..ì." w:cs="Times New Roman"/>
      <w:color w:val="auto"/>
      <w:szCs w:val="20"/>
    </w:rPr>
  </w:style>
  <w:style w:type="paragraph" w:styleId="14">
    <w:name w:val="Body Text"/>
    <w:basedOn w:val="1"/>
    <w:link w:val="57"/>
    <w:autoRedefine/>
    <w:qFormat/>
    <w:uiPriority w:val="0"/>
    <w:pPr>
      <w:spacing w:after="120"/>
    </w:pPr>
    <w:rPr>
      <w:szCs w:val="20"/>
    </w:r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39"/>
    <w:pPr>
      <w:ind w:left="840" w:leftChars="400"/>
    </w:pPr>
  </w:style>
  <w:style w:type="paragraph" w:styleId="17">
    <w:name w:val="Plain Text"/>
    <w:basedOn w:val="1"/>
    <w:autoRedefine/>
    <w:qFormat/>
    <w:uiPriority w:val="0"/>
    <w:rPr>
      <w:rFonts w:ascii="宋体" w:hAnsi="Courier New" w:cs="Courier New"/>
      <w:szCs w:val="21"/>
    </w:rPr>
  </w:style>
  <w:style w:type="paragraph" w:styleId="18">
    <w:name w:val="Date"/>
    <w:basedOn w:val="1"/>
    <w:next w:val="1"/>
    <w:autoRedefine/>
    <w:qFormat/>
    <w:uiPriority w:val="0"/>
    <w:pPr>
      <w:ind w:left="100" w:leftChars="2500"/>
    </w:pPr>
  </w:style>
  <w:style w:type="paragraph" w:styleId="19">
    <w:name w:val="Body Text Indent 2"/>
    <w:basedOn w:val="1"/>
    <w:autoRedefine/>
    <w:qFormat/>
    <w:uiPriority w:val="0"/>
    <w:pPr>
      <w:spacing w:after="120" w:line="480" w:lineRule="auto"/>
      <w:ind w:left="420" w:leftChars="200"/>
    </w:pPr>
  </w:style>
  <w:style w:type="paragraph" w:styleId="20">
    <w:name w:val="Balloon Text"/>
    <w:basedOn w:val="1"/>
    <w:autoRedefine/>
    <w:qFormat/>
    <w:uiPriority w:val="0"/>
    <w:rPr>
      <w:sz w:val="18"/>
      <w:szCs w:val="18"/>
    </w:rPr>
  </w:style>
  <w:style w:type="paragraph" w:styleId="21">
    <w:name w:val="footer"/>
    <w:basedOn w:val="1"/>
    <w:link w:val="80"/>
    <w:autoRedefine/>
    <w:qFormat/>
    <w:uiPriority w:val="99"/>
    <w:pPr>
      <w:tabs>
        <w:tab w:val="center" w:pos="4153"/>
        <w:tab w:val="right" w:pos="8306"/>
      </w:tabs>
      <w:snapToGrid w:val="0"/>
      <w:jc w:val="left"/>
    </w:pPr>
    <w:rPr>
      <w:sz w:val="18"/>
      <w:szCs w:val="18"/>
    </w:rPr>
  </w:style>
  <w:style w:type="paragraph" w:styleId="2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toc 4"/>
    <w:basedOn w:val="1"/>
    <w:next w:val="1"/>
    <w:autoRedefine/>
    <w:qFormat/>
    <w:uiPriority w:val="39"/>
    <w:pPr>
      <w:ind w:left="1260" w:leftChars="600"/>
    </w:pPr>
  </w:style>
  <w:style w:type="paragraph" w:styleId="25">
    <w:name w:val="Body Text Indent 3"/>
    <w:basedOn w:val="1"/>
    <w:autoRedefine/>
    <w:qFormat/>
    <w:uiPriority w:val="0"/>
    <w:pPr>
      <w:ind w:firstLine="420" w:firstLineChars="200"/>
    </w:pPr>
    <w:rPr>
      <w:rFonts w:ascii="宋体" w:hAnsi="宋体"/>
    </w:rPr>
  </w:style>
  <w:style w:type="paragraph" w:styleId="26">
    <w:name w:val="toc 2"/>
    <w:basedOn w:val="1"/>
    <w:next w:val="1"/>
    <w:autoRedefine/>
    <w:qFormat/>
    <w:uiPriority w:val="39"/>
    <w:pPr>
      <w:ind w:left="420" w:leftChars="200"/>
    </w:pPr>
  </w:style>
  <w:style w:type="paragraph" w:styleId="27">
    <w:name w:val="Body Text 2"/>
    <w:basedOn w:val="1"/>
    <w:next w:val="14"/>
    <w:autoRedefine/>
    <w:qFormat/>
    <w:uiPriority w:val="99"/>
    <w:pPr>
      <w:spacing w:line="360" w:lineRule="auto"/>
      <w:ind w:firstLine="480" w:firstLineChars="200"/>
    </w:pPr>
    <w:rPr>
      <w:rFonts w:ascii="仿宋_GB2312" w:hAnsi="宋体" w:eastAsia="仿宋_GB2312" w:cs="仿宋_GB2312"/>
      <w:kern w:val="0"/>
      <w:sz w:val="24"/>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9">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0">
    <w:name w:val="annotation subject"/>
    <w:basedOn w:val="12"/>
    <w:next w:val="12"/>
    <w:link w:val="79"/>
    <w:autoRedefine/>
    <w:semiHidden/>
    <w:unhideWhenUsed/>
    <w:qFormat/>
    <w:uiPriority w:val="0"/>
    <w:rPr>
      <w:b/>
      <w:bCs/>
    </w:rPr>
  </w:style>
  <w:style w:type="paragraph" w:styleId="31">
    <w:name w:val="Body Text First Indent"/>
    <w:basedOn w:val="14"/>
    <w:next w:val="1"/>
    <w:autoRedefine/>
    <w:unhideWhenUsed/>
    <w:qFormat/>
    <w:uiPriority w:val="99"/>
    <w:pPr>
      <w:ind w:firstLine="720" w:firstLineChars="100"/>
    </w:pPr>
    <w:rPr>
      <w:rFonts w:ascii="Calibri" w:hAnsi="Calibri" w:cs="黑体"/>
      <w:sz w:val="24"/>
      <w:szCs w:val="22"/>
    </w:rPr>
  </w:style>
  <w:style w:type="paragraph" w:styleId="32">
    <w:name w:val="Body Text First Indent 2"/>
    <w:basedOn w:val="15"/>
    <w:autoRedefine/>
    <w:qFormat/>
    <w:uiPriority w:val="0"/>
    <w:pPr>
      <w:ind w:firstLine="420" w:firstLineChars="200"/>
    </w:p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autoRedefine/>
    <w:qFormat/>
    <w:uiPriority w:val="0"/>
    <w:rPr>
      <w:rFonts w:ascii="Times New Roman" w:hAnsi="Times New Roman" w:eastAsia="宋体" w:cs="Times New Roman"/>
      <w:b/>
      <w:sz w:val="19"/>
      <w:szCs w:val="19"/>
    </w:rPr>
  </w:style>
  <w:style w:type="character" w:styleId="37">
    <w:name w:val="page number"/>
    <w:autoRedefine/>
    <w:qFormat/>
    <w:uiPriority w:val="0"/>
    <w:rPr>
      <w:rFonts w:ascii="Arial" w:hAnsi="Arial" w:eastAsia="黑体" w:cs="Times New Roman"/>
      <w:kern w:val="2"/>
      <w:sz w:val="21"/>
      <w:szCs w:val="21"/>
      <w:lang w:val="en-US" w:eastAsia="zh-CN" w:bidi="ar-SA"/>
    </w:rPr>
  </w:style>
  <w:style w:type="character" w:styleId="38">
    <w:name w:val="FollowedHyperlink"/>
    <w:basedOn w:val="35"/>
    <w:autoRedefine/>
    <w:semiHidden/>
    <w:unhideWhenUsed/>
    <w:qFormat/>
    <w:uiPriority w:val="0"/>
    <w:rPr>
      <w:color w:val="000000"/>
      <w:sz w:val="18"/>
      <w:szCs w:val="18"/>
      <w:u w:val="none"/>
    </w:rPr>
  </w:style>
  <w:style w:type="character" w:styleId="39">
    <w:name w:val="Emphasis"/>
    <w:basedOn w:val="35"/>
    <w:autoRedefine/>
    <w:qFormat/>
    <w:uiPriority w:val="0"/>
    <w:rPr>
      <w:b/>
    </w:rPr>
  </w:style>
  <w:style w:type="character" w:styleId="40">
    <w:name w:val="HTML Definition"/>
    <w:autoRedefine/>
    <w:qFormat/>
    <w:uiPriority w:val="0"/>
    <w:rPr>
      <w:rFonts w:ascii="Times New Roman" w:hAnsi="Times New Roman" w:eastAsia="宋体" w:cs="Times New Roman"/>
      <w:i/>
      <w:color w:val="337AB7"/>
      <w:sz w:val="30"/>
      <w:szCs w:val="20"/>
      <w:u w:val="none"/>
    </w:rPr>
  </w:style>
  <w:style w:type="character" w:styleId="41">
    <w:name w:val="HTML Typewriter"/>
    <w:basedOn w:val="35"/>
    <w:autoRedefine/>
    <w:semiHidden/>
    <w:unhideWhenUsed/>
    <w:qFormat/>
    <w:uiPriority w:val="0"/>
    <w:rPr>
      <w:rFonts w:hint="default" w:ascii="monospace" w:hAnsi="monospace" w:eastAsia="monospace" w:cs="monospace"/>
      <w:sz w:val="20"/>
    </w:rPr>
  </w:style>
  <w:style w:type="character" w:styleId="42">
    <w:name w:val="HTML Acronym"/>
    <w:basedOn w:val="35"/>
    <w:autoRedefine/>
    <w:semiHidden/>
    <w:unhideWhenUsed/>
    <w:qFormat/>
    <w:uiPriority w:val="0"/>
  </w:style>
  <w:style w:type="character" w:styleId="43">
    <w:name w:val="HTML Variable"/>
    <w:basedOn w:val="35"/>
    <w:autoRedefine/>
    <w:semiHidden/>
    <w:unhideWhenUsed/>
    <w:qFormat/>
    <w:uiPriority w:val="0"/>
  </w:style>
  <w:style w:type="character" w:styleId="44">
    <w:name w:val="Hyperlink"/>
    <w:basedOn w:val="35"/>
    <w:autoRedefine/>
    <w:qFormat/>
    <w:uiPriority w:val="99"/>
    <w:rPr>
      <w:rFonts w:ascii="Times New Roman" w:hAnsi="Times New Roman" w:eastAsia="宋体" w:cs="Times New Roman"/>
      <w:color w:val="337AB7"/>
      <w:sz w:val="30"/>
      <w:szCs w:val="20"/>
      <w:u w:val="single"/>
    </w:rPr>
  </w:style>
  <w:style w:type="character" w:styleId="45">
    <w:name w:val="HTML Code"/>
    <w:autoRedefine/>
    <w:qFormat/>
    <w:uiPriority w:val="0"/>
    <w:rPr>
      <w:rFonts w:hint="default" w:ascii="Menlo" w:hAnsi="Menlo" w:eastAsia="Menlo" w:cs="Menlo"/>
      <w:color w:val="C7254E"/>
      <w:sz w:val="21"/>
      <w:szCs w:val="21"/>
      <w:shd w:val="clear" w:color="auto" w:fill="F9F2F4"/>
    </w:rPr>
  </w:style>
  <w:style w:type="character" w:styleId="46">
    <w:name w:val="annotation reference"/>
    <w:autoRedefine/>
    <w:qFormat/>
    <w:uiPriority w:val="0"/>
    <w:rPr>
      <w:rFonts w:cs="Times New Roman"/>
      <w:sz w:val="21"/>
      <w:szCs w:val="21"/>
    </w:rPr>
  </w:style>
  <w:style w:type="character" w:styleId="47">
    <w:name w:val="HTML Cite"/>
    <w:basedOn w:val="35"/>
    <w:autoRedefine/>
    <w:semiHidden/>
    <w:unhideWhenUsed/>
    <w:qFormat/>
    <w:uiPriority w:val="0"/>
    <w:rPr>
      <w:vanish/>
    </w:rPr>
  </w:style>
  <w:style w:type="character" w:styleId="48">
    <w:name w:val="HTML Keyboard"/>
    <w:autoRedefine/>
    <w:qFormat/>
    <w:uiPriority w:val="0"/>
    <w:rPr>
      <w:rFonts w:ascii="Menlo" w:hAnsi="Menlo" w:eastAsia="Menlo" w:cs="Menlo"/>
      <w:color w:val="FFFFFF"/>
      <w:sz w:val="21"/>
      <w:szCs w:val="21"/>
      <w:shd w:val="clear" w:color="auto" w:fill="333333"/>
    </w:rPr>
  </w:style>
  <w:style w:type="character" w:styleId="49">
    <w:name w:val="HTML Sample"/>
    <w:autoRedefine/>
    <w:qFormat/>
    <w:uiPriority w:val="0"/>
    <w:rPr>
      <w:rFonts w:hint="default" w:ascii="Menlo" w:hAnsi="Menlo" w:eastAsia="Menlo" w:cs="Menlo"/>
      <w:sz w:val="21"/>
      <w:szCs w:val="21"/>
    </w:rPr>
  </w:style>
  <w:style w:type="paragraph" w:customStyle="1" w:styleId="5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1">
    <w:name w:val="无间隔1"/>
    <w:basedOn w:val="52"/>
    <w:next w:val="53"/>
    <w:autoRedefine/>
    <w:qFormat/>
    <w:uiPriority w:val="1"/>
    <w:pPr>
      <w:spacing w:line="400" w:lineRule="exact"/>
    </w:pPr>
  </w:style>
  <w:style w:type="paragraph" w:customStyle="1" w:styleId="52">
    <w:name w:val="正文_0"/>
    <w:next w:val="5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首行缩进） Char"/>
    <w:basedOn w:val="1"/>
    <w:next w:val="27"/>
    <w:autoRedefine/>
    <w:qFormat/>
    <w:uiPriority w:val="0"/>
    <w:pPr>
      <w:spacing w:line="360" w:lineRule="auto"/>
      <w:ind w:firstLine="480"/>
    </w:pPr>
    <w:rPr>
      <w:rFonts w:ascii="Arial"/>
      <w:color w:val="000000"/>
      <w:sz w:val="24"/>
    </w:rPr>
  </w:style>
  <w:style w:type="paragraph" w:customStyle="1" w:styleId="54">
    <w:name w:val="BodyText1I"/>
    <w:basedOn w:val="55"/>
    <w:autoRedefine/>
    <w:qFormat/>
    <w:uiPriority w:val="0"/>
    <w:pPr>
      <w:ind w:firstLine="420" w:firstLineChars="100"/>
    </w:pPr>
    <w:rPr>
      <w:szCs w:val="21"/>
    </w:rPr>
  </w:style>
  <w:style w:type="paragraph" w:customStyle="1" w:styleId="55">
    <w:name w:val="BodyText"/>
    <w:basedOn w:val="1"/>
    <w:next w:val="56"/>
    <w:autoRedefine/>
    <w:qFormat/>
    <w:uiPriority w:val="0"/>
    <w:pPr>
      <w:snapToGrid w:val="0"/>
      <w:spacing w:line="360" w:lineRule="auto"/>
    </w:pPr>
    <w:rPr>
      <w:rFonts w:ascii="Arial" w:hAnsi="Arial" w:eastAsia="仿宋_GB2312"/>
      <w:sz w:val="31"/>
    </w:rPr>
  </w:style>
  <w:style w:type="paragraph" w:customStyle="1" w:styleId="56">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7">
    <w:name w:val="正文文本 字符"/>
    <w:link w:val="14"/>
    <w:autoRedefine/>
    <w:qFormat/>
    <w:uiPriority w:val="0"/>
    <w:rPr>
      <w:rFonts w:ascii="Times New Roman" w:hAnsi="Times New Roman" w:eastAsia="宋体" w:cs="Times New Roman"/>
      <w:kern w:val="2"/>
      <w:sz w:val="21"/>
      <w:szCs w:val="20"/>
      <w:lang w:val="en-US" w:eastAsia="zh-CN" w:bidi="ar-SA"/>
    </w:rPr>
  </w:style>
  <w:style w:type="character" w:customStyle="1" w:styleId="58">
    <w:name w:val="已访问的超链接1"/>
    <w:autoRedefine/>
    <w:qFormat/>
    <w:uiPriority w:val="0"/>
    <w:rPr>
      <w:rFonts w:ascii="Times New Roman" w:hAnsi="Times New Roman" w:eastAsia="宋体" w:cs="Times New Roman"/>
      <w:color w:val="337AB7"/>
      <w:sz w:val="30"/>
      <w:szCs w:val="20"/>
      <w:u w:val="single"/>
    </w:rPr>
  </w:style>
  <w:style w:type="paragraph" w:customStyle="1" w:styleId="59">
    <w:name w:val="Char"/>
    <w:basedOn w:val="1"/>
    <w:autoRedefine/>
    <w:qFormat/>
    <w:uiPriority w:val="0"/>
    <w:pPr>
      <w:snapToGrid w:val="0"/>
      <w:spacing w:line="408" w:lineRule="auto"/>
      <w:ind w:firstLine="200" w:firstLineChars="200"/>
      <w:jc w:val="center"/>
    </w:pPr>
    <w:rPr>
      <w:rFonts w:ascii="黑体" w:hAnsi="仿宋_GB2312" w:eastAsia="仿宋_GB2312"/>
      <w:sz w:val="24"/>
      <w:szCs w:val="44"/>
    </w:rPr>
  </w:style>
  <w:style w:type="paragraph" w:customStyle="1" w:styleId="60">
    <w:name w:val="标题3"/>
    <w:basedOn w:val="1"/>
    <w:autoRedefine/>
    <w:qFormat/>
    <w:uiPriority w:val="0"/>
    <w:pPr>
      <w:widowControl/>
      <w:spacing w:line="360" w:lineRule="auto"/>
      <w:jc w:val="center"/>
    </w:pPr>
    <w:rPr>
      <w:sz w:val="30"/>
      <w:szCs w:val="20"/>
    </w:rPr>
  </w:style>
  <w:style w:type="paragraph" w:customStyle="1" w:styleId="61">
    <w:name w:val="p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z-窗体底端1"/>
    <w:basedOn w:val="1"/>
    <w:next w:val="1"/>
    <w:autoRedefine/>
    <w:qFormat/>
    <w:uiPriority w:val="0"/>
    <w:pPr>
      <w:pBdr>
        <w:top w:val="single" w:color="auto" w:sz="6" w:space="1"/>
      </w:pBdr>
      <w:jc w:val="center"/>
    </w:pPr>
    <w:rPr>
      <w:rFonts w:ascii="Arial"/>
      <w:vanish/>
      <w:sz w:val="16"/>
    </w:rPr>
  </w:style>
  <w:style w:type="paragraph" w:customStyle="1" w:styleId="63">
    <w:name w:val="样式 标题 2 + Times New Roman 四号 非加粗 段前: 5 磅 段后: 0 磅 行距: 固定值 20..."/>
    <w:basedOn w:val="3"/>
    <w:autoRedefine/>
    <w:qFormat/>
    <w:uiPriority w:val="0"/>
    <w:pPr>
      <w:spacing w:before="100" w:line="400" w:lineRule="exact"/>
    </w:pPr>
    <w:rPr>
      <w:rFonts w:ascii="Times New Roman" w:eastAsia="黑体" w:cs="宋体"/>
      <w:b/>
      <w:bCs/>
      <w:sz w:val="28"/>
    </w:rPr>
  </w:style>
  <w:style w:type="paragraph" w:customStyle="1" w:styleId="6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65">
    <w:name w:val="p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Char Char Char Char Char Char Char Char Char Char Char Char Char Char Char Char"/>
    <w:basedOn w:val="1"/>
    <w:autoRedefine/>
    <w:qFormat/>
    <w:uiPriority w:val="0"/>
    <w:pPr>
      <w:snapToGrid w:val="0"/>
      <w:spacing w:line="360" w:lineRule="auto"/>
      <w:ind w:firstLine="200" w:firstLineChars="200"/>
    </w:pPr>
  </w:style>
  <w:style w:type="paragraph" w:customStyle="1" w:styleId="67">
    <w:name w:val="Table Paragraph"/>
    <w:basedOn w:val="1"/>
    <w:autoRedefine/>
    <w:qFormat/>
    <w:uiPriority w:val="1"/>
  </w:style>
  <w:style w:type="paragraph" w:customStyle="1" w:styleId="68">
    <w:name w:val="Char Char Char Char Char Char Char Char Char Char"/>
    <w:basedOn w:val="1"/>
    <w:autoRedefine/>
    <w:qFormat/>
    <w:uiPriority w:val="0"/>
    <w:pPr>
      <w:tabs>
        <w:tab w:val="left" w:pos="360"/>
      </w:tabs>
      <w:ind w:left="360" w:hanging="360" w:hangingChars="200"/>
    </w:pPr>
    <w:rPr>
      <w:sz w:val="24"/>
    </w:rPr>
  </w:style>
  <w:style w:type="paragraph" w:customStyle="1" w:styleId="69">
    <w:name w:val="标题3-1"/>
    <w:basedOn w:val="4"/>
    <w:autoRedefine/>
    <w:qFormat/>
    <w:uiPriority w:val="0"/>
    <w:pPr>
      <w:tabs>
        <w:tab w:val="left" w:pos="425"/>
      </w:tabs>
      <w:ind w:left="425" w:hanging="425"/>
    </w:pPr>
    <w:rPr>
      <w:sz w:val="24"/>
    </w:rPr>
  </w:style>
  <w:style w:type="paragraph" w:customStyle="1" w:styleId="70">
    <w:name w:val="z-窗体顶端1"/>
    <w:basedOn w:val="1"/>
    <w:next w:val="1"/>
    <w:autoRedefine/>
    <w:qFormat/>
    <w:uiPriority w:val="0"/>
    <w:pPr>
      <w:pBdr>
        <w:bottom w:val="single" w:color="auto" w:sz="6" w:space="1"/>
      </w:pBdr>
      <w:jc w:val="center"/>
    </w:pPr>
    <w:rPr>
      <w:rFonts w:ascii="Arial"/>
      <w:vanish/>
      <w:sz w:val="16"/>
    </w:rPr>
  </w:style>
  <w:style w:type="paragraph" w:customStyle="1" w:styleId="71">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72">
    <w:name w:val="样式1"/>
    <w:basedOn w:val="1"/>
    <w:next w:val="5"/>
    <w:autoRedefine/>
    <w:qFormat/>
    <w:uiPriority w:val="0"/>
    <w:pPr>
      <w:spacing w:line="360" w:lineRule="auto"/>
      <w:ind w:firstLine="420" w:firstLineChars="200"/>
    </w:pPr>
    <w:rPr>
      <w:rFonts w:ascii="宋体" w:hAnsi="宋体"/>
      <w:szCs w:val="21"/>
    </w:rPr>
  </w:style>
  <w:style w:type="paragraph" w:customStyle="1" w:styleId="73">
    <w:name w:val="普通文字"/>
    <w:basedOn w:val="1"/>
    <w:next w:val="1"/>
    <w:autoRedefine/>
    <w:qFormat/>
    <w:uiPriority w:val="0"/>
    <w:pPr>
      <w:widowControl/>
    </w:pPr>
    <w:rPr>
      <w:rFonts w:ascii="宋体"/>
      <w:color w:val="000000"/>
      <w:szCs w:val="20"/>
    </w:rPr>
  </w:style>
  <w:style w:type="paragraph" w:customStyle="1" w:styleId="74">
    <w:name w:val="Char1 Char Char Char"/>
    <w:basedOn w:val="1"/>
    <w:autoRedefine/>
    <w:qFormat/>
    <w:uiPriority w:val="0"/>
    <w:rPr>
      <w:rFonts w:ascii="Tahoma" w:hAnsi="Tahoma"/>
      <w:sz w:val="24"/>
      <w:szCs w:val="20"/>
    </w:rPr>
  </w:style>
  <w:style w:type="paragraph" w:customStyle="1" w:styleId="75">
    <w:name w:val="_Style 6"/>
    <w:basedOn w:val="2"/>
    <w:next w:val="1"/>
    <w:autoRedefine/>
    <w:unhideWhenUsed/>
    <w:qFormat/>
    <w:uiPriority w:val="0"/>
    <w:pPr>
      <w:spacing w:line="578" w:lineRule="auto"/>
      <w:outlineLvl w:val="9"/>
    </w:pPr>
  </w:style>
  <w:style w:type="paragraph" w:customStyle="1" w:styleId="76">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7">
    <w:name w:val="标题 1 字符"/>
    <w:basedOn w:val="35"/>
    <w:link w:val="2"/>
    <w:autoRedefine/>
    <w:qFormat/>
    <w:uiPriority w:val="0"/>
    <w:rPr>
      <w:b/>
      <w:bCs/>
      <w:kern w:val="44"/>
      <w:sz w:val="44"/>
      <w:szCs w:val="44"/>
    </w:rPr>
  </w:style>
  <w:style w:type="character" w:customStyle="1" w:styleId="78">
    <w:name w:val="批注文字 字符"/>
    <w:basedOn w:val="35"/>
    <w:link w:val="12"/>
    <w:autoRedefine/>
    <w:qFormat/>
    <w:uiPriority w:val="0"/>
    <w:rPr>
      <w:kern w:val="2"/>
      <w:sz w:val="21"/>
      <w:szCs w:val="24"/>
    </w:rPr>
  </w:style>
  <w:style w:type="character" w:customStyle="1" w:styleId="79">
    <w:name w:val="批注主题 字符"/>
    <w:basedOn w:val="78"/>
    <w:link w:val="30"/>
    <w:autoRedefine/>
    <w:semiHidden/>
    <w:qFormat/>
    <w:uiPriority w:val="0"/>
    <w:rPr>
      <w:b/>
      <w:bCs/>
      <w:kern w:val="2"/>
      <w:sz w:val="21"/>
      <w:szCs w:val="24"/>
    </w:rPr>
  </w:style>
  <w:style w:type="character" w:customStyle="1" w:styleId="80">
    <w:name w:val="页脚 字符"/>
    <w:basedOn w:val="35"/>
    <w:link w:val="21"/>
    <w:autoRedefine/>
    <w:qFormat/>
    <w:uiPriority w:val="99"/>
    <w:rPr>
      <w:kern w:val="2"/>
      <w:sz w:val="18"/>
      <w:szCs w:val="18"/>
    </w:rPr>
  </w:style>
  <w:style w:type="table" w:customStyle="1" w:styleId="8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82">
    <w:name w:val="*正文"/>
    <w:basedOn w:val="1"/>
    <w:autoRedefine/>
    <w:qFormat/>
    <w:uiPriority w:val="0"/>
    <w:pPr>
      <w:spacing w:line="360" w:lineRule="auto"/>
      <w:ind w:firstLine="560" w:firstLineChars="200"/>
    </w:pPr>
    <w:rPr>
      <w:rFonts w:ascii="仿宋_GB2312" w:eastAsia="仿宋_GB2312"/>
      <w:sz w:val="28"/>
      <w:szCs w:val="28"/>
    </w:rPr>
  </w:style>
  <w:style w:type="paragraph" w:styleId="83">
    <w:name w:val="List Paragraph"/>
    <w:basedOn w:val="1"/>
    <w:autoRedefine/>
    <w:qFormat/>
    <w:uiPriority w:val="34"/>
    <w:pPr>
      <w:ind w:firstLine="420" w:firstLineChars="200"/>
    </w:pPr>
    <w:rPr>
      <w:sz w:val="28"/>
    </w:rPr>
  </w:style>
  <w:style w:type="character" w:customStyle="1" w:styleId="84">
    <w:name w:val="标题 4 字符"/>
    <w:link w:val="5"/>
    <w:autoRedefine/>
    <w:qFormat/>
    <w:uiPriority w:val="0"/>
    <w:rPr>
      <w:rFonts w:ascii="Arial" w:hAnsi="Arial" w:eastAsia="黑体"/>
      <w:b/>
      <w:bCs/>
      <w:sz w:val="28"/>
      <w:szCs w:val="28"/>
    </w:rPr>
  </w:style>
  <w:style w:type="character" w:customStyle="1" w:styleId="85">
    <w:name w:val="hover15"/>
    <w:basedOn w:val="35"/>
    <w:autoRedefine/>
    <w:qFormat/>
    <w:uiPriority w:val="0"/>
  </w:style>
  <w:style w:type="paragraph" w:customStyle="1" w:styleId="86">
    <w:name w:val="正文_13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pa-0"/>
    <w:basedOn w:val="1"/>
    <w:autoRedefine/>
    <w:qFormat/>
    <w:uiPriority w:val="0"/>
    <w:pPr>
      <w:widowControl/>
      <w:spacing w:line="340" w:lineRule="atLeast"/>
      <w:jc w:val="center"/>
    </w:pPr>
    <w:rPr>
      <w:rFonts w:ascii="宋体" w:hAnsi="宋体" w:cs="宋体"/>
      <w:kern w:val="0"/>
      <w:sz w:val="24"/>
    </w:rPr>
  </w:style>
  <w:style w:type="character" w:customStyle="1" w:styleId="88">
    <w:name w:val="font41"/>
    <w:basedOn w:val="35"/>
    <w:autoRedefine/>
    <w:qFormat/>
    <w:uiPriority w:val="0"/>
    <w:rPr>
      <w:rFonts w:ascii="Calibri" w:hAnsi="Calibri" w:cs="Calibri"/>
      <w:color w:val="000000"/>
      <w:sz w:val="22"/>
      <w:szCs w:val="22"/>
      <w:u w:val="none"/>
    </w:rPr>
  </w:style>
  <w:style w:type="paragraph" w:customStyle="1" w:styleId="89">
    <w:name w:val="_Style 2"/>
    <w:basedOn w:val="1"/>
    <w:autoRedefine/>
    <w:qFormat/>
    <w:uiPriority w:val="0"/>
    <w:pPr>
      <w:ind w:firstLine="420" w:firstLineChars="200"/>
    </w:pPr>
    <w:rPr>
      <w:sz w:val="18"/>
      <w:szCs w:val="18"/>
    </w:rPr>
  </w:style>
  <w:style w:type="character" w:customStyle="1" w:styleId="90">
    <w:name w:val="font51"/>
    <w:basedOn w:val="35"/>
    <w:autoRedefine/>
    <w:qFormat/>
    <w:uiPriority w:val="0"/>
    <w:rPr>
      <w:rFonts w:ascii="Calibri" w:hAnsi="Calibri" w:cs="Calibri"/>
      <w:color w:val="000000"/>
      <w:sz w:val="22"/>
      <w:szCs w:val="22"/>
      <w:u w:val="none"/>
    </w:rPr>
  </w:style>
  <w:style w:type="character" w:customStyle="1" w:styleId="91">
    <w:name w:val="font01"/>
    <w:basedOn w:val="35"/>
    <w:autoRedefine/>
    <w:qFormat/>
    <w:uiPriority w:val="0"/>
    <w:rPr>
      <w:rFonts w:hint="eastAsia" w:ascii="宋体" w:hAnsi="宋体" w:eastAsia="宋体" w:cs="宋体"/>
      <w:color w:val="000000"/>
      <w:sz w:val="22"/>
      <w:szCs w:val="22"/>
      <w:u w:val="none"/>
    </w:rPr>
  </w:style>
  <w:style w:type="paragraph" w:customStyle="1" w:styleId="92">
    <w:name w:val="列出段落1"/>
    <w:basedOn w:val="1"/>
    <w:autoRedefine/>
    <w:qFormat/>
    <w:uiPriority w:val="0"/>
    <w:pPr>
      <w:ind w:firstLine="420" w:firstLineChars="200"/>
    </w:pPr>
  </w:style>
  <w:style w:type="paragraph" w:customStyle="1" w:styleId="93">
    <w:name w:val="正文缩进2"/>
    <w:basedOn w:val="1"/>
    <w:autoRedefine/>
    <w:qFormat/>
    <w:uiPriority w:val="0"/>
    <w:pPr>
      <w:ind w:firstLine="420" w:firstLineChars="200"/>
    </w:pPr>
  </w:style>
  <w:style w:type="character" w:customStyle="1" w:styleId="94">
    <w:name w:val="标题 2 字符"/>
    <w:link w:val="3"/>
    <w:autoRedefine/>
    <w:qFormat/>
    <w:uiPriority w:val="0"/>
    <w:rPr>
      <w:rFonts w:ascii="..ì." w:eastAsia="..ì."/>
      <w:szCs w:val="20"/>
    </w:rPr>
  </w:style>
  <w:style w:type="paragraph" w:customStyle="1" w:styleId="95">
    <w:name w:val="_Style 73"/>
    <w:basedOn w:val="1"/>
    <w:next w:val="83"/>
    <w:autoRedefine/>
    <w:qFormat/>
    <w:uiPriority w:val="0"/>
    <w:pPr>
      <w:ind w:firstLine="420" w:firstLineChars="200"/>
    </w:pPr>
    <w:rPr>
      <w:rFonts w:ascii="Calibri" w:hAnsi="Calibri"/>
      <w:szCs w:val="22"/>
    </w:rPr>
  </w:style>
  <w:style w:type="character" w:customStyle="1" w:styleId="96">
    <w:name w:val="xiadan"/>
    <w:basedOn w:val="35"/>
    <w:autoRedefine/>
    <w:qFormat/>
    <w:uiPriority w:val="0"/>
    <w:rPr>
      <w:shd w:val="clear" w:color="auto" w:fill="E4393C"/>
    </w:rPr>
  </w:style>
  <w:style w:type="character" w:customStyle="1" w:styleId="97">
    <w:name w:val="first-child"/>
    <w:basedOn w:val="35"/>
    <w:autoRedefine/>
    <w:qFormat/>
    <w:uiPriority w:val="0"/>
    <w:rPr>
      <w:color w:val="1F3149"/>
      <w:sz w:val="24"/>
      <w:szCs w:val="24"/>
    </w:rPr>
  </w:style>
  <w:style w:type="character" w:customStyle="1" w:styleId="98">
    <w:name w:val="first-child1"/>
    <w:basedOn w:val="35"/>
    <w:autoRedefine/>
    <w:qFormat/>
    <w:uiPriority w:val="0"/>
    <w:rPr>
      <w:color w:val="1F3149"/>
      <w:sz w:val="24"/>
      <w:szCs w:val="24"/>
    </w:rPr>
  </w:style>
  <w:style w:type="character" w:customStyle="1" w:styleId="99">
    <w:name w:val="fr"/>
    <w:basedOn w:val="35"/>
    <w:autoRedefine/>
    <w:qFormat/>
    <w:uiPriority w:val="0"/>
  </w:style>
  <w:style w:type="character" w:customStyle="1" w:styleId="100">
    <w:name w:val="icon_ds"/>
    <w:basedOn w:val="35"/>
    <w:autoRedefine/>
    <w:qFormat/>
    <w:uiPriority w:val="0"/>
  </w:style>
  <w:style w:type="character" w:customStyle="1" w:styleId="101">
    <w:name w:val="icon_ds1"/>
    <w:basedOn w:val="35"/>
    <w:autoRedefine/>
    <w:qFormat/>
    <w:uiPriority w:val="0"/>
    <w:rPr>
      <w:sz w:val="21"/>
      <w:szCs w:val="21"/>
    </w:rPr>
  </w:style>
  <w:style w:type="character" w:customStyle="1" w:styleId="102">
    <w:name w:val="icon_gys"/>
    <w:basedOn w:val="35"/>
    <w:autoRedefine/>
    <w:qFormat/>
    <w:uiPriority w:val="0"/>
    <w:rPr>
      <w:sz w:val="21"/>
      <w:szCs w:val="21"/>
    </w:rPr>
  </w:style>
  <w:style w:type="character" w:customStyle="1" w:styleId="103">
    <w:name w:val="redio1"/>
    <w:basedOn w:val="35"/>
    <w:autoRedefine/>
    <w:qFormat/>
    <w:uiPriority w:val="0"/>
  </w:style>
  <w:style w:type="paragraph" w:customStyle="1" w:styleId="104">
    <w:name w:val="目录 21"/>
    <w:basedOn w:val="1"/>
    <w:autoRedefine/>
    <w:qFormat/>
    <w:uiPriority w:val="1"/>
    <w:pPr>
      <w:ind w:left="100"/>
    </w:pPr>
    <w:rPr>
      <w:rFonts w:ascii="宋体" w:hAnsi="宋体"/>
      <w:szCs w:val="21"/>
    </w:rPr>
  </w:style>
  <w:style w:type="paragraph" w:customStyle="1" w:styleId="10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06">
    <w:name w:val="普通文字 Char Char"/>
    <w:autoRedefine/>
    <w:qFormat/>
    <w:uiPriority w:val="0"/>
    <w:rPr>
      <w:rFonts w:ascii="宋体" w:hAnsi="Courier New" w:eastAsia="宋体"/>
      <w:kern w:val="2"/>
      <w:sz w:val="28"/>
      <w:lang w:val="en-US" w:eastAsia="zh-CN"/>
    </w:rPr>
  </w:style>
  <w:style w:type="paragraph" w:customStyle="1" w:styleId="107">
    <w:name w:val="_正文"/>
    <w:autoRedefine/>
    <w:qFormat/>
    <w:uiPriority w:val="0"/>
    <w:pPr>
      <w:ind w:firstLine="200" w:firstLineChars="200"/>
    </w:pPr>
    <w:rPr>
      <w:rFonts w:ascii="等线" w:hAnsi="等线" w:eastAsia="仿宋" w:cs="Times New Roman (正文 CS 字体)"/>
      <w:kern w:val="2"/>
      <w:sz w:val="28"/>
      <w:szCs w:val="21"/>
      <w:lang w:val="en-US" w:eastAsia="zh-CN" w:bidi="ar-SA"/>
    </w:rPr>
  </w:style>
  <w:style w:type="paragraph" w:customStyle="1" w:styleId="108">
    <w:name w:val="正文1"/>
    <w:basedOn w:val="1"/>
    <w:autoRedefine/>
    <w:qFormat/>
    <w:uiPriority w:val="0"/>
    <w:pPr>
      <w:ind w:firstLine="420"/>
    </w:pPr>
    <w:rPr>
      <w:rFonts w:ascii="微软雅黑" w:hAnsi="微软雅黑" w:eastAsia="微软雅黑"/>
      <w:szCs w:val="28"/>
    </w:rPr>
  </w:style>
  <w:style w:type="paragraph" w:customStyle="1" w:styleId="109">
    <w:name w:val="标准正文样式"/>
    <w:basedOn w:val="110"/>
    <w:autoRedefine/>
    <w:qFormat/>
    <w:uiPriority w:val="0"/>
    <w:pPr>
      <w:ind w:firstLine="560"/>
    </w:pPr>
    <w:rPr>
      <w:kern w:val="0"/>
      <w:sz w:val="28"/>
    </w:rPr>
  </w:style>
  <w:style w:type="paragraph" w:customStyle="1" w:styleId="110">
    <w:name w:val="样式 样式 正文首行缩进 2 + 首行缩进:  2 字符 + 首行缩进:  2 字符"/>
    <w:basedOn w:val="1"/>
    <w:autoRedefine/>
    <w:qFormat/>
    <w:uiPriority w:val="0"/>
    <w:pPr>
      <w:ind w:firstLine="480"/>
    </w:pPr>
  </w:style>
  <w:style w:type="paragraph" w:customStyle="1" w:styleId="111">
    <w:name w:val="可研正文"/>
    <w:basedOn w:val="1"/>
    <w:next w:val="1"/>
    <w:autoRedefine/>
    <w:qFormat/>
    <w:uiPriority w:val="0"/>
    <w:pPr>
      <w:snapToGrid w:val="0"/>
      <w:ind w:firstLine="640"/>
    </w:pPr>
    <w:rPr>
      <w:rFonts w:ascii="仿宋_GB2312" w:hAnsi="仿宋_GB2312" w:eastAsia="仿宋_GB2312" w:cs="仿宋_GB2312"/>
      <w:kern w:val="0"/>
      <w:sz w:val="28"/>
    </w:rPr>
  </w:style>
  <w:style w:type="paragraph" w:customStyle="1" w:styleId="112">
    <w:name w:val="__正文"/>
    <w:autoRedefine/>
    <w:qFormat/>
    <w:uiPriority w:val="0"/>
    <w:pPr>
      <w:spacing w:line="360" w:lineRule="auto"/>
      <w:ind w:firstLine="200" w:firstLineChars="200"/>
      <w:jc w:val="both"/>
    </w:pPr>
    <w:rPr>
      <w:rFonts w:ascii="Calibri" w:hAnsi="Calibri" w:eastAsia="宋体" w:cs="Times New Roman"/>
      <w:kern w:val="2"/>
      <w:sz w:val="24"/>
      <w:szCs w:val="21"/>
      <w:lang w:val="en-US" w:eastAsia="zh-CN" w:bidi="ar-SA"/>
    </w:rPr>
  </w:style>
  <w:style w:type="character" w:customStyle="1" w:styleId="113">
    <w:name w:val="font31"/>
    <w:basedOn w:val="35"/>
    <w:autoRedefine/>
    <w:qFormat/>
    <w:uiPriority w:val="0"/>
    <w:rPr>
      <w:rFonts w:hint="eastAsia" w:ascii="仿宋" w:hAnsi="仿宋" w:eastAsia="仿宋" w:cs="仿宋"/>
      <w:b/>
      <w:bCs/>
      <w:color w:val="000000"/>
      <w:sz w:val="24"/>
      <w:szCs w:val="24"/>
      <w:u w:val="none"/>
    </w:rPr>
  </w:style>
  <w:style w:type="character" w:customStyle="1" w:styleId="114">
    <w:name w:val="font21"/>
    <w:basedOn w:val="35"/>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1200E-0FFB-4421-B7C7-8DCD1198AF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155</Pages>
  <Words>99445</Words>
  <Characters>103398</Characters>
  <Lines>1006</Lines>
  <Paragraphs>283</Paragraphs>
  <TotalTime>1</TotalTime>
  <ScaleCrop>false</ScaleCrop>
  <LinksUpToDate>false</LinksUpToDate>
  <CharactersWithSpaces>108401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2024-05-22T07:32:00Z</dcterms:created>
  <dc:creator>微软中国</dc:creator>
  <cp:lastModifiedBy>鱼卷卷</cp:lastModifiedBy>
  <cp:lastPrinted>2023-06-25T01:13:00Z</cp:lastPrinted>
  <dcterms:modified xsi:type="dcterms:W3CDTF">2024-06-06T07:16:41Z</dcterms:modified>
  <dc:title>杨尚斌2011.1.5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DDD6D663D4C64800BFA64BD0F104AAEA_13</vt:lpwstr>
  </property>
</Properties>
</file>