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8B89">
      <w:pPr>
        <w:pStyle w:val="3"/>
        <w:ind w:left="0" w:lef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eastAsia="zh-CN"/>
        </w:rPr>
        <w:t>荥阳市自然资源和规划局荥阳市全民所有自然资源资产清查技术服务项目</w:t>
      </w:r>
    </w:p>
    <w:p w14:paraId="0BC0C155">
      <w:pPr>
        <w:pStyle w:val="3"/>
        <w:ind w:left="0" w:lef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综合评分</w:t>
      </w:r>
      <w:r>
        <w:rPr>
          <w:rFonts w:hint="eastAsia" w:ascii="宋体" w:hAnsi="宋体" w:eastAsia="宋体" w:cs="宋体"/>
          <w:b/>
          <w:bCs/>
          <w:sz w:val="36"/>
          <w:szCs w:val="36"/>
        </w:rPr>
        <w:t>排序表</w:t>
      </w:r>
    </w:p>
    <w:p w14:paraId="5882379E">
      <w:pPr>
        <w:pStyle w:val="3"/>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32"/>
          <w:szCs w:val="32"/>
          <w:lang w:val="en-US" w:eastAsia="zh-CN"/>
        </w:rPr>
      </w:pPr>
      <w:r>
        <w:rPr>
          <w:rFonts w:ascii="宋体" w:hAnsi="宋体" w:eastAsia="宋体" w:cs="宋体"/>
          <w:sz w:val="28"/>
          <w:szCs w:val="28"/>
        </w:rPr>
        <w:t>根据</w:t>
      </w:r>
      <w:r>
        <w:rPr>
          <w:rFonts w:hint="eastAsia" w:ascii="宋体" w:hAnsi="宋体" w:eastAsia="宋体" w:cs="宋体"/>
          <w:sz w:val="28"/>
          <w:szCs w:val="28"/>
          <w:lang w:eastAsia="zh-CN"/>
        </w:rPr>
        <w:t>荥阳市自然资源和规划局荥阳市全民所有自然资源资产清查技术服务项目</w:t>
      </w:r>
      <w:r>
        <w:rPr>
          <w:rFonts w:hint="eastAsia" w:ascii="宋体" w:hAnsi="宋体" w:eastAsia="宋体" w:cs="宋体"/>
          <w:sz w:val="28"/>
          <w:szCs w:val="28"/>
          <w:lang w:val="en-US" w:eastAsia="zh-CN"/>
        </w:rPr>
        <w:t>的</w:t>
      </w:r>
      <w:r>
        <w:rPr>
          <w:rFonts w:ascii="宋体" w:hAnsi="宋体" w:eastAsia="宋体" w:cs="宋体"/>
          <w:sz w:val="28"/>
          <w:szCs w:val="28"/>
        </w:rPr>
        <w:t>评审报告。本项目综合得分从高到低的顺序排序如下</w:t>
      </w:r>
      <w:r>
        <w:rPr>
          <w:rFonts w:ascii="宋体" w:hAnsi="宋体" w:eastAsia="宋体" w:cs="宋体"/>
          <w:sz w:val="24"/>
          <w:szCs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5284"/>
        <w:gridCol w:w="1633"/>
        <w:gridCol w:w="1017"/>
      </w:tblGrid>
      <w:tr w14:paraId="2C17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27" w:type="dxa"/>
            <w:vAlign w:val="center"/>
          </w:tcPr>
          <w:p w14:paraId="31E39E1C">
            <w:pPr>
              <w:spacing w:line="48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5284" w:type="dxa"/>
            <w:vAlign w:val="center"/>
          </w:tcPr>
          <w:p w14:paraId="1B661CDF">
            <w:pPr>
              <w:spacing w:line="480" w:lineRule="auto"/>
              <w:jc w:val="center"/>
              <w:rPr>
                <w:rFonts w:hint="eastAsia" w:ascii="宋体" w:hAnsi="宋体" w:eastAsia="宋体" w:cs="宋体"/>
                <w:sz w:val="28"/>
                <w:szCs w:val="28"/>
                <w:vertAlign w:val="baseline"/>
              </w:rPr>
            </w:pPr>
            <w:r>
              <w:rPr>
                <w:rFonts w:hint="eastAsia" w:ascii="宋体" w:hAnsi="宋体" w:eastAsia="宋体" w:cs="宋体"/>
                <w:sz w:val="28"/>
                <w:szCs w:val="28"/>
              </w:rPr>
              <w:t>供应商名称</w:t>
            </w:r>
          </w:p>
        </w:tc>
        <w:tc>
          <w:tcPr>
            <w:tcW w:w="1633" w:type="dxa"/>
            <w:vAlign w:val="center"/>
          </w:tcPr>
          <w:p w14:paraId="2F4552A8">
            <w:pPr>
              <w:spacing w:line="480" w:lineRule="auto"/>
              <w:jc w:val="center"/>
              <w:rPr>
                <w:rFonts w:hint="eastAsia" w:ascii="宋体" w:hAnsi="宋体" w:eastAsia="宋体" w:cs="宋体"/>
                <w:sz w:val="28"/>
                <w:szCs w:val="28"/>
                <w:vertAlign w:val="baseline"/>
              </w:rPr>
            </w:pPr>
            <w:r>
              <w:rPr>
                <w:rFonts w:hint="eastAsia" w:ascii="宋体" w:hAnsi="宋体" w:eastAsia="宋体" w:cs="宋体"/>
                <w:sz w:val="28"/>
                <w:szCs w:val="28"/>
              </w:rPr>
              <w:t>综合得分</w:t>
            </w:r>
          </w:p>
        </w:tc>
        <w:tc>
          <w:tcPr>
            <w:tcW w:w="1017" w:type="dxa"/>
            <w:vAlign w:val="center"/>
          </w:tcPr>
          <w:p w14:paraId="6213B924">
            <w:pPr>
              <w:spacing w:line="480" w:lineRule="auto"/>
              <w:jc w:val="center"/>
              <w:rPr>
                <w:rFonts w:hint="eastAsia" w:ascii="宋体" w:hAnsi="宋体" w:eastAsia="宋体" w:cs="宋体"/>
                <w:sz w:val="28"/>
                <w:szCs w:val="28"/>
                <w:vertAlign w:val="baseline"/>
              </w:rPr>
            </w:pPr>
            <w:r>
              <w:rPr>
                <w:rFonts w:hint="eastAsia" w:ascii="宋体" w:hAnsi="宋体" w:eastAsia="宋体" w:cs="宋体"/>
                <w:sz w:val="28"/>
                <w:szCs w:val="28"/>
              </w:rPr>
              <w:t>排序</w:t>
            </w:r>
          </w:p>
        </w:tc>
      </w:tr>
      <w:tr w14:paraId="4135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27" w:type="dxa"/>
            <w:vAlign w:val="center"/>
          </w:tcPr>
          <w:p w14:paraId="0F1C2BB3">
            <w:pPr>
              <w:spacing w:line="48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5284" w:type="dxa"/>
            <w:shd w:val="clear" w:color="auto" w:fill="auto"/>
            <w:vAlign w:val="center"/>
          </w:tcPr>
          <w:p w14:paraId="6A99C34B">
            <w:pPr>
              <w:jc w:val="left"/>
              <w:rPr>
                <w:rFonts w:hint="eastAsia" w:ascii="宋体" w:hAnsi="宋体" w:eastAsia="宋体" w:cs="宋体"/>
                <w:sz w:val="28"/>
                <w:szCs w:val="28"/>
                <w:lang w:val="en-US" w:eastAsia="en-US"/>
              </w:rPr>
            </w:pPr>
            <w:r>
              <w:rPr>
                <w:rFonts w:hint="eastAsia" w:ascii="宋体" w:hAnsi="宋体" w:eastAsia="宋体" w:cs="宋体"/>
                <w:sz w:val="28"/>
                <w:szCs w:val="28"/>
              </w:rPr>
              <w:t>郑州众信房地产估价有限公司</w:t>
            </w:r>
          </w:p>
        </w:tc>
        <w:tc>
          <w:tcPr>
            <w:tcW w:w="1633" w:type="dxa"/>
            <w:vAlign w:val="center"/>
          </w:tcPr>
          <w:p w14:paraId="034A0298">
            <w:pPr>
              <w:jc w:val="center"/>
              <w:rPr>
                <w:rFonts w:hint="eastAsia" w:ascii="宋体" w:hAnsi="宋体" w:eastAsia="宋体" w:cs="宋体"/>
                <w:sz w:val="28"/>
                <w:szCs w:val="28"/>
              </w:rPr>
            </w:pPr>
            <w:r>
              <w:rPr>
                <w:rFonts w:hint="eastAsia" w:ascii="宋体" w:hAnsi="宋体" w:eastAsia="宋体" w:cs="宋体"/>
                <w:sz w:val="28"/>
                <w:szCs w:val="28"/>
              </w:rPr>
              <w:t>88.00</w:t>
            </w:r>
          </w:p>
        </w:tc>
        <w:tc>
          <w:tcPr>
            <w:tcW w:w="1017" w:type="dxa"/>
            <w:vAlign w:val="center"/>
          </w:tcPr>
          <w:p w14:paraId="6856B865">
            <w:pPr>
              <w:spacing w:line="48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r>
      <w:tr w14:paraId="002B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27" w:type="dxa"/>
            <w:vAlign w:val="center"/>
          </w:tcPr>
          <w:p w14:paraId="06342925">
            <w:pPr>
              <w:spacing w:line="48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5284" w:type="dxa"/>
            <w:shd w:val="clear" w:color="auto" w:fill="auto"/>
            <w:vAlign w:val="center"/>
          </w:tcPr>
          <w:p w14:paraId="070217CB">
            <w:pPr>
              <w:jc w:val="left"/>
              <w:rPr>
                <w:rFonts w:hint="eastAsia" w:ascii="宋体" w:hAnsi="宋体" w:eastAsia="宋体" w:cs="宋体"/>
                <w:sz w:val="28"/>
                <w:szCs w:val="28"/>
                <w:lang w:val="en-US" w:eastAsia="en-US"/>
              </w:rPr>
            </w:pPr>
            <w:r>
              <w:rPr>
                <w:rFonts w:hint="eastAsia" w:ascii="宋体" w:hAnsi="宋体" w:eastAsia="宋体" w:cs="宋体"/>
                <w:sz w:val="28"/>
                <w:szCs w:val="28"/>
              </w:rPr>
              <w:t>河南淮源土地房地产评估有限公司</w:t>
            </w:r>
          </w:p>
        </w:tc>
        <w:tc>
          <w:tcPr>
            <w:tcW w:w="1633" w:type="dxa"/>
            <w:vAlign w:val="center"/>
          </w:tcPr>
          <w:p w14:paraId="3132C9E7">
            <w:pPr>
              <w:jc w:val="center"/>
              <w:rPr>
                <w:rFonts w:hint="eastAsia" w:ascii="宋体" w:hAnsi="宋体" w:eastAsia="宋体" w:cs="宋体"/>
                <w:sz w:val="28"/>
                <w:szCs w:val="28"/>
              </w:rPr>
            </w:pPr>
            <w:r>
              <w:rPr>
                <w:rFonts w:hint="eastAsia" w:ascii="宋体" w:hAnsi="宋体" w:eastAsia="宋体" w:cs="宋体"/>
                <w:sz w:val="28"/>
                <w:szCs w:val="28"/>
              </w:rPr>
              <w:t>78.66</w:t>
            </w:r>
          </w:p>
        </w:tc>
        <w:tc>
          <w:tcPr>
            <w:tcW w:w="1017" w:type="dxa"/>
            <w:vAlign w:val="center"/>
          </w:tcPr>
          <w:p w14:paraId="48E8EBFC">
            <w:pPr>
              <w:spacing w:line="48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r>
      <w:tr w14:paraId="19C8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27" w:type="dxa"/>
            <w:vAlign w:val="center"/>
          </w:tcPr>
          <w:p w14:paraId="022525E3">
            <w:pPr>
              <w:spacing w:line="48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5284" w:type="dxa"/>
            <w:shd w:val="clear" w:color="auto" w:fill="auto"/>
            <w:vAlign w:val="center"/>
          </w:tcPr>
          <w:p w14:paraId="2EABAB80">
            <w:pPr>
              <w:jc w:val="left"/>
              <w:rPr>
                <w:rFonts w:hint="eastAsia" w:ascii="宋体" w:hAnsi="宋体" w:eastAsia="宋体" w:cs="宋体"/>
                <w:sz w:val="28"/>
                <w:szCs w:val="28"/>
                <w:lang w:val="en-US" w:eastAsia="en-US"/>
              </w:rPr>
            </w:pPr>
            <w:r>
              <w:rPr>
                <w:rFonts w:hint="eastAsia" w:ascii="宋体" w:hAnsi="宋体" w:eastAsia="宋体" w:cs="宋体"/>
                <w:sz w:val="28"/>
                <w:szCs w:val="28"/>
              </w:rPr>
              <w:t>河南正达房地产评估测绘咨询有限公司</w:t>
            </w:r>
          </w:p>
        </w:tc>
        <w:tc>
          <w:tcPr>
            <w:tcW w:w="1633" w:type="dxa"/>
            <w:vAlign w:val="center"/>
          </w:tcPr>
          <w:p w14:paraId="7FCDD774">
            <w:pPr>
              <w:jc w:val="center"/>
              <w:rPr>
                <w:rFonts w:hint="eastAsia" w:ascii="宋体" w:hAnsi="宋体" w:eastAsia="宋体" w:cs="宋体"/>
                <w:sz w:val="28"/>
                <w:szCs w:val="28"/>
              </w:rPr>
            </w:pPr>
            <w:r>
              <w:rPr>
                <w:rFonts w:hint="eastAsia" w:ascii="宋体" w:hAnsi="宋体" w:eastAsia="宋体" w:cs="宋体"/>
                <w:sz w:val="28"/>
                <w:szCs w:val="28"/>
              </w:rPr>
              <w:t>47.30</w:t>
            </w:r>
          </w:p>
        </w:tc>
        <w:tc>
          <w:tcPr>
            <w:tcW w:w="1017" w:type="dxa"/>
            <w:vAlign w:val="center"/>
          </w:tcPr>
          <w:p w14:paraId="6E06A399">
            <w:pPr>
              <w:spacing w:line="48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r>
      <w:tr w14:paraId="5966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27" w:type="dxa"/>
            <w:vAlign w:val="center"/>
          </w:tcPr>
          <w:p w14:paraId="38B92CE3">
            <w:pPr>
              <w:spacing w:line="48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7934" w:type="dxa"/>
            <w:gridSpan w:val="3"/>
            <w:vAlign w:val="center"/>
          </w:tcPr>
          <w:p w14:paraId="2C32BBE9">
            <w:pPr>
              <w:spacing w:line="480" w:lineRule="auto"/>
              <w:jc w:val="left"/>
              <w:rPr>
                <w:rFonts w:hint="default" w:ascii="宋体" w:hAnsi="宋体" w:eastAsia="宋体" w:cs="宋体"/>
                <w:sz w:val="28"/>
                <w:szCs w:val="28"/>
                <w:vertAlign w:val="baseline"/>
                <w:lang w:val="en-US" w:eastAsia="zh-CN"/>
              </w:rPr>
            </w:pPr>
            <w:r>
              <w:rPr>
                <w:rFonts w:hint="eastAsia" w:ascii="宋体" w:hAnsi="宋体" w:eastAsia="宋体" w:cs="宋体"/>
                <w:sz w:val="28"/>
                <w:szCs w:val="28"/>
              </w:rPr>
              <w:t>河南誉金房地产土地资产评估有限公司</w:t>
            </w:r>
            <w:r>
              <w:rPr>
                <w:rFonts w:hint="eastAsia" w:ascii="宋体" w:hAnsi="宋体" w:eastAsia="宋体" w:cs="宋体"/>
                <w:sz w:val="28"/>
                <w:szCs w:val="28"/>
                <w:lang w:val="en-US" w:eastAsia="zh-CN"/>
              </w:rPr>
              <w:t>提供的资格承诺函不符合采购文件要求，未通过资格评审。</w:t>
            </w:r>
          </w:p>
        </w:tc>
      </w:tr>
    </w:tbl>
    <w:p w14:paraId="6A49BAD7">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02F09"/>
    <w:rsid w:val="01FA31C4"/>
    <w:rsid w:val="04902F09"/>
    <w:rsid w:val="3C3A4DDB"/>
    <w:rsid w:val="4BC510D3"/>
    <w:rsid w:val="6AD54BD0"/>
    <w:rsid w:val="6B652303"/>
    <w:rsid w:val="6E07568B"/>
    <w:rsid w:val="7E1D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Body Text First Indent 2"/>
    <w:basedOn w:val="2"/>
    <w:qFormat/>
    <w:uiPriority w:val="0"/>
    <w:pPr>
      <w:suppressAutoHyphens/>
      <w:ind w:leftChars="0" w:firstLine="420"/>
    </w:pPr>
    <w:rPr>
      <w:kern w:val="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w:basedOn w:val="1"/>
    <w:qFormat/>
    <w:uiPriority w:val="0"/>
    <w:pPr>
      <w:keepNext/>
      <w:keepLines/>
      <w:spacing w:line="360" w:lineRule="auto"/>
      <w:ind w:firstLine="200" w:firstLineChars="200"/>
    </w:pPr>
    <w:rPr>
      <w:rFonts w:ascii="宋体" w:hAnsi="宋体"/>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Words>
  <Characters>217</Characters>
  <Lines>0</Lines>
  <Paragraphs>0</Paragraphs>
  <TotalTime>1</TotalTime>
  <ScaleCrop>false</ScaleCrop>
  <LinksUpToDate>false</LinksUpToDate>
  <CharactersWithSpaces>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2025-05-14T04:37:00Z</dcterms:created>
  <dc:creator>MEI</dc:creator>
  <cp:lastModifiedBy>Administrator</cp:lastModifiedBy>
  <dcterms:modified xsi:type="dcterms:W3CDTF">2025-06-05T07:48:49Z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2E7CB3195F5D443FABEB736565EA05E5_11</vt:lpwstr>
  </property>
  <property fmtid="{D5CDD505-2E9C-101B-9397-08002B2CF9AE}" pid="4" name="KSOTemplateDocerSaveRecord">
    <vt:lpwstr>eyJoZGlkIjoiNTY4N2IzNzNmOWFlNDY5ODJhOWI4NDNhMGZjYTY4MjYiLCJ1c2VySWQiOiIzMzc4NzYwODgifQ==</vt:lpwstr>
  </property>
</Properties>
</file>