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auto"/>
          <w:sz w:val="44"/>
          <w:szCs w:val="44"/>
          <w:highlight w:val="none"/>
        </w:rPr>
      </w:pPr>
      <w:r>
        <w:rPr>
          <w:rFonts w:hint="eastAsia" w:asciiTheme="majorEastAsia" w:hAnsiTheme="majorEastAsia" w:eastAsiaTheme="majorEastAsia" w:cstheme="majorEastAsia"/>
          <w:b/>
          <w:bCs/>
          <w:color w:val="auto"/>
          <w:sz w:val="44"/>
          <w:szCs w:val="44"/>
          <w:highlight w:val="none"/>
        </w:rPr>
        <w:t>禹州市环境保护局禹州市22个乡镇（街道）环境空气自动监测站运维项目</w:t>
      </w:r>
    </w:p>
    <w:p>
      <w:pPr>
        <w:pStyle w:val="39"/>
        <w:ind w:firstLine="0" w:firstLineChars="0"/>
        <w:rPr>
          <w:rFonts w:ascii="华文隶书" w:eastAsia="华文隶书"/>
          <w:bCs/>
          <w:color w:val="auto"/>
          <w:w w:val="90"/>
          <w:sz w:val="96"/>
          <w:highlight w:val="none"/>
        </w:rPr>
      </w:pPr>
    </w:p>
    <w:p>
      <w:pPr>
        <w:pStyle w:val="39"/>
        <w:ind w:firstLine="0" w:firstLineChars="0"/>
        <w:rPr>
          <w:rFonts w:ascii="华文隶书" w:eastAsia="华文隶书"/>
          <w:bCs/>
          <w:color w:val="auto"/>
          <w:w w:val="90"/>
          <w:sz w:val="96"/>
          <w:highlight w:val="none"/>
        </w:rPr>
      </w:pPr>
    </w:p>
    <w:p>
      <w:pPr>
        <w:pStyle w:val="70"/>
        <w:ind w:firstLine="420"/>
        <w:rPr>
          <w:color w:val="auto"/>
          <w:highlight w:val="none"/>
        </w:rPr>
      </w:pPr>
    </w:p>
    <w:p>
      <w:pP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招 标 文 件</w:t>
      </w:r>
    </w:p>
    <w:p>
      <w:pPr>
        <w:rPr>
          <w:rFonts w:ascii="微软简隶书" w:eastAsia="微软简隶书"/>
          <w:color w:val="auto"/>
          <w:highlight w:val="none"/>
        </w:rPr>
      </w:pPr>
    </w:p>
    <w:p>
      <w:pPr>
        <w:rPr>
          <w:rFonts w:ascii="微软简隶书" w:eastAsia="微软简隶书"/>
          <w:color w:val="auto"/>
          <w:highlight w:val="none"/>
        </w:rPr>
      </w:pPr>
    </w:p>
    <w:p>
      <w:pPr>
        <w:pStyle w:val="2"/>
        <w:rPr>
          <w:rFonts w:hint="eastAsia"/>
          <w:color w:val="auto"/>
          <w:highlight w:val="none"/>
        </w:rPr>
      </w:pPr>
    </w:p>
    <w:p>
      <w:pPr>
        <w:pStyle w:val="25"/>
        <w:rPr>
          <w:rFonts w:hint="eastAsia"/>
          <w:color w:val="auto"/>
          <w:highlight w:val="none"/>
        </w:rPr>
      </w:pPr>
    </w:p>
    <w:p>
      <w:pPr>
        <w:pStyle w:val="25"/>
        <w:rPr>
          <w:color w:val="auto"/>
          <w:highlight w:val="none"/>
        </w:rPr>
      </w:pPr>
    </w:p>
    <w:p>
      <w:pPr>
        <w:rPr>
          <w:color w:val="auto"/>
          <w:highlight w:val="none"/>
        </w:rPr>
      </w:pPr>
    </w:p>
    <w:p>
      <w:pPr>
        <w:pStyle w:val="2"/>
        <w:rPr>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spacing w:line="600" w:lineRule="exact"/>
        <w:ind w:firstLine="1066" w:firstLineChars="295"/>
        <w:rPr>
          <w:rFonts w:hint="default"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采购编号：YZCG-DLG202</w:t>
      </w:r>
      <w:r>
        <w:rPr>
          <w:rFonts w:hint="eastAsia" w:asciiTheme="majorEastAsia" w:hAnsiTheme="majorEastAsia" w:eastAsiaTheme="majorEastAsia" w:cstheme="majorEastAsia"/>
          <w:b/>
          <w:bCs/>
          <w:color w:val="auto"/>
          <w:sz w:val="36"/>
          <w:szCs w:val="36"/>
          <w:highlight w:val="none"/>
          <w:lang w:val="en-US" w:eastAsia="zh-CN"/>
        </w:rPr>
        <w:t>4074</w:t>
      </w:r>
    </w:p>
    <w:p>
      <w:pPr>
        <w:ind w:firstLine="1066" w:firstLineChars="295"/>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采购单位：禹州市环境保护局</w:t>
      </w:r>
    </w:p>
    <w:p>
      <w:pPr>
        <w:ind w:firstLine="1066" w:firstLineChars="295"/>
        <w:rPr>
          <w:rFonts w:eastAsiaTheme="majorEastAsia"/>
          <w:color w:val="auto"/>
          <w:highlight w:val="none"/>
        </w:rPr>
      </w:pPr>
      <w:r>
        <w:rPr>
          <w:rFonts w:hint="eastAsia" w:asciiTheme="majorEastAsia" w:hAnsiTheme="majorEastAsia" w:eastAsiaTheme="majorEastAsia" w:cstheme="majorEastAsia"/>
          <w:b/>
          <w:bCs/>
          <w:color w:val="auto"/>
          <w:sz w:val="36"/>
          <w:szCs w:val="36"/>
          <w:highlight w:val="none"/>
        </w:rPr>
        <w:t>代理机构：许昌丰元咨询管理有限公司</w:t>
      </w:r>
    </w:p>
    <w:p>
      <w:pPr>
        <w:jc w:val="center"/>
        <w:rPr>
          <w:rFonts w:cs="黑体" w:asciiTheme="minorEastAsia" w:hAnsiTheme="minorEastAsia"/>
          <w:b/>
          <w:bCs/>
          <w:color w:val="auto"/>
          <w:sz w:val="44"/>
          <w:szCs w:val="44"/>
          <w:highlight w:val="none"/>
          <w:lang w:val="zh-CN"/>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eastAsia="zh-CN"/>
        </w:rPr>
        <w:t>四</w:t>
      </w:r>
      <w:r>
        <w:rPr>
          <w:rFonts w:hint="eastAsia" w:asciiTheme="majorEastAsia" w:hAnsiTheme="majorEastAsia" w:eastAsiaTheme="majorEastAsia" w:cstheme="majorEastAsia"/>
          <w:b/>
          <w:bCs/>
          <w:color w:val="auto"/>
          <w:sz w:val="36"/>
          <w:szCs w:val="36"/>
          <w:highlight w:val="none"/>
        </w:rPr>
        <w:t>年</w:t>
      </w:r>
      <w:r>
        <w:rPr>
          <w:rFonts w:hint="eastAsia" w:asciiTheme="majorEastAsia" w:hAnsiTheme="majorEastAsia" w:eastAsiaTheme="majorEastAsia" w:cstheme="majorEastAsia"/>
          <w:b/>
          <w:bCs/>
          <w:color w:val="auto"/>
          <w:sz w:val="36"/>
          <w:szCs w:val="36"/>
          <w:highlight w:val="none"/>
          <w:lang w:eastAsia="zh-CN"/>
        </w:rPr>
        <w:t>九</w:t>
      </w:r>
      <w:r>
        <w:rPr>
          <w:rFonts w:hint="eastAsia" w:asciiTheme="majorEastAsia" w:hAnsiTheme="majorEastAsia" w:eastAsiaTheme="majorEastAsia" w:cstheme="majorEastAsia"/>
          <w:b/>
          <w:bCs/>
          <w:color w:val="auto"/>
          <w:sz w:val="36"/>
          <w:szCs w:val="36"/>
          <w:highlight w:val="none"/>
        </w:rPr>
        <w:t>月</w:t>
      </w:r>
    </w:p>
    <w:p>
      <w:pPr>
        <w:autoSpaceDE w:val="0"/>
        <w:autoSpaceDN w:val="0"/>
        <w:adjustRightInd w:val="0"/>
        <w:spacing w:line="700" w:lineRule="exact"/>
        <w:jc w:val="both"/>
        <w:rPr>
          <w:rFonts w:cs="黑体" w:asciiTheme="minorEastAsia" w:hAnsiTheme="minorEastAsia"/>
          <w:b/>
          <w:bCs/>
          <w:color w:val="auto"/>
          <w:sz w:val="44"/>
          <w:szCs w:val="44"/>
          <w:highlight w:val="none"/>
          <w:lang w:val="zh-CN"/>
        </w:rPr>
        <w:sectPr>
          <w:pgSz w:w="11906" w:h="16838"/>
          <w:pgMar w:top="2098" w:right="1474" w:bottom="1928" w:left="1588"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highlight w:val="none"/>
        </w:rPr>
      </w:pPr>
      <w:r>
        <w:rPr>
          <w:rFonts w:hint="eastAsia" w:asciiTheme="majorEastAsia" w:hAnsiTheme="majorEastAsia" w:eastAsiaTheme="majorEastAsia" w:cstheme="majorEastAsia"/>
          <w:b/>
          <w:bCs/>
          <w:color w:val="auto"/>
          <w:sz w:val="30"/>
          <w:szCs w:val="30"/>
          <w:highlight w:val="none"/>
          <w:lang w:val="zh-CN"/>
        </w:rPr>
        <w:t xml:space="preserve">第三章 </w:t>
      </w:r>
      <w:r>
        <w:rPr>
          <w:rFonts w:hint="eastAsia" w:asciiTheme="majorEastAsia" w:hAnsiTheme="majorEastAsia" w:eastAsiaTheme="majorEastAsia" w:cstheme="majorEastAsia"/>
          <w:b/>
          <w:color w:val="auto"/>
          <w:kern w:val="0"/>
          <w:sz w:val="30"/>
          <w:szCs w:val="30"/>
          <w:highlight w:val="none"/>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0"/>
          <w:szCs w:val="30"/>
          <w:highlight w:val="none"/>
        </w:rPr>
      </w:pPr>
      <w:r>
        <w:rPr>
          <w:rFonts w:hint="eastAsia" w:asciiTheme="majorEastAsia" w:hAnsiTheme="majorEastAsia" w:eastAsiaTheme="majorEastAsia" w:cstheme="majorEastAsia"/>
          <w:b/>
          <w:bCs/>
          <w:color w:val="auto"/>
          <w:sz w:val="30"/>
          <w:szCs w:val="30"/>
          <w:highlight w:val="none"/>
          <w:lang w:val="zh-CN"/>
        </w:rPr>
        <w:t xml:space="preserve">第四章 </w:t>
      </w:r>
      <w:r>
        <w:rPr>
          <w:rFonts w:hint="eastAsia" w:asciiTheme="majorEastAsia" w:hAnsiTheme="majorEastAsia" w:eastAsiaTheme="majorEastAsia" w:cstheme="majorEastAsia"/>
          <w:b/>
          <w:color w:val="auto"/>
          <w:kern w:val="0"/>
          <w:sz w:val="30"/>
          <w:szCs w:val="30"/>
          <w:highlight w:val="none"/>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六、定标和授予合同</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第五章 政府采购政策功能</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第六章 资格审查与评标</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第七章 拟签订的合同文本</w:t>
      </w:r>
    </w:p>
    <w:p>
      <w:pPr>
        <w:autoSpaceDE w:val="0"/>
        <w:autoSpaceDN w:val="0"/>
        <w:adjustRightInd w:val="0"/>
        <w:spacing w:line="700" w:lineRule="exact"/>
        <w:ind w:firstLine="560"/>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b/>
          <w:bCs/>
          <w:color w:val="auto"/>
          <w:sz w:val="30"/>
          <w:szCs w:val="30"/>
          <w:highlight w:val="none"/>
          <w:lang w:val="zh-CN"/>
        </w:rPr>
        <w:t>第八章 投标文件有关格式</w:t>
      </w:r>
    </w:p>
    <w:p>
      <w:pPr>
        <w:pStyle w:val="28"/>
        <w:ind w:firstLine="301"/>
        <w:rPr>
          <w:rFonts w:asciiTheme="majorEastAsia" w:hAnsiTheme="majorEastAsia" w:eastAsiaTheme="majorEastAsia" w:cstheme="majorEastAsia"/>
          <w:b/>
          <w:bCs/>
          <w:color w:val="auto"/>
          <w:sz w:val="30"/>
          <w:szCs w:val="30"/>
          <w:highlight w:val="none"/>
          <w:lang w:val="zh-CN"/>
        </w:rPr>
      </w:pPr>
    </w:p>
    <w:p>
      <w:pPr>
        <w:pStyle w:val="29"/>
        <w:ind w:firstLine="480"/>
        <w:rPr>
          <w:color w:val="auto"/>
          <w:highlight w:val="none"/>
        </w:rPr>
      </w:pPr>
    </w:p>
    <w:p>
      <w:pPr>
        <w:jc w:val="center"/>
        <w:rPr>
          <w:rFonts w:hint="eastAsia" w:cs="宋体" w:asciiTheme="majorEastAsia" w:hAnsiTheme="majorEastAsia" w:eastAsiaTheme="majorEastAsia"/>
          <w:b/>
          <w:color w:val="auto"/>
          <w:kern w:val="0"/>
          <w:sz w:val="32"/>
          <w:szCs w:val="32"/>
          <w:highlight w:val="none"/>
        </w:rPr>
      </w:pPr>
    </w:p>
    <w:p>
      <w:pPr>
        <w:jc w:val="center"/>
        <w:rPr>
          <w:rFonts w:hint="eastAsia" w:cs="宋体" w:asciiTheme="majorEastAsia" w:hAnsiTheme="majorEastAsia" w:eastAsiaTheme="majorEastAsia"/>
          <w:b/>
          <w:color w:val="auto"/>
          <w:kern w:val="0"/>
          <w:sz w:val="32"/>
          <w:szCs w:val="32"/>
          <w:highlight w:val="none"/>
        </w:rPr>
      </w:pPr>
    </w:p>
    <w:p>
      <w:pPr>
        <w:jc w:val="center"/>
        <w:rPr>
          <w:rFonts w:hint="eastAsia" w:cs="宋体" w:asciiTheme="majorEastAsia" w:hAnsiTheme="majorEastAsia" w:eastAsiaTheme="majorEastAsia"/>
          <w:b/>
          <w:color w:val="auto"/>
          <w:kern w:val="0"/>
          <w:sz w:val="32"/>
          <w:szCs w:val="32"/>
          <w:highlight w:val="none"/>
        </w:rPr>
      </w:pPr>
    </w:p>
    <w:p>
      <w:pPr>
        <w:jc w:val="center"/>
        <w:rPr>
          <w:rFonts w:hint="eastAsia" w:cs="宋体" w:asciiTheme="majorEastAsia" w:hAnsiTheme="majorEastAsia" w:eastAsiaTheme="majorEastAsia"/>
          <w:b/>
          <w:color w:val="auto"/>
          <w:kern w:val="0"/>
          <w:sz w:val="32"/>
          <w:szCs w:val="32"/>
          <w:highlight w:val="none"/>
        </w:rPr>
      </w:pPr>
    </w:p>
    <w:p>
      <w:pPr>
        <w:jc w:val="center"/>
        <w:rPr>
          <w:color w:val="auto"/>
          <w:highlight w:val="none"/>
        </w:rPr>
      </w:pPr>
      <w:r>
        <w:rPr>
          <w:rFonts w:hint="eastAsia" w:cs="宋体" w:asciiTheme="majorEastAsia" w:hAnsiTheme="majorEastAsia" w:eastAsiaTheme="majorEastAsia"/>
          <w:b/>
          <w:color w:val="auto"/>
          <w:kern w:val="0"/>
          <w:sz w:val="32"/>
          <w:szCs w:val="32"/>
          <w:highlight w:val="none"/>
        </w:rPr>
        <w:t>第一章  投标邀请</w:t>
      </w:r>
    </w:p>
    <w:p>
      <w:pPr>
        <w:tabs>
          <w:tab w:val="left" w:pos="7095"/>
        </w:tabs>
        <w:spacing w:line="384" w:lineRule="auto"/>
        <w:contextualSpacing/>
        <w:rPr>
          <w:rFonts w:hAnsi="宋体"/>
          <w:b/>
          <w:bCs/>
          <w:color w:val="auto"/>
          <w:szCs w:val="21"/>
          <w:highlight w:val="none"/>
        </w:rPr>
      </w:pPr>
      <w:r>
        <w:rPr>
          <w:rFonts w:hint="eastAsia" w:ascii="宋体" w:hAnsi="宋体" w:eastAsia="宋体" w:cs="宋体"/>
          <w:color w:val="auto"/>
          <w:szCs w:val="21"/>
          <w:highlight w:val="none"/>
          <w:shd w:val="clear" w:color="auto" w:fill="FFFFFF"/>
        </w:rPr>
        <w:t>　</w:t>
      </w:r>
      <w:r>
        <w:rPr>
          <w:rFonts w:hint="eastAsia" w:hAnsi="宋体"/>
          <w:b/>
          <w:bCs/>
          <w:color w:val="auto"/>
          <w:szCs w:val="21"/>
          <w:highlight w:val="none"/>
        </w:rPr>
        <w:t>项目概况</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禹州市环境保护局禹州市22个乡镇（街道）环境空气自动监测站运维项目</w:t>
      </w:r>
      <w:r>
        <w:rPr>
          <w:rFonts w:hint="eastAsia" w:hAnsi="宋体"/>
          <w:color w:val="auto"/>
          <w:szCs w:val="21"/>
          <w:highlight w:val="none"/>
        </w:rPr>
        <w:t>的潜在投标人应在投标截止时间前登录《全国公共资源交易平台（河南省·许昌市）》“投标人/供应商登录”入口</w:t>
      </w:r>
      <w:r>
        <w:rPr>
          <w:rFonts w:hint="eastAsia" w:ascii="宋体" w:hAnsi="宋体" w:cs="宋体"/>
          <w:color w:val="auto"/>
          <w:highlight w:val="none"/>
        </w:rPr>
        <w:t>http://117.159.53.11:60632/</w:t>
      </w:r>
      <w:r>
        <w:rPr>
          <w:rFonts w:hint="eastAsia" w:hAnsi="宋体"/>
          <w:color w:val="auto"/>
          <w:szCs w:val="21"/>
          <w:highlight w:val="none"/>
        </w:rPr>
        <w:t>）自行免费下载获取招标文件，</w:t>
      </w:r>
      <w:r>
        <w:rPr>
          <w:rFonts w:hint="eastAsia" w:hAnsi="宋体"/>
          <w:color w:val="auto"/>
          <w:szCs w:val="21"/>
          <w:highlight w:val="none"/>
        </w:rPr>
        <w:t>并于202</w:t>
      </w:r>
      <w:r>
        <w:rPr>
          <w:rFonts w:hint="eastAsia" w:hAnsi="宋体"/>
          <w:color w:val="auto"/>
          <w:szCs w:val="21"/>
          <w:highlight w:val="none"/>
          <w:lang w:val="en-US" w:eastAsia="zh-CN"/>
        </w:rPr>
        <w:t>4</w:t>
      </w:r>
      <w:r>
        <w:rPr>
          <w:rFonts w:hint="eastAsia" w:hAnsi="宋体"/>
          <w:color w:val="auto"/>
          <w:szCs w:val="21"/>
          <w:highlight w:val="none"/>
        </w:rPr>
        <w:t>年</w:t>
      </w:r>
      <w:r>
        <w:rPr>
          <w:rFonts w:hint="eastAsia" w:hAnsi="宋体"/>
          <w:color w:val="auto"/>
          <w:szCs w:val="21"/>
          <w:highlight w:val="none"/>
          <w:lang w:val="en-US" w:eastAsia="zh-CN"/>
        </w:rPr>
        <w:t>9</w:t>
      </w:r>
      <w:r>
        <w:rPr>
          <w:rFonts w:hint="eastAsia" w:hAnsi="宋体"/>
          <w:color w:val="auto"/>
          <w:szCs w:val="21"/>
          <w:highlight w:val="none"/>
        </w:rPr>
        <w:t>月</w:t>
      </w:r>
      <w:r>
        <w:rPr>
          <w:rFonts w:hint="eastAsia" w:hAnsi="宋体"/>
          <w:color w:val="auto"/>
          <w:szCs w:val="21"/>
          <w:highlight w:val="none"/>
          <w:lang w:val="en-US" w:eastAsia="zh-CN"/>
        </w:rPr>
        <w:t xml:space="preserve">26 </w:t>
      </w:r>
      <w:r>
        <w:rPr>
          <w:rFonts w:hint="eastAsia" w:hAnsi="宋体"/>
          <w:color w:val="auto"/>
          <w:szCs w:val="21"/>
          <w:highlight w:val="none"/>
        </w:rPr>
        <w:t>日</w:t>
      </w:r>
      <w:r>
        <w:rPr>
          <w:rFonts w:hint="eastAsia" w:hAnsi="宋体"/>
          <w:color w:val="auto"/>
          <w:szCs w:val="21"/>
          <w:highlight w:val="none"/>
          <w:lang w:val="en-US" w:eastAsia="zh-CN"/>
        </w:rPr>
        <w:t>0</w:t>
      </w:r>
      <w:r>
        <w:rPr>
          <w:rFonts w:hint="eastAsia" w:hAnsi="宋体"/>
          <w:color w:val="auto"/>
          <w:szCs w:val="21"/>
          <w:highlight w:val="none"/>
          <w:lang w:val="en-US" w:eastAsia="zh-CN"/>
        </w:rPr>
        <w:t>8时</w:t>
      </w:r>
      <w:r>
        <w:rPr>
          <w:rFonts w:hint="eastAsia" w:hAnsi="宋体"/>
          <w:color w:val="auto"/>
          <w:szCs w:val="21"/>
          <w:highlight w:val="none"/>
        </w:rPr>
        <w:t>30 分（北京时间）前递交投标文件。</w:t>
      </w:r>
    </w:p>
    <w:p>
      <w:pPr>
        <w:tabs>
          <w:tab w:val="left" w:pos="7095"/>
        </w:tabs>
        <w:spacing w:line="384" w:lineRule="auto"/>
        <w:ind w:firstLine="422" w:firstLineChars="200"/>
        <w:contextualSpacing/>
        <w:rPr>
          <w:rFonts w:hAnsi="宋体"/>
          <w:b/>
          <w:bCs/>
          <w:color w:val="auto"/>
          <w:szCs w:val="21"/>
          <w:highlight w:val="none"/>
        </w:rPr>
      </w:pPr>
      <w:r>
        <w:rPr>
          <w:rFonts w:hint="eastAsia" w:hAnsi="宋体"/>
          <w:b/>
          <w:bCs/>
          <w:color w:val="auto"/>
          <w:szCs w:val="21"/>
          <w:highlight w:val="none"/>
        </w:rPr>
        <w:t>一、项目基本情况</w:t>
      </w:r>
    </w:p>
    <w:p>
      <w:pPr>
        <w:tabs>
          <w:tab w:val="left" w:pos="7095"/>
        </w:tabs>
        <w:spacing w:line="384" w:lineRule="auto"/>
        <w:ind w:firstLine="420" w:firstLineChars="200"/>
        <w:contextualSpacing/>
        <w:rPr>
          <w:rFonts w:hint="default" w:hAnsi="宋体" w:eastAsiaTheme="minorEastAsia"/>
          <w:color w:val="auto"/>
          <w:szCs w:val="21"/>
          <w:highlight w:val="none"/>
          <w:lang w:val="en-US" w:eastAsia="zh-CN"/>
        </w:rPr>
      </w:pPr>
      <w:r>
        <w:rPr>
          <w:rFonts w:hint="eastAsia" w:hAnsi="宋体"/>
          <w:color w:val="auto"/>
          <w:szCs w:val="21"/>
          <w:highlight w:val="none"/>
        </w:rPr>
        <w:t>1.项目编号：YZCG-DL</w:t>
      </w:r>
      <w:r>
        <w:rPr>
          <w:rFonts w:hint="eastAsia" w:hAnsi="宋体"/>
          <w:color w:val="auto"/>
          <w:szCs w:val="21"/>
          <w:highlight w:val="none"/>
        </w:rPr>
        <w:t>G202</w:t>
      </w:r>
      <w:r>
        <w:rPr>
          <w:rFonts w:hint="eastAsia" w:hAnsi="宋体"/>
          <w:color w:val="auto"/>
          <w:szCs w:val="21"/>
          <w:highlight w:val="none"/>
          <w:lang w:val="en-US" w:eastAsia="zh-CN"/>
        </w:rPr>
        <w:t>4074</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2.项目名称：</w:t>
      </w:r>
      <w:r>
        <w:rPr>
          <w:rFonts w:hint="eastAsia" w:hAnsi="宋体"/>
          <w:color w:val="auto"/>
          <w:szCs w:val="21"/>
          <w:highlight w:val="none"/>
        </w:rPr>
        <w:t>禹州市环境保护局禹州市22个乡镇（街道）环境空气自动监测站运维项目</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3.采购方式：公开招标</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.采购需求（包括但不限于标的的名称、数量、简要技术需求或服务要求等）</w:t>
      </w:r>
    </w:p>
    <w:p>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rPr>
        <w:t>为确保禹州市22个乡镇（街道）环境空气自动监测站正常运行、数据真实有效，手机APP功能能够正常使用，并满足上级对我市22乡镇（街道）环境空气质量考核的需要，拟采购两年第三方运维服务公司负责22个监测站点的日常运维工作。（详见招标文件）</w:t>
      </w:r>
    </w:p>
    <w:p>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5.最高限价：</w:t>
      </w:r>
      <w:r>
        <w:rPr>
          <w:rFonts w:hint="eastAsia" w:hAnsi="宋体"/>
          <w:color w:val="auto"/>
          <w:szCs w:val="21"/>
          <w:highlight w:val="none"/>
          <w:lang w:val="en-US" w:eastAsia="zh-CN"/>
        </w:rPr>
        <w:t>5536000.00</w:t>
      </w:r>
      <w:r>
        <w:rPr>
          <w:rFonts w:hint="eastAsia" w:hAnsi="宋体"/>
          <w:color w:val="auto"/>
          <w:szCs w:val="21"/>
          <w:highlight w:val="none"/>
          <w:lang w:val="en-US" w:eastAsia="zh-CN"/>
        </w:rPr>
        <w:t>元</w:t>
      </w:r>
    </w:p>
    <w:p>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6</w:t>
      </w:r>
      <w:r>
        <w:rPr>
          <w:rFonts w:hint="eastAsia" w:hAnsi="宋体"/>
          <w:color w:val="auto"/>
          <w:szCs w:val="21"/>
          <w:highlight w:val="none"/>
        </w:rPr>
        <w:t>.合同履行期限：</w:t>
      </w:r>
      <w:r>
        <w:rPr>
          <w:rFonts w:hint="eastAsia" w:hAnsi="宋体"/>
          <w:color w:val="auto"/>
          <w:szCs w:val="21"/>
          <w:highlight w:val="none"/>
          <w:lang w:val="en-US" w:eastAsia="zh-CN"/>
        </w:rPr>
        <w:t>2年</w:t>
      </w:r>
      <w:r>
        <w:rPr>
          <w:rFonts w:hint="eastAsia" w:hAnsi="宋体"/>
          <w:color w:val="auto"/>
          <w:szCs w:val="21"/>
          <w:highlight w:val="none"/>
          <w:lang w:val="en-US" w:eastAsia="zh-CN"/>
        </w:rPr>
        <w:t>。</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rPr>
        <w:t>本项目是否接受联合体投标：否</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lang w:val="en-US" w:eastAsia="zh-CN"/>
        </w:rPr>
        <w:t>8</w:t>
      </w:r>
      <w:r>
        <w:rPr>
          <w:rFonts w:hint="eastAsia" w:hAnsi="宋体"/>
          <w:color w:val="auto"/>
          <w:szCs w:val="21"/>
          <w:highlight w:val="none"/>
        </w:rPr>
        <w:t>.是否接受进口产品：否</w:t>
      </w:r>
    </w:p>
    <w:p>
      <w:pPr>
        <w:tabs>
          <w:tab w:val="left" w:pos="7095"/>
        </w:tabs>
        <w:spacing w:line="384" w:lineRule="auto"/>
        <w:ind w:firstLine="420" w:firstLineChars="200"/>
        <w:contextualSpacing/>
        <w:rPr>
          <w:rFonts w:hint="default" w:hAnsi="宋体"/>
          <w:color w:val="auto"/>
          <w:szCs w:val="21"/>
          <w:highlight w:val="none"/>
          <w:lang w:val="en-US" w:eastAsia="zh-CN"/>
        </w:rPr>
      </w:pPr>
      <w:r>
        <w:rPr>
          <w:rFonts w:hint="eastAsia" w:hAnsi="宋体"/>
          <w:color w:val="auto"/>
          <w:szCs w:val="21"/>
          <w:highlight w:val="none"/>
          <w:lang w:val="en-US" w:eastAsia="zh-CN"/>
        </w:rPr>
        <w:t>9</w:t>
      </w:r>
      <w:r>
        <w:rPr>
          <w:rFonts w:hint="eastAsia" w:hAnsi="宋体"/>
          <w:color w:val="auto"/>
          <w:szCs w:val="21"/>
          <w:highlight w:val="none"/>
        </w:rPr>
        <w:t>.是否专门面</w:t>
      </w:r>
      <w:r>
        <w:rPr>
          <w:rFonts w:hint="eastAsia" w:hAnsi="宋体"/>
          <w:color w:val="auto"/>
          <w:szCs w:val="21"/>
          <w:highlight w:val="none"/>
        </w:rPr>
        <w:t>向中小企业：</w:t>
      </w:r>
      <w:r>
        <w:rPr>
          <w:rFonts w:hint="eastAsia" w:hAnsi="宋体"/>
          <w:color w:val="auto"/>
          <w:szCs w:val="21"/>
          <w:highlight w:val="none"/>
          <w:lang w:val="en-US" w:eastAsia="zh-CN"/>
        </w:rPr>
        <w:t>是</w:t>
      </w:r>
    </w:p>
    <w:p>
      <w:pPr>
        <w:tabs>
          <w:tab w:val="left" w:pos="7095"/>
        </w:tabs>
        <w:spacing w:line="384" w:lineRule="auto"/>
        <w:ind w:firstLine="420" w:firstLineChars="200"/>
        <w:contextualSpacing/>
        <w:rPr>
          <w:rFonts w:hint="eastAsia" w:hAnsi="宋体"/>
          <w:color w:val="auto"/>
          <w:szCs w:val="21"/>
          <w:highlight w:val="none"/>
          <w:lang w:val="en-US" w:eastAsia="zh-CN"/>
        </w:rPr>
      </w:pPr>
      <w:r>
        <w:rPr>
          <w:rFonts w:hint="eastAsia" w:hAnsi="宋体"/>
          <w:color w:val="auto"/>
          <w:szCs w:val="21"/>
          <w:highlight w:val="none"/>
          <w:lang w:val="en-US" w:eastAsia="zh-CN"/>
        </w:rPr>
        <w:t>10.标包划</w:t>
      </w:r>
      <w:r>
        <w:rPr>
          <w:rFonts w:hint="eastAsia" w:hAnsi="宋体"/>
          <w:color w:val="auto"/>
          <w:szCs w:val="21"/>
          <w:highlight w:val="none"/>
          <w:lang w:val="en-US" w:eastAsia="zh-CN"/>
        </w:rPr>
        <w:t>分：1个标段</w:t>
      </w:r>
    </w:p>
    <w:p>
      <w:pPr>
        <w:tabs>
          <w:tab w:val="left" w:pos="7095"/>
        </w:tabs>
        <w:spacing w:line="384" w:lineRule="auto"/>
        <w:ind w:firstLine="422" w:firstLineChars="200"/>
        <w:contextualSpacing/>
        <w:rPr>
          <w:rFonts w:hAnsi="宋体"/>
          <w:b/>
          <w:bCs/>
          <w:color w:val="auto"/>
          <w:szCs w:val="21"/>
          <w:highlight w:val="none"/>
        </w:rPr>
      </w:pPr>
      <w:r>
        <w:rPr>
          <w:rFonts w:hint="eastAsia" w:hAnsi="宋体"/>
          <w:b/>
          <w:bCs/>
          <w:color w:val="auto"/>
          <w:szCs w:val="21"/>
          <w:highlight w:val="none"/>
        </w:rPr>
        <w:t>二、申请人资格要求：</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1.满足《中华人民共和国政府采购法》第二十二条规定；</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2.落实政府采购政策满足的资格要求：</w:t>
      </w:r>
    </w:p>
    <w:p>
      <w:pPr>
        <w:tabs>
          <w:tab w:val="left" w:pos="7095"/>
        </w:tabs>
        <w:spacing w:line="384" w:lineRule="auto"/>
        <w:ind w:firstLine="420" w:firstLineChars="200"/>
        <w:contextualSpacing/>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本项目落实节约能源、保护环境、扶持不发达地区和少数民族地区、促进中小企业、监狱企业发展等政府采购政策。</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3.本项目的特定资格要求</w:t>
      </w:r>
    </w:p>
    <w:p>
      <w:pPr>
        <w:tabs>
          <w:tab w:val="left" w:pos="7095"/>
        </w:tabs>
        <w:spacing w:line="384" w:lineRule="auto"/>
        <w:ind w:firstLine="420" w:firstLineChars="200"/>
        <w:contextualSpacing/>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3.</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rPr>
        <w:t>供应商须具有履行合同所必需的设备和专业技术能力。</w:t>
      </w:r>
    </w:p>
    <w:p>
      <w:pPr>
        <w:tabs>
          <w:tab w:val="left" w:pos="7095"/>
        </w:tabs>
        <w:spacing w:line="384" w:lineRule="auto"/>
        <w:ind w:firstLine="420" w:firstLineChars="200"/>
        <w:contextualSpacing/>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r>
        <w:rPr>
          <w:rFonts w:hint="eastAsia" w:asciiTheme="majorEastAsia" w:hAnsiTheme="majorEastAsia" w:eastAsiaTheme="majorEastAsia" w:cstheme="majorEastAsia"/>
          <w:color w:val="auto"/>
          <w:szCs w:val="21"/>
          <w:highlight w:val="none"/>
          <w:lang w:val="en-US" w:eastAsia="zh-CN"/>
        </w:rPr>
        <w:t xml:space="preserve">2 </w:t>
      </w:r>
      <w:r>
        <w:rPr>
          <w:rFonts w:hint="eastAsia" w:asciiTheme="majorEastAsia" w:hAnsiTheme="majorEastAsia" w:eastAsiaTheme="majorEastAsia" w:cstheme="majorEastAsia"/>
          <w:color w:val="auto"/>
          <w:szCs w:val="21"/>
          <w:highlight w:val="none"/>
        </w:rPr>
        <w:t>被委托人须是本单位职工，须提供公司为本人缴纳社会保险证明。</w:t>
      </w:r>
    </w:p>
    <w:p>
      <w:pPr>
        <w:tabs>
          <w:tab w:val="left" w:pos="7095"/>
        </w:tabs>
        <w:spacing w:line="384" w:lineRule="auto"/>
        <w:ind w:firstLine="422" w:firstLineChars="200"/>
        <w:contextualSpacing/>
        <w:rPr>
          <w:rFonts w:hAnsi="宋体"/>
          <w:b/>
          <w:bCs/>
          <w:color w:val="auto"/>
          <w:szCs w:val="21"/>
          <w:highlight w:val="none"/>
        </w:rPr>
      </w:pPr>
      <w:r>
        <w:rPr>
          <w:rFonts w:hint="eastAsia" w:hAnsi="宋体"/>
          <w:b/>
          <w:bCs/>
          <w:color w:val="auto"/>
          <w:szCs w:val="21"/>
          <w:highlight w:val="none"/>
        </w:rPr>
        <w:t>三、获取招标文件</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1.时间：202</w:t>
      </w:r>
      <w:r>
        <w:rPr>
          <w:rFonts w:hint="eastAsia" w:hAnsi="宋体"/>
          <w:color w:val="auto"/>
          <w:szCs w:val="21"/>
          <w:highlight w:val="none"/>
          <w:lang w:val="en-US" w:eastAsia="zh-CN"/>
        </w:rPr>
        <w:t>4</w:t>
      </w:r>
      <w:r>
        <w:rPr>
          <w:rFonts w:hint="eastAsia" w:hAnsi="宋体"/>
          <w:color w:val="auto"/>
          <w:szCs w:val="21"/>
          <w:highlight w:val="none"/>
        </w:rPr>
        <w:t>年</w:t>
      </w:r>
      <w:r>
        <w:rPr>
          <w:rFonts w:hint="eastAsia" w:hAnsi="宋体"/>
          <w:color w:val="auto"/>
          <w:szCs w:val="21"/>
          <w:highlight w:val="none"/>
          <w:lang w:val="en-US" w:eastAsia="zh-CN"/>
        </w:rPr>
        <w:t>9</w:t>
      </w:r>
      <w:r>
        <w:rPr>
          <w:rFonts w:hint="eastAsia" w:hAnsi="宋体"/>
          <w:color w:val="auto"/>
          <w:szCs w:val="21"/>
          <w:highlight w:val="none"/>
        </w:rPr>
        <w:t>月</w:t>
      </w:r>
      <w:r>
        <w:rPr>
          <w:rFonts w:hint="eastAsia" w:hAnsi="宋体"/>
          <w:color w:val="auto"/>
          <w:szCs w:val="21"/>
          <w:highlight w:val="none"/>
          <w:lang w:val="en-US" w:eastAsia="zh-CN"/>
        </w:rPr>
        <w:t>5</w:t>
      </w:r>
      <w:r>
        <w:rPr>
          <w:rFonts w:hint="eastAsia" w:hAnsi="宋体"/>
          <w:color w:val="auto"/>
          <w:szCs w:val="21"/>
          <w:highlight w:val="none"/>
        </w:rPr>
        <w:t>日至202</w:t>
      </w:r>
      <w:r>
        <w:rPr>
          <w:rFonts w:hint="eastAsia" w:hAnsi="宋体"/>
          <w:color w:val="auto"/>
          <w:szCs w:val="21"/>
          <w:highlight w:val="none"/>
          <w:lang w:val="en-US" w:eastAsia="zh-CN"/>
        </w:rPr>
        <w:t>4</w:t>
      </w:r>
      <w:r>
        <w:rPr>
          <w:rFonts w:hint="eastAsia" w:hAnsi="宋体"/>
          <w:color w:val="auto"/>
          <w:szCs w:val="21"/>
          <w:highlight w:val="none"/>
        </w:rPr>
        <w:t>年</w:t>
      </w:r>
      <w:r>
        <w:rPr>
          <w:rFonts w:hint="eastAsia" w:hAnsi="宋体"/>
          <w:color w:val="auto"/>
          <w:szCs w:val="21"/>
          <w:highlight w:val="none"/>
          <w:lang w:val="en-US" w:eastAsia="zh-CN"/>
        </w:rPr>
        <w:t>9</w:t>
      </w:r>
      <w:r>
        <w:rPr>
          <w:rFonts w:hint="eastAsia" w:hAnsi="宋体"/>
          <w:color w:val="auto"/>
          <w:szCs w:val="21"/>
          <w:highlight w:val="none"/>
        </w:rPr>
        <w:t>月</w:t>
      </w:r>
      <w:r>
        <w:rPr>
          <w:rFonts w:hint="eastAsia" w:hAnsi="宋体"/>
          <w:color w:val="auto"/>
          <w:szCs w:val="21"/>
          <w:highlight w:val="none"/>
          <w:lang w:val="en-US" w:eastAsia="zh-CN"/>
        </w:rPr>
        <w:t>26</w:t>
      </w:r>
      <w:r>
        <w:rPr>
          <w:rFonts w:hint="eastAsia" w:hAnsi="宋体"/>
          <w:color w:val="auto"/>
          <w:szCs w:val="21"/>
          <w:highlight w:val="none"/>
        </w:rPr>
        <w:t>日，每天</w:t>
      </w:r>
      <w:r>
        <w:rPr>
          <w:rFonts w:hint="eastAsia" w:hAnsi="宋体"/>
          <w:color w:val="auto"/>
          <w:szCs w:val="21"/>
          <w:highlight w:val="none"/>
        </w:rPr>
        <w:t>上午00:00至12:00，下午12:01至23:59（北京时间，法定节假日除外。）</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2.地点：</w:t>
      </w:r>
      <w:r>
        <w:rPr>
          <w:rStyle w:val="102"/>
          <w:rFonts w:hint="eastAsia"/>
          <w:color w:val="auto"/>
          <w:highlight w:val="none"/>
        </w:rPr>
        <w:t>《全国公共资源交易平台（河南省·许昌市）》（</w:t>
      </w:r>
      <w:r>
        <w:rPr>
          <w:rStyle w:val="102"/>
          <w:rFonts w:hint="eastAsia"/>
          <w:color w:val="auto"/>
          <w:highlight w:val="none"/>
        </w:rPr>
        <w:t>http://117.159.53.11:60632/</w:t>
      </w:r>
      <w:r>
        <w:rPr>
          <w:rStyle w:val="102"/>
          <w:rFonts w:hint="eastAsia"/>
          <w:color w:val="auto"/>
          <w:highlight w:val="none"/>
        </w:rPr>
        <w:t>）</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3.方式：网上自行下载</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4.售价：0元</w:t>
      </w:r>
    </w:p>
    <w:p>
      <w:pPr>
        <w:tabs>
          <w:tab w:val="left" w:pos="7095"/>
        </w:tabs>
        <w:spacing w:line="384" w:lineRule="auto"/>
        <w:ind w:firstLine="422" w:firstLineChars="200"/>
        <w:contextualSpacing/>
        <w:rPr>
          <w:rFonts w:hAnsi="宋体"/>
          <w:b/>
          <w:bCs/>
          <w:color w:val="auto"/>
          <w:szCs w:val="21"/>
          <w:highlight w:val="none"/>
        </w:rPr>
      </w:pPr>
      <w:r>
        <w:rPr>
          <w:rFonts w:hint="eastAsia" w:hAnsi="宋体"/>
          <w:b/>
          <w:bCs/>
          <w:color w:val="auto"/>
          <w:szCs w:val="21"/>
          <w:highlight w:val="none"/>
        </w:rPr>
        <w:t>四、投标截止时间及地点</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1.时间：</w:t>
      </w:r>
      <w:r>
        <w:rPr>
          <w:rFonts w:hint="eastAsia" w:hAnsi="宋体"/>
          <w:color w:val="auto"/>
          <w:szCs w:val="21"/>
          <w:highlight w:val="none"/>
        </w:rPr>
        <w:t>202</w:t>
      </w:r>
      <w:r>
        <w:rPr>
          <w:rFonts w:hint="eastAsia" w:hAnsi="宋体"/>
          <w:color w:val="auto"/>
          <w:szCs w:val="21"/>
          <w:highlight w:val="none"/>
          <w:lang w:val="en-US" w:eastAsia="zh-CN"/>
        </w:rPr>
        <w:t>4</w:t>
      </w:r>
      <w:r>
        <w:rPr>
          <w:rFonts w:hint="eastAsia" w:hAnsi="宋体"/>
          <w:color w:val="auto"/>
          <w:szCs w:val="21"/>
          <w:highlight w:val="none"/>
        </w:rPr>
        <w:t>年</w:t>
      </w:r>
      <w:r>
        <w:rPr>
          <w:rFonts w:hint="eastAsia" w:hAnsi="宋体"/>
          <w:color w:val="auto"/>
          <w:szCs w:val="21"/>
          <w:highlight w:val="none"/>
          <w:lang w:val="en-US" w:eastAsia="zh-CN"/>
        </w:rPr>
        <w:t xml:space="preserve">9 月26 </w:t>
      </w:r>
      <w:r>
        <w:rPr>
          <w:rFonts w:hint="eastAsia" w:hAnsi="宋体"/>
          <w:color w:val="auto"/>
          <w:szCs w:val="21"/>
          <w:highlight w:val="none"/>
        </w:rPr>
        <w:t>日</w:t>
      </w:r>
      <w:r>
        <w:rPr>
          <w:rFonts w:hint="eastAsia" w:hAnsi="宋体"/>
          <w:color w:val="auto"/>
          <w:szCs w:val="21"/>
          <w:highlight w:val="none"/>
          <w:lang w:val="en-US" w:eastAsia="zh-CN"/>
        </w:rPr>
        <w:t xml:space="preserve">08 </w:t>
      </w:r>
      <w:r>
        <w:rPr>
          <w:rFonts w:hint="eastAsia" w:hAnsi="宋体"/>
          <w:color w:val="auto"/>
          <w:szCs w:val="21"/>
          <w:highlight w:val="none"/>
        </w:rPr>
        <w:t>时30分（北京时间）</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2.地点：本项目采用网上投标，请符合投标条件的投标人使用CA数字证书加密上传投标文件。</w:t>
      </w:r>
    </w:p>
    <w:p>
      <w:pPr>
        <w:tabs>
          <w:tab w:val="left" w:pos="7095"/>
        </w:tabs>
        <w:spacing w:line="384" w:lineRule="auto"/>
        <w:ind w:firstLine="422" w:firstLineChars="200"/>
        <w:contextualSpacing/>
        <w:rPr>
          <w:rFonts w:hAnsi="宋体"/>
          <w:b/>
          <w:bCs/>
          <w:color w:val="auto"/>
          <w:szCs w:val="21"/>
          <w:highlight w:val="none"/>
        </w:rPr>
      </w:pPr>
      <w:r>
        <w:rPr>
          <w:rFonts w:hint="eastAsia" w:hAnsi="宋体"/>
          <w:b/>
          <w:bCs/>
          <w:color w:val="auto"/>
          <w:szCs w:val="21"/>
          <w:highlight w:val="none"/>
        </w:rPr>
        <w:t>五、开标时间及地点</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1.时间：202</w:t>
      </w:r>
      <w:r>
        <w:rPr>
          <w:rFonts w:hint="eastAsia" w:hAnsi="宋体"/>
          <w:color w:val="auto"/>
          <w:szCs w:val="21"/>
          <w:highlight w:val="none"/>
          <w:lang w:val="en-US" w:eastAsia="zh-CN"/>
        </w:rPr>
        <w:t>4</w:t>
      </w:r>
      <w:r>
        <w:rPr>
          <w:rFonts w:hint="eastAsia" w:hAnsi="宋体"/>
          <w:color w:val="auto"/>
          <w:szCs w:val="21"/>
          <w:highlight w:val="none"/>
        </w:rPr>
        <w:t>年</w:t>
      </w:r>
      <w:r>
        <w:rPr>
          <w:rFonts w:hint="eastAsia" w:hAnsi="宋体"/>
          <w:color w:val="auto"/>
          <w:szCs w:val="21"/>
          <w:highlight w:val="none"/>
          <w:lang w:val="en-US" w:eastAsia="zh-CN"/>
        </w:rPr>
        <w:t>9</w:t>
      </w:r>
      <w:r>
        <w:rPr>
          <w:rFonts w:hint="eastAsia" w:hAnsi="宋体"/>
          <w:color w:val="auto"/>
          <w:szCs w:val="21"/>
          <w:highlight w:val="none"/>
        </w:rPr>
        <w:t>月</w:t>
      </w:r>
      <w:r>
        <w:rPr>
          <w:rFonts w:hint="eastAsia" w:hAnsi="宋体"/>
          <w:color w:val="auto"/>
          <w:szCs w:val="21"/>
          <w:highlight w:val="none"/>
          <w:lang w:val="en-US" w:eastAsia="zh-CN"/>
        </w:rPr>
        <w:t>26</w:t>
      </w:r>
      <w:r>
        <w:rPr>
          <w:rFonts w:hint="eastAsia" w:hAnsi="宋体"/>
          <w:color w:val="auto"/>
          <w:szCs w:val="21"/>
          <w:highlight w:val="none"/>
        </w:rPr>
        <w:t>日</w:t>
      </w:r>
      <w:r>
        <w:rPr>
          <w:rFonts w:hint="eastAsia" w:hAnsi="宋体"/>
          <w:color w:val="auto"/>
          <w:szCs w:val="21"/>
          <w:highlight w:val="none"/>
          <w:lang w:val="en-US" w:eastAsia="zh-CN"/>
        </w:rPr>
        <w:t xml:space="preserve">08 </w:t>
      </w:r>
      <w:r>
        <w:rPr>
          <w:rFonts w:hint="eastAsia" w:hAnsi="宋体"/>
          <w:color w:val="auto"/>
          <w:szCs w:val="21"/>
          <w:highlight w:val="none"/>
        </w:rPr>
        <w:t>时30分（北京时间）</w:t>
      </w:r>
    </w:p>
    <w:p>
      <w:pPr>
        <w:tabs>
          <w:tab w:val="left" w:pos="7095"/>
        </w:tabs>
        <w:spacing w:line="384" w:lineRule="auto"/>
        <w:ind w:firstLine="420" w:firstLineChars="200"/>
        <w:contextualSpacing/>
        <w:rPr>
          <w:rFonts w:hAnsi="宋体"/>
          <w:color w:val="auto"/>
          <w:szCs w:val="21"/>
          <w:highlight w:val="none"/>
        </w:rPr>
      </w:pPr>
      <w:r>
        <w:rPr>
          <w:rFonts w:hint="eastAsia" w:hAnsi="宋体"/>
          <w:color w:val="auto"/>
          <w:szCs w:val="21"/>
          <w:highlight w:val="none"/>
        </w:rPr>
        <w:t>2.地点：</w:t>
      </w:r>
      <w:r>
        <w:rPr>
          <w:rFonts w:hint="eastAsia" w:hAnsi="宋体"/>
          <w:color w:val="auto"/>
          <w:szCs w:val="21"/>
          <w:highlight w:val="none"/>
        </w:rPr>
        <w:t>本项目采用“不见面”网上开标方式，请投标供应商使用CA数字证书登录《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pPr>
        <w:tabs>
          <w:tab w:val="left" w:pos="7095"/>
        </w:tabs>
        <w:spacing w:line="360" w:lineRule="auto"/>
        <w:ind w:firstLine="422" w:firstLineChars="200"/>
        <w:contextualSpacing/>
        <w:jc w:val="left"/>
        <w:rPr>
          <w:rFonts w:ascii="宋体" w:hAnsi="宋体" w:eastAsia="宋体" w:cs="宋体"/>
          <w:color w:val="auto"/>
          <w:szCs w:val="21"/>
          <w:highlight w:val="none"/>
          <w:shd w:val="clear" w:color="auto" w:fill="FFFFFF"/>
        </w:rPr>
      </w:pPr>
      <w:r>
        <w:rPr>
          <w:rFonts w:hint="eastAsia" w:hAnsi="宋体"/>
          <w:b/>
          <w:bCs/>
          <w:color w:val="auto"/>
          <w:szCs w:val="21"/>
          <w:highlight w:val="none"/>
        </w:rPr>
        <w:t>六、发布公告的媒介及招标公告期限</w:t>
      </w:r>
    </w:p>
    <w:p>
      <w:pPr>
        <w:tabs>
          <w:tab w:val="left" w:pos="7095"/>
        </w:tabs>
        <w:spacing w:line="360" w:lineRule="auto"/>
        <w:ind w:firstLine="420" w:firstLineChars="200"/>
        <w:contextualSpacing/>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本次招标公告同时在</w:t>
      </w:r>
      <w:r>
        <w:rPr>
          <w:rFonts w:hint="eastAsia" w:hAnsi="宋体"/>
          <w:color w:val="auto"/>
          <w:szCs w:val="21"/>
          <w:highlight w:val="none"/>
        </w:rPr>
        <w:t>《河南省政府采购网》《许昌市政府采购网》</w:t>
      </w:r>
      <w:r>
        <w:rPr>
          <w:rFonts w:hint="eastAsia" w:ascii="宋体" w:hAnsi="宋体" w:eastAsia="宋体" w:cs="宋体"/>
          <w:color w:val="auto"/>
          <w:szCs w:val="21"/>
          <w:highlight w:val="none"/>
          <w:shd w:val="clear" w:color="auto" w:fill="FFFFFF"/>
        </w:rPr>
        <w:t>《全国公共资源交易平台（河南省·许昌市）》发布。</w:t>
      </w:r>
    </w:p>
    <w:p>
      <w:pPr>
        <w:tabs>
          <w:tab w:val="left" w:pos="7095"/>
        </w:tabs>
        <w:spacing w:line="384" w:lineRule="auto"/>
        <w:ind w:firstLine="422" w:firstLineChars="200"/>
        <w:contextualSpacing/>
        <w:rPr>
          <w:rFonts w:hAnsi="宋体"/>
          <w:b/>
          <w:bCs/>
          <w:color w:val="auto"/>
          <w:szCs w:val="21"/>
          <w:highlight w:val="none"/>
        </w:rPr>
      </w:pPr>
      <w:r>
        <w:rPr>
          <w:rFonts w:hint="eastAsia" w:hAnsi="宋体"/>
          <w:b/>
          <w:bCs/>
          <w:color w:val="auto"/>
          <w:szCs w:val="21"/>
          <w:highlight w:val="none"/>
        </w:rPr>
        <w:t>七、其他补充事宜</w:t>
      </w:r>
    </w:p>
    <w:p>
      <w:pPr>
        <w:tabs>
          <w:tab w:val="left" w:pos="7095"/>
        </w:tabs>
        <w:spacing w:line="384" w:lineRule="auto"/>
        <w:ind w:firstLine="420" w:firstLineChars="200"/>
        <w:contextualSpacing/>
        <w:rPr>
          <w:rFonts w:hint="eastAsia" w:hAnsi="宋体"/>
          <w:b w:val="0"/>
          <w:bCs w:val="0"/>
          <w:color w:val="auto"/>
          <w:szCs w:val="21"/>
          <w:highlight w:val="none"/>
        </w:rPr>
      </w:pPr>
      <w:r>
        <w:rPr>
          <w:rFonts w:hint="eastAsia" w:hAnsi="宋体"/>
          <w:b w:val="0"/>
          <w:bCs w:val="0"/>
          <w:color w:val="auto"/>
          <w:szCs w:val="21"/>
          <w:highlight w:val="none"/>
        </w:rPr>
        <w:t>监督单位：禹州市政府采购监督管理办公室</w:t>
      </w:r>
    </w:p>
    <w:p>
      <w:pPr>
        <w:tabs>
          <w:tab w:val="left" w:pos="7095"/>
        </w:tabs>
        <w:spacing w:line="384" w:lineRule="auto"/>
        <w:ind w:firstLine="420" w:firstLineChars="200"/>
        <w:contextualSpacing/>
        <w:rPr>
          <w:rFonts w:hint="eastAsia" w:hAnsi="宋体"/>
          <w:b w:val="0"/>
          <w:bCs w:val="0"/>
          <w:color w:val="auto"/>
          <w:szCs w:val="21"/>
          <w:highlight w:val="none"/>
        </w:rPr>
      </w:pPr>
      <w:r>
        <w:rPr>
          <w:rFonts w:hint="eastAsia" w:hAnsi="宋体"/>
          <w:b w:val="0"/>
          <w:bCs w:val="0"/>
          <w:color w:val="auto"/>
          <w:szCs w:val="21"/>
          <w:highlight w:val="none"/>
        </w:rPr>
        <w:t>电话：0374-8112523</w:t>
      </w:r>
    </w:p>
    <w:p>
      <w:pPr>
        <w:tabs>
          <w:tab w:val="left" w:pos="7095"/>
        </w:tabs>
        <w:spacing w:line="384" w:lineRule="auto"/>
        <w:ind w:firstLine="420" w:firstLineChars="200"/>
        <w:contextualSpacing/>
        <w:rPr>
          <w:rFonts w:hint="default" w:ascii="宋体" w:hAnsi="宋体" w:eastAsia="宋体" w:cs="宋体"/>
          <w:color w:val="auto"/>
          <w:szCs w:val="21"/>
          <w:highlight w:val="none"/>
          <w:shd w:val="clear" w:color="auto" w:fill="FFFFFF"/>
          <w:lang w:val="en-US"/>
        </w:rPr>
      </w:pPr>
      <w:r>
        <w:rPr>
          <w:rFonts w:hint="eastAsia" w:hAnsi="宋体"/>
          <w:b w:val="0"/>
          <w:bCs w:val="0"/>
          <w:color w:val="auto"/>
          <w:szCs w:val="21"/>
          <w:highlight w:val="none"/>
          <w:lang w:val="en-US" w:eastAsia="zh-CN"/>
        </w:rPr>
        <w:t>项目编号以本招标文件中的采购编号为准，采购编号：YZC</w:t>
      </w:r>
      <w:r>
        <w:rPr>
          <w:rFonts w:hint="eastAsia" w:hAnsi="宋体"/>
          <w:b w:val="0"/>
          <w:bCs w:val="0"/>
          <w:color w:val="auto"/>
          <w:szCs w:val="21"/>
          <w:highlight w:val="none"/>
          <w:lang w:val="en-US" w:eastAsia="zh-CN"/>
        </w:rPr>
        <w:t>G-DLG2024074</w:t>
      </w:r>
    </w:p>
    <w:p>
      <w:pPr>
        <w:tabs>
          <w:tab w:val="left" w:pos="7095"/>
        </w:tabs>
        <w:spacing w:line="360" w:lineRule="auto"/>
        <w:ind w:firstLine="422" w:firstLineChars="200"/>
        <w:contextualSpacing/>
        <w:jc w:val="left"/>
        <w:rPr>
          <w:rFonts w:ascii="宋体" w:hAnsi="宋体" w:eastAsia="宋体" w:cs="宋体"/>
          <w:color w:val="auto"/>
          <w:szCs w:val="21"/>
          <w:highlight w:val="none"/>
          <w:shd w:val="clear" w:color="auto" w:fill="FFFFFF"/>
        </w:rPr>
      </w:pPr>
      <w:r>
        <w:rPr>
          <w:rFonts w:hint="eastAsia" w:hAnsi="宋体"/>
          <w:b/>
          <w:bCs/>
          <w:color w:val="auto"/>
          <w:szCs w:val="21"/>
          <w:highlight w:val="none"/>
        </w:rPr>
        <w:t>八、凡对本次招标提出询问，请按照以下方式联系</w:t>
      </w:r>
    </w:p>
    <w:p>
      <w:pPr>
        <w:spacing w:line="384"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1.采购人信息</w:t>
      </w:r>
    </w:p>
    <w:p>
      <w:pPr>
        <w:spacing w:line="384"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名称：禹州市环境保护局</w:t>
      </w:r>
    </w:p>
    <w:p>
      <w:pPr>
        <w:spacing w:line="384" w:lineRule="auto"/>
        <w:ind w:firstLine="420" w:firstLineChars="200"/>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地址：禹州市</w:t>
      </w:r>
      <w:r>
        <w:rPr>
          <w:rFonts w:hint="eastAsia" w:asciiTheme="majorEastAsia" w:hAnsiTheme="majorEastAsia" w:eastAsiaTheme="majorEastAsia" w:cstheme="majorEastAsia"/>
          <w:color w:val="auto"/>
          <w:szCs w:val="21"/>
          <w:highlight w:val="none"/>
          <w:lang w:eastAsia="zh-CN"/>
        </w:rPr>
        <w:t>行政北路创业大厦</w:t>
      </w:r>
    </w:p>
    <w:p>
      <w:pPr>
        <w:spacing w:line="384" w:lineRule="auto"/>
        <w:ind w:firstLine="420" w:firstLineChars="200"/>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联系人：</w:t>
      </w:r>
      <w:r>
        <w:rPr>
          <w:rFonts w:hint="eastAsia" w:asciiTheme="majorEastAsia" w:hAnsiTheme="majorEastAsia" w:eastAsiaTheme="majorEastAsia" w:cstheme="majorEastAsia"/>
          <w:color w:val="auto"/>
          <w:szCs w:val="21"/>
          <w:highlight w:val="none"/>
          <w:lang w:eastAsia="zh-CN"/>
        </w:rPr>
        <w:t>杨先生</w:t>
      </w:r>
      <w:r>
        <w:rPr>
          <w:rFonts w:hint="eastAsia" w:asciiTheme="majorEastAsia" w:hAnsiTheme="majorEastAsia" w:eastAsiaTheme="majorEastAsia" w:cstheme="majorEastAsia"/>
          <w:color w:val="auto"/>
          <w:szCs w:val="21"/>
          <w:highlight w:val="none"/>
          <w:lang w:val="en-US" w:eastAsia="zh-CN"/>
        </w:rPr>
        <w:t xml:space="preserve"> </w:t>
      </w:r>
    </w:p>
    <w:p>
      <w:pPr>
        <w:spacing w:line="384" w:lineRule="auto"/>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联系电话：</w:t>
      </w:r>
      <w:r>
        <w:rPr>
          <w:rFonts w:hint="eastAsia" w:asciiTheme="majorEastAsia" w:hAnsiTheme="majorEastAsia" w:eastAsiaTheme="majorEastAsia" w:cstheme="majorEastAsia"/>
          <w:color w:val="auto"/>
          <w:szCs w:val="21"/>
          <w:highlight w:val="none"/>
          <w:lang w:val="en-US" w:eastAsia="zh-CN"/>
        </w:rPr>
        <w:t xml:space="preserve">0374-6067319  </w:t>
      </w:r>
    </w:p>
    <w:p>
      <w:pPr>
        <w:spacing w:line="384"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2.采购代理机构信息</w:t>
      </w:r>
    </w:p>
    <w:p>
      <w:pPr>
        <w:spacing w:line="384"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名称：许昌丰元咨询管理有限公司</w:t>
      </w:r>
    </w:p>
    <w:p>
      <w:pPr>
        <w:spacing w:line="384"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地址：禹州市颍北大道6号</w:t>
      </w:r>
    </w:p>
    <w:p>
      <w:pPr>
        <w:spacing w:line="384" w:lineRule="auto"/>
        <w:ind w:firstLine="420" w:firstLineChars="200"/>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联系人：连</w:t>
      </w:r>
      <w:r>
        <w:rPr>
          <w:rFonts w:hint="eastAsia" w:asciiTheme="majorEastAsia" w:hAnsiTheme="majorEastAsia" w:eastAsiaTheme="majorEastAsia" w:cstheme="majorEastAsia"/>
          <w:color w:val="auto"/>
          <w:szCs w:val="21"/>
          <w:highlight w:val="none"/>
          <w:lang w:eastAsia="zh-CN"/>
        </w:rPr>
        <w:t>女士</w:t>
      </w:r>
    </w:p>
    <w:p>
      <w:pPr>
        <w:spacing w:line="384"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联系电话：0374-8281999</w:t>
      </w:r>
    </w:p>
    <w:p>
      <w:pPr>
        <w:tabs>
          <w:tab w:val="left" w:pos="7095"/>
        </w:tabs>
        <w:spacing w:line="360" w:lineRule="auto"/>
        <w:ind w:firstLine="420" w:firstLineChars="200"/>
        <w:contextualSpacing/>
        <w:jc w:val="left"/>
        <w:rPr>
          <w:color w:val="auto"/>
          <w:szCs w:val="21"/>
          <w:highlight w:val="none"/>
        </w:rPr>
      </w:pPr>
      <w:r>
        <w:rPr>
          <w:rFonts w:hint="eastAsia" w:ascii="宋体" w:hAnsi="宋体" w:eastAsia="宋体" w:cs="宋体"/>
          <w:color w:val="auto"/>
          <w:szCs w:val="21"/>
          <w:highlight w:val="none"/>
          <w:shd w:val="clear" w:color="auto" w:fill="FFFFFF"/>
        </w:rPr>
        <w:t>3.监督单位：</w:t>
      </w:r>
      <w:r>
        <w:rPr>
          <w:rFonts w:hint="eastAsia"/>
          <w:color w:val="auto"/>
          <w:szCs w:val="21"/>
          <w:highlight w:val="none"/>
        </w:rPr>
        <w:t>禹州市政府采购监督管理办公室</w:t>
      </w:r>
    </w:p>
    <w:p>
      <w:pPr>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联系电话：0374-8112523 </w:t>
      </w:r>
    </w:p>
    <w:p>
      <w:pPr>
        <w:tabs>
          <w:tab w:val="left" w:pos="7095"/>
        </w:tabs>
        <w:snapToGrid w:val="0"/>
        <w:spacing w:line="360" w:lineRule="auto"/>
        <w:ind w:firstLine="420" w:firstLineChars="200"/>
        <w:rPr>
          <w:rStyle w:val="102"/>
          <w:rFonts w:hint="eastAsia" w:ascii="宋体" w:hAnsi="宋体" w:eastAsia="宋体" w:cs="Times New Roman"/>
          <w:color w:val="auto"/>
          <w:sz w:val="21"/>
          <w:szCs w:val="21"/>
          <w:highlight w:val="none"/>
        </w:rPr>
      </w:pPr>
      <w:r>
        <w:rPr>
          <w:rStyle w:val="102"/>
          <w:rFonts w:hint="eastAsia" w:ascii="宋体" w:hAnsi="宋体" w:eastAsia="宋体" w:cs="Times New Roman"/>
          <w:color w:val="auto"/>
          <w:sz w:val="21"/>
          <w:szCs w:val="21"/>
          <w:highlight w:val="none"/>
          <w:lang w:val="en-US" w:eastAsia="zh-CN"/>
        </w:rPr>
        <w:t>1、</w:t>
      </w:r>
      <w:r>
        <w:rPr>
          <w:rStyle w:val="102"/>
          <w:rFonts w:hint="eastAsia" w:ascii="宋体" w:hAnsi="宋体" w:eastAsia="宋体" w:cs="Times New Roman"/>
          <w:color w:val="auto"/>
          <w:sz w:val="21"/>
          <w:szCs w:val="21"/>
          <w:highlight w:val="none"/>
        </w:rPr>
        <w:t>本项目采用远程“不见面”开标方式，投标前请详细阅读“全国公共资源交易平台（河南省·许昌市）”的“服务指南”栏目下《必看！新交易平台使用手册》中的相关内容。</w:t>
      </w:r>
    </w:p>
    <w:p>
      <w:pPr>
        <w:tabs>
          <w:tab w:val="left" w:pos="7095"/>
        </w:tabs>
        <w:snapToGrid w:val="0"/>
        <w:spacing w:line="360" w:lineRule="auto"/>
        <w:ind w:firstLine="420" w:firstLineChars="200"/>
        <w:rPr>
          <w:rStyle w:val="102"/>
          <w:rFonts w:hint="eastAsia"/>
          <w:color w:val="auto"/>
          <w:sz w:val="21"/>
          <w:szCs w:val="21"/>
          <w:highlight w:val="none"/>
          <w:lang w:val="en-US" w:eastAsia="zh-CN"/>
        </w:rPr>
      </w:pPr>
      <w:r>
        <w:rPr>
          <w:rStyle w:val="102"/>
          <w:rFonts w:hint="eastAsia" w:ascii="宋体" w:hAnsi="宋体" w:eastAsia="宋体" w:cs="Times New Roman"/>
          <w:color w:val="auto"/>
          <w:sz w:val="21"/>
          <w:szCs w:val="21"/>
          <w:highlight w:val="none"/>
          <w:lang w:val="en-US" w:eastAsia="zh-CN"/>
        </w:rPr>
        <w:t>2、</w:t>
      </w:r>
      <w:r>
        <w:rPr>
          <w:rStyle w:val="102"/>
          <w:rFonts w:hint="eastAsia" w:ascii="宋体" w:hAnsi="宋体" w:eastAsia="宋体" w:cs="Times New Roman"/>
          <w:color w:val="auto"/>
          <w:sz w:val="21"/>
          <w:szCs w:val="21"/>
          <w:highlight w:val="none"/>
        </w:rPr>
        <w:t>投标供应商在电子系统使用过程中遇到涉及系统使用的问题，可致电0374-2968176进行咨询。</w:t>
      </w:r>
      <w:r>
        <w:rPr>
          <w:rStyle w:val="102"/>
          <w:rFonts w:hint="eastAsia" w:ascii="宋体" w:hAnsi="宋体" w:eastAsia="宋体" w:cs="Times New Roman"/>
          <w:color w:val="auto"/>
          <w:sz w:val="21"/>
          <w:szCs w:val="21"/>
          <w:highlight w:val="none"/>
          <w:lang w:val="en-US" w:eastAsia="zh-CN"/>
        </w:rPr>
        <w:t xml:space="preserve"> </w:t>
      </w:r>
      <w:r>
        <w:rPr>
          <w:rStyle w:val="102"/>
          <w:rFonts w:hint="eastAsia"/>
          <w:color w:val="auto"/>
          <w:sz w:val="21"/>
          <w:szCs w:val="21"/>
          <w:highlight w:val="none"/>
          <w:lang w:val="en-US" w:eastAsia="zh-CN"/>
        </w:rPr>
        <w:t xml:space="preserve"> </w:t>
      </w:r>
    </w:p>
    <w:p>
      <w:pPr>
        <w:pStyle w:val="103"/>
        <w:numPr>
          <w:ilvl w:val="0"/>
          <w:numId w:val="0"/>
        </w:numPr>
        <w:spacing w:line="490" w:lineRule="exact"/>
        <w:ind w:firstLine="420" w:firstLineChars="200"/>
        <w:rPr>
          <w:rFonts w:hint="eastAsia" w:ascii="宋体" w:hAnsi="宋体" w:cs="宋体"/>
          <w:color w:val="auto"/>
          <w:sz w:val="21"/>
          <w:szCs w:val="21"/>
          <w:highlight w:val="none"/>
          <w:shd w:val="clear" w:color="auto" w:fill="FFFFFF"/>
        </w:rPr>
      </w:pPr>
      <w:r>
        <w:rPr>
          <w:rStyle w:val="102"/>
          <w:rFonts w:hint="eastAsia"/>
          <w:color w:val="auto"/>
          <w:sz w:val="21"/>
          <w:szCs w:val="21"/>
          <w:highlight w:val="none"/>
          <w:lang w:val="en-US" w:eastAsia="zh-CN"/>
        </w:rPr>
        <w:t xml:space="preserve"> </w:t>
      </w:r>
      <w:r>
        <w:rPr>
          <w:rFonts w:hint="eastAsia" w:ascii="宋体" w:hAnsi="宋体" w:cs="宋体"/>
          <w:color w:val="auto"/>
          <w:sz w:val="21"/>
          <w:szCs w:val="21"/>
          <w:highlight w:val="none"/>
          <w:shd w:val="clear" w:color="auto" w:fill="FFFFFF"/>
          <w:lang w:val="en-US" w:eastAsia="zh-CN"/>
        </w:rPr>
        <w:t>3、</w:t>
      </w:r>
      <w:r>
        <w:rPr>
          <w:rFonts w:hint="eastAsia" w:ascii="宋体" w:hAnsi="宋体" w:cs="宋体"/>
          <w:color w:val="auto"/>
          <w:sz w:val="21"/>
          <w:szCs w:val="21"/>
          <w:highlight w:val="none"/>
          <w:shd w:val="clear" w:color="auto" w:fill="FFFFFF"/>
        </w:rPr>
        <w:t>供应商参加本项目投标，需提前自行联系CA数字证书或移动数字证书服务机构办理数字认证证书并进行电子签章。</w:t>
      </w:r>
    </w:p>
    <w:p>
      <w:pPr>
        <w:pStyle w:val="103"/>
        <w:numPr>
          <w:ilvl w:val="0"/>
          <w:numId w:val="0"/>
        </w:numPr>
        <w:spacing w:line="49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lang w:val="en-US" w:eastAsia="zh-CN"/>
        </w:rPr>
        <w:t>4、</w:t>
      </w:r>
      <w:r>
        <w:rPr>
          <w:rFonts w:hint="eastAsia" w:ascii="宋体" w:hAnsi="宋体" w:cs="宋体"/>
          <w:color w:val="auto"/>
          <w:sz w:val="21"/>
          <w:szCs w:val="21"/>
          <w:highlight w:val="none"/>
          <w:shd w:val="clear" w:color="auto" w:fill="FFFFFF"/>
        </w:rPr>
        <w:t>招标文件下载、响应文件制作、提交、远程不见面开标（电子投标文件的解密）环节，供应商须使用同一个CA数字证书或移动数字证书（证书须在有效期内并可正常使用）。</w:t>
      </w:r>
    </w:p>
    <w:p>
      <w:pPr>
        <w:pStyle w:val="103"/>
        <w:numPr>
          <w:ilvl w:val="0"/>
          <w:numId w:val="0"/>
        </w:numPr>
        <w:spacing w:line="490" w:lineRule="exact"/>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lang w:val="en-US" w:eastAsia="zh-CN"/>
        </w:rPr>
        <w:t>5、</w:t>
      </w:r>
      <w:r>
        <w:rPr>
          <w:rFonts w:hint="eastAsia" w:ascii="宋体" w:hAnsi="宋体" w:cs="宋体"/>
          <w:color w:val="auto"/>
          <w:sz w:val="21"/>
          <w:szCs w:val="21"/>
          <w:highlight w:val="none"/>
          <w:shd w:val="clear" w:color="auto" w:fill="FFFFFF"/>
        </w:rPr>
        <w:t>电子响应文件的制作</w:t>
      </w:r>
    </w:p>
    <w:p>
      <w:pPr>
        <w:pStyle w:val="103"/>
        <w:numPr>
          <w:ilvl w:val="0"/>
          <w:numId w:val="0"/>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5.1</w:t>
      </w:r>
      <w:r>
        <w:rPr>
          <w:rFonts w:hint="eastAsia" w:ascii="宋体" w:hAnsi="宋体" w:cs="宋体"/>
          <w:color w:val="auto"/>
          <w:sz w:val="21"/>
          <w:szCs w:val="21"/>
          <w:highlight w:val="none"/>
        </w:rPr>
        <w:t xml:space="preserve"> 供应商登录“</w:t>
      </w:r>
      <w:r>
        <w:rPr>
          <w:rFonts w:hint="eastAsia" w:ascii="宋体" w:hAnsi="宋体" w:cs="宋体"/>
          <w:color w:val="auto"/>
          <w:sz w:val="21"/>
          <w:szCs w:val="21"/>
          <w:highlight w:val="none"/>
          <w:shd w:val="clear" w:color="auto" w:fill="FFFFFF"/>
        </w:rPr>
        <w:t>全国公共资源交易平台（河南省·许昌市）”</w:t>
      </w:r>
      <w:r>
        <w:rPr>
          <w:rFonts w:hint="eastAsia" w:ascii="宋体" w:hAnsi="宋体" w:cs="宋体"/>
          <w:color w:val="auto"/>
          <w:sz w:val="21"/>
          <w:szCs w:val="21"/>
          <w:highlight w:val="none"/>
        </w:rPr>
        <w:t>下载</w:t>
      </w:r>
      <w:r>
        <w:rPr>
          <w:rFonts w:hint="eastAsia" w:ascii="宋体" w:hAnsi="宋体" w:cs="宋体"/>
          <w:color w:val="auto"/>
          <w:sz w:val="21"/>
          <w:szCs w:val="21"/>
          <w:highlight w:val="none"/>
          <w:shd w:val="clear" w:color="auto" w:fill="FFFFFF"/>
        </w:rPr>
        <w:t>“新点投标文件制作软件（河南省版）”的最新版本制作电子响应文件</w:t>
      </w:r>
      <w:r>
        <w:rPr>
          <w:rFonts w:hint="eastAsia" w:ascii="宋体" w:hAnsi="宋体" w:cs="宋体"/>
          <w:color w:val="auto"/>
          <w:sz w:val="21"/>
          <w:szCs w:val="21"/>
          <w:highlight w:val="none"/>
        </w:rPr>
        <w:t>。</w:t>
      </w:r>
    </w:p>
    <w:p>
      <w:pPr>
        <w:pStyle w:val="103"/>
        <w:numPr>
          <w:ilvl w:val="0"/>
          <w:numId w:val="0"/>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5.2</w:t>
      </w:r>
      <w:r>
        <w:rPr>
          <w:rFonts w:hint="eastAsia" w:ascii="宋体" w:hAnsi="宋体" w:cs="宋体"/>
          <w:color w:val="auto"/>
          <w:sz w:val="21"/>
          <w:szCs w:val="21"/>
          <w:highlight w:val="none"/>
        </w:rPr>
        <w:t>供应商对同一项目多个标段进行响应的，应分别下载所投标段的招标文件，按标段制作响应文件。一个标段对应生成2份电子响应文件（后缀格式为.XCSTF和.nXCSTF）,其中后缀格式为“.XCSTF”的加密电子响应文件用于上传至交易系统中投标。</w:t>
      </w:r>
    </w:p>
    <w:p>
      <w:pPr>
        <w:pStyle w:val="103"/>
        <w:numPr>
          <w:ilvl w:val="0"/>
          <w:numId w:val="4"/>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加密电子响应文件的提交</w:t>
      </w:r>
    </w:p>
    <w:p>
      <w:pPr>
        <w:pStyle w:val="103"/>
        <w:numPr>
          <w:ilvl w:val="0"/>
          <w:numId w:val="0"/>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6.1</w:t>
      </w:r>
      <w:r>
        <w:rPr>
          <w:rFonts w:hint="eastAsia" w:ascii="宋体" w:hAnsi="宋体" w:cs="宋体"/>
          <w:color w:val="auto"/>
          <w:sz w:val="21"/>
          <w:szCs w:val="21"/>
          <w:highlight w:val="none"/>
        </w:rPr>
        <w:t>供应商对同一项目多个标段进行响应的，加密电子响应文件应按标段分别提交。</w:t>
      </w:r>
    </w:p>
    <w:p>
      <w:pPr>
        <w:pStyle w:val="103"/>
        <w:numPr>
          <w:ilvl w:val="0"/>
          <w:numId w:val="0"/>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6.2</w:t>
      </w:r>
      <w:r>
        <w:rPr>
          <w:rFonts w:hint="eastAsia" w:ascii="宋体" w:hAnsi="宋体" w:cs="宋体"/>
          <w:color w:val="auto"/>
          <w:sz w:val="21"/>
          <w:szCs w:val="21"/>
          <w:highlight w:val="none"/>
        </w:rPr>
        <w:t>加密电子响应文件成功上传至“</w:t>
      </w:r>
      <w:r>
        <w:rPr>
          <w:rFonts w:hint="eastAsia" w:ascii="宋体" w:hAnsi="宋体" w:cs="宋体"/>
          <w:color w:val="auto"/>
          <w:sz w:val="21"/>
          <w:szCs w:val="21"/>
          <w:highlight w:val="none"/>
          <w:shd w:val="clear" w:color="auto" w:fill="FFFFFF"/>
        </w:rPr>
        <w:t>全国公共资源交易平台（河南省·许昌市）”</w:t>
      </w:r>
      <w:r>
        <w:rPr>
          <w:rFonts w:hint="eastAsia" w:ascii="宋体" w:hAnsi="宋体" w:cs="宋体"/>
          <w:color w:val="auto"/>
          <w:sz w:val="21"/>
          <w:szCs w:val="21"/>
          <w:highlight w:val="none"/>
        </w:rPr>
        <w:t>后，应在上传页面进行模拟解密，以验证是否能够成功解密。</w:t>
      </w:r>
    </w:p>
    <w:p>
      <w:pPr>
        <w:pStyle w:val="103"/>
        <w:numPr>
          <w:ilvl w:val="0"/>
          <w:numId w:val="4"/>
        </w:numPr>
        <w:spacing w:line="490" w:lineRule="exact"/>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远程不见面开标（电子响应文件的解密）</w:t>
      </w:r>
    </w:p>
    <w:p>
      <w:pPr>
        <w:pStyle w:val="103"/>
        <w:numPr>
          <w:ilvl w:val="0"/>
          <w:numId w:val="0"/>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7.1</w:t>
      </w:r>
      <w:r>
        <w:rPr>
          <w:rFonts w:hint="eastAsia" w:ascii="宋体" w:hAnsi="宋体" w:cs="宋体"/>
          <w:color w:val="auto"/>
          <w:sz w:val="21"/>
          <w:szCs w:val="21"/>
          <w:highlight w:val="none"/>
        </w:rPr>
        <w:t>本项目采用远程“不见面”开标方式，投标前请详细阅读“</w:t>
      </w:r>
      <w:r>
        <w:rPr>
          <w:rFonts w:hint="eastAsia" w:ascii="宋体" w:hAnsi="宋体" w:cs="宋体"/>
          <w:color w:val="auto"/>
          <w:sz w:val="21"/>
          <w:szCs w:val="21"/>
          <w:highlight w:val="none"/>
          <w:shd w:val="clear" w:color="auto" w:fill="FFFFFF"/>
        </w:rPr>
        <w:t>全国公共资源交易平台（河南省·许昌市）”的</w:t>
      </w:r>
      <w:r>
        <w:rPr>
          <w:rFonts w:hint="eastAsia" w:ascii="宋体" w:hAnsi="宋体" w:cs="宋体"/>
          <w:color w:val="auto"/>
          <w:sz w:val="21"/>
          <w:szCs w:val="21"/>
          <w:highlight w:val="none"/>
        </w:rPr>
        <w:t>“服务指南”栏目下《必看！新交易平台使用手册》中的相关内容。</w:t>
      </w:r>
    </w:p>
    <w:p>
      <w:pPr>
        <w:pStyle w:val="103"/>
        <w:numPr>
          <w:ilvl w:val="0"/>
          <w:numId w:val="0"/>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7.2</w:t>
      </w:r>
      <w:r>
        <w:rPr>
          <w:rFonts w:hint="eastAsia" w:ascii="宋体" w:hAnsi="宋体" w:cs="宋体"/>
          <w:color w:val="auto"/>
          <w:sz w:val="21"/>
          <w:szCs w:val="21"/>
          <w:highlight w:val="none"/>
        </w:rPr>
        <w:t xml:space="preserve"> 供应商应按新交易平台使用手册提前设置好浏览器，并于开标时间前登录本项目网上开标大厅，按照规定的开标时间准时参加网上开标。</w:t>
      </w:r>
    </w:p>
    <w:p>
      <w:pPr>
        <w:pStyle w:val="103"/>
        <w:numPr>
          <w:ilvl w:val="0"/>
          <w:numId w:val="0"/>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7.3</w:t>
      </w:r>
      <w:r>
        <w:rPr>
          <w:rFonts w:hint="eastAsia" w:ascii="宋体" w:hAnsi="宋体" w:cs="宋体"/>
          <w:color w:val="auto"/>
          <w:sz w:val="21"/>
          <w:szCs w:val="21"/>
          <w:highlight w:val="none"/>
        </w:rPr>
        <w:t>根据开标大厅界面右侧“公告栏”中的系统提示，供应商应在“标书解密”环节完成解密操作。供应商未解密或因供应商原因解密失败的，其响应文件将被退回。</w:t>
      </w:r>
    </w:p>
    <w:p>
      <w:pPr>
        <w:pStyle w:val="103"/>
        <w:numPr>
          <w:ilvl w:val="0"/>
          <w:numId w:val="0"/>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7.4</w:t>
      </w:r>
      <w:r>
        <w:rPr>
          <w:rFonts w:hint="eastAsia" w:ascii="宋体" w:hAnsi="宋体" w:cs="宋体"/>
          <w:color w:val="auto"/>
          <w:sz w:val="21"/>
          <w:szCs w:val="21"/>
          <w:highlight w:val="none"/>
        </w:rPr>
        <w:t>在“唱标”环节，供应商应对唱标信息进行确认，供应商未进行唱标确认操作的，视同认可唱标结果。</w:t>
      </w:r>
    </w:p>
    <w:p>
      <w:pPr>
        <w:pStyle w:val="103"/>
        <w:numPr>
          <w:ilvl w:val="0"/>
          <w:numId w:val="0"/>
        </w:numPr>
        <w:spacing w:line="49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7.5</w:t>
      </w:r>
      <w:r>
        <w:rPr>
          <w:rFonts w:hint="eastAsia" w:ascii="宋体" w:hAnsi="宋体" w:cs="宋体"/>
          <w:color w:val="auto"/>
          <w:sz w:val="21"/>
          <w:szCs w:val="21"/>
          <w:highlight w:val="none"/>
        </w:rPr>
        <w:t>在“开标结束”环节，供应商应在《开标情况记录表》上进行电子签章。供应商未签章的，视同认可开标结果。</w:t>
      </w:r>
    </w:p>
    <w:p>
      <w:pPr>
        <w:pStyle w:val="103"/>
        <w:numPr>
          <w:ilvl w:val="0"/>
          <w:numId w:val="0"/>
        </w:numPr>
        <w:spacing w:line="490" w:lineRule="exact"/>
        <w:ind w:firstLine="420" w:firstLineChars="200"/>
        <w:rPr>
          <w:rStyle w:val="102"/>
          <w:rFonts w:ascii="宋体" w:hAnsi="宋体"/>
          <w:color w:val="auto"/>
          <w:sz w:val="21"/>
          <w:szCs w:val="21"/>
          <w:highlight w:val="none"/>
        </w:rPr>
      </w:pPr>
      <w:r>
        <w:rPr>
          <w:rFonts w:hint="eastAsia" w:ascii="宋体" w:hAnsi="宋体" w:cs="宋体"/>
          <w:color w:val="auto"/>
          <w:sz w:val="21"/>
          <w:szCs w:val="21"/>
          <w:highlight w:val="none"/>
          <w:lang w:val="en-US" w:eastAsia="zh-CN"/>
        </w:rPr>
        <w:t>7.6</w:t>
      </w:r>
      <w:r>
        <w:rPr>
          <w:rFonts w:hint="eastAsia" w:ascii="宋体" w:hAnsi="宋体" w:cs="宋体"/>
          <w:color w:val="auto"/>
          <w:sz w:val="21"/>
          <w:szCs w:val="21"/>
          <w:highlight w:val="none"/>
        </w:rPr>
        <w:t>供应商对开标过程和开标记录如有异议，可在本项目开标大厅界面右下方“发起异议”中提出异议</w:t>
      </w:r>
      <w:r>
        <w:rPr>
          <w:rStyle w:val="102"/>
          <w:rFonts w:ascii="宋体" w:hAnsi="宋体"/>
          <w:color w:val="auto"/>
          <w:sz w:val="21"/>
          <w:szCs w:val="21"/>
          <w:highlight w:val="none"/>
        </w:rPr>
        <w:t>。</w:t>
      </w:r>
    </w:p>
    <w:p>
      <w:pPr>
        <w:pStyle w:val="103"/>
        <w:numPr>
          <w:ilvl w:val="0"/>
          <w:numId w:val="0"/>
        </w:numPr>
        <w:spacing w:line="490" w:lineRule="exact"/>
        <w:ind w:firstLine="420" w:firstLineChars="200"/>
        <w:rPr>
          <w:rStyle w:val="102"/>
          <w:rFonts w:ascii="宋体" w:hAnsi="宋体"/>
          <w:b/>
          <w:color w:val="auto"/>
          <w:sz w:val="21"/>
          <w:szCs w:val="21"/>
          <w:highlight w:val="none"/>
        </w:rPr>
      </w:pPr>
      <w:r>
        <w:rPr>
          <w:rStyle w:val="102"/>
          <w:rFonts w:hint="eastAsia" w:ascii="宋体" w:hAnsi="宋体"/>
          <w:color w:val="auto"/>
          <w:sz w:val="21"/>
          <w:szCs w:val="21"/>
          <w:highlight w:val="none"/>
          <w:lang w:val="en-US" w:eastAsia="zh-CN"/>
        </w:rPr>
        <w:t>8、</w:t>
      </w:r>
      <w:r>
        <w:rPr>
          <w:rStyle w:val="102"/>
          <w:rFonts w:ascii="宋体" w:hAnsi="宋体"/>
          <w:b/>
          <w:color w:val="auto"/>
          <w:sz w:val="21"/>
          <w:szCs w:val="21"/>
          <w:highlight w:val="none"/>
        </w:rPr>
        <w:t>评标依据</w:t>
      </w:r>
    </w:p>
    <w:p>
      <w:pPr>
        <w:tabs>
          <w:tab w:val="left" w:pos="7095"/>
        </w:tabs>
        <w:snapToGrid w:val="0"/>
        <w:spacing w:line="360" w:lineRule="auto"/>
        <w:ind w:firstLine="420" w:firstLineChars="200"/>
        <w:rPr>
          <w:rStyle w:val="102"/>
          <w:rFonts w:ascii="宋体" w:hAnsi="宋体"/>
          <w:color w:val="auto"/>
          <w:sz w:val="21"/>
          <w:szCs w:val="21"/>
          <w:highlight w:val="none"/>
        </w:rPr>
      </w:pPr>
      <w:r>
        <w:rPr>
          <w:rStyle w:val="102"/>
          <w:rFonts w:hint="eastAsia" w:ascii="宋体" w:hAnsi="宋体"/>
          <w:color w:val="auto"/>
          <w:sz w:val="21"/>
          <w:szCs w:val="21"/>
          <w:highlight w:val="none"/>
          <w:lang w:val="en-US" w:eastAsia="zh-CN"/>
        </w:rPr>
        <w:t>8</w:t>
      </w:r>
      <w:r>
        <w:rPr>
          <w:rStyle w:val="102"/>
          <w:rFonts w:ascii="宋体" w:hAnsi="宋体"/>
          <w:color w:val="auto"/>
          <w:sz w:val="21"/>
          <w:szCs w:val="21"/>
          <w:highlight w:val="none"/>
        </w:rPr>
        <w:t>.1全流程电子化交易（远程不见面开标）项目，评标委员会以成功上传、解密的电子投标文件为评标依据。</w:t>
      </w:r>
    </w:p>
    <w:p>
      <w:pPr>
        <w:tabs>
          <w:tab w:val="left" w:pos="7095"/>
        </w:tabs>
        <w:snapToGrid w:val="0"/>
        <w:spacing w:line="360" w:lineRule="auto"/>
        <w:ind w:firstLine="420" w:firstLineChars="200"/>
        <w:rPr>
          <w:rStyle w:val="102"/>
          <w:rFonts w:ascii="宋体" w:hAnsi="宋体"/>
          <w:color w:val="auto"/>
          <w:sz w:val="21"/>
          <w:szCs w:val="21"/>
          <w:highlight w:val="none"/>
        </w:rPr>
      </w:pPr>
      <w:r>
        <w:rPr>
          <w:rStyle w:val="102"/>
          <w:rFonts w:hint="eastAsia" w:ascii="宋体" w:hAnsi="宋体"/>
          <w:color w:val="auto"/>
          <w:sz w:val="21"/>
          <w:szCs w:val="21"/>
          <w:highlight w:val="none"/>
          <w:lang w:val="en-US" w:eastAsia="zh-CN"/>
        </w:rPr>
        <w:t>8</w:t>
      </w:r>
      <w:r>
        <w:rPr>
          <w:rStyle w:val="102"/>
          <w:rFonts w:ascii="宋体" w:hAnsi="宋体"/>
          <w:color w:val="auto"/>
          <w:sz w:val="21"/>
          <w:szCs w:val="21"/>
          <w:highlight w:val="none"/>
        </w:rPr>
        <w:t>.2 评标期间评标委员会如要求投标人作出澄清、说明或者补正等，投标人应在评标委员会要求的评标期间合理的时间内通过电子邮件形式提供。</w:t>
      </w:r>
    </w:p>
    <w:p>
      <w:pPr>
        <w:snapToGrid w:val="0"/>
        <w:spacing w:line="360" w:lineRule="auto"/>
        <w:ind w:firstLine="420" w:firstLineChars="200"/>
        <w:rPr>
          <w:rStyle w:val="102"/>
          <w:rFonts w:ascii="宋体" w:hAnsi="宋体"/>
          <w:color w:val="auto"/>
          <w:sz w:val="21"/>
          <w:szCs w:val="21"/>
          <w:highlight w:val="none"/>
        </w:rPr>
      </w:pPr>
      <w:r>
        <w:rPr>
          <w:rStyle w:val="102"/>
          <w:rFonts w:ascii="宋体" w:hAnsi="宋体"/>
          <w:color w:val="auto"/>
          <w:sz w:val="21"/>
          <w:szCs w:val="21"/>
          <w:highlight w:val="none"/>
        </w:rPr>
        <w:t>投标人通过电子邮件提供的书面说明或相关证明材料应加盖公章，或者由法定代表人或其授权的代表签字。</w:t>
      </w:r>
    </w:p>
    <w:p>
      <w:pPr>
        <w:numPr>
          <w:ilvl w:val="0"/>
          <w:numId w:val="0"/>
        </w:numPr>
        <w:tabs>
          <w:tab w:val="left" w:pos="7095"/>
        </w:tabs>
        <w:spacing w:line="360" w:lineRule="auto"/>
        <w:ind w:left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相关事项</w:t>
      </w:r>
    </w:p>
    <w:p>
      <w:pPr>
        <w:numPr>
          <w:ilvl w:val="0"/>
          <w:numId w:val="0"/>
        </w:numPr>
        <w:tabs>
          <w:tab w:val="left" w:pos="7095"/>
        </w:tabs>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9.1</w:t>
      </w:r>
      <w:r>
        <w:rPr>
          <w:rFonts w:hint="eastAsia" w:ascii="宋体" w:hAnsi="宋体" w:cs="宋体"/>
          <w:color w:val="auto"/>
          <w:sz w:val="21"/>
          <w:szCs w:val="21"/>
          <w:highlight w:val="none"/>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pPr>
        <w:numPr>
          <w:ilvl w:val="0"/>
          <w:numId w:val="0"/>
        </w:numPr>
        <w:tabs>
          <w:tab w:val="left" w:pos="7095"/>
        </w:tabs>
        <w:spacing w:line="360" w:lineRule="auto"/>
        <w:ind w:firstLine="420" w:firstLineChars="200"/>
        <w:contextualSpacing/>
        <w:rPr>
          <w:rStyle w:val="102"/>
          <w:rFonts w:hint="eastAsia" w:ascii="宋体" w:hAnsi="宋体" w:eastAsiaTheme="minorEastAsia"/>
          <w:color w:val="auto"/>
          <w:sz w:val="21"/>
          <w:szCs w:val="21"/>
          <w:highlight w:val="none"/>
          <w:lang w:val="en-US" w:eastAsia="zh-CN"/>
        </w:rPr>
        <w:sectPr>
          <w:footerReference r:id="rId3" w:type="default"/>
          <w:pgSz w:w="11907" w:h="16839"/>
          <w:pgMar w:top="1431" w:right="1094" w:bottom="1155" w:left="1476" w:header="0" w:footer="1038" w:gutter="0"/>
          <w:pgNumType w:start="0"/>
          <w:cols w:space="720" w:num="1"/>
          <w:docGrid w:linePitch="1" w:charSpace="0"/>
        </w:sectPr>
      </w:pPr>
      <w:r>
        <w:rPr>
          <w:rFonts w:hint="eastAsia" w:ascii="宋体" w:hAnsi="宋体" w:cs="宋体"/>
          <w:color w:val="auto"/>
          <w:sz w:val="21"/>
          <w:szCs w:val="21"/>
          <w:highlight w:val="none"/>
          <w:lang w:val="en-US" w:eastAsia="zh-CN"/>
        </w:rPr>
        <w:t>9.2</w:t>
      </w:r>
      <w:r>
        <w:rPr>
          <w:rFonts w:hint="eastAsia" w:ascii="宋体" w:hAnsi="宋体" w:cs="宋体"/>
          <w:color w:val="auto"/>
          <w:sz w:val="21"/>
          <w:szCs w:val="21"/>
          <w:highlight w:val="none"/>
        </w:rPr>
        <w:t>“全国公共资源交易平台（河南省·许昌市）”采购公告栏提供的招标文件仅供浏览。供应商下载招标文件应使用 CA 数字证书或移动数字证书从“全国公共资源交易平台（河南省·许昌市）”的“投标人”登录入口获取本项目招标文件</w:t>
      </w:r>
      <w:r>
        <w:rPr>
          <w:rFonts w:hint="eastAsia" w:ascii="宋体" w:hAnsi="宋体" w:cs="宋体"/>
          <w:color w:val="auto"/>
          <w:sz w:val="21"/>
          <w:szCs w:val="21"/>
          <w:highlight w:val="none"/>
          <w:lang w:val="en-US" w:eastAsia="zh-CN"/>
        </w:rPr>
        <w:t>。</w:t>
      </w:r>
    </w:p>
    <w:p>
      <w:pPr>
        <w:pStyle w:val="38"/>
        <w:rPr>
          <w:color w:val="auto"/>
          <w:highlight w:val="none"/>
        </w:rPr>
      </w:pPr>
    </w:p>
    <w:p>
      <w:pPr>
        <w:numPr>
          <w:ilvl w:val="0"/>
          <w:numId w:val="5"/>
        </w:numPr>
        <w:tabs>
          <w:tab w:val="left" w:pos="7095"/>
        </w:tabs>
        <w:spacing w:line="360" w:lineRule="auto"/>
        <w:ind w:firstLine="3213" w:firstLineChars="1000"/>
        <w:contextualSpacing/>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 xml:space="preserve"> 采购需求</w:t>
      </w:r>
    </w:p>
    <w:p>
      <w:pPr>
        <w:pStyle w:val="28"/>
        <w:numPr>
          <w:ilvl w:val="0"/>
          <w:numId w:val="6"/>
        </w:numPr>
        <w:ind w:firstLine="0" w:firstLineChars="0"/>
        <w:rPr>
          <w:rFonts w:hint="eastAsia" w:hAnsi="宋体" w:cs="宋体"/>
          <w:b/>
          <w:color w:val="auto"/>
          <w:kern w:val="2"/>
          <w:sz w:val="21"/>
          <w:szCs w:val="21"/>
          <w:highlight w:val="none"/>
        </w:rPr>
      </w:pPr>
      <w:r>
        <w:rPr>
          <w:rFonts w:hint="eastAsia" w:hAnsi="宋体" w:cs="宋体"/>
          <w:b/>
          <w:color w:val="auto"/>
          <w:kern w:val="2"/>
          <w:sz w:val="21"/>
          <w:szCs w:val="21"/>
          <w:highlight w:val="none"/>
        </w:rPr>
        <w:t>本项目需实现的功能或者目标</w:t>
      </w:r>
    </w:p>
    <w:p>
      <w:pPr>
        <w:spacing w:line="384" w:lineRule="auto"/>
        <w:ind w:firstLine="420" w:firstLineChars="200"/>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为确保禹州市22个乡镇（街道）环境空气自动监测站正常运行、数据真实有效，手机APP功能能够正常使用，并满足上级对我市22乡镇（街道）环境空气质量考核的需要，拟采购两年第三方运维服务公司负责22个监测站点的日常运维工作</w:t>
      </w:r>
      <w:r>
        <w:rPr>
          <w:rFonts w:hint="eastAsia" w:asciiTheme="majorEastAsia" w:hAnsiTheme="majorEastAsia" w:eastAsiaTheme="majorEastAsia" w:cstheme="majorEastAsia"/>
          <w:color w:val="auto"/>
          <w:szCs w:val="21"/>
          <w:highlight w:val="none"/>
          <w:lang w:eastAsia="zh-CN"/>
        </w:rPr>
        <w:t>。</w:t>
      </w:r>
    </w:p>
    <w:p>
      <w:pPr>
        <w:spacing w:line="360" w:lineRule="auto"/>
        <w:rPr>
          <w:rFonts w:hint="eastAsia" w:hAnsi="宋体"/>
          <w:color w:val="auto"/>
          <w:szCs w:val="21"/>
          <w:highlight w:val="none"/>
          <w:lang w:val="en-US" w:eastAsia="zh-CN"/>
        </w:rPr>
      </w:pPr>
      <w:r>
        <w:rPr>
          <w:rFonts w:hint="eastAsia" w:hAnsi="宋体"/>
          <w:color w:val="auto"/>
          <w:szCs w:val="21"/>
          <w:highlight w:val="none"/>
          <w:lang w:val="en-US" w:eastAsia="zh-CN"/>
        </w:rPr>
        <w:t>二、</w:t>
      </w:r>
      <w:r>
        <w:rPr>
          <w:rFonts w:hint="eastAsia" w:hAnsi="宋体"/>
          <w:b/>
          <w:bCs/>
          <w:color w:val="auto"/>
          <w:szCs w:val="21"/>
          <w:highlight w:val="none"/>
          <w:lang w:val="en-US" w:eastAsia="zh-CN"/>
        </w:rPr>
        <w:t>项目需求参数</w:t>
      </w:r>
    </w:p>
    <w:p>
      <w:pPr>
        <w:spacing w:line="360" w:lineRule="auto"/>
        <w:ind w:firstLine="422" w:firstLineChars="200"/>
        <w:rPr>
          <w:rFonts w:hint="eastAsia" w:hAnsi="宋体"/>
          <w:b/>
          <w:bCs/>
          <w:color w:val="auto"/>
          <w:szCs w:val="21"/>
          <w:highlight w:val="none"/>
          <w:lang w:val="en-US" w:eastAsia="zh-CN"/>
        </w:rPr>
      </w:pPr>
      <w:r>
        <w:rPr>
          <w:rFonts w:hint="eastAsia" w:hAnsi="宋体"/>
          <w:b/>
          <w:bCs/>
          <w:color w:val="auto"/>
          <w:szCs w:val="21"/>
          <w:highlight w:val="none"/>
          <w:lang w:val="en-US" w:eastAsia="zh-CN"/>
        </w:rPr>
        <w:t>1.主要目标</w:t>
      </w:r>
    </w:p>
    <w:p>
      <w:pPr>
        <w:spacing w:line="384" w:lineRule="auto"/>
        <w:ind w:firstLine="420" w:firstLineChars="200"/>
        <w:jc w:val="left"/>
        <w:rPr>
          <w:rFonts w:hint="eastAsia" w:asciiTheme="majorEastAsia" w:hAnsiTheme="majorEastAsia" w:eastAsiaTheme="majorEastAsia" w:cstheme="majorEastAsia"/>
          <w:color w:val="auto"/>
          <w:szCs w:val="21"/>
          <w:highlight w:val="none"/>
          <w:lang w:val="en-US" w:eastAsia="zh-CN"/>
        </w:rPr>
      </w:pPr>
      <w:bookmarkStart w:id="0" w:name="_Toc256000171"/>
      <w:r>
        <w:rPr>
          <w:rFonts w:hint="eastAsia" w:asciiTheme="majorEastAsia" w:hAnsiTheme="majorEastAsia" w:eastAsiaTheme="majorEastAsia" w:cstheme="majorEastAsia"/>
          <w:color w:val="auto"/>
          <w:szCs w:val="21"/>
          <w:highlight w:val="none"/>
          <w:lang w:val="en-US" w:eastAsia="zh-CN"/>
        </w:rPr>
        <w:t>确保禹州市22个乡镇（街道）“六因子”环境空气自动监测站正常稳定运行，满足上级对我市22个乡镇（街道）环境空气质量的考核，通过手机APP可以及时查看禹州市各级环境空气质量指数，为全市环境质量持续改善提供数据支撑。</w:t>
      </w:r>
    </w:p>
    <w:p>
      <w:pPr>
        <w:spacing w:line="360" w:lineRule="auto"/>
        <w:ind w:firstLine="422" w:firstLineChars="200"/>
        <w:rPr>
          <w:rFonts w:hint="eastAsia" w:hAnsi="宋体"/>
          <w:b/>
          <w:bCs/>
          <w:color w:val="auto"/>
          <w:szCs w:val="21"/>
          <w:highlight w:val="none"/>
          <w:lang w:val="en-US" w:eastAsia="zh-CN"/>
        </w:rPr>
      </w:pPr>
      <w:r>
        <w:rPr>
          <w:rFonts w:hint="eastAsia" w:hAnsi="宋体"/>
          <w:b/>
          <w:bCs/>
          <w:color w:val="auto"/>
          <w:szCs w:val="21"/>
          <w:highlight w:val="none"/>
          <w:lang w:val="en-US" w:eastAsia="zh-CN"/>
        </w:rPr>
        <w:t>2.空气自动站运维总体要求</w:t>
      </w:r>
      <w:bookmarkEnd w:id="0"/>
    </w:p>
    <w:p>
      <w:pPr>
        <w:spacing w:line="384" w:lineRule="auto"/>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22个六因子乡镇（街道）环境空气自动监测站运维服务范围包括：空气自动监测站所有监测仪器、气象仪器、质控设备、数据采集及传输设备、辅助设备、防雷等基础设施的日常运行维护、质量控制、故障维修、年度检修、检定等工作，以及站房维护及保洁、电力保障、网络通讯保障，确保站点的监测仪器正常稳定运行并与上级监测平台联网正常。</w:t>
      </w:r>
    </w:p>
    <w:p>
      <w:pPr>
        <w:pStyle w:val="91"/>
        <w:ind w:firstLine="422" w:firstLineChars="200"/>
        <w:outlineLvl w:val="1"/>
        <w:rPr>
          <w:rFonts w:hint="eastAsia" w:ascii="宋体" w:hAnsi="宋体" w:eastAsia="宋体" w:cs="宋体"/>
          <w:color w:val="auto"/>
          <w:sz w:val="21"/>
          <w:szCs w:val="21"/>
          <w:highlight w:val="none"/>
          <w:lang w:val="en-US" w:eastAsia="zh-CN"/>
        </w:rPr>
      </w:pPr>
      <w:bookmarkStart w:id="1" w:name="_Toc256000179"/>
      <w:r>
        <w:rPr>
          <w:rFonts w:hint="eastAsia" w:ascii="宋体" w:hAnsi="宋体" w:eastAsia="宋体" w:cs="宋体"/>
          <w:color w:val="auto"/>
          <w:sz w:val="21"/>
          <w:szCs w:val="21"/>
          <w:highlight w:val="none"/>
          <w:lang w:val="en-US" w:eastAsia="zh-CN"/>
        </w:rPr>
        <w:t>2.1运维站点清单</w:t>
      </w:r>
      <w:bookmarkEnd w:id="1"/>
    </w:p>
    <w:p>
      <w:pPr>
        <w:jc w:val="center"/>
        <w:rPr>
          <w:rFonts w:hint="eastAsia" w:ascii="宋体" w:hAnsi="宋体" w:eastAsia="宋体" w:cs="宋体"/>
          <w:b/>
          <w:color w:val="auto"/>
          <w:sz w:val="21"/>
          <w:szCs w:val="21"/>
          <w:highlight w:val="none"/>
        </w:rPr>
      </w:pPr>
      <w:bookmarkStart w:id="2" w:name="_Toc256000180"/>
      <w:r>
        <w:rPr>
          <w:rFonts w:hint="eastAsia" w:ascii="宋体" w:hAnsi="宋体" w:eastAsia="宋体" w:cs="宋体"/>
          <w:b/>
          <w:color w:val="auto"/>
          <w:sz w:val="21"/>
          <w:szCs w:val="21"/>
          <w:highlight w:val="none"/>
          <w:lang w:val="en-US" w:eastAsia="zh-CN"/>
        </w:rPr>
        <w:t>禹州市22个六因子乡镇（街道）环境空气自动监测站</w:t>
      </w:r>
      <w:r>
        <w:rPr>
          <w:rFonts w:hint="eastAsia" w:ascii="宋体" w:hAnsi="宋体" w:eastAsia="宋体" w:cs="宋体"/>
          <w:b/>
          <w:color w:val="auto"/>
          <w:sz w:val="21"/>
          <w:szCs w:val="21"/>
          <w:highlight w:val="none"/>
        </w:rPr>
        <w:t>站点信息一览表</w:t>
      </w:r>
    </w:p>
    <w:tbl>
      <w:tblPr>
        <w:tblStyle w:val="30"/>
        <w:tblW w:w="48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874"/>
        <w:gridCol w:w="3925"/>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序号</w:t>
            </w:r>
          </w:p>
        </w:tc>
        <w:tc>
          <w:tcPr>
            <w:tcW w:w="1096"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snapToGrid w:val="0"/>
                <w:color w:val="auto"/>
                <w:kern w:val="0"/>
                <w:sz w:val="21"/>
                <w:szCs w:val="21"/>
                <w:highlight w:val="none"/>
                <w:u w:val="none"/>
                <w:lang w:val="en-US" w:eastAsia="zh-CN" w:bidi="ar"/>
              </w:rPr>
              <w:t xml:space="preserve">市（区、县） </w:t>
            </w:r>
          </w:p>
        </w:tc>
        <w:tc>
          <w:tcPr>
            <w:tcW w:w="2296"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站点名称</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Cs/>
                <w:color w:val="auto"/>
                <w:sz w:val="21"/>
                <w:szCs w:val="21"/>
                <w:highlight w:val="none"/>
                <w:shd w:val="clear" w:color="auto" w:fill="FFFFFF"/>
                <w:lang w:val="zh-CN" w:eastAsia="zh-CN"/>
              </w:rPr>
              <w:t>神垕镇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Cs/>
                <w:color w:val="auto"/>
                <w:sz w:val="21"/>
                <w:szCs w:val="21"/>
                <w:highlight w:val="none"/>
                <w:shd w:val="clear" w:color="auto" w:fill="FFFFFF"/>
                <w:lang w:val="zh-CN" w:eastAsia="zh-CN"/>
              </w:rPr>
              <w:t>鸿畅镇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Cs/>
                <w:color w:val="auto"/>
                <w:sz w:val="21"/>
                <w:szCs w:val="21"/>
                <w:highlight w:val="none"/>
                <w:shd w:val="clear" w:color="auto" w:fill="FFFFFF"/>
                <w:lang w:val="zh-CN" w:eastAsia="zh-CN"/>
              </w:rPr>
              <w:t>张得镇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Cs/>
                <w:color w:val="auto"/>
                <w:sz w:val="21"/>
                <w:szCs w:val="21"/>
                <w:highlight w:val="none"/>
                <w:shd w:val="clear" w:color="auto" w:fill="FFFFFF"/>
                <w:lang w:val="zh-CN" w:eastAsia="zh-CN"/>
              </w:rPr>
              <w:t>方岗镇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Cs/>
                <w:color w:val="auto"/>
                <w:sz w:val="21"/>
                <w:szCs w:val="21"/>
                <w:highlight w:val="none"/>
                <w:shd w:val="clear" w:color="auto" w:fill="FFFFFF"/>
                <w:lang w:val="zh-CN" w:eastAsia="zh-CN"/>
              </w:rPr>
              <w:t>梁北镇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Cs/>
                <w:color w:val="auto"/>
                <w:sz w:val="21"/>
                <w:szCs w:val="21"/>
                <w:highlight w:val="none"/>
                <w:shd w:val="clear" w:color="auto" w:fill="FFFFFF"/>
                <w:lang w:val="zh-CN" w:eastAsia="zh-CN"/>
              </w:rPr>
              <w:t>小吕镇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Cs/>
                <w:color w:val="auto"/>
                <w:sz w:val="21"/>
                <w:szCs w:val="21"/>
                <w:highlight w:val="none"/>
                <w:shd w:val="clear" w:color="auto" w:fill="FFFFFF"/>
                <w:lang w:val="zh-CN" w:eastAsia="zh-CN"/>
              </w:rPr>
              <w:t>范坡镇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Cs/>
                <w:color w:val="auto"/>
                <w:sz w:val="21"/>
                <w:szCs w:val="21"/>
                <w:highlight w:val="none"/>
                <w:shd w:val="clear" w:color="auto" w:fill="FFFFFF"/>
                <w:lang w:val="zh-CN" w:eastAsia="zh-CN"/>
              </w:rPr>
              <w:t>褚河街道办事处</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color w:val="auto"/>
                <w:kern w:val="2"/>
                <w:sz w:val="21"/>
                <w:szCs w:val="21"/>
                <w:highlight w:val="none"/>
                <w:shd w:val="clear" w:color="auto" w:fill="FFFFFF"/>
                <w:lang w:val="en-US" w:eastAsia="zh-CN" w:bidi="ar-SA"/>
              </w:rPr>
              <w:t>山货乡</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color w:val="auto"/>
                <w:kern w:val="2"/>
                <w:sz w:val="21"/>
                <w:szCs w:val="21"/>
                <w:highlight w:val="none"/>
                <w:shd w:val="clear" w:color="auto" w:fill="FFFFFF"/>
                <w:lang w:val="en-US" w:eastAsia="zh-CN" w:bidi="ar-SA"/>
              </w:rPr>
              <w:t>郭连镇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color w:val="auto"/>
                <w:kern w:val="2"/>
                <w:sz w:val="21"/>
                <w:szCs w:val="21"/>
                <w:highlight w:val="none"/>
                <w:shd w:val="clear" w:color="auto" w:fill="FFFFFF"/>
                <w:lang w:val="en-US" w:eastAsia="zh-CN" w:bidi="ar-SA"/>
              </w:rPr>
              <w:t>古城镇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color w:val="auto"/>
                <w:kern w:val="2"/>
                <w:sz w:val="21"/>
                <w:szCs w:val="21"/>
                <w:highlight w:val="none"/>
                <w:shd w:val="clear" w:color="auto" w:fill="FFFFFF"/>
                <w:lang w:val="en-US" w:eastAsia="zh-CN" w:bidi="ar-SA"/>
              </w:rPr>
              <w:t>朱阁镇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color w:val="auto"/>
                <w:kern w:val="2"/>
                <w:sz w:val="21"/>
                <w:szCs w:val="21"/>
                <w:highlight w:val="none"/>
                <w:shd w:val="clear" w:color="auto" w:fill="FFFFFF"/>
                <w:lang w:val="en-US" w:eastAsia="zh-CN" w:bidi="ar-SA"/>
              </w:rPr>
              <w:t>无梁镇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14</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FFFFFF"/>
                <w:lang w:val="en-US" w:eastAsia="zh-CN" w:bidi="ar-SA"/>
              </w:rPr>
            </w:pPr>
            <w:r>
              <w:rPr>
                <w:rFonts w:hint="eastAsia" w:ascii="宋体" w:hAnsi="宋体" w:eastAsia="宋体" w:cs="宋体"/>
                <w:b w:val="0"/>
                <w:bCs/>
                <w:color w:val="auto"/>
                <w:kern w:val="2"/>
                <w:sz w:val="21"/>
                <w:szCs w:val="21"/>
                <w:highlight w:val="none"/>
                <w:shd w:val="clear" w:color="auto" w:fill="FFFFFF"/>
                <w:lang w:val="en-US" w:eastAsia="zh-CN" w:bidi="ar-SA"/>
              </w:rPr>
              <w:t>浅井镇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FFFFFF"/>
                <w:lang w:val="en-US" w:eastAsia="zh-CN" w:bidi="ar-SA"/>
              </w:rPr>
            </w:pPr>
            <w:r>
              <w:rPr>
                <w:rFonts w:hint="eastAsia" w:ascii="宋体" w:hAnsi="宋体" w:eastAsia="宋体" w:cs="宋体"/>
                <w:b w:val="0"/>
                <w:bCs/>
                <w:color w:val="auto"/>
                <w:kern w:val="2"/>
                <w:sz w:val="21"/>
                <w:szCs w:val="21"/>
                <w:highlight w:val="none"/>
                <w:shd w:val="clear" w:color="auto" w:fill="FFFFFF"/>
                <w:lang w:val="en-US" w:eastAsia="zh-CN" w:bidi="ar-SA"/>
              </w:rPr>
              <w:t>苌庄镇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16</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FFFFFF"/>
                <w:lang w:val="en-US" w:eastAsia="zh-CN" w:bidi="ar-SA"/>
              </w:rPr>
            </w:pPr>
            <w:r>
              <w:rPr>
                <w:rFonts w:hint="eastAsia" w:ascii="宋体" w:hAnsi="宋体" w:eastAsia="宋体" w:cs="宋体"/>
                <w:b w:val="0"/>
                <w:bCs/>
                <w:color w:val="auto"/>
                <w:kern w:val="2"/>
                <w:sz w:val="21"/>
                <w:szCs w:val="21"/>
                <w:highlight w:val="none"/>
                <w:shd w:val="clear" w:color="auto" w:fill="FFFFFF"/>
                <w:lang w:val="en-US" w:eastAsia="zh-CN" w:bidi="ar-SA"/>
              </w:rPr>
              <w:t>火龙镇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17</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FFFFFF"/>
                <w:lang w:val="en-US" w:eastAsia="zh-CN" w:bidi="ar-SA"/>
              </w:rPr>
            </w:pPr>
            <w:r>
              <w:rPr>
                <w:rFonts w:hint="eastAsia" w:ascii="宋体" w:hAnsi="宋体" w:eastAsia="宋体" w:cs="宋体"/>
                <w:b w:val="0"/>
                <w:bCs/>
                <w:color w:val="auto"/>
                <w:kern w:val="2"/>
                <w:sz w:val="21"/>
                <w:szCs w:val="21"/>
                <w:highlight w:val="none"/>
                <w:shd w:val="clear" w:color="auto" w:fill="FFFFFF"/>
                <w:lang w:val="en-US" w:eastAsia="zh-CN" w:bidi="ar-SA"/>
              </w:rPr>
              <w:t>顺店镇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18</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FFFFFF"/>
                <w:lang w:val="en-US" w:eastAsia="zh-CN" w:bidi="ar-SA"/>
              </w:rPr>
            </w:pPr>
            <w:r>
              <w:rPr>
                <w:rFonts w:hint="eastAsia" w:ascii="宋体" w:hAnsi="宋体" w:eastAsia="宋体" w:cs="宋体"/>
                <w:b w:val="0"/>
                <w:bCs/>
                <w:color w:val="auto"/>
                <w:kern w:val="2"/>
                <w:sz w:val="21"/>
                <w:szCs w:val="21"/>
                <w:highlight w:val="none"/>
                <w:shd w:val="clear" w:color="auto" w:fill="FFFFFF"/>
                <w:lang w:val="en-US" w:eastAsia="zh-CN" w:bidi="ar-SA"/>
              </w:rPr>
              <w:t>花石镇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19</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FFFFFF"/>
                <w:lang w:val="en-US" w:eastAsia="zh-CN" w:bidi="ar-SA"/>
              </w:rPr>
            </w:pPr>
            <w:r>
              <w:rPr>
                <w:rFonts w:hint="eastAsia" w:ascii="宋体" w:hAnsi="宋体" w:eastAsia="宋体" w:cs="宋体"/>
                <w:b w:val="0"/>
                <w:bCs/>
                <w:color w:val="auto"/>
                <w:kern w:val="2"/>
                <w:sz w:val="21"/>
                <w:szCs w:val="21"/>
                <w:highlight w:val="none"/>
                <w:shd w:val="clear" w:color="auto" w:fill="FFFFFF"/>
                <w:lang w:val="en-US" w:eastAsia="zh-CN" w:bidi="ar-SA"/>
              </w:rPr>
              <w:t>文殊镇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FFFFFF"/>
                <w:lang w:val="en-US" w:eastAsia="zh-CN" w:bidi="ar-SA"/>
              </w:rPr>
            </w:pPr>
            <w:r>
              <w:rPr>
                <w:rFonts w:hint="eastAsia" w:ascii="宋体" w:hAnsi="宋体" w:eastAsia="宋体" w:cs="宋体"/>
                <w:b w:val="0"/>
                <w:bCs/>
                <w:color w:val="auto"/>
                <w:kern w:val="2"/>
                <w:sz w:val="21"/>
                <w:szCs w:val="21"/>
                <w:highlight w:val="none"/>
                <w:shd w:val="clear" w:color="auto" w:fill="FFFFFF"/>
                <w:lang w:val="en-US" w:eastAsia="zh-CN" w:bidi="ar-SA"/>
              </w:rPr>
              <w:t>方山镇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21</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FFFFFF"/>
                <w:lang w:val="en-US" w:eastAsia="zh-CN" w:bidi="ar-SA"/>
              </w:rPr>
            </w:pPr>
            <w:r>
              <w:rPr>
                <w:rFonts w:hint="eastAsia" w:ascii="宋体" w:hAnsi="宋体" w:eastAsia="宋体" w:cs="宋体"/>
                <w:b w:val="0"/>
                <w:bCs/>
                <w:color w:val="auto"/>
                <w:kern w:val="2"/>
                <w:sz w:val="21"/>
                <w:szCs w:val="21"/>
                <w:highlight w:val="none"/>
                <w:shd w:val="clear" w:color="auto" w:fill="FFFFFF"/>
                <w:lang w:val="en-US" w:eastAsia="zh-CN" w:bidi="ar-SA"/>
              </w:rPr>
              <w:t>鸠山镇</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4"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22</w:t>
            </w:r>
          </w:p>
        </w:tc>
        <w:tc>
          <w:tcPr>
            <w:tcW w:w="10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禹州市</w:t>
            </w:r>
          </w:p>
        </w:tc>
        <w:tc>
          <w:tcPr>
            <w:tcW w:w="2296" w:type="pc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shd w:val="clear" w:color="auto" w:fill="FFFFFF"/>
                <w:lang w:val="en-US" w:eastAsia="zh-CN" w:bidi="ar-SA"/>
              </w:rPr>
            </w:pPr>
            <w:r>
              <w:rPr>
                <w:rFonts w:hint="eastAsia" w:ascii="宋体" w:hAnsi="宋体" w:eastAsia="宋体" w:cs="宋体"/>
                <w:b w:val="0"/>
                <w:bCs/>
                <w:color w:val="auto"/>
                <w:kern w:val="2"/>
                <w:sz w:val="21"/>
                <w:szCs w:val="21"/>
                <w:highlight w:val="none"/>
                <w:shd w:val="clear" w:color="auto" w:fill="FFFFFF"/>
                <w:lang w:val="en-US" w:eastAsia="zh-CN" w:bidi="ar-SA"/>
              </w:rPr>
              <w:t>磨街乡</w:t>
            </w:r>
          </w:p>
        </w:tc>
        <w:tc>
          <w:tcPr>
            <w:tcW w:w="1082"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常规六参数</w:t>
            </w:r>
          </w:p>
        </w:tc>
      </w:tr>
    </w:tbl>
    <w:p>
      <w:pPr>
        <w:bidi w:val="0"/>
        <w:rPr>
          <w:rFonts w:hint="eastAsia" w:ascii="宋体" w:hAnsi="宋体" w:eastAsia="宋体" w:cs="宋体"/>
          <w:color w:val="auto"/>
          <w:sz w:val="21"/>
          <w:szCs w:val="21"/>
          <w:highlight w:val="none"/>
          <w:lang w:val="en-US" w:eastAsia="zh-CN"/>
        </w:rPr>
      </w:pPr>
    </w:p>
    <w:p>
      <w:pPr>
        <w:pStyle w:val="91"/>
        <w:ind w:firstLine="422" w:firstLineChars="200"/>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2.2监测设备情况</w:t>
      </w:r>
      <w:bookmarkEnd w:id="2"/>
    </w:p>
    <w:p>
      <w:pPr>
        <w:pStyle w:val="93"/>
        <w:snapToGrid w:val="0"/>
        <w:spacing w:line="400" w:lineRule="exact"/>
        <w:ind w:firstLine="420" w:firstLineChars="200"/>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各站点的设备主要包括监测仪器、质控设备、气象仪器、数据采集与传输设备和辅助设备设施五部分。其中，监测仪器主要包括PM10、PM2.5、SO2、NO2（NOX、NO）、CO、O3监测设备；质控设备主要包括零气发生器和动态校准仪；气象仪器主要包括风速、风向、温度、湿度、气压等气象五参数监测仪器；数据采集与传输设备主要包括采样系统和传输系统等；辅助设备设施主要包括钢瓶气、UPS、制冷系统、供电系统、防雷系统、视频监控系统、子站站房、安防设施等。</w:t>
      </w:r>
    </w:p>
    <w:p>
      <w:pPr>
        <w:pStyle w:val="99"/>
        <w:ind w:firstLine="478" w:firstLineChars="200"/>
        <w:jc w:val="left"/>
        <w:outlineLvl w:val="1"/>
        <w:rPr>
          <w:rFonts w:hint="eastAsia" w:ascii="宋体" w:hAnsi="宋体" w:eastAsia="宋体" w:cs="宋体"/>
          <w:b/>
          <w:bCs/>
          <w:color w:val="auto"/>
          <w:spacing w:val="14"/>
          <w:kern w:val="0"/>
          <w:sz w:val="21"/>
          <w:szCs w:val="21"/>
          <w:highlight w:val="none"/>
        </w:rPr>
      </w:pPr>
      <w:r>
        <w:rPr>
          <w:rFonts w:hint="eastAsia" w:ascii="宋体" w:hAnsi="宋体" w:eastAsia="宋体" w:cs="宋体"/>
          <w:b/>
          <w:bCs/>
          <w:color w:val="auto"/>
          <w:spacing w:val="14"/>
          <w:kern w:val="0"/>
          <w:sz w:val="21"/>
          <w:szCs w:val="21"/>
          <w:highlight w:val="none"/>
        </w:rPr>
        <w:t>2.3监测项目</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各站点均监测SO2、NO2（NOX、NO）、CO、O3、PM10、PM2.5六项指标和气象五参数（包括风速、风向、温度、湿度、气压）。</w:t>
      </w:r>
    </w:p>
    <w:p>
      <w:pPr>
        <w:pStyle w:val="99"/>
        <w:ind w:firstLine="478" w:firstLineChars="200"/>
        <w:jc w:val="left"/>
        <w:outlineLvl w:val="1"/>
        <w:rPr>
          <w:rFonts w:hint="eastAsia" w:ascii="宋体" w:hAnsi="宋体" w:eastAsia="宋体" w:cs="宋体"/>
          <w:b/>
          <w:bCs/>
          <w:color w:val="auto"/>
          <w:spacing w:val="14"/>
          <w:kern w:val="0"/>
          <w:sz w:val="21"/>
          <w:szCs w:val="21"/>
          <w:highlight w:val="none"/>
        </w:rPr>
      </w:pPr>
      <w:r>
        <w:rPr>
          <w:rFonts w:hint="eastAsia" w:ascii="宋体" w:hAnsi="宋体" w:eastAsia="宋体" w:cs="宋体"/>
          <w:b/>
          <w:bCs/>
          <w:color w:val="auto"/>
          <w:spacing w:val="14"/>
          <w:kern w:val="0"/>
          <w:sz w:val="21"/>
          <w:szCs w:val="21"/>
          <w:highlight w:val="none"/>
        </w:rPr>
        <w:t>2.4监测频次及数据传输</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各站点监测工作方式为24小时不间断连续自动监测，通过网络实时上传监测数据，上传数据包括空气站各监测设备的实时监测分钟值、小时值等，各监测项目监测频次参照《环境空气质量标准》（GB3095-2012）中数据统计的有效性规定执行。</w:t>
      </w:r>
    </w:p>
    <w:p>
      <w:pPr>
        <w:pStyle w:val="99"/>
        <w:ind w:firstLine="478" w:firstLineChars="200"/>
        <w:jc w:val="left"/>
        <w:outlineLvl w:val="0"/>
        <w:rPr>
          <w:rFonts w:hint="eastAsia" w:ascii="宋体" w:hAnsi="宋体" w:eastAsia="宋体" w:cs="宋体"/>
          <w:b/>
          <w:bCs/>
          <w:color w:val="auto"/>
          <w:spacing w:val="14"/>
          <w:kern w:val="0"/>
          <w:sz w:val="21"/>
          <w:szCs w:val="21"/>
          <w:highlight w:val="none"/>
        </w:rPr>
      </w:pPr>
      <w:r>
        <w:rPr>
          <w:rFonts w:hint="eastAsia" w:ascii="宋体" w:hAnsi="宋体" w:eastAsia="宋体" w:cs="宋体"/>
          <w:b/>
          <w:bCs/>
          <w:color w:val="auto"/>
          <w:spacing w:val="14"/>
          <w:kern w:val="0"/>
          <w:sz w:val="21"/>
          <w:szCs w:val="21"/>
          <w:highlight w:val="none"/>
        </w:rPr>
        <w:t>3.空气自动站运维内容及要求</w:t>
      </w:r>
    </w:p>
    <w:p>
      <w:pPr>
        <w:pStyle w:val="99"/>
        <w:ind w:firstLine="478" w:firstLineChars="200"/>
        <w:jc w:val="left"/>
        <w:outlineLvl w:val="1"/>
        <w:rPr>
          <w:rFonts w:hint="eastAsia" w:ascii="宋体" w:hAnsi="宋体" w:eastAsia="宋体" w:cs="宋体"/>
          <w:b/>
          <w:bCs/>
          <w:color w:val="auto"/>
          <w:spacing w:val="14"/>
          <w:kern w:val="0"/>
          <w:sz w:val="21"/>
          <w:szCs w:val="21"/>
          <w:highlight w:val="none"/>
        </w:rPr>
      </w:pPr>
      <w:r>
        <w:rPr>
          <w:rFonts w:hint="eastAsia" w:ascii="宋体" w:hAnsi="宋体" w:eastAsia="宋体" w:cs="宋体"/>
          <w:b/>
          <w:bCs/>
          <w:color w:val="auto"/>
          <w:spacing w:val="14"/>
          <w:kern w:val="0"/>
          <w:sz w:val="21"/>
          <w:szCs w:val="21"/>
          <w:highlight w:val="none"/>
        </w:rPr>
        <w:t>3.1运维保障要求</w:t>
      </w:r>
    </w:p>
    <w:p>
      <w:pPr>
        <w:pStyle w:val="93"/>
        <w:numPr>
          <w:ilvl w:val="0"/>
          <w:numId w:val="7"/>
        </w:numPr>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空气站正常运行所产生的日常维护费（包括但不限于以下内容：耗材费、更换配件费、仪器鉴定费网络通讯费、电费、站房维修维护费、防雷设施及防雷报告费、站房内电力维修费、围栏内及站房卫生保洁及巡检记录等）全部由供应商承担，并包含在本项目投标报价中。</w:t>
      </w:r>
    </w:p>
    <w:p>
      <w:pPr>
        <w:pStyle w:val="93"/>
        <w:numPr>
          <w:ilvl w:val="0"/>
          <w:numId w:val="7"/>
        </w:numPr>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供应商应保证配备至少4名专职专业技术人员，从事空气站运维工作。</w:t>
      </w:r>
    </w:p>
    <w:p>
      <w:pPr>
        <w:pStyle w:val="93"/>
        <w:numPr>
          <w:ilvl w:val="0"/>
          <w:numId w:val="7"/>
        </w:numPr>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供应商必须提供至少3辆车辆专门从事空气站运维工作，以满足运维时效性要求，运维车辆须为自有车辆。</w:t>
      </w:r>
    </w:p>
    <w:p>
      <w:pPr>
        <w:tabs>
          <w:tab w:val="left" w:pos="7095"/>
        </w:tabs>
        <w:spacing w:line="360" w:lineRule="auto"/>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sz w:val="21"/>
          <w:szCs w:val="21"/>
          <w:highlight w:val="none"/>
        </w:rPr>
        <w:t>（4）</w:t>
      </w:r>
      <w:r>
        <w:rPr>
          <w:rFonts w:hint="eastAsia" w:ascii="宋体" w:hAnsi="宋体" w:eastAsia="宋体" w:cs="宋体"/>
          <w:color w:val="auto"/>
          <w:kern w:val="0"/>
          <w:sz w:val="21"/>
          <w:szCs w:val="21"/>
          <w:highlight w:val="none"/>
          <w:lang w:val="en-US" w:eastAsia="zh-CN" w:bidi="en-US"/>
        </w:rPr>
        <w:t>供应商负责运维人员的人身安全，在运维开展过程中出现的安全问题由供应商负责，采购人不予负责，无责任联带关系。</w:t>
      </w:r>
    </w:p>
    <w:p>
      <w:pPr>
        <w:tabs>
          <w:tab w:val="left" w:pos="7095"/>
        </w:tabs>
        <w:spacing w:line="360" w:lineRule="auto"/>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（5）在运维期间内，空气自动站所有财产安全均由供应商负责，丢失，损坏照价赔偿，并承担相应责任。</w:t>
      </w:r>
    </w:p>
    <w:p>
      <w:pPr>
        <w:tabs>
          <w:tab w:val="left" w:pos="7095"/>
        </w:tabs>
        <w:spacing w:line="360" w:lineRule="auto"/>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6）备品备件库建设。按照要求，供应商应在成交后一个月内建立空气自动站所涉及的耗材及备件库，保证货物是全新、未使用过的，并完全符合合同规定的质量、规格和性能的要求；耗材按照至少半年消耗量配置，备件按照至少半年使用量配置。建库后每季度根据使用情况购置耗材。用于更换的耗材必须在质保期内，若出现质量问题由供应商免费更换。</w:t>
      </w:r>
    </w:p>
    <w:p>
      <w:pPr>
        <w:pStyle w:val="99"/>
        <w:ind w:firstLine="478" w:firstLineChars="200"/>
        <w:jc w:val="left"/>
        <w:outlineLvl w:val="1"/>
        <w:rPr>
          <w:rFonts w:hint="eastAsia" w:ascii="宋体" w:hAnsi="宋体" w:eastAsia="宋体" w:cs="宋体"/>
          <w:b/>
          <w:bCs/>
          <w:color w:val="auto"/>
          <w:spacing w:val="14"/>
          <w:kern w:val="0"/>
          <w:sz w:val="21"/>
          <w:szCs w:val="21"/>
          <w:highlight w:val="none"/>
        </w:rPr>
      </w:pPr>
      <w:r>
        <w:rPr>
          <w:rFonts w:hint="eastAsia" w:ascii="宋体" w:hAnsi="宋体" w:eastAsia="宋体" w:cs="宋体"/>
          <w:b/>
          <w:bCs/>
          <w:color w:val="auto"/>
          <w:spacing w:val="14"/>
          <w:kern w:val="0"/>
          <w:sz w:val="21"/>
          <w:szCs w:val="21"/>
          <w:highlight w:val="none"/>
        </w:rPr>
        <w:t>3.2 运维工作目标</w:t>
      </w:r>
    </w:p>
    <w:p>
      <w:pPr>
        <w:pStyle w:val="100"/>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供应商</w:t>
      </w:r>
      <w:r>
        <w:rPr>
          <w:rFonts w:hint="eastAsia" w:ascii="宋体" w:hAnsi="宋体" w:eastAsia="宋体" w:cs="宋体"/>
          <w:color w:val="auto"/>
          <w:kern w:val="0"/>
          <w:sz w:val="21"/>
          <w:szCs w:val="21"/>
          <w:highlight w:val="none"/>
          <w:lang w:val="en-US" w:eastAsia="zh-CN" w:bidi="en-US"/>
        </w:rPr>
        <w:t>必须建立完善的的运行维护工作规范与质量管理体系，确保提供及时、准确、有效的监测数据，空气自动站的运行质量应达到以下指标：</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（1）所获取的有效监测数据必须满足《环境空气质量标准》（GB 3095-2012）中规定的污染物浓度数据有效性最低要求。</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（2）空气自动站正常运行率达到90%（以小时值计）及以上。</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（3）空气自动站数据有效率达到90%以上（以小时值计）及以上。</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（4）运维任务完成率100%。</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（5）异常情况处理率达到100%。</w:t>
      </w:r>
    </w:p>
    <w:p>
      <w:pPr>
        <w:pStyle w:val="99"/>
        <w:ind w:firstLine="478" w:firstLineChars="200"/>
        <w:jc w:val="left"/>
        <w:outlineLvl w:val="1"/>
        <w:rPr>
          <w:rFonts w:hint="eastAsia" w:ascii="宋体" w:hAnsi="宋体" w:eastAsia="宋体" w:cs="宋体"/>
          <w:b/>
          <w:bCs/>
          <w:color w:val="auto"/>
          <w:spacing w:val="14"/>
          <w:kern w:val="0"/>
          <w:sz w:val="21"/>
          <w:szCs w:val="21"/>
          <w:highlight w:val="none"/>
        </w:rPr>
      </w:pPr>
      <w:r>
        <w:rPr>
          <w:rFonts w:hint="eastAsia" w:ascii="宋体" w:hAnsi="宋体" w:eastAsia="宋体" w:cs="宋体"/>
          <w:b/>
          <w:bCs/>
          <w:color w:val="auto"/>
          <w:spacing w:val="14"/>
          <w:kern w:val="0"/>
          <w:sz w:val="21"/>
          <w:szCs w:val="21"/>
          <w:highlight w:val="none"/>
        </w:rPr>
        <w:t>3.3 运维工作内容</w:t>
      </w:r>
      <w:r>
        <w:rPr>
          <w:rFonts w:hint="eastAsia" w:ascii="宋体" w:hAnsi="宋体" w:eastAsia="宋体" w:cs="宋体"/>
          <w:b/>
          <w:bCs/>
          <w:color w:val="auto"/>
          <w:spacing w:val="14"/>
          <w:kern w:val="0"/>
          <w:sz w:val="21"/>
          <w:szCs w:val="21"/>
          <w:highlight w:val="none"/>
          <w:lang w:eastAsia="zh-CN"/>
        </w:rPr>
        <w:t>。</w:t>
      </w:r>
      <w:r>
        <w:rPr>
          <w:rFonts w:hint="eastAsia" w:ascii="宋体" w:hAnsi="宋体" w:eastAsia="宋体" w:cs="宋体"/>
          <w:b/>
          <w:bCs/>
          <w:color w:val="auto"/>
          <w:spacing w:val="14"/>
          <w:kern w:val="0"/>
          <w:sz w:val="21"/>
          <w:szCs w:val="21"/>
          <w:highlight w:val="none"/>
        </w:rPr>
        <w:t>运维过程中主要完成以下工作：</w:t>
      </w:r>
    </w:p>
    <w:p>
      <w:pPr>
        <w:pStyle w:val="93"/>
        <w:numPr>
          <w:ilvl w:val="0"/>
          <w:numId w:val="8"/>
        </w:numPr>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空气站的日常运行维护、日常质量管理。</w:t>
      </w:r>
    </w:p>
    <w:p>
      <w:pPr>
        <w:pStyle w:val="93"/>
        <w:numPr>
          <w:ilvl w:val="0"/>
          <w:numId w:val="8"/>
        </w:numPr>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空气站的设备维护保养及维修，以及相关辅助设备设施的维护保养和维修。</w:t>
      </w:r>
    </w:p>
    <w:p>
      <w:pPr>
        <w:pStyle w:val="93"/>
        <w:numPr>
          <w:ilvl w:val="0"/>
          <w:numId w:val="8"/>
        </w:numPr>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空气站数据采集及传输系统的维护及维修，保障空气站与省、市通讯正常。</w:t>
      </w:r>
    </w:p>
    <w:p>
      <w:pPr>
        <w:pStyle w:val="93"/>
        <w:numPr>
          <w:ilvl w:val="0"/>
          <w:numId w:val="8"/>
        </w:numPr>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当仪器故障或损坏且现场不能及时修复时，应在48小时之内使用备机开展监测，并同时报告采购人。对于仪器使用超过6-8年以后出现报废，或者因自然灾害等不可抗力导致的仪器报废，供应商须先行及时使用备机开展监测，并及时维修同时报告采购人；采购人视情况决定重新购置监测仪器，或者继续使用备机，继续使用备机的，采购人将支付相关费用。</w:t>
      </w:r>
    </w:p>
    <w:p>
      <w:pPr>
        <w:tabs>
          <w:tab w:val="left" w:pos="7095"/>
        </w:tabs>
        <w:spacing w:line="360" w:lineRule="auto"/>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（5）空气自动站的系统质量管理；</w:t>
      </w:r>
    </w:p>
    <w:p>
      <w:pPr>
        <w:tabs>
          <w:tab w:val="left" w:pos="7095"/>
        </w:tabs>
        <w:spacing w:line="360" w:lineRule="auto"/>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（6）空气自动站相关辅助设备的维护、保养、维修；</w:t>
      </w:r>
    </w:p>
    <w:p>
      <w:pPr>
        <w:tabs>
          <w:tab w:val="left" w:pos="7095"/>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en-US"/>
        </w:rPr>
        <w:t>（7）空气自动站运维期间耗材、更换配件等由供应商承担。</w:t>
      </w:r>
    </w:p>
    <w:p>
      <w:pPr>
        <w:pStyle w:val="99"/>
        <w:ind w:firstLine="478" w:firstLineChars="200"/>
        <w:jc w:val="left"/>
        <w:outlineLvl w:val="1"/>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b/>
          <w:bCs/>
          <w:color w:val="auto"/>
          <w:spacing w:val="14"/>
          <w:kern w:val="0"/>
          <w:sz w:val="21"/>
          <w:szCs w:val="21"/>
          <w:highlight w:val="none"/>
        </w:rPr>
        <w:t>3.4运维工作要求</w:t>
      </w:r>
      <w:r>
        <w:rPr>
          <w:rFonts w:hint="eastAsia" w:ascii="宋体" w:hAnsi="宋体" w:eastAsia="宋体" w:cs="宋体"/>
          <w:b/>
          <w:bCs/>
          <w:color w:val="auto"/>
          <w:spacing w:val="14"/>
          <w:kern w:val="0"/>
          <w:sz w:val="21"/>
          <w:szCs w:val="21"/>
          <w:highlight w:val="none"/>
          <w:lang w:eastAsia="zh-CN"/>
        </w:rPr>
        <w:t>。</w:t>
      </w:r>
      <w:r>
        <w:rPr>
          <w:rFonts w:hint="eastAsia" w:ascii="宋体" w:hAnsi="宋体" w:eastAsia="宋体" w:cs="宋体"/>
          <w:color w:val="auto"/>
          <w:kern w:val="0"/>
          <w:sz w:val="21"/>
          <w:szCs w:val="21"/>
          <w:highlight w:val="none"/>
          <w:lang w:val="en-US" w:eastAsia="zh-CN" w:bidi="en-US"/>
        </w:rPr>
        <w:t>供应商运维人员应遵守国家关于空气站的相关技术规范、省生态环境厅和采购人关于环境空气质量监测站管理的各项规定，如运维期间出台新的相关规范或规定，则运维工作按最新规定执行。</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3.4.1 一般要求</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（1）保持站房内部环境清洁，布置整齐，各仪器设备干净清洁，设备标识清楚。</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（2）保持站房外20m以内的环境清洁。</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（3）检查供电、通讯的情况，保证系统的正常运行。</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 xml:space="preserve">（4）保证空调正常工作，仪器运行温度保持在25℃左右，站房内温度日波动范围小于3℃，相对湿度保持在80%RH以下。  </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（5）指派专人维护，设备固定牢固，门窗关闭良好，人走关门，非工作人员未经许可不得入内。</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（6）定期检查消防和安全设施。</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（7）每次维护后做好系统运行维护记录。</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（8）进行维护时，应规范操作，注意安全，防止意外发生。</w:t>
      </w:r>
    </w:p>
    <w:p>
      <w:pPr>
        <w:pStyle w:val="93"/>
        <w:snapToGrid w:val="0"/>
        <w:spacing w:line="400" w:lineRule="exact"/>
        <w:ind w:firstLine="420" w:firstLineChars="200"/>
        <w:outlineLvl w:val="3"/>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3.4.2 每日工作</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至少每天上午和下午两次远程查看自动站数据，分析监测数据，对站点运行情况进行远程诊断和运行管理，内容包括：</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（1）判断系统数据采集与传输情况；</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（2）根据电源电压、站房温度、湿度数据判断站房内部情况；</w:t>
      </w:r>
    </w:p>
    <w:p>
      <w:pPr>
        <w:tabs>
          <w:tab w:val="left" w:pos="7095"/>
        </w:tabs>
        <w:spacing w:line="360" w:lineRule="auto"/>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发现运行数据有持续异常值时，应立即通知采购人，每日6时～23时出现故障，应在2小时内到达现场解决（通信线路、电力线路故障除外，但应及时与相关部门联系积极解决）；24时～5时出现的故障应能在4小时内解决到位；若仪器故障无法排除，供应商必须在48小时内提供并更换相应的备机，保证空气自动站正常运行；</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（4）根据仪器数据分析判断仪器运行情况；</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（5）根据故障报警信号判断现场状况；</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（6）每日检查数据是否及时上传至上级监测平台。</w:t>
      </w:r>
    </w:p>
    <w:p>
      <w:pPr>
        <w:pStyle w:val="93"/>
        <w:snapToGrid w:val="0"/>
        <w:spacing w:line="400" w:lineRule="exact"/>
        <w:ind w:firstLine="420" w:firstLineChars="200"/>
        <w:outlineLvl w:val="3"/>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3.4.3 每周工作</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每周至少巡视空气站1次，并做好巡检记录，巡检时需要完成的工作包括：</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（1）查看空气站设备是否齐备，有无丢失和损坏；排风排气装置工作是否正常，标准气钢瓶阀门是否漏气，标准气的消耗情况。</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（2）检查采样和排气管路是否有漏气或堵塞现象，各分析仪器采样流量是否正常。检查各仪器的运行状况，保证系统运行顺畅。</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（3）检查外部环境是否正常，有没有对测定结果或运行环境存在明显影响的污染源。</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（4）检查电路系统，保证系统供电正常，电压稳定。</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（5）检查空气站的通讯系统，保证空气站与省、市平台的连接正常，数据传输正常；确保无远程控制软件。</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（6）检查监测仪器的采样入口与采样支路管线结合部之间安装的过滤膜的污染情况，至少每2周更换滤膜；每周检查监测仪器散热风扇污染情况，及时清洗。</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（7）在冬、夏季节应注意空气站房室内外温差，若温差较大，应及时改变站房温度或对采样总管采取适当的控制措施，防止冷凝现象。</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（8）应及时清除空气站房周围的杂草和积水，当周围树木生长超过规范规定的控制限时，应及时剪除对采样有影响的树枝。</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（9）应经常检查避雷设施是否可靠，空气站房屋是否有漏雨现象，气象杆和天线是否被刮坏，站房外围的其它设施是否有损坏或被水淹，如遇到以上问题应及时处理，保证系统能安全运行。</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（10）检查站房的安全设施，做好防火防盗工作。</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（11）每周对气象仪器的运行情况进行检查。</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（12）每周对气态污染物（NOX、SO2、CO、O3）仪器进行零/跨漂检查，如果漂移超过国家相关规范要求，需要进行校准或维修；按照仪器说明书要求，对零气发生器进行维护。</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（13）每周对颗粒物仪器至少进行1次流量检查，流量误差超过±5%时应进行校准。</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（14）检查PM10和PM2.5监测仪动态加热装置及采样总管加热装置是否正常工作；每周检查颗粒物的采样纸带或滤膜进行检查，如纸带即将用尽或滤膜负载超过规定要求，及时进行更换。</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（15）对仪器显示数据、时间与数据采集仪之间的一致性进行检查和校准。</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（16）每周对站房内外环境卫生进行检查，及时保洁。</w:t>
      </w:r>
    </w:p>
    <w:p>
      <w:pPr>
        <w:pStyle w:val="93"/>
        <w:snapToGrid w:val="0"/>
        <w:spacing w:line="400" w:lineRule="exact"/>
        <w:ind w:firstLine="420" w:firstLineChars="200"/>
        <w:outlineLvl w:val="3"/>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3.4.4 每月工作</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（1）清洗PM10及PM2.5切割器，检查β法颗粒物分析仪仪器喷嘴、压环等部件；选用专用或合适的工具进行清洁，避免对采样系统产生影响。清洗PM2.5 旋风切割器时应完全拆开；采样头用洁净水或无水乙醇清洗，完全晾干或热风机吹干后重新组装，组装时同时检查密封圈的密封情况。</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（2）检查PM10及PM2.5监测仪、气态分析仪、动态校准仪流量，如果超过国家相关规范要求，需要进行校准，检查仪器是否泄漏。</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（3）每月对数据进行备份。</w:t>
      </w:r>
    </w:p>
    <w:p>
      <w:pPr>
        <w:pStyle w:val="93"/>
        <w:snapToGrid w:val="0"/>
        <w:spacing w:line="400" w:lineRule="exact"/>
        <w:ind w:firstLine="420" w:firstLineChars="200"/>
        <w:outlineLvl w:val="3"/>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3.4.5 每季度工作</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（1）采样总管及采样风机每季度至少清洗1次，选用专用或合适的工具进行清洁，避免对采样系统产生影响。</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（2）采用臭氧传递标准对空气站点位臭氧工作标准进行传递。</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（3）对PM10与PM2.5仪器进行标准膜检查或K0值检查，标准膜误差超过±2%、 K0值超过国家规范或说明书规定的限值时应进行校准或维修。</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（4）校准和检查PM10及PM2.5分析仪的温度、气压和时钟；用标准气压计、温度计、湿度计、手持式风速风向仪，校准相关的自动仪器。</w:t>
      </w:r>
    </w:p>
    <w:p>
      <w:pPr>
        <w:pStyle w:val="93"/>
        <w:snapToGrid w:val="0"/>
        <w:spacing w:line="400" w:lineRule="exact"/>
        <w:ind w:firstLine="420" w:firstLineChars="200"/>
        <w:outlineLvl w:val="3"/>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3.4.6 每半年工作</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（1）对气态污染物监测仪进行多点校准，绘制校准曲线，检验相关系数、斜率和截距。</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（2）更换零气源净化剂和氧化剂，对零气性能进行检查。</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（3）对氮氧化物分析仪钼炉转化率进行检查。</w:t>
      </w:r>
    </w:p>
    <w:p>
      <w:pPr>
        <w:pStyle w:val="93"/>
        <w:snapToGrid w:val="0"/>
        <w:spacing w:line="400" w:lineRule="exact"/>
        <w:ind w:firstLine="420" w:firstLineChars="200"/>
        <w:outlineLvl w:val="3"/>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3.4.7 每年工作</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（1）对所有的仪器进行预防性维护，按说明书的要求更换备件。</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（2）按照仪器说明书对动态校准仪流量进行多点检查。</w:t>
      </w:r>
    </w:p>
    <w:p>
      <w:pPr>
        <w:pStyle w:val="93"/>
        <w:snapToGrid w:val="0"/>
        <w:spacing w:line="400" w:lineRule="exact"/>
        <w:ind w:firstLine="420" w:firstLineChars="200"/>
        <w:outlineLvl w:val="3"/>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3.4.8日常运行维护记录</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应建立空气站维护档案，将空气站的运行过程和运行事件进行详细记录，并进行归档管理。日常运维中使用运行管理相关记录至少应包括：</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（1）空气站运行维护记录表；</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（2）颗粒物监测仪校准检查记录；</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（3）气态污染物监测仪校准检查记录；</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（4）空气自动监测系统仪器设备维修记录表；</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（5）空气自动监测系统备品备件管理记录表；</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（6）空气站主要消耗材料使用登记表；</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（7）多点线性校准表格；</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（8）空气站室内外环境记录；</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（9）标准物质使用记录；</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（10）空气自动监测系统仪器资料保管清单。</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3.4.9其他要求</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（1）每周更换的气态污染物用滤膜必须为聚四氟乙烯材质；</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（2）严禁擅自改变采样管路连接方式和更改仪器参数设置。否则，采购方有权终止合同。</w:t>
      </w:r>
    </w:p>
    <w:p>
      <w:pPr>
        <w:pStyle w:val="93"/>
        <w:snapToGrid w:val="0"/>
        <w:spacing w:line="400" w:lineRule="exact"/>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（3）应及时制定每周和每月工作计划，工作计划为采购人核查乙方的重要工作内容。乙方严格按计划执行，若有变更应及时通知采购人。</w:t>
      </w:r>
    </w:p>
    <w:p>
      <w:pPr>
        <w:tabs>
          <w:tab w:val="left" w:pos="7095"/>
        </w:tabs>
        <w:spacing w:line="360" w:lineRule="auto"/>
        <w:ind w:firstLine="478" w:firstLineChars="200"/>
        <w:rPr>
          <w:rFonts w:hint="eastAsia" w:ascii="宋体" w:hAnsi="宋体" w:eastAsia="宋体" w:cs="宋体"/>
          <w:b/>
          <w:bCs/>
          <w:color w:val="auto"/>
          <w:spacing w:val="14"/>
          <w:kern w:val="0"/>
          <w:sz w:val="21"/>
          <w:szCs w:val="21"/>
          <w:highlight w:val="none"/>
          <w:lang w:val="en-US" w:eastAsia="zh-CN" w:bidi="ar-SA"/>
        </w:rPr>
      </w:pPr>
      <w:r>
        <w:rPr>
          <w:rFonts w:hint="eastAsia" w:ascii="宋体" w:hAnsi="宋体" w:eastAsia="宋体" w:cs="宋体"/>
          <w:b/>
          <w:bCs/>
          <w:color w:val="auto"/>
          <w:spacing w:val="14"/>
          <w:kern w:val="0"/>
          <w:sz w:val="21"/>
          <w:szCs w:val="21"/>
          <w:highlight w:val="none"/>
          <w:lang w:val="en-US" w:eastAsia="zh-CN" w:bidi="ar-SA"/>
        </w:rPr>
        <w:t>3.5、系统设备维修要求</w:t>
      </w:r>
    </w:p>
    <w:p>
      <w:pPr>
        <w:tabs>
          <w:tab w:val="left" w:pos="7095"/>
        </w:tabs>
        <w:spacing w:line="360" w:lineRule="auto"/>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1）运行维修工作界定。供货商负责系统所有设备和仪器的维护、维修和部件更换（包括空调设备等附属设施），并将维修费用计算在运维报价中；本服务内容同样包括由于外部原因意外丢失和损坏设备的维修或更换。</w:t>
      </w:r>
    </w:p>
    <w:p>
      <w:pPr>
        <w:tabs>
          <w:tab w:val="left" w:pos="709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en-US"/>
        </w:rPr>
        <w:t>（2）设备维修质量控制要求。监测仪器被修复后，当其检测性能受到影响时，需要进行检验，颗粒物手工比对等方法进行。</w:t>
      </w:r>
    </w:p>
    <w:p>
      <w:pPr>
        <w:tabs>
          <w:tab w:val="left" w:pos="7095"/>
        </w:tabs>
        <w:spacing w:line="360" w:lineRule="auto"/>
        <w:ind w:firstLine="420" w:firstLineChars="200"/>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en-US"/>
        </w:rPr>
        <w:t>4.</w:t>
      </w:r>
      <w:r>
        <w:rPr>
          <w:rFonts w:hint="eastAsia" w:ascii="宋体" w:hAnsi="宋体" w:eastAsia="宋体" w:cs="宋体"/>
          <w:b/>
          <w:bCs/>
          <w:color w:val="auto"/>
          <w:kern w:val="0"/>
          <w:sz w:val="21"/>
          <w:szCs w:val="21"/>
          <w:highlight w:val="none"/>
          <w:lang w:val="en-US" w:eastAsia="zh-CN" w:bidi="ar"/>
        </w:rPr>
        <w:t>空气站手机APP</w:t>
      </w:r>
    </w:p>
    <w:p>
      <w:pPr>
        <w:tabs>
          <w:tab w:val="left" w:pos="7095"/>
        </w:tabs>
        <w:spacing w:line="360" w:lineRule="auto"/>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4.1首页：能够显示禹州市实时空气质量，支持未来天气预报;地图页面：能够显示许昌市站点分布，地图支持放大缩小,页面支持六因子和气象数据切换显示。</w:t>
      </w:r>
    </w:p>
    <w:p>
      <w:pPr>
        <w:tabs>
          <w:tab w:val="left" w:pos="7095"/>
        </w:tabs>
        <w:spacing w:line="360" w:lineRule="auto"/>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4.2乡镇页面：能显示禹州市26个乡镇（街道）小时数据（六因子浓度值、AQI、首要污染物、空气质量等级）、日报数据（六因子浓度值、AQI、首要污染物、空气质量等级）、月累计（六因子浓度值、六因子同比浓度值、优良天、综合指数）和年累计数据（六因子浓度值、六因子同比浓度值、优良天、综合指数）。</w:t>
      </w:r>
    </w:p>
    <w:p>
      <w:pPr>
        <w:tabs>
          <w:tab w:val="left" w:pos="7095"/>
        </w:tabs>
        <w:spacing w:line="360" w:lineRule="auto"/>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4.3县市页面：能够显示许昌市4县市小时数据（六因子浓度值、AQI、首要污染物、空气质量等级）、日报数据（六因子浓度值、AQI、首要污染物、空气质量等级）、月累计（六因子浓度值、六因子同比浓度值、优良天、综合指数）和年累计数据（六因子浓度值、六因子同比浓度值、优良天、综合指数）。</w:t>
      </w:r>
    </w:p>
    <w:p>
      <w:pPr>
        <w:tabs>
          <w:tab w:val="left" w:pos="7095"/>
        </w:tabs>
        <w:spacing w:line="360" w:lineRule="auto"/>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4.4排名：能够显示全省103县市排名，支持时间段查询。</w:t>
      </w:r>
    </w:p>
    <w:p>
      <w:pPr>
        <w:pStyle w:val="93"/>
        <w:snapToGrid w:val="0"/>
        <w:spacing w:line="400" w:lineRule="exact"/>
        <w:ind w:left="0" w:leftChars="0" w:firstLine="420" w:firstLineChars="200"/>
        <w:outlineLvl w:val="2"/>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4.5能够进行权限设置，不同用户权限不同，查看到的页面也不一样。</w:t>
      </w:r>
    </w:p>
    <w:p>
      <w:pPr>
        <w:pStyle w:val="93"/>
        <w:snapToGrid w:val="0"/>
        <w:spacing w:line="400" w:lineRule="exact"/>
        <w:ind w:left="0" w:leftChars="0" w:firstLine="422" w:firstLineChars="200"/>
        <w:outlineLvl w:val="2"/>
        <w:rPr>
          <w:rFonts w:hint="eastAsia" w:ascii="宋体" w:hAnsi="宋体" w:eastAsia="宋体" w:cs="宋体"/>
          <w:b/>
          <w:bCs/>
          <w:color w:val="auto"/>
          <w:kern w:val="0"/>
          <w:sz w:val="21"/>
          <w:szCs w:val="21"/>
          <w:highlight w:val="none"/>
          <w:lang w:val="en-US" w:eastAsia="zh-CN" w:bidi="en-US"/>
        </w:rPr>
      </w:pPr>
      <w:r>
        <w:rPr>
          <w:rFonts w:hint="eastAsia" w:ascii="宋体" w:hAnsi="宋体" w:eastAsia="宋体" w:cs="宋体"/>
          <w:b/>
          <w:bCs/>
          <w:color w:val="auto"/>
          <w:kern w:val="0"/>
          <w:sz w:val="21"/>
          <w:szCs w:val="21"/>
          <w:highlight w:val="none"/>
          <w:lang w:val="en-US" w:eastAsia="zh-CN" w:bidi="en-US"/>
        </w:rPr>
        <w:t xml:space="preserve">5、考核验收标准   </w:t>
      </w:r>
    </w:p>
    <w:p>
      <w:pPr>
        <w:tabs>
          <w:tab w:val="left" w:pos="7095"/>
        </w:tabs>
        <w:spacing w:line="360" w:lineRule="auto"/>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5.1、供应商须按照运维服务内容的要求，做好项目验收资料的收集工作。</w:t>
      </w:r>
    </w:p>
    <w:p>
      <w:pPr>
        <w:tabs>
          <w:tab w:val="left" w:pos="7095"/>
        </w:tabs>
        <w:spacing w:line="360" w:lineRule="auto"/>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5.2、符合采购文件要求和响应文件承诺。</w:t>
      </w:r>
    </w:p>
    <w:p>
      <w:pPr>
        <w:tabs>
          <w:tab w:val="left" w:pos="7095"/>
        </w:tabs>
        <w:spacing w:line="360" w:lineRule="auto"/>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5.3、运维期间出现调整正常数据、修改正常设备参数等弄虚作假行为的，第一次，处以当月运维费罚款，第二次按照相关规定移交司法部门依法处理，并终止运维合同。</w:t>
      </w:r>
    </w:p>
    <w:p>
      <w:pPr>
        <w:tabs>
          <w:tab w:val="left" w:pos="7095"/>
        </w:tabs>
        <w:spacing w:line="360" w:lineRule="auto"/>
        <w:ind w:firstLine="420" w:firstLineChars="200"/>
        <w:rPr>
          <w:rFonts w:hint="default"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5.4、项目验收需供应商和采购人成立验收组进行项目验收，验收组应邀请相关专家参与并出具意见；每个服务年度结束后验收一次。</w:t>
      </w:r>
    </w:p>
    <w:p>
      <w:pPr>
        <w:tabs>
          <w:tab w:val="left" w:pos="7095"/>
        </w:tabs>
        <w:spacing w:line="360" w:lineRule="auto"/>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5.5、考核验收办法。</w:t>
      </w:r>
    </w:p>
    <w:p>
      <w:pPr>
        <w:tabs>
          <w:tab w:val="left" w:pos="7095"/>
        </w:tabs>
        <w:spacing w:line="360" w:lineRule="auto"/>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5.5.1考核采用百分制。空气自动站运维内容及要求共计90分，其中运维保障要求每项2分，共12分；运维工作目标每项10分，共50分；运维工作内容每项1分，共7分；运维工作要求每项2分，共18分；系统设备维修要求每项1.5分，共3分。手机APP10分。</w:t>
      </w:r>
    </w:p>
    <w:p>
      <w:pPr>
        <w:tabs>
          <w:tab w:val="left" w:pos="7095"/>
        </w:tabs>
        <w:spacing w:line="360" w:lineRule="auto"/>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5.5.2考核达不到要求或者考核总分低于80分的，不予拨付运维费；考核总分在80（含）-100分的，运维费=实际考核得分/100*全额运维费。</w:t>
      </w:r>
    </w:p>
    <w:p>
      <w:pPr>
        <w:tabs>
          <w:tab w:val="left" w:pos="7095"/>
        </w:tabs>
        <w:spacing w:line="360" w:lineRule="auto"/>
        <w:ind w:firstLine="420" w:firstLineChars="200"/>
        <w:rPr>
          <w:rFonts w:hint="eastAsia" w:ascii="宋体" w:hAnsi="宋体" w:eastAsia="宋体" w:cs="宋体"/>
          <w:color w:val="auto"/>
          <w:kern w:val="0"/>
          <w:sz w:val="21"/>
          <w:szCs w:val="21"/>
          <w:highlight w:val="none"/>
          <w:lang w:val="en-US" w:eastAsia="zh-CN" w:bidi="en-US"/>
        </w:rPr>
      </w:pPr>
      <w:r>
        <w:rPr>
          <w:rFonts w:hint="eastAsia" w:ascii="宋体" w:hAnsi="宋体" w:eastAsia="宋体" w:cs="宋体"/>
          <w:color w:val="auto"/>
          <w:kern w:val="0"/>
          <w:sz w:val="21"/>
          <w:szCs w:val="21"/>
          <w:highlight w:val="none"/>
          <w:lang w:val="en-US" w:eastAsia="zh-CN" w:bidi="en-US"/>
        </w:rPr>
        <w:t>5.5.3除5.5.1和5.5.2款核定的运维费外，运维期间出现调整正常数据、修改正常设备参数等弄虚作假行为的，第一次，处以当月运维费罚款；第二次按照相关规定移交司法部门依法处理，并终止运维合同，扣除全部运维费用。</w:t>
      </w:r>
    </w:p>
    <w:p>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三、其他相关要求：</w:t>
      </w:r>
    </w:p>
    <w:p>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一</w:t>
      </w:r>
      <w:r>
        <w:rPr>
          <w:rFonts w:hint="eastAsia" w:ascii="宋体" w:hAnsi="宋体" w:eastAsia="宋体" w:cs="宋体"/>
          <w:color w:val="auto"/>
          <w:szCs w:val="21"/>
          <w:highlight w:val="none"/>
        </w:rPr>
        <w:t>）质量要</w:t>
      </w:r>
      <w:r>
        <w:rPr>
          <w:rFonts w:hint="eastAsia" w:ascii="宋体" w:hAnsi="宋体" w:eastAsia="宋体" w:cs="宋体"/>
          <w:color w:val="auto"/>
          <w:szCs w:val="21"/>
          <w:highlight w:val="none"/>
        </w:rPr>
        <w:t>求：</w:t>
      </w:r>
      <w:r>
        <w:rPr>
          <w:rFonts w:hint="eastAsia" w:ascii="宋体" w:hAnsi="宋体" w:eastAsia="宋体" w:cs="宋体"/>
          <w:color w:val="auto"/>
          <w:szCs w:val="21"/>
          <w:highlight w:val="none"/>
          <w:lang w:val="zh-CN"/>
        </w:rPr>
        <w:t>符合国家和履约地相关质量标准、行</w:t>
      </w:r>
      <w:r>
        <w:rPr>
          <w:rFonts w:hint="eastAsia" w:ascii="宋体" w:hAnsi="宋体" w:eastAsia="宋体" w:cs="宋体"/>
          <w:color w:val="auto"/>
          <w:szCs w:val="21"/>
          <w:highlight w:val="none"/>
          <w:lang w:val="zh-CN"/>
        </w:rPr>
        <w:t>业技术规范标准</w:t>
      </w:r>
      <w:r>
        <w:rPr>
          <w:rFonts w:hint="eastAsia" w:ascii="宋体" w:hAnsi="宋体" w:eastAsia="宋体" w:cs="宋体"/>
          <w:color w:val="auto"/>
          <w:szCs w:val="21"/>
          <w:highlight w:val="none"/>
        </w:rPr>
        <w:t>。</w:t>
      </w:r>
    </w:p>
    <w:p>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二</w:t>
      </w:r>
      <w:r>
        <w:rPr>
          <w:rFonts w:hint="eastAsia" w:ascii="宋体" w:hAnsi="宋体" w:eastAsia="宋体" w:cs="宋体"/>
          <w:color w:val="auto"/>
          <w:szCs w:val="21"/>
          <w:highlight w:val="none"/>
        </w:rPr>
        <w:t>）其他技术、服务等要求</w:t>
      </w:r>
    </w:p>
    <w:p>
      <w:pPr>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、投标人应就本项目完整投标，报价含税费等综合费用，否则为无效投标;</w:t>
      </w:r>
    </w:p>
    <w:p>
      <w:pPr>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为了确保项目按时按质完成，</w:t>
      </w:r>
      <w:r>
        <w:rPr>
          <w:rFonts w:hint="eastAsia" w:ascii="宋体" w:hAnsi="宋体" w:eastAsia="宋体" w:cs="宋体"/>
          <w:color w:val="auto"/>
          <w:szCs w:val="21"/>
          <w:highlight w:val="none"/>
          <w:lang w:val="zh-CN"/>
        </w:rPr>
        <w:t>售后服务方案应由法人代表签字，否则无效投</w:t>
      </w:r>
      <w:r>
        <w:rPr>
          <w:rFonts w:hint="eastAsia" w:ascii="宋体" w:hAnsi="宋体" w:eastAsia="宋体" w:cs="宋体"/>
          <w:color w:val="auto"/>
          <w:szCs w:val="21"/>
          <w:highlight w:val="none"/>
          <w:lang w:val="zh-CN"/>
        </w:rPr>
        <w:t>标。</w:t>
      </w:r>
    </w:p>
    <w:p>
      <w:pPr>
        <w:pStyle w:val="2"/>
        <w:rPr>
          <w:rFonts w:ascii="宋体" w:hAnsi="宋体" w:eastAsia="宋体" w:cs="宋体"/>
          <w:b/>
          <w:color w:val="auto"/>
          <w:szCs w:val="21"/>
          <w:highlight w:val="none"/>
        </w:rPr>
      </w:pPr>
      <w:r>
        <w:rPr>
          <w:rFonts w:hint="eastAsia" w:ascii="宋体" w:hAnsi="宋体" w:eastAsia="宋体" w:cs="宋体"/>
          <w:b/>
          <w:color w:val="auto"/>
          <w:szCs w:val="21"/>
          <w:highlight w:val="none"/>
          <w:lang w:eastAsia="zh-CN"/>
        </w:rPr>
        <w:t>四</w:t>
      </w:r>
      <w:r>
        <w:rPr>
          <w:rFonts w:hint="eastAsia" w:ascii="宋体" w:hAnsi="宋体" w:eastAsia="宋体" w:cs="宋体"/>
          <w:b/>
          <w:color w:val="auto"/>
          <w:szCs w:val="21"/>
          <w:highlight w:val="none"/>
        </w:rPr>
        <w:t>、验收标准</w:t>
      </w:r>
    </w:p>
    <w:p>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1、招标人有权要求中标候选人提供所有与本次投标相关资料原件进行查验，无法提供或有造假等违法违规行为根据相关规定执行处理。</w:t>
      </w:r>
    </w:p>
    <w:p>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、符合招标文件要求和投标文件承诺。</w:t>
      </w:r>
    </w:p>
    <w:p>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.本项目验收如需要第三方验收，中标方将承担所有产生的费用。</w:t>
      </w:r>
    </w:p>
    <w:p>
      <w:pPr>
        <w:tabs>
          <w:tab w:val="left" w:pos="7095"/>
        </w:tabs>
        <w:spacing w:line="440" w:lineRule="exact"/>
        <w:rPr>
          <w:rFonts w:hint="eastAsia" w:ascii="宋体" w:hAnsi="宋体" w:eastAsia="宋体" w:cs="黑体"/>
          <w:b/>
          <w:bCs/>
          <w:color w:val="auto"/>
          <w:kern w:val="2"/>
          <w:sz w:val="21"/>
          <w:szCs w:val="21"/>
          <w:highlight w:val="none"/>
          <w:shd w:val="clear" w:color="auto" w:fill="FFFFFF"/>
          <w:lang w:val="en-US" w:eastAsia="zh-CN" w:bidi="ar-SA"/>
        </w:rPr>
      </w:pPr>
      <w:r>
        <w:rPr>
          <w:rFonts w:hint="eastAsia" w:ascii="宋体" w:hAnsi="宋体" w:eastAsia="宋体" w:cs="黑体"/>
          <w:b/>
          <w:bCs/>
          <w:color w:val="auto"/>
          <w:kern w:val="2"/>
          <w:sz w:val="21"/>
          <w:szCs w:val="21"/>
          <w:highlight w:val="none"/>
          <w:shd w:val="clear" w:color="auto" w:fill="FFFFFF"/>
          <w:lang w:val="en-US" w:eastAsia="zh-CN" w:bidi="ar-SA"/>
        </w:rPr>
        <w:t>五、资金支付：</w:t>
      </w:r>
    </w:p>
    <w:p>
      <w:pPr>
        <w:tabs>
          <w:tab w:val="left" w:pos="7095"/>
        </w:tabs>
        <w:spacing w:line="440" w:lineRule="exact"/>
        <w:ind w:firstLine="420" w:firstLineChars="200"/>
        <w:rPr>
          <w:rFonts w:hint="eastAsia" w:ascii="宋体" w:hAnsi="宋体" w:eastAsia="宋体"/>
          <w:color w:val="auto"/>
          <w:sz w:val="21"/>
          <w:szCs w:val="21"/>
          <w:highlight w:val="none"/>
          <w:lang w:val="zh-CN"/>
        </w:rPr>
      </w:pPr>
      <w:r>
        <w:rPr>
          <w:rFonts w:hint="eastAsia" w:ascii="宋体" w:hAnsi="宋体" w:eastAsia="宋体" w:cs="黑体"/>
          <w:b w:val="0"/>
          <w:bCs w:val="0"/>
          <w:color w:val="auto"/>
          <w:kern w:val="2"/>
          <w:sz w:val="21"/>
          <w:szCs w:val="21"/>
          <w:highlight w:val="none"/>
          <w:shd w:val="clear" w:color="auto" w:fill="FFFFFF"/>
          <w:lang w:val="zh-CN" w:eastAsia="zh-CN" w:bidi="ar-SA"/>
        </w:rPr>
        <w:t>采购单位若采取设定“分</w:t>
      </w:r>
      <w:r>
        <w:rPr>
          <w:rFonts w:hint="eastAsia" w:ascii="宋体" w:hAnsi="宋体" w:eastAsia="宋体"/>
          <w:b w:val="0"/>
          <w:bCs w:val="0"/>
          <w:color w:val="auto"/>
          <w:sz w:val="21"/>
          <w:szCs w:val="21"/>
          <w:highlight w:val="none"/>
          <w:lang w:val="zh-CN"/>
        </w:rPr>
        <w:t>批分次”付款方</w:t>
      </w:r>
      <w:r>
        <w:rPr>
          <w:rFonts w:hint="eastAsia" w:ascii="宋体" w:hAnsi="宋体" w:eastAsia="宋体"/>
          <w:color w:val="auto"/>
          <w:sz w:val="21"/>
          <w:szCs w:val="21"/>
          <w:highlight w:val="none"/>
          <w:lang w:val="zh-CN"/>
        </w:rPr>
        <w:t>式的，首付款比例不低于合同金额的 50%；对于中小企业，首付款比例不低于合同金额的 70%。</w:t>
      </w:r>
    </w:p>
    <w:p>
      <w:pPr>
        <w:tabs>
          <w:tab w:val="left" w:pos="7095"/>
        </w:tabs>
        <w:spacing w:line="44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（一）支付方式：</w:t>
      </w:r>
      <w:r>
        <w:rPr>
          <w:rFonts w:hint="eastAsia" w:ascii="宋体" w:hAnsi="宋体" w:eastAsia="宋体"/>
          <w:color w:val="auto"/>
          <w:sz w:val="21"/>
          <w:szCs w:val="21"/>
          <w:highlight w:val="none"/>
          <w:lang w:val="zh-CN"/>
        </w:rPr>
        <w:t>双方签订合同约定。</w:t>
      </w:r>
    </w:p>
    <w:p>
      <w:pPr>
        <w:tabs>
          <w:tab w:val="left" w:pos="7095"/>
        </w:tabs>
        <w:spacing w:line="440" w:lineRule="exact"/>
        <w:ind w:firstLine="420" w:firstLineChars="200"/>
        <w:rPr>
          <w:rFonts w:hint="eastAsia" w:ascii="宋体" w:hAnsi="宋体" w:eastAsia="宋体" w:cs="宋体"/>
          <w:b/>
          <w:color w:val="auto"/>
          <w:kern w:val="0"/>
          <w:sz w:val="21"/>
          <w:szCs w:val="21"/>
          <w:highlight w:val="none"/>
        </w:rPr>
      </w:pPr>
      <w:r>
        <w:rPr>
          <w:rFonts w:hint="eastAsia" w:ascii="宋体" w:hAnsi="宋体" w:eastAsia="宋体"/>
          <w:color w:val="auto"/>
          <w:sz w:val="21"/>
          <w:szCs w:val="21"/>
          <w:highlight w:val="none"/>
        </w:rPr>
        <w:t>（二）支付时间及条件：</w:t>
      </w:r>
      <w:r>
        <w:rPr>
          <w:rFonts w:hint="eastAsia" w:ascii="宋体" w:hAnsi="宋体" w:eastAsia="宋体"/>
          <w:color w:val="auto"/>
          <w:sz w:val="21"/>
          <w:szCs w:val="21"/>
          <w:highlight w:val="none"/>
          <w:lang w:val="zh-CN"/>
        </w:rPr>
        <w:t>双方签订合同约定。</w:t>
      </w:r>
    </w:p>
    <w:p>
      <w:pPr>
        <w:pStyle w:val="101"/>
        <w:rPr>
          <w:rFonts w:hint="eastAsia"/>
          <w:color w:val="auto"/>
          <w:highlight w:val="none"/>
        </w:rPr>
      </w:pPr>
    </w:p>
    <w:p>
      <w:pPr>
        <w:autoSpaceDE w:val="0"/>
        <w:autoSpaceDN w:val="0"/>
        <w:adjustRightInd w:val="0"/>
        <w:rPr>
          <w:rFonts w:hint="eastAsia" w:ascii="宋体" w:hAnsi="宋体" w:eastAsia="宋体"/>
          <w:b/>
          <w:color w:val="auto"/>
          <w:szCs w:val="21"/>
          <w:highlight w:val="none"/>
        </w:rPr>
      </w:pPr>
    </w:p>
    <w:p>
      <w:pPr>
        <w:pStyle w:val="29"/>
        <w:ind w:left="0" w:leftChars="0" w:firstLine="0" w:firstLineChars="0"/>
        <w:rPr>
          <w:rFonts w:hint="eastAsia"/>
          <w:color w:val="auto"/>
          <w:highlight w:val="none"/>
        </w:rPr>
      </w:pPr>
    </w:p>
    <w:p>
      <w:pPr>
        <w:autoSpaceDE w:val="0"/>
        <w:autoSpaceDN w:val="0"/>
        <w:adjustRightInd w:val="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招标文件中凡标有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条款均为实质性要求条款，投标文件须完全响应，未实质响应的，按照无效投标处理。</w:t>
      </w:r>
    </w:p>
    <w:tbl>
      <w:tblPr>
        <w:tblStyle w:val="30"/>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tcPr>
          <w:p>
            <w:pPr>
              <w:tabs>
                <w:tab w:val="left" w:pos="7095"/>
              </w:tabs>
              <w:spacing w:line="360" w:lineRule="auto"/>
              <w:contextualSpacing/>
              <w:jc w:val="left"/>
              <w:rPr>
                <w:rFonts w:eastAsia="宋体"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项目名称：</w:t>
            </w:r>
            <w:r>
              <w:rPr>
                <w:rFonts w:hint="eastAsia" w:hAnsi="宋体"/>
                <w:color w:val="auto"/>
                <w:szCs w:val="21"/>
                <w:highlight w:val="none"/>
              </w:rPr>
              <w:t>禹州市环境保护局禹州市22个乡镇（街道）环境空气自动监测站运维项目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pPr>
              <w:spacing w:line="384"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名称：禹州市环境保护局</w:t>
            </w:r>
          </w:p>
          <w:p>
            <w:pPr>
              <w:spacing w:line="384" w:lineRule="auto"/>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地址：禹州市</w:t>
            </w:r>
            <w:r>
              <w:rPr>
                <w:rFonts w:hint="eastAsia" w:asciiTheme="majorEastAsia" w:hAnsiTheme="majorEastAsia" w:eastAsiaTheme="majorEastAsia" w:cstheme="majorEastAsia"/>
                <w:color w:val="auto"/>
                <w:szCs w:val="21"/>
                <w:highlight w:val="none"/>
                <w:lang w:eastAsia="zh-CN"/>
              </w:rPr>
              <w:t>行政北路创业大厦</w:t>
            </w:r>
          </w:p>
          <w:p>
            <w:pPr>
              <w:spacing w:line="384" w:lineRule="auto"/>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联系人：</w:t>
            </w:r>
            <w:r>
              <w:rPr>
                <w:rFonts w:hint="eastAsia" w:asciiTheme="majorEastAsia" w:hAnsiTheme="majorEastAsia" w:eastAsiaTheme="majorEastAsia" w:cstheme="majorEastAsia"/>
                <w:color w:val="auto"/>
                <w:szCs w:val="21"/>
                <w:highlight w:val="none"/>
                <w:lang w:eastAsia="zh-CN"/>
              </w:rPr>
              <w:t>杨先生</w:t>
            </w:r>
            <w:r>
              <w:rPr>
                <w:rFonts w:hint="eastAsia" w:asciiTheme="majorEastAsia" w:hAnsiTheme="majorEastAsia" w:eastAsiaTheme="majorEastAsia" w:cstheme="majorEastAsia"/>
                <w:color w:val="auto"/>
                <w:szCs w:val="21"/>
                <w:highlight w:val="none"/>
                <w:lang w:val="en-US" w:eastAsia="zh-CN"/>
              </w:rPr>
              <w:t xml:space="preserve"> </w:t>
            </w:r>
          </w:p>
          <w:p>
            <w:pPr>
              <w:spacing w:line="384"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联系电话：</w:t>
            </w:r>
            <w:r>
              <w:rPr>
                <w:rFonts w:hint="eastAsia" w:asciiTheme="majorEastAsia" w:hAnsiTheme="majorEastAsia" w:eastAsiaTheme="majorEastAsia" w:cstheme="majorEastAsia"/>
                <w:color w:val="auto"/>
                <w:szCs w:val="21"/>
                <w:highlight w:val="none"/>
                <w:lang w:val="en-US" w:eastAsia="zh-CN"/>
              </w:rPr>
              <w:t xml:space="preserve">0374-6067319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代理机构：许昌丰元咨询管理有限公司</w:t>
            </w:r>
          </w:p>
          <w:p>
            <w:pPr>
              <w:autoSpaceDE w:val="0"/>
              <w:autoSpaceDN w:val="0"/>
              <w:adjustRightInd w:val="0"/>
              <w:spacing w:line="360" w:lineRule="auto"/>
              <w:jc w:val="lef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地址：禹州市颍北大道6号</w:t>
            </w:r>
          </w:p>
          <w:p>
            <w:pPr>
              <w:autoSpaceDE w:val="0"/>
              <w:autoSpaceDN w:val="0"/>
              <w:adjustRightInd w:val="0"/>
              <w:spacing w:line="360" w:lineRule="auto"/>
              <w:jc w:val="lef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联系人： 连女士</w:t>
            </w:r>
          </w:p>
          <w:p>
            <w:pPr>
              <w:autoSpaceDE w:val="0"/>
              <w:autoSpaceDN w:val="0"/>
              <w:adjustRightInd w:val="0"/>
              <w:spacing w:line="360" w:lineRule="auto"/>
              <w:jc w:val="lef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联系电话：</w:t>
            </w:r>
            <w:r>
              <w:rPr>
                <w:rFonts w:hint="eastAsia" w:ascii="宋体" w:hAnsi="宋体" w:eastAsia="宋体" w:cs="宋体"/>
                <w:color w:val="auto"/>
                <w:szCs w:val="21"/>
                <w:highlight w:val="none"/>
                <w:shd w:val="clear" w:color="auto" w:fill="FFFFFF"/>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一、中小企业或者残疾人福利性单位声明函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1、中小企业出具《中小企业声明函》</w:t>
            </w:r>
          </w:p>
          <w:p>
            <w:pPr>
              <w:autoSpaceDE w:val="0"/>
              <w:autoSpaceDN w:val="0"/>
              <w:adjustRightInd w:val="0"/>
              <w:spacing w:line="360" w:lineRule="auto"/>
              <w:jc w:val="left"/>
              <w:rPr>
                <w:rFonts w:cs="仿宋_GB2312" w:asciiTheme="minorEastAsia" w:hAnsiTheme="minorEastAsia"/>
                <w:b/>
                <w:color w:val="auto"/>
                <w:szCs w:val="21"/>
                <w:highlight w:val="none"/>
                <w:shd w:val="clear" w:color="auto" w:fill="FFFFFF"/>
              </w:rPr>
            </w:pPr>
            <w:r>
              <w:rPr>
                <w:rFonts w:hint="eastAsia" w:cs="宋体" w:asciiTheme="minorEastAsia" w:hAnsiTheme="minorEastAsia"/>
                <w:bCs/>
                <w:color w:val="auto"/>
                <w:szCs w:val="21"/>
                <w:highlight w:val="none"/>
                <w:lang w:val="zh-CN"/>
              </w:rPr>
              <w:t>2、残疾人福利性单位出具《残疾人福利企业声明函》</w:t>
            </w:r>
          </w:p>
          <w:p>
            <w:pPr>
              <w:autoSpaceDE w:val="0"/>
              <w:autoSpaceDN w:val="0"/>
              <w:adjustRightInd w:val="0"/>
              <w:spacing w:line="360" w:lineRule="auto"/>
              <w:ind w:right="-11"/>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二、符合《政府采购法》第二十二条规定</w:t>
            </w:r>
          </w:p>
          <w:p>
            <w:pPr>
              <w:autoSpaceDE w:val="0"/>
              <w:autoSpaceDN w:val="0"/>
              <w:adjustRightInd w:val="0"/>
              <w:spacing w:line="360" w:lineRule="auto"/>
              <w:ind w:right="-11"/>
              <w:rPr>
                <w:color w:val="auto"/>
                <w:highlight w:val="none"/>
              </w:rPr>
            </w:pPr>
            <w:r>
              <w:rPr>
                <w:rFonts w:hint="eastAsia" w:cs="宋体" w:asciiTheme="minorEastAsia" w:hAnsiTheme="minorEastAsia"/>
                <w:bCs/>
                <w:color w:val="auto"/>
                <w:szCs w:val="21"/>
                <w:highlight w:val="none"/>
                <w:lang w:val="zh-CN"/>
              </w:rPr>
              <w:t>三、特定资格要求：详见招标文件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color w:val="auto"/>
                <w:szCs w:val="21"/>
                <w:highlight w:val="none"/>
              </w:rPr>
            </w:pP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rPr>
              <w:t>一</w:t>
            </w:r>
            <w:r>
              <w:rPr>
                <w:rFonts w:hint="eastAsia" w:cs="宋体" w:asciiTheme="minorEastAsia" w:hAnsiTheme="minorEastAsia"/>
                <w:b/>
                <w:bCs/>
                <w:color w:val="auto"/>
                <w:szCs w:val="21"/>
                <w:highlight w:val="none"/>
                <w:lang w:val="zh-CN"/>
              </w:rPr>
              <w:t>、</w:t>
            </w:r>
            <w:r>
              <w:rPr>
                <w:rFonts w:cs="宋体" w:asciiTheme="minorEastAsia" w:hAnsiTheme="minorEastAsia"/>
                <w:b/>
                <w:bCs/>
                <w:color w:val="auto"/>
                <w:szCs w:val="21"/>
                <w:highlight w:val="none"/>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二、财务状况报告相关材料</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（1）供应商是法人（法人包括企业法人、机关法人、事业单位法人和社会团体法人），提供本单位：</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Theme="minorEastAsia" w:hAnsiTheme="minorEastAsia"/>
                <w:bCs/>
                <w:color w:val="auto"/>
                <w:szCs w:val="21"/>
                <w:highlight w:val="none"/>
                <w:lang w:val="en-US" w:eastAsia="zh-CN"/>
              </w:rPr>
              <w:t>2023年度</w:t>
            </w:r>
            <w:r>
              <w:rPr>
                <w:rFonts w:hint="eastAsia" w:asciiTheme="minorEastAsia" w:hAnsiTheme="minorEastAsia"/>
                <w:bCs/>
                <w:color w:val="auto"/>
                <w:szCs w:val="21"/>
                <w:highlight w:val="none"/>
              </w:rPr>
              <w:t>经审计的财务报告，包括资产负债表、利润表、现金流量表、所有者权益变动表及其附注；</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②基本开户银行出具的资信证明；</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（2）供应商（其他组织和自然人）提供本单位：</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Theme="minorEastAsia" w:hAnsiTheme="minorEastAsia"/>
                <w:bCs/>
                <w:color w:val="auto"/>
                <w:szCs w:val="21"/>
                <w:highlight w:val="none"/>
                <w:lang w:val="en-US" w:eastAsia="zh-CN"/>
              </w:rPr>
              <w:t>2023年度</w:t>
            </w:r>
            <w:r>
              <w:rPr>
                <w:rFonts w:hint="eastAsia" w:asciiTheme="minorEastAsia" w:hAnsiTheme="minorEastAsia"/>
                <w:bCs/>
                <w:color w:val="auto"/>
                <w:szCs w:val="21"/>
                <w:highlight w:val="none"/>
              </w:rPr>
              <w:t>经审计的财务报告，包括资产负债表、利润表、现金流量表、所有者权益变动表及其附注；</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②银行出具的资信证明；</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仿宋_GB2312" w:asciiTheme="minorEastAsia" w:hAnsiTheme="minorEastAsia"/>
                <w:b/>
                <w:color w:val="auto"/>
                <w:szCs w:val="21"/>
                <w:highlight w:val="none"/>
              </w:rPr>
              <w:t>三、依法缴纳税收相关材料</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①相关设备的购置发票、专业技术人员职称证书、用工合同等；</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color w:val="auto"/>
                <w:kern w:val="0"/>
                <w:szCs w:val="21"/>
                <w:highlight w:val="none"/>
              </w:rPr>
              <w:t>六、</w:t>
            </w:r>
            <w:r>
              <w:rPr>
                <w:rFonts w:cs="宋体" w:asciiTheme="minorEastAsia" w:hAnsiTheme="minorEastAsia"/>
                <w:b/>
                <w:bCs/>
                <w:color w:val="auto"/>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供应商“</w:t>
            </w:r>
            <w:r>
              <w:rPr>
                <w:rFonts w:cs="宋体" w:asciiTheme="minorEastAsia" w:hAnsiTheme="minorEastAsia"/>
                <w:bCs/>
                <w:color w:val="auto"/>
                <w:szCs w:val="21"/>
                <w:highlight w:val="none"/>
                <w:lang w:val="zh-CN"/>
              </w:rPr>
              <w:t>参加政府采购活动前3年内在经营活动中没有重大违法记录的书面声明</w:t>
            </w:r>
            <w:r>
              <w:rPr>
                <w:rFonts w:hint="eastAsia" w:cs="宋体" w:asciiTheme="minorEastAsia" w:hAnsiTheme="minorEastAsia"/>
                <w:bCs/>
                <w:color w:val="auto"/>
                <w:szCs w:val="21"/>
                <w:highlight w:val="none"/>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b/>
                <w:bCs/>
                <w:color w:val="auto"/>
                <w:szCs w:val="21"/>
                <w:highlight w:val="none"/>
                <w:lang w:val="zh-CN"/>
              </w:rPr>
              <w:t>七、</w:t>
            </w:r>
            <w:r>
              <w:rPr>
                <w:rFonts w:cs="仿宋_GB2312" w:asciiTheme="minorEastAsia" w:hAnsiTheme="minorEastAsia"/>
                <w:b/>
                <w:color w:val="auto"/>
                <w:szCs w:val="21"/>
                <w:highlight w:val="none"/>
                <w:shd w:val="clear" w:color="auto" w:fill="FFFFFF"/>
              </w:rPr>
              <w:t>未被列入“信用中国”网站(www.creditchina.gov.cn)失信被执行人、重大税收违法失信主体的</w:t>
            </w:r>
            <w:r>
              <w:rPr>
                <w:rFonts w:hint="eastAsia" w:cs="仿宋_GB2312" w:asciiTheme="minorEastAsia" w:hAnsiTheme="minorEastAsia"/>
                <w:b/>
                <w:color w:val="auto"/>
                <w:szCs w:val="21"/>
                <w:highlight w:val="none"/>
                <w:shd w:val="clear" w:color="auto" w:fill="FFFFFF"/>
              </w:rPr>
              <w:t>供应商</w:t>
            </w:r>
            <w:r>
              <w:rPr>
                <w:rFonts w:cs="仿宋_GB2312" w:asciiTheme="minorEastAsia" w:hAnsiTheme="minorEastAsia"/>
                <w:b/>
                <w:color w:val="auto"/>
                <w:szCs w:val="21"/>
                <w:highlight w:val="none"/>
                <w:shd w:val="clear" w:color="auto" w:fill="FFFFFF"/>
              </w:rPr>
              <w:t>；</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中国政府采购网</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 xml:space="preserve"> (www.ccgp.gov.cn)政府采购严重违法失信行为记录名单的</w:t>
            </w:r>
            <w:r>
              <w:rPr>
                <w:rFonts w:hint="eastAsia" w:cs="仿宋_GB2312" w:asciiTheme="minorEastAsia" w:hAnsiTheme="minorEastAsia"/>
                <w:b/>
                <w:color w:val="auto"/>
                <w:szCs w:val="21"/>
                <w:highlight w:val="none"/>
                <w:shd w:val="clear" w:color="auto" w:fill="FFFFFF"/>
              </w:rPr>
              <w:t>供应商</w:t>
            </w:r>
            <w:r>
              <w:rPr>
                <w:rFonts w:hint="eastAsia" w:cs="宋体" w:asciiTheme="minorEastAsia" w:hAnsiTheme="minorEastAsia"/>
                <w:b/>
                <w:bCs/>
                <w:color w:val="auto"/>
                <w:szCs w:val="21"/>
                <w:highlight w:val="none"/>
                <w:lang w:val="zh-CN"/>
              </w:rPr>
              <w:t>；</w:t>
            </w:r>
            <w:r>
              <w:rPr>
                <w:rFonts w:hint="eastAsia" w:cs="仿宋_GB2312" w:asciiTheme="minorEastAsia" w:hAnsiTheme="minorEastAsia"/>
                <w:b/>
                <w:color w:val="auto"/>
                <w:szCs w:val="21"/>
                <w:highlight w:val="none"/>
                <w:shd w:val="clear" w:color="auto" w:fill="FFFFFF"/>
              </w:rPr>
              <w:t xml:space="preserve"> “中国社会组织政务服务平台”网站（</w:t>
            </w:r>
            <w:r>
              <w:rPr>
                <w:rFonts w:cs="仿宋_GB2312" w:asciiTheme="minorEastAsia" w:hAnsiTheme="minorEastAsia"/>
                <w:b/>
                <w:color w:val="auto"/>
                <w:szCs w:val="21"/>
                <w:highlight w:val="none"/>
                <w:shd w:val="clear" w:color="auto" w:fill="FFFFFF"/>
              </w:rPr>
              <w:t>https://chinanpo.mca.gov.cn</w:t>
            </w:r>
            <w:r>
              <w:rPr>
                <w:rFonts w:hint="eastAsia" w:cs="仿宋_GB2312" w:asciiTheme="minorEastAsia" w:hAnsiTheme="minorEastAsia"/>
                <w:b/>
                <w:color w:val="auto"/>
                <w:szCs w:val="21"/>
                <w:highlight w:val="none"/>
                <w:shd w:val="clear" w:color="auto" w:fill="FFFFFF"/>
              </w:rPr>
              <w:t>）严重违法失信社会组织名单的供应商（</w:t>
            </w:r>
            <w:r>
              <w:rPr>
                <w:rFonts w:hint="eastAsia" w:cs="宋体" w:asciiTheme="minorEastAsia" w:hAnsiTheme="minorEastAsia"/>
                <w:color w:val="auto"/>
                <w:kern w:val="0"/>
                <w:szCs w:val="21"/>
                <w:highlight w:val="none"/>
              </w:rPr>
              <w:t>联合体形式投标的，联合体成员存在不良信用记录，视同联合体存在不良信用记录）。</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1、查询渠道：</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color w:val="auto"/>
                <w:kern w:val="0"/>
                <w:highlight w:val="none"/>
              </w:rPr>
              <w:t>www.creditchina.gov.cn</w:t>
            </w:r>
            <w:r>
              <w:rPr>
                <w:rFonts w:hint="eastAsia" w:cs="宋体"/>
                <w:color w:val="auto"/>
                <w:kern w:val="0"/>
                <w:highlight w:val="none"/>
              </w:rPr>
              <w:fldChar w:fldCharType="end"/>
            </w:r>
            <w:r>
              <w:rPr>
                <w:rFonts w:hint="eastAsia" w:cs="宋体" w:asciiTheme="minorEastAsia" w:hAnsiTheme="minorEastAsia"/>
                <w:color w:val="auto"/>
                <w:kern w:val="0"/>
                <w:szCs w:val="21"/>
                <w:highlight w:val="none"/>
              </w:rPr>
              <w:t>）</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②“中国政府采购网”（www.ccgp.gov.cn）</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③“中国社会组织政务服务平台”网站（</w:t>
            </w:r>
            <w:r>
              <w:rPr>
                <w:rFonts w:cs="宋体" w:asciiTheme="minorEastAsia" w:hAnsiTheme="minorEastAsia"/>
                <w:color w:val="auto"/>
                <w:kern w:val="0"/>
                <w:szCs w:val="21"/>
                <w:highlight w:val="none"/>
              </w:rPr>
              <w:t>https://chinanpo.mca.gov.cn</w:t>
            </w:r>
            <w:r>
              <w:rPr>
                <w:rFonts w:hint="eastAsia" w:cs="宋体" w:asciiTheme="minorEastAsia" w:hAnsiTheme="minorEastAsia"/>
                <w:color w:val="auto"/>
                <w:kern w:val="0"/>
                <w:szCs w:val="21"/>
                <w:highlight w:val="none"/>
              </w:rPr>
              <w:t>）（仅查询社会组织）；</w:t>
            </w:r>
          </w:p>
          <w:p>
            <w:pPr>
              <w:autoSpaceDE w:val="0"/>
              <w:autoSpaceDN w:val="0"/>
              <w:spacing w:line="360" w:lineRule="auto"/>
              <w:contextualSpacing/>
              <w:rPr>
                <w:rFonts w:ascii="宋体" w:hAnsi="宋体" w:eastAsia="宋体" w:cs="宋体"/>
                <w:b/>
                <w:bCs/>
                <w:color w:val="auto"/>
                <w:szCs w:val="21"/>
                <w:highlight w:val="none"/>
              </w:rPr>
            </w:pPr>
            <w:r>
              <w:rPr>
                <w:rFonts w:hint="eastAsia" w:cs="宋体" w:asciiTheme="minorEastAsia" w:hAnsiTheme="minorEastAsia"/>
                <w:b/>
                <w:bCs/>
                <w:color w:val="auto"/>
                <w:szCs w:val="21"/>
                <w:highlight w:val="none"/>
              </w:rPr>
              <w:t>注：</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rPr>
              <w:t>供应商在投标时，提供《禹州市政府采购供应商信用承诺函》（详见招标文件第八章格式），无需再提交上述第一至七项证明材料。</w:t>
            </w:r>
          </w:p>
          <w:p>
            <w:pPr>
              <w:autoSpaceDE w:val="0"/>
              <w:autoSpaceDN w:val="0"/>
              <w:spacing w:line="360" w:lineRule="auto"/>
              <w:contextualSpacing/>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rPr>
              <w:tab/>
            </w:r>
            <w:r>
              <w:rPr>
                <w:rFonts w:hint="eastAsia" w:ascii="宋体" w:hAnsi="宋体" w:eastAsia="宋体" w:cs="宋体"/>
                <w:b/>
                <w:bCs/>
                <w:color w:val="auto"/>
                <w:szCs w:val="21"/>
                <w:highlight w:val="none"/>
              </w:rPr>
              <w:t>采购人有权在签订合同前要求中标供应商提供相关证明材料以核实中标供应商承诺事项的真实性。</w:t>
            </w:r>
          </w:p>
          <w:p>
            <w:pPr>
              <w:autoSpaceDE w:val="0"/>
              <w:autoSpaceDN w:val="0"/>
              <w:adjustRightInd w:val="0"/>
              <w:spacing w:line="360" w:lineRule="auto"/>
              <w:ind w:firstLine="413" w:firstLineChars="196"/>
              <w:jc w:val="left"/>
              <w:rPr>
                <w:rFonts w:cs="仿宋_GB2312" w:asciiTheme="minorEastAsia" w:hAnsiTheme="minorEastAsia"/>
                <w:b/>
                <w:color w:val="auto"/>
                <w:szCs w:val="21"/>
                <w:highlight w:val="none"/>
                <w:shd w:val="clear" w:color="auto" w:fill="FFFFFF"/>
              </w:rPr>
            </w:pPr>
            <w:r>
              <w:rPr>
                <w:rFonts w:hint="eastAsia" w:ascii="宋体" w:hAnsi="宋体" w:eastAsia="宋体" w:cs="宋体"/>
                <w:b/>
                <w:bCs/>
                <w:color w:val="auto"/>
                <w:szCs w:val="21"/>
                <w:highlight w:val="none"/>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最高限价</w:t>
            </w:r>
          </w:p>
        </w:tc>
        <w:tc>
          <w:tcPr>
            <w:tcW w:w="6813" w:type="dxa"/>
            <w:vAlign w:val="center"/>
          </w:tcPr>
          <w:p>
            <w:pPr>
              <w:tabs>
                <w:tab w:val="left" w:pos="7095"/>
              </w:tabs>
              <w:spacing w:line="384" w:lineRule="auto"/>
              <w:contextualSpacing/>
              <w:rPr>
                <w:rFonts w:cs="宋体" w:asciiTheme="minorEastAsia" w:hAnsiTheme="minorEastAsia"/>
                <w:bCs/>
                <w:color w:val="auto"/>
                <w:szCs w:val="21"/>
                <w:highlight w:val="none"/>
                <w:lang w:val="zh-CN"/>
              </w:rPr>
            </w:pPr>
            <w:r>
              <w:rPr>
                <w:rFonts w:hint="eastAsia" w:hAnsi="宋体"/>
                <w:color w:val="auto"/>
                <w:szCs w:val="21"/>
                <w:highlight w:val="none"/>
                <w:lang w:val="en-US" w:eastAsia="zh-CN"/>
              </w:rPr>
              <w:t>5536000.0元，</w:t>
            </w:r>
            <w:r>
              <w:rPr>
                <w:rFonts w:hint="eastAsia" w:hAnsi="宋体"/>
                <w:color w:val="auto"/>
                <w:szCs w:val="21"/>
                <w:highlight w:val="none"/>
                <w:lang w:val="en-US" w:eastAsia="zh-CN"/>
              </w:rPr>
              <w:t>超过最高限价投标无效</w:t>
            </w:r>
            <w:r>
              <w:rPr>
                <w:rFonts w:cs="宋体" w:asciiTheme="minorEastAsia" w:hAnsiTheme="minorEastAsia"/>
                <w:bCs/>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开标</w:t>
            </w:r>
            <w:r>
              <w:rPr>
                <w:rFonts w:cs="宋体" w:asciiTheme="minorEastAsia" w:hAnsiTheme="minorEastAsia"/>
                <w:bCs/>
                <w:color w:val="auto"/>
                <w:szCs w:val="21"/>
                <w:highlight w:val="none"/>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提交投标文件的截止之日起算</w:t>
            </w:r>
            <w:r>
              <w:rPr>
                <w:rFonts w:hint="eastAsia" w:cs="仿宋_GB2312" w:asciiTheme="minorEastAsia" w:hAnsiTheme="minorEastAsia"/>
                <w:color w:val="auto"/>
                <w:szCs w:val="21"/>
                <w:highlight w:val="none"/>
              </w:rPr>
              <w:t>）</w:t>
            </w:r>
          </w:p>
          <w:p>
            <w:pPr>
              <w:autoSpaceDE w:val="0"/>
              <w:autoSpaceDN w:val="0"/>
              <w:adjustRightInd w:val="0"/>
              <w:spacing w:line="360" w:lineRule="auto"/>
              <w:rPr>
                <w:rFonts w:cs="仿宋_GB2312" w:asciiTheme="minorEastAsia" w:hAnsiTheme="minorEastAsia"/>
                <w:color w:val="auto"/>
                <w:szCs w:val="21"/>
                <w:highlight w:val="none"/>
              </w:rPr>
            </w:pPr>
            <w:r>
              <w:rPr>
                <w:rFonts w:cs="仿宋_GB2312" w:asciiTheme="minorEastAsia" w:hAnsiTheme="minorEastAsia"/>
                <w:color w:val="auto"/>
                <w:szCs w:val="21"/>
                <w:highlight w:val="none"/>
                <w:lang w:val="zh-CN"/>
              </w:rPr>
              <w:t>中标</w:t>
            </w:r>
            <w:r>
              <w:rPr>
                <w:rFonts w:hint="eastAsia" w:cs="仿宋_GB2312" w:asciiTheme="minorEastAsia" w:hAnsiTheme="minorEastAsia"/>
                <w:color w:val="auto"/>
                <w:szCs w:val="21"/>
                <w:highlight w:val="none"/>
                <w:lang w:val="zh-CN"/>
              </w:rPr>
              <w:t>人投标</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投标文件提交截止</w:t>
            </w:r>
            <w:r>
              <w:rPr>
                <w:rFonts w:hint="eastAsia" w:cs="宋体" w:asciiTheme="minorEastAsia" w:hAnsiTheme="minorEastAsia"/>
                <w:bCs/>
                <w:color w:val="auto"/>
                <w:szCs w:val="21"/>
                <w:highlight w:val="none"/>
                <w:lang w:val="zh-CN"/>
              </w:rPr>
              <w:t>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hAnsi="宋体"/>
                <w:color w:val="auto"/>
                <w:szCs w:val="21"/>
                <w:highlight w:val="none"/>
              </w:rPr>
              <w:t>202</w:t>
            </w:r>
            <w:r>
              <w:rPr>
                <w:rFonts w:hint="eastAsia" w:hAnsi="宋体"/>
                <w:color w:val="auto"/>
                <w:szCs w:val="21"/>
                <w:highlight w:val="none"/>
                <w:lang w:val="en-US" w:eastAsia="zh-CN"/>
              </w:rPr>
              <w:t>4</w:t>
            </w:r>
            <w:r>
              <w:rPr>
                <w:rFonts w:hint="eastAsia" w:hAnsi="宋体"/>
                <w:color w:val="auto"/>
                <w:szCs w:val="21"/>
                <w:highlight w:val="none"/>
              </w:rPr>
              <w:t>年</w:t>
            </w:r>
            <w:r>
              <w:rPr>
                <w:rFonts w:hint="eastAsia" w:hAnsi="宋体"/>
                <w:color w:val="auto"/>
                <w:szCs w:val="21"/>
                <w:highlight w:val="none"/>
                <w:lang w:val="en-US" w:eastAsia="zh-CN"/>
              </w:rPr>
              <w:t>9</w:t>
            </w:r>
            <w:r>
              <w:rPr>
                <w:rFonts w:hint="eastAsia" w:hAnsi="宋体"/>
                <w:color w:val="auto"/>
                <w:szCs w:val="21"/>
                <w:highlight w:val="none"/>
              </w:rPr>
              <w:t>月</w:t>
            </w:r>
            <w:r>
              <w:rPr>
                <w:rFonts w:hint="eastAsia" w:hAnsi="宋体"/>
                <w:color w:val="auto"/>
                <w:szCs w:val="21"/>
                <w:highlight w:val="none"/>
                <w:lang w:val="en-US" w:eastAsia="zh-CN"/>
              </w:rPr>
              <w:t xml:space="preserve">26 </w:t>
            </w:r>
            <w:r>
              <w:rPr>
                <w:rFonts w:hint="eastAsia" w:hAnsi="宋体"/>
                <w:color w:val="auto"/>
                <w:szCs w:val="21"/>
                <w:highlight w:val="none"/>
              </w:rPr>
              <w:t>日</w:t>
            </w:r>
            <w:r>
              <w:rPr>
                <w:rFonts w:hint="eastAsia" w:hAnsi="宋体"/>
                <w:color w:val="auto"/>
                <w:szCs w:val="21"/>
                <w:highlight w:val="none"/>
                <w:lang w:val="en-US" w:eastAsia="zh-CN"/>
              </w:rPr>
              <w:t xml:space="preserve">08 </w:t>
            </w:r>
            <w:r>
              <w:rPr>
                <w:rFonts w:hint="eastAsia" w:cs="仿宋_GB2312" w:asciiTheme="minorEastAsia" w:hAnsiTheme="minorEastAsia"/>
                <w:color w:val="auto"/>
                <w:szCs w:val="21"/>
                <w:highlight w:val="none"/>
                <w:lang w:val="zh-CN"/>
              </w:rPr>
              <w:t>时</w:t>
            </w:r>
            <w:r>
              <w:rPr>
                <w:rFonts w:hint="eastAsia" w:cs="仿宋_GB2312" w:asciiTheme="minorEastAsia" w:hAnsiTheme="minorEastAsia"/>
                <w:color w:val="auto"/>
                <w:szCs w:val="21"/>
                <w:highlight w:val="none"/>
                <w:lang w:val="en-US" w:eastAsia="zh-CN"/>
              </w:rPr>
              <w:t xml:space="preserve"> </w:t>
            </w:r>
            <w:r>
              <w:rPr>
                <w:rFonts w:hint="eastAsia" w:cs="仿宋_GB2312" w:asciiTheme="minorEastAsia" w:hAnsiTheme="minorEastAsia"/>
                <w:color w:val="auto"/>
                <w:szCs w:val="21"/>
                <w:highlight w:val="none"/>
                <w:lang w:val="zh-CN"/>
              </w:rPr>
              <w:t>30</w:t>
            </w:r>
            <w:r>
              <w:rPr>
                <w:rFonts w:hint="eastAsia" w:cs="仿宋_GB2312" w:asciiTheme="minorEastAsia" w:hAnsiTheme="minorEastAsia"/>
                <w:color w:val="auto"/>
                <w:szCs w:val="21"/>
                <w:highlight w:val="none"/>
                <w:lang w:val="en-US" w:eastAsia="zh-CN"/>
              </w:rPr>
              <w:t xml:space="preserve"> </w:t>
            </w:r>
            <w:r>
              <w:rPr>
                <w:rFonts w:hint="eastAsia" w:cs="仿宋_GB2312" w:asciiTheme="minorEastAsia" w:hAnsiTheme="minorEastAsia"/>
                <w:color w:val="auto"/>
                <w:szCs w:val="21"/>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投标文件</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w:t>
            </w:r>
            <w:r>
              <w:rPr>
                <w:rFonts w:hint="eastAsia" w:cs="仿宋_GB2312" w:asciiTheme="minorEastAsia" w:hAnsiTheme="minorEastAsia"/>
                <w:color w:val="auto"/>
                <w:szCs w:val="21"/>
                <w:highlight w:val="none"/>
              </w:rPr>
              <w:t>标</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rPr>
              <w:t>室（</w:t>
            </w:r>
            <w:r>
              <w:rPr>
                <w:rFonts w:hint="eastAsia" w:cs="仿宋_GB2312" w:asciiTheme="minorEastAsia" w:hAnsiTheme="minorEastAsia"/>
                <w:color w:val="auto"/>
                <w:szCs w:val="21"/>
                <w:highlight w:val="none"/>
              </w:rPr>
              <w:t>地址：禹州市行政服务中心楼九楼）（</w:t>
            </w:r>
            <w:r>
              <w:rPr>
                <w:rFonts w:hint="eastAsia" w:cs="Arial" w:asciiTheme="minorEastAsia" w:hAnsiTheme="minorEastAsia"/>
                <w:b/>
                <w:color w:val="auto"/>
                <w:szCs w:val="21"/>
                <w:highlight w:val="none"/>
              </w:rPr>
              <w:t>本项目采用远程不见面开标，供应商无须到达现场</w:t>
            </w:r>
            <w:r>
              <w:rPr>
                <w:rFonts w:hint="eastAsia" w:cs="Arial"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采购公告、成交公告、变更（更正）公告、现场勘察答复等相关信息同时在以下网站发布：</w:t>
            </w:r>
            <w:r>
              <w:rPr>
                <w:rFonts w:hint="eastAsia" w:hAnsi="宋体"/>
                <w:color w:val="auto"/>
                <w:szCs w:val="21"/>
                <w:highlight w:val="none"/>
              </w:rPr>
              <w:t>《河南省政府采购网》《许昌市政府采购网》</w:t>
            </w:r>
            <w:r>
              <w:rPr>
                <w:rFonts w:hint="eastAsia" w:cs="宋体" w:asciiTheme="minorEastAsia" w:hAnsiTheme="minorEastAsia"/>
                <w:color w:val="auto"/>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投标截止时间</w:t>
            </w:r>
            <w:r>
              <w:rPr>
                <w:rFonts w:hint="eastAsia" w:cs="宋体" w:asciiTheme="minorEastAsia" w:hAnsiTheme="minorEastAsia"/>
                <w:bCs/>
                <w:color w:val="auto"/>
                <w:szCs w:val="21"/>
                <w:highlight w:val="none"/>
              </w:rPr>
              <w:t>15</w:t>
            </w:r>
            <w:r>
              <w:rPr>
                <w:rFonts w:hint="eastAsia" w:cs="宋体" w:asciiTheme="minorEastAsia" w:hAnsiTheme="minorEastAsia"/>
                <w:bCs/>
                <w:color w:val="auto"/>
                <w:szCs w:val="21"/>
                <w:highlight w:val="none"/>
                <w:lang w:val="zh-CN"/>
              </w:rPr>
              <w:t>个工作日前（</w:t>
            </w:r>
            <w:r>
              <w:rPr>
                <w:rFonts w:hint="eastAsia" w:cs="仿宋_GB2312" w:asciiTheme="minorEastAsia" w:hAnsiTheme="minorEastAsia"/>
                <w:color w:val="auto"/>
                <w:szCs w:val="21"/>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供应商对招标文件</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采购公告期满之日起七个工作日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投标文件份数</w:t>
            </w:r>
          </w:p>
        </w:tc>
        <w:tc>
          <w:tcPr>
            <w:tcW w:w="6813" w:type="dxa"/>
            <w:vAlign w:val="center"/>
          </w:tcPr>
          <w:p>
            <w:pPr>
              <w:autoSpaceDE w:val="0"/>
              <w:autoSpaceDN w:val="0"/>
              <w:adjustRightInd w:val="0"/>
              <w:spacing w:line="340" w:lineRule="exact"/>
              <w:rPr>
                <w:rFonts w:hint="eastAsia" w:ascii="新宋体" w:hAnsi="新宋体" w:eastAsia="新宋体"/>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电子投标文件：</w:t>
            </w:r>
            <w:r>
              <w:rPr>
                <w:rFonts w:hint="eastAsia" w:ascii="新宋体" w:hAnsi="新宋体" w:eastAsia="新宋体"/>
                <w:color w:val="auto"/>
                <w:szCs w:val="21"/>
                <w:highlight w:val="none"/>
                <w:lang w:val="zh-CN"/>
              </w:rPr>
              <w:t>成功上传至《全国公共资源交易平台（河南省·许昌市）》公共资源交易系统加密电子投标文件1份（后缀格式为“.XCSTF”的加密电子响应文件）。</w:t>
            </w:r>
          </w:p>
          <w:p>
            <w:pPr>
              <w:autoSpaceDE w:val="0"/>
              <w:autoSpaceDN w:val="0"/>
              <w:adjustRightInd w:val="0"/>
              <w:spacing w:line="340" w:lineRule="exact"/>
              <w:rPr>
                <w:rFonts w:hint="eastAsia" w:ascii="新宋体" w:hAnsi="新宋体" w:eastAsia="新宋体"/>
                <w:color w:val="auto"/>
                <w:szCs w:val="21"/>
                <w:highlight w:val="none"/>
                <w:lang w:val="zh-CN"/>
              </w:rPr>
            </w:pPr>
            <w:r>
              <w:rPr>
                <w:rFonts w:hint="eastAsia" w:ascii="新宋体" w:hAnsi="新宋体" w:eastAsia="新宋体"/>
                <w:color w:val="auto"/>
                <w:szCs w:val="21"/>
                <w:highlight w:val="none"/>
                <w:lang w:val="zh-CN"/>
              </w:rPr>
              <w:t>注:供应商登录“全国公共资源交易平台（河南省·许昌市）”下载“新点投标文件制作软件（河南省版）”的最新版本制作电子响应文件。</w:t>
            </w:r>
          </w:p>
          <w:p>
            <w:pPr>
              <w:autoSpaceDE w:val="0"/>
              <w:autoSpaceDN w:val="0"/>
              <w:adjustRightInd w:val="0"/>
              <w:spacing w:line="340" w:lineRule="exact"/>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lang w:val="zh-CN"/>
              </w:rPr>
              <w:t>供应商对同一项目多个标段进行响应的，应分别下载所投标段的招标文件，按标段制作响应文件。一个标段对应生成2份电子响应文件（后缀格式为.XCSTF和.nXCSTF）,其中后缀格式为“.XCSTF”的加密电子响应文件用于上传至交易系统中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投标文件的</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w:t>
            </w:r>
            <w:r>
              <w:rPr>
                <w:rFonts w:hint="eastAsia" w:cs="黑体" w:asciiTheme="minorEastAsia" w:hAnsiTheme="minorEastAsia"/>
                <w:color w:val="auto"/>
                <w:szCs w:val="21"/>
                <w:highlight w:val="none"/>
              </w:rPr>
              <w:t>投标</w:t>
            </w:r>
            <w:r>
              <w:rPr>
                <w:rFonts w:hint="eastAsia" w:ascii="新宋体" w:hAnsi="新宋体" w:eastAsia="新宋体"/>
                <w:color w:val="auto"/>
                <w:szCs w:val="21"/>
                <w:highlight w:val="none"/>
              </w:rPr>
              <w:t>文件：按招标文件要求加盖供应商电子印章和法人电子印章。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w:t>
            </w:r>
            <w:r>
              <w:rPr>
                <w:rFonts w:hint="eastAsia" w:cs="黑体" w:asciiTheme="minorEastAsia" w:hAnsiTheme="minorEastAsia"/>
                <w:color w:val="auto"/>
                <w:szCs w:val="21"/>
                <w:highlight w:val="none"/>
              </w:rPr>
              <w:t>投标</w:t>
            </w:r>
            <w:r>
              <w:rPr>
                <w:rFonts w:hint="eastAsia" w:ascii="新宋体" w:hAnsi="新宋体" w:eastAsia="新宋体"/>
                <w:color w:val="auto"/>
                <w:szCs w:val="21"/>
                <w:highlight w:val="none"/>
              </w:rPr>
              <w:t>文件：投标文件封面加盖投标人公章（投标文件是指投标人电子投标文件制作完成后生成的后缀名为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06" w:type="dxa"/>
            <w:vAlign w:val="center"/>
          </w:tcPr>
          <w:p>
            <w:pPr>
              <w:autoSpaceDE w:val="0"/>
              <w:autoSpaceDN w:val="0"/>
              <w:adjustRightInd w:val="0"/>
              <w:spacing w:line="276" w:lineRule="auto"/>
              <w:jc w:val="center"/>
              <w:rPr>
                <w:rFonts w:hint="default" w:cs="TimesNewRomanPSMT" w:asciiTheme="minorEastAsia" w:hAnsiTheme="minorEastAsia" w:eastAsiaTheme="minorEastAsia"/>
                <w:color w:val="auto"/>
                <w:szCs w:val="21"/>
                <w:highlight w:val="none"/>
                <w:lang w:val="en-US" w:eastAsia="zh-CN"/>
              </w:rPr>
            </w:pPr>
            <w:r>
              <w:rPr>
                <w:rFonts w:hint="eastAsia" w:cs="TimesNewRomanPSMT" w:asciiTheme="minorEastAsia" w:hAnsiTheme="minorEastAsia"/>
                <w:color w:val="auto"/>
                <w:szCs w:val="21"/>
                <w:highlight w:val="none"/>
                <w:lang w:val="en-US" w:eastAsia="zh-CN"/>
              </w:rPr>
              <w:t>20</w:t>
            </w:r>
          </w:p>
        </w:tc>
        <w:tc>
          <w:tcPr>
            <w:tcW w:w="2268" w:type="dxa"/>
            <w:vAlign w:val="center"/>
          </w:tcPr>
          <w:p>
            <w:pPr>
              <w:autoSpaceDE w:val="0"/>
              <w:autoSpaceDN w:val="0"/>
              <w:adjustRightInd w:val="0"/>
              <w:spacing w:line="360" w:lineRule="auto"/>
              <w:jc w:val="center"/>
              <w:rPr>
                <w:rFonts w:hint="eastAsia" w:cs="黑体" w:asciiTheme="minorEastAsia" w:hAnsiTheme="minorEastAsia"/>
                <w:color w:val="auto"/>
                <w:szCs w:val="21"/>
                <w:highlight w:val="none"/>
              </w:rPr>
            </w:pPr>
            <w:r>
              <w:rPr>
                <w:rFonts w:hint="eastAsia" w:hAnsi="等线" w:cs="等线"/>
                <w:color w:val="auto"/>
                <w:sz w:val="21"/>
                <w:szCs w:val="21"/>
                <w:highlight w:val="none"/>
              </w:rPr>
              <w:t>开标程序</w:t>
            </w:r>
          </w:p>
        </w:tc>
        <w:tc>
          <w:tcPr>
            <w:tcW w:w="6813" w:type="dxa"/>
            <w:vAlign w:val="center"/>
          </w:tcPr>
          <w:p>
            <w:pPr>
              <w:numPr>
                <w:ilvl w:val="0"/>
                <w:numId w:val="9"/>
              </w:numPr>
              <w:autoSpaceDE w:val="0"/>
              <w:autoSpaceDN w:val="0"/>
              <w:adjustRightInd w:val="0"/>
              <w:spacing w:line="340" w:lineRule="exac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本项目采用远程“不见面”开标方式，投标前请详细阅读“全国公共资源交易平台（河南省·许昌市）”的“服务指南”栏目下《必看！新交易平台使用手册》中的相关内容。</w:t>
            </w:r>
          </w:p>
          <w:p>
            <w:pPr>
              <w:numPr>
                <w:ilvl w:val="0"/>
                <w:numId w:val="9"/>
              </w:numPr>
              <w:autoSpaceDE w:val="0"/>
              <w:autoSpaceDN w:val="0"/>
              <w:adjustRightInd w:val="0"/>
              <w:spacing w:line="340" w:lineRule="exac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供应商应按新交易平台使用手册提前设置好浏览器，并于开标时间前登录本项目网上开标大厅，按照规定的开标时间准时参加网上开标。</w:t>
            </w:r>
          </w:p>
          <w:p>
            <w:pPr>
              <w:numPr>
                <w:ilvl w:val="0"/>
                <w:numId w:val="9"/>
              </w:numPr>
              <w:autoSpaceDE w:val="0"/>
              <w:autoSpaceDN w:val="0"/>
              <w:adjustRightInd w:val="0"/>
              <w:spacing w:line="340" w:lineRule="exac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根据开标大厅界面右侧“公告栏”中的系统提示，供应商应在“标书解密”环节完成解密操作。供应商未解密或因供应商原因解密失败的，其响应文件将被退回。</w:t>
            </w:r>
          </w:p>
          <w:p>
            <w:pPr>
              <w:numPr>
                <w:ilvl w:val="0"/>
                <w:numId w:val="9"/>
              </w:numPr>
              <w:autoSpaceDE w:val="0"/>
              <w:autoSpaceDN w:val="0"/>
              <w:adjustRightInd w:val="0"/>
              <w:spacing w:line="340" w:lineRule="exac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在“唱标”环节，供应商应对唱标信息进行确认，供应商未进行唱标确认操作的，视同认可唱标结果。</w:t>
            </w:r>
          </w:p>
          <w:p>
            <w:pPr>
              <w:numPr>
                <w:ilvl w:val="0"/>
                <w:numId w:val="9"/>
              </w:numPr>
              <w:autoSpaceDE w:val="0"/>
              <w:autoSpaceDN w:val="0"/>
              <w:adjustRightInd w:val="0"/>
              <w:spacing w:line="340" w:lineRule="exact"/>
              <w:rPr>
                <w:rFonts w:hint="eastAsia" w:ascii="宋体" w:hAnsi="宋体" w:cs="仿宋_GB2312"/>
                <w:color w:val="auto"/>
                <w:sz w:val="21"/>
                <w:szCs w:val="21"/>
                <w:highlight w:val="none"/>
                <w:lang w:val="zh-CN"/>
              </w:rPr>
            </w:pPr>
            <w:r>
              <w:rPr>
                <w:rFonts w:hint="eastAsia" w:ascii="宋体" w:hAnsi="宋体" w:cs="宋体"/>
                <w:bCs/>
                <w:color w:val="auto"/>
                <w:sz w:val="21"/>
                <w:szCs w:val="21"/>
                <w:highlight w:val="none"/>
                <w:lang w:val="zh-CN"/>
              </w:rPr>
              <w:t>在“开标结束”环节，供应商应在《开标情况记录表》上进行电子签章。供应商未签章的，视同认可开标结果。</w:t>
            </w:r>
          </w:p>
          <w:p>
            <w:pPr>
              <w:autoSpaceDE w:val="0"/>
              <w:autoSpaceDN w:val="0"/>
              <w:adjustRightInd w:val="0"/>
              <w:spacing w:line="420" w:lineRule="exact"/>
              <w:rPr>
                <w:rFonts w:hint="eastAsia" w:cs="宋体" w:asciiTheme="minorEastAsia" w:hAnsiTheme="minorEastAsia"/>
                <w:b/>
                <w:bCs/>
                <w:color w:val="auto"/>
                <w:szCs w:val="21"/>
                <w:highlight w:val="none"/>
                <w:lang w:val="zh-CN"/>
              </w:rPr>
            </w:pPr>
            <w:r>
              <w:rPr>
                <w:rFonts w:hint="eastAsia" w:ascii="宋体" w:hAnsi="宋体" w:cs="宋体"/>
                <w:bCs/>
                <w:color w:val="auto"/>
                <w:sz w:val="21"/>
                <w:szCs w:val="21"/>
                <w:highlight w:val="none"/>
                <w:lang w:val="zh-CN"/>
              </w:rPr>
              <w:t>供应商对开标过程和开标记录如有异议，可在本项目开标大厅界面右下方“发起异议”中提出异议。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color w:val="auto"/>
                <w:szCs w:val="21"/>
                <w:highlight w:val="none"/>
                <w:lang w:val="en-US" w:eastAsia="zh-CN"/>
              </w:rPr>
            </w:pPr>
            <w:r>
              <w:rPr>
                <w:rFonts w:hint="eastAsia" w:cs="TimesNewRomanPSMT" w:asciiTheme="minorEastAsia" w:hAnsiTheme="minorEastAsia"/>
                <w:color w:val="auto"/>
                <w:szCs w:val="21"/>
                <w:highlight w:val="none"/>
              </w:rPr>
              <w:t>2</w:t>
            </w:r>
            <w:r>
              <w:rPr>
                <w:rFonts w:hint="eastAsia" w:cs="TimesNewRomanPSMT" w:asciiTheme="minorEastAsia" w:hAnsiTheme="minorEastAsia"/>
                <w:color w:val="auto"/>
                <w:szCs w:val="21"/>
                <w:highlight w:val="none"/>
                <w:lang w:val="en-US" w:eastAsia="zh-CN"/>
              </w:rPr>
              <w:t>1</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评标委员会组建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hint="eastAsia" w:ascii="新宋体" w:hAnsi="新宋体" w:eastAsia="新宋体"/>
                <w:b/>
                <w:color w:val="auto"/>
                <w:position w:val="2"/>
                <w:sz w:val="13"/>
                <w:szCs w:val="21"/>
                <w:highlight w:val="none"/>
              </w:rPr>
              <w:instrText xml:space="preserve">√</w:instrText>
            </w:r>
            <w:r>
              <w:rPr>
                <w:rFonts w:hint="eastAsia" w:ascii="新宋体" w:hAnsi="新宋体" w:eastAsia="新宋体"/>
                <w:b/>
                <w:color w:val="auto"/>
                <w:szCs w:val="21"/>
                <w:highlight w:val="none"/>
              </w:rPr>
              <w:instrText xml:space="preserve">)</w:instrText>
            </w:r>
            <w:r>
              <w:rPr>
                <w:rFonts w:ascii="新宋体" w:hAnsi="新宋体" w:eastAsia="新宋体"/>
                <w:b/>
                <w:color w:val="auto"/>
                <w:szCs w:val="21"/>
                <w:highlight w:val="none"/>
              </w:rPr>
              <w:fldChar w:fldCharType="end"/>
            </w:r>
            <w:r>
              <w:rPr>
                <w:rFonts w:hint="eastAsia" w:cs="仿宋_GB2312" w:asciiTheme="minorEastAsia" w:hAnsiTheme="minorEastAsia"/>
                <w:color w:val="auto"/>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cs="仿宋_GB2312" w:asciiTheme="minorEastAsia" w:hAnsiTheme="minorEastAsia"/>
                <w:color w:val="auto"/>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综合评分法</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pPr>
              <w:pStyle w:val="39"/>
              <w:spacing w:line="360" w:lineRule="auto"/>
              <w:rPr>
                <w:color w:val="auto"/>
                <w:highlight w:val="none"/>
                <w:lang w:val="zh-CN"/>
              </w:rPr>
            </w:pPr>
            <w:r>
              <w:rPr>
                <w:rFonts w:hint="eastAsia" w:cs="仿宋_GB2312" w:asciiTheme="minorEastAsia" w:hAnsiTheme="minorEastAsia"/>
                <w:color w:val="auto"/>
                <w:szCs w:val="21"/>
                <w:highlight w:val="none"/>
                <w:lang w:val="zh-CN"/>
              </w:rPr>
              <w:t>采购单位委派代表参加资格审查、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中小企业有关政策</w:t>
            </w:r>
          </w:p>
        </w:tc>
        <w:tc>
          <w:tcPr>
            <w:tcW w:w="6813" w:type="dxa"/>
            <w:vAlign w:val="center"/>
          </w:tcPr>
          <w:p>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highlight w:val="none"/>
              </w:rPr>
              <w:t>否则不得享受相关中小企业扶持政策。</w:t>
            </w:r>
          </w:p>
          <w:p>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2、</w:t>
            </w:r>
            <w:r>
              <w:rPr>
                <w:rFonts w:hint="eastAsia" w:ascii="ˎ̥" w:hAnsi="ˎ̥"/>
                <w:color w:val="auto"/>
                <w:highlight w:val="none"/>
                <w:lang w:eastAsia="zh-CN"/>
              </w:rPr>
              <w:t>本</w:t>
            </w:r>
            <w:r>
              <w:rPr>
                <w:rFonts w:hint="eastAsia" w:ascii="ˎ̥" w:hAnsi="ˎ̥"/>
                <w:color w:val="auto"/>
                <w:highlight w:val="none"/>
                <w:lang w:eastAsia="zh-CN"/>
              </w:rPr>
              <w:t>项目专门面向中小企业采购</w:t>
            </w:r>
            <w:r>
              <w:rPr>
                <w:rFonts w:hint="eastAsia" w:ascii="ˎ̥" w:hAnsi="ˎ̥"/>
                <w:color w:val="auto"/>
                <w:highlight w:val="none"/>
              </w:rPr>
              <w:t>。</w:t>
            </w:r>
          </w:p>
          <w:p>
            <w:pPr>
              <w:numPr>
                <w:ilvl w:val="0"/>
                <w:numId w:val="0"/>
              </w:numPr>
              <w:autoSpaceDE w:val="0"/>
              <w:autoSpaceDN w:val="0"/>
              <w:adjustRightInd w:val="0"/>
              <w:spacing w:line="360" w:lineRule="auto"/>
              <w:contextualSpacing/>
              <w:rPr>
                <w:rFonts w:hint="eastAsia" w:ascii="ˎ̥" w:hAnsi="ˎ̥"/>
                <w:color w:val="auto"/>
                <w:highlight w:val="none"/>
              </w:rPr>
            </w:pPr>
            <w:r>
              <w:rPr>
                <w:rFonts w:hint="eastAsia" w:ascii="ˎ̥" w:hAnsi="ˎ̥"/>
                <w:color w:val="auto"/>
                <w:highlight w:val="none"/>
                <w:lang w:val="en-US" w:eastAsia="zh-CN"/>
              </w:rPr>
              <w:t>3、</w:t>
            </w:r>
            <w:r>
              <w:rPr>
                <w:rFonts w:hint="eastAsia" w:ascii="ˎ̥" w:hAnsi="ˎ̥"/>
                <w:color w:val="auto"/>
                <w:highlight w:val="none"/>
              </w:rPr>
              <w:t>本次</w:t>
            </w:r>
            <w:r>
              <w:rPr>
                <w:rFonts w:ascii="ˎ̥" w:hAnsi="ˎ̥"/>
                <w:color w:val="auto"/>
                <w:highlight w:val="none"/>
              </w:rPr>
              <w:t>采购标的对应的中小企业划分标准所属行业</w:t>
            </w:r>
            <w:r>
              <w:rPr>
                <w:rFonts w:hint="eastAsia" w:ascii="ˎ̥" w:hAnsi="ˎ̥"/>
                <w:color w:val="auto"/>
                <w:highlight w:val="none"/>
              </w:rPr>
              <w:t>：</w:t>
            </w:r>
            <w:r>
              <w:rPr>
                <w:rFonts w:hint="eastAsia" w:ascii="ˎ̥" w:hAnsi="ˎ̥"/>
                <w:color w:val="auto"/>
                <w:highlight w:val="none"/>
                <w:lang w:eastAsia="zh-CN"/>
              </w:rPr>
              <w:t>其他未列明行业</w:t>
            </w:r>
            <w:r>
              <w:rPr>
                <w:rFonts w:hint="eastAsia" w:ascii="ˎ̥" w:hAnsi="ˎ̥"/>
                <w:color w:val="auto"/>
                <w:highlight w:val="none"/>
              </w:rPr>
              <w:t>。</w:t>
            </w:r>
          </w:p>
          <w:p>
            <w:pPr>
              <w:spacing w:line="360" w:lineRule="auto"/>
              <w:contextualSpacing/>
              <w:rPr>
                <w:rFonts w:cs="仿宋_GB2312" w:asciiTheme="minorEastAsia" w:hAnsiTheme="minorEastAsia"/>
                <w:color w:val="auto"/>
                <w:szCs w:val="21"/>
                <w:highlight w:val="none"/>
              </w:rPr>
            </w:pPr>
            <w:r>
              <w:rPr>
                <w:rFonts w:hint="eastAsia" w:ascii="ˎ̥" w:hAnsi="ˎ̥"/>
                <w:color w:val="auto"/>
                <w:highlight w:val="none"/>
                <w:lang w:val="en-US" w:eastAsia="zh-CN"/>
              </w:rPr>
              <w:t>4</w:t>
            </w:r>
            <w:r>
              <w:rPr>
                <w:rFonts w:hint="eastAsia" w:ascii="ˎ̥" w:hAnsi="ˎ̥"/>
                <w:color w:val="auto"/>
                <w:highlight w:val="none"/>
              </w:rPr>
              <w:t>、本项目不接受联合体投标。</w:t>
            </w:r>
          </w:p>
          <w:p>
            <w:pPr>
              <w:autoSpaceDE w:val="0"/>
              <w:autoSpaceDN w:val="0"/>
              <w:adjustRightInd w:val="0"/>
              <w:spacing w:line="360" w:lineRule="auto"/>
              <w:contextualSpacing/>
              <w:rPr>
                <w:rFonts w:ascii="ˎ̥" w:hAnsi="ˎ̥"/>
                <w:color w:val="auto"/>
                <w:highlight w:val="none"/>
              </w:rPr>
            </w:pPr>
            <w:r>
              <w:rPr>
                <w:rFonts w:hint="eastAsia" w:ascii="ˎ̥" w:hAnsi="ˎ̥"/>
                <w:color w:val="auto"/>
                <w:highlight w:val="none"/>
                <w:lang w:val="en-US" w:eastAsia="zh-CN"/>
              </w:rPr>
              <w:t>5</w:t>
            </w:r>
            <w:r>
              <w:rPr>
                <w:rFonts w:hint="eastAsia" w:ascii="ˎ̥" w:hAnsi="ˎ̥"/>
                <w:color w:val="auto"/>
                <w:highlight w:val="none"/>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highlight w:val="none"/>
                <w:lang w:val="zh-CN"/>
              </w:rPr>
            </w:pPr>
            <w:r>
              <w:rPr>
                <w:rFonts w:hint="eastAsia" w:ascii="ˎ̥" w:hAnsi="ˎ̥"/>
                <w:color w:val="auto"/>
                <w:highlight w:val="none"/>
                <w:lang w:val="en-US" w:eastAsia="zh-CN"/>
              </w:rPr>
              <w:t>6</w:t>
            </w:r>
            <w:r>
              <w:rPr>
                <w:rFonts w:hint="eastAsia" w:ascii="ˎ̥" w:hAnsi="ˎ̥"/>
                <w:color w:val="auto"/>
                <w:highlight w:val="none"/>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3"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节能环保要求</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1、本项目强制采购的节能产品：（无）</w:t>
            </w:r>
          </w:p>
          <w:p>
            <w:pPr>
              <w:autoSpaceDE w:val="0"/>
              <w:autoSpaceDN w:val="0"/>
              <w:adjustRightInd w:val="0"/>
              <w:spacing w:line="360" w:lineRule="auto"/>
              <w:rPr>
                <w:rFonts w:ascii="ˎ̥" w:hAnsi="ˎ̥"/>
                <w:color w:val="auto"/>
                <w:highlight w:val="none"/>
                <w:lang w:val="zh-CN"/>
              </w:rPr>
            </w:pPr>
            <w:r>
              <w:rPr>
                <w:rFonts w:hint="eastAsia" w:cs="宋体" w:asciiTheme="minorEastAsia" w:hAnsiTheme="minorEastAsia"/>
                <w:bCs/>
                <w:color w:val="auto"/>
                <w:szCs w:val="21"/>
                <w:highlight w:val="none"/>
                <w:lang w:val="en-US" w:eastAsia="zh-CN"/>
              </w:rPr>
              <w:t>2、</w:t>
            </w:r>
            <w:r>
              <w:rPr>
                <w:rFonts w:hint="eastAsia" w:cs="宋体" w:asciiTheme="minorEastAsia" w:hAnsiTheme="minorEastAsia"/>
                <w:bCs/>
                <w:color w:val="auto"/>
                <w:szCs w:val="21"/>
                <w:highlight w:val="none"/>
                <w:lang w:val="zh-CN"/>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ascii="宋体" w:hAnsi="宋体" w:eastAsia="宋体" w:cs="宋体"/>
                <w:color w:val="auto"/>
                <w:szCs w:val="21"/>
                <w:highlight w:val="none"/>
              </w:rPr>
              <w:t>网络关键设备、网络安全专用产品要求</w:t>
            </w:r>
          </w:p>
        </w:tc>
        <w:tc>
          <w:tcPr>
            <w:tcW w:w="6813" w:type="dxa"/>
            <w:vAlign w:val="center"/>
          </w:tcPr>
          <w:p>
            <w:pPr>
              <w:numPr>
                <w:ilvl w:val="0"/>
                <w:numId w:val="10"/>
              </w:numPr>
              <w:autoSpaceDE w:val="0"/>
              <w:autoSpaceDN w:val="0"/>
              <w:adjustRightInd w:val="0"/>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本项目网络关键设备：（无）；网络安全专用产品：（无）</w:t>
            </w:r>
          </w:p>
          <w:p>
            <w:pPr>
              <w:numPr>
                <w:ilvl w:val="0"/>
                <w:numId w:val="10"/>
              </w:numPr>
              <w:autoSpaceDE w:val="0"/>
              <w:autoSpaceDN w:val="0"/>
              <w:adjustRightInd w:val="0"/>
              <w:spacing w:line="420" w:lineRule="exact"/>
              <w:rPr>
                <w:rFonts w:ascii="宋体" w:hAnsi="宋体" w:eastAsia="宋体" w:cs="宋体"/>
                <w:bCs/>
                <w:color w:val="auto"/>
                <w:szCs w:val="21"/>
                <w:highlight w:val="none"/>
                <w:lang w:val="zh-CN"/>
              </w:rPr>
            </w:pPr>
            <w:r>
              <w:rPr>
                <w:rFonts w:hint="eastAsia" w:ascii="宋体" w:hAnsi="宋体" w:eastAsia="宋体" w:cs="宋体"/>
                <w:color w:val="auto"/>
                <w:szCs w:val="21"/>
                <w:highlight w:val="none"/>
              </w:rPr>
              <w:t>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numPr>
                <w:ilvl w:val="0"/>
                <w:numId w:val="0"/>
              </w:numPr>
              <w:autoSpaceDE w:val="0"/>
              <w:autoSpaceDN w:val="0"/>
              <w:adjustRightInd w:val="0"/>
              <w:spacing w:line="420" w:lineRule="exact"/>
              <w:ind w:left="0" w:leftChars="0" w:firstLine="0" w:firstLineChars="0"/>
              <w:rPr>
                <w:rFonts w:cs="宋体" w:asciiTheme="minorEastAsia" w:hAnsiTheme="minorEastAsia"/>
                <w:bCs/>
                <w:color w:val="auto"/>
                <w:szCs w:val="21"/>
                <w:highlight w:val="none"/>
                <w:lang w:val="zh-CN"/>
              </w:rPr>
            </w:pPr>
            <w:r>
              <w:rPr>
                <w:rFonts w:hint="eastAsia" w:ascii="宋体" w:hAnsi="宋体" w:eastAsia="宋体" w:cs="宋体"/>
                <w:color w:val="auto"/>
                <w:szCs w:val="21"/>
                <w:highlight w:val="none"/>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7</w:t>
            </w:r>
          </w:p>
        </w:tc>
        <w:tc>
          <w:tcPr>
            <w:tcW w:w="2268" w:type="dxa"/>
            <w:vAlign w:val="center"/>
          </w:tcPr>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 xml:space="preserve">政府采购合同融资 </w:t>
            </w:r>
          </w:p>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政策告知函</w:t>
            </w:r>
          </w:p>
        </w:tc>
        <w:tc>
          <w:tcPr>
            <w:tcW w:w="6813" w:type="dxa"/>
            <w:vAlign w:val="center"/>
          </w:tcPr>
          <w:p>
            <w:pPr>
              <w:autoSpaceDE w:val="0"/>
              <w:autoSpaceDN w:val="0"/>
              <w:adjustRightInd w:val="0"/>
              <w:spacing w:line="36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8</w:t>
            </w:r>
          </w:p>
        </w:tc>
        <w:tc>
          <w:tcPr>
            <w:tcW w:w="2268" w:type="dxa"/>
            <w:vAlign w:val="center"/>
          </w:tcPr>
          <w:p>
            <w:pPr>
              <w:pageBreakBefore w:val="0"/>
              <w:kinsoku/>
              <w:overflowPunct/>
              <w:autoSpaceDE w:val="0"/>
              <w:autoSpaceDN w:val="0"/>
              <w:bidi w:val="0"/>
              <w:adjustRightInd w:val="0"/>
              <w:snapToGrid/>
              <w:spacing w:line="360" w:lineRule="auto"/>
              <w:jc w:val="center"/>
              <w:rPr>
                <w:rFonts w:hint="eastAsia" w:cs="宋体" w:asciiTheme="minorEastAsia" w:hAnsiTheme="minorEastAsia" w:eastAsiaTheme="minorEastAsia"/>
                <w:color w:val="auto"/>
                <w:kern w:val="2"/>
                <w:sz w:val="21"/>
                <w:szCs w:val="21"/>
                <w:highlight w:val="none"/>
                <w:lang w:val="zh-CN" w:eastAsia="zh-CN" w:bidi="ar-SA"/>
              </w:rPr>
            </w:pPr>
            <w:r>
              <w:rPr>
                <w:rFonts w:hint="eastAsia" w:ascii="宋体" w:hAnsi="宋体" w:eastAsia="宋体" w:cs="宋体"/>
                <w:color w:val="auto"/>
                <w:kern w:val="0"/>
                <w:szCs w:val="21"/>
                <w:highlight w:val="none"/>
              </w:rPr>
              <w:t>加快推广绿色建材发展应用</w:t>
            </w:r>
          </w:p>
        </w:tc>
        <w:tc>
          <w:tcPr>
            <w:tcW w:w="6813" w:type="dxa"/>
            <w:vAlign w:val="center"/>
          </w:tcPr>
          <w:p>
            <w:pPr>
              <w:pageBreakBefore w:val="0"/>
              <w:kinsoku/>
              <w:overflowPunct/>
              <w:autoSpaceDE w:val="0"/>
              <w:autoSpaceDN w:val="0"/>
              <w:bidi w:val="0"/>
              <w:adjustRightInd w:val="0"/>
              <w:snapToGrid/>
              <w:spacing w:line="360" w:lineRule="auto"/>
              <w:ind w:right="-11" w:rightChars="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1、本项目推广绿色建材产品：（无）</w:t>
            </w:r>
          </w:p>
          <w:p>
            <w:pPr>
              <w:pageBreakBefore w:val="0"/>
              <w:kinsoku/>
              <w:overflowPunct/>
              <w:autoSpaceDE w:val="0"/>
              <w:autoSpaceDN w:val="0"/>
              <w:bidi w:val="0"/>
              <w:adjustRightInd w:val="0"/>
              <w:snapToGrid/>
              <w:spacing w:line="360" w:lineRule="auto"/>
              <w:ind w:right="-11" w:rightChars="0"/>
              <w:rPr>
                <w:rFonts w:hint="eastAsia" w:cs="宋体" w:asciiTheme="minorEastAsia" w:hAnsiTheme="minorEastAsia" w:eastAsiaTheme="minorEastAsia"/>
                <w:color w:val="auto"/>
                <w:kern w:val="2"/>
                <w:sz w:val="21"/>
                <w:szCs w:val="21"/>
                <w:highlight w:val="none"/>
                <w:lang w:val="en-US" w:eastAsia="zh-CN" w:bidi="ar-SA"/>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2</w:t>
            </w:r>
            <w:r>
              <w:rPr>
                <w:rFonts w:hint="eastAsia" w:cs="黑体" w:asciiTheme="minorEastAsia" w:hAnsiTheme="minorEastAsia"/>
                <w:color w:val="auto"/>
                <w:szCs w:val="21"/>
                <w:highlight w:val="none"/>
                <w:lang w:val="en-US" w:eastAsia="zh-CN"/>
              </w:rPr>
              <w:t>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lang w:val="zh-CN"/>
              </w:rPr>
              <w:t>要求提交。履约保证金的数额为合同金额的%。成交供应商以支票、汇票、本票或者金融机构、担保机构出具的保函等非现金形式向采购人提交。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代理服务费</w:t>
            </w:r>
          </w:p>
        </w:tc>
        <w:tc>
          <w:tcPr>
            <w:tcW w:w="6813" w:type="dxa"/>
            <w:vAlign w:val="center"/>
          </w:tcPr>
          <w:p>
            <w:pPr>
              <w:autoSpaceDE w:val="0"/>
              <w:autoSpaceDN w:val="0"/>
              <w:spacing w:line="360" w:lineRule="auto"/>
              <w:contextualSpacing/>
              <w:rPr>
                <w:rFonts w:hint="eastAsia"/>
                <w:color w:val="auto"/>
                <w:highlight w:val="none"/>
                <w:lang w:eastAsia="zh-CN"/>
              </w:rPr>
            </w:pPr>
            <w:r>
              <w:rPr>
                <w:color w:val="auto"/>
                <w:highlight w:val="none"/>
                <w:lang w:val="zh-CN"/>
              </w:rPr>
              <w:fldChar w:fldCharType="begin"/>
            </w:r>
            <w:r>
              <w:rPr>
                <w:rFonts w:hint="eastAsia"/>
                <w:color w:val="auto"/>
                <w:highlight w:val="none"/>
                <w:lang w:val="zh-CN"/>
              </w:rPr>
              <w:instrText xml:space="preserve">eq \o\ac(□,√)</w:instrText>
            </w:r>
            <w:r>
              <w:rPr>
                <w:color w:val="auto"/>
                <w:highlight w:val="none"/>
                <w:lang w:val="zh-CN"/>
              </w:rPr>
              <w:fldChar w:fldCharType="end"/>
            </w:r>
            <w:r>
              <w:rPr>
                <w:rFonts w:hint="eastAsia"/>
                <w:color w:val="auto"/>
                <w:highlight w:val="none"/>
                <w:lang w:val="zh-CN"/>
              </w:rPr>
              <w:t>收取，</w:t>
            </w:r>
            <w:r>
              <w:rPr>
                <w:rFonts w:hint="eastAsia"/>
                <w:color w:val="auto"/>
                <w:highlight w:val="none"/>
              </w:rPr>
              <w:t>招标代理服务费由中标人支付，</w:t>
            </w:r>
            <w:r>
              <w:rPr>
                <w:rFonts w:hint="eastAsia"/>
                <w:color w:val="auto"/>
                <w:highlight w:val="none"/>
                <w:lang w:eastAsia="zh-CN"/>
              </w:rPr>
              <w:t>按照豫招协</w:t>
            </w:r>
            <w:r>
              <w:rPr>
                <w:rFonts w:hint="eastAsia"/>
                <w:color w:val="auto"/>
                <w:highlight w:val="none"/>
              </w:rPr>
              <w:t>〔</w:t>
            </w:r>
            <w:r>
              <w:rPr>
                <w:color w:val="auto"/>
                <w:highlight w:val="none"/>
              </w:rPr>
              <w:t>20</w:t>
            </w:r>
            <w:r>
              <w:rPr>
                <w:rFonts w:hint="eastAsia"/>
                <w:color w:val="auto"/>
                <w:highlight w:val="none"/>
                <w:lang w:val="en-US" w:eastAsia="zh-CN"/>
              </w:rPr>
              <w:t>23</w:t>
            </w:r>
            <w:r>
              <w:rPr>
                <w:rFonts w:hint="eastAsia"/>
                <w:color w:val="auto"/>
                <w:highlight w:val="none"/>
              </w:rPr>
              <w:t>〕</w:t>
            </w:r>
            <w:r>
              <w:rPr>
                <w:rFonts w:hint="eastAsia"/>
                <w:color w:val="auto"/>
                <w:highlight w:val="none"/>
                <w:lang w:val="en-US" w:eastAsia="zh-CN"/>
              </w:rPr>
              <w:t>002</w:t>
            </w:r>
            <w:r>
              <w:rPr>
                <w:rFonts w:hint="eastAsia"/>
                <w:color w:val="auto"/>
                <w:highlight w:val="none"/>
              </w:rPr>
              <w:t>《</w:t>
            </w:r>
            <w:r>
              <w:rPr>
                <w:rFonts w:hint="eastAsia"/>
                <w:color w:val="auto"/>
                <w:highlight w:val="none"/>
                <w:lang w:eastAsia="zh-CN"/>
              </w:rPr>
              <w:t>河南省招标代理服务收费指导意见</w:t>
            </w:r>
            <w:r>
              <w:rPr>
                <w:rFonts w:hint="eastAsia"/>
                <w:color w:val="auto"/>
                <w:highlight w:val="none"/>
              </w:rPr>
              <w:t>》</w:t>
            </w:r>
            <w:r>
              <w:rPr>
                <w:rFonts w:hint="eastAsia"/>
                <w:color w:val="auto"/>
                <w:highlight w:val="none"/>
                <w:lang w:eastAsia="zh-CN"/>
              </w:rPr>
              <w:t>收取，由中标单位在领取中标通知书时一次性支付给代理机构。</w:t>
            </w:r>
          </w:p>
          <w:p>
            <w:pPr>
              <w:autoSpaceDE w:val="0"/>
              <w:autoSpaceDN w:val="0"/>
              <w:spacing w:line="360" w:lineRule="auto"/>
              <w:contextualSpacing/>
              <w:rPr>
                <w:rFonts w:hint="eastAsia"/>
                <w:color w:val="auto"/>
                <w:sz w:val="21"/>
                <w:szCs w:val="21"/>
                <w:highlight w:val="none"/>
                <w:lang w:eastAsia="zh-CN"/>
              </w:rPr>
            </w:pPr>
            <w:r>
              <w:rPr>
                <w:rFonts w:hint="eastAsia"/>
                <w:color w:val="auto"/>
                <w:sz w:val="21"/>
                <w:szCs w:val="21"/>
                <w:highlight w:val="none"/>
                <w:lang w:eastAsia="zh-CN"/>
              </w:rPr>
              <w:t>招标代理服务收费按差额定率累计法计算：</w:t>
            </w:r>
          </w:p>
          <w:p>
            <w:pPr>
              <w:pStyle w:val="28"/>
              <w:ind w:firstLine="340" w:firstLineChars="100"/>
              <w:rPr>
                <w:rFonts w:cs="宋体" w:asciiTheme="minorEastAsia" w:hAnsiTheme="minorEastAsia"/>
                <w:bCs/>
                <w:color w:val="auto"/>
                <w:szCs w:val="21"/>
                <w:highlight w:val="none"/>
                <w:lang w:val="zh-CN"/>
              </w:rPr>
            </w:pPr>
            <w:r>
              <w:rPr>
                <w:rFonts w:hint="eastAsia"/>
                <w:color w:val="auto"/>
                <w:highlight w:val="none"/>
                <w:lang w:eastAsia="zh-CN"/>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11"/>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宋体"/>
                <w:color w:val="auto"/>
                <w:szCs w:val="21"/>
                <w:highlight w:val="none"/>
                <w:lang w:val="zh-CN"/>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Cs w:val="21"/>
                <w:highlight w:val="none"/>
                <w:lang w:val="zh-CN"/>
              </w:rPr>
              <w:t>联系电话：</w:t>
            </w:r>
            <w:r>
              <w:rPr>
                <w:rFonts w:hint="eastAsia"/>
                <w:color w:val="auto"/>
                <w:highlight w:val="none"/>
              </w:rPr>
              <w:t>0374-8281999</w:t>
            </w:r>
            <w:r>
              <w:rPr>
                <w:rFonts w:hint="eastAsia" w:cs="宋体" w:asciiTheme="minorEastAsia" w:hAnsiTheme="minorEastAsia"/>
                <w:color w:val="auto"/>
                <w:szCs w:val="21"/>
                <w:highlight w:val="none"/>
                <w:lang w:val="zh-CN"/>
              </w:rPr>
              <w:t>，邮箱：</w:t>
            </w:r>
            <w:r>
              <w:rPr>
                <w:rFonts w:hint="eastAsia" w:cs="宋体" w:asciiTheme="minorEastAsia" w:hAnsiTheme="minorEastAsia"/>
                <w:color w:val="auto"/>
                <w:szCs w:val="21"/>
                <w:highlight w:val="none"/>
              </w:rPr>
              <w:t>xcfyzxgl@126.com</w:t>
            </w:r>
            <w:r>
              <w:rPr>
                <w:rFonts w:hint="eastAsia" w:ascii="宋体" w:hAnsi="宋体" w:cs="宋体"/>
                <w:color w:val="auto"/>
                <w:szCs w:val="21"/>
                <w:highlight w:val="none"/>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w:t>
            </w:r>
            <w:r>
              <w:rPr>
                <w:rFonts w:hint="eastAsia" w:cs="黑体" w:asciiTheme="minorEastAsia" w:hAnsiTheme="minorEastAsia"/>
                <w:color w:val="auto"/>
                <w:szCs w:val="21"/>
                <w:highlight w:val="none"/>
                <w:lang w:val="en-US" w:eastAsia="zh-CN"/>
              </w:rPr>
              <w:t>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w:t>
            </w:r>
            <w:r>
              <w:rPr>
                <w:rFonts w:hint="eastAsia" w:cs="黑体" w:asciiTheme="minorEastAsia" w:hAnsiTheme="minorEastAsia"/>
                <w:color w:val="auto"/>
                <w:szCs w:val="21"/>
                <w:highlight w:val="none"/>
                <w:lang w:val="en-US" w:eastAsia="zh-CN"/>
              </w:rPr>
              <w:t>3</w:t>
            </w:r>
          </w:p>
        </w:tc>
        <w:tc>
          <w:tcPr>
            <w:tcW w:w="2268" w:type="dxa"/>
            <w:vAlign w:val="center"/>
          </w:tcPr>
          <w:p>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投标人代表出席开标会及其他</w:t>
            </w:r>
          </w:p>
        </w:tc>
        <w:tc>
          <w:tcPr>
            <w:tcW w:w="6813" w:type="dxa"/>
            <w:vAlign w:val="center"/>
          </w:tcPr>
          <w:p>
            <w:pPr>
              <w:spacing w:line="312" w:lineRule="auto"/>
              <w:rPr>
                <w:rFonts w:hAnsi="宋体" w:cs="宋体"/>
                <w:color w:val="auto"/>
                <w:szCs w:val="21"/>
                <w:highlight w:val="none"/>
                <w:lang w:val="zh-CN"/>
              </w:rPr>
            </w:pPr>
            <w:r>
              <w:rPr>
                <w:rFonts w:hint="eastAsia" w:hAnsi="宋体" w:cs="宋体"/>
                <w:color w:val="auto"/>
                <w:szCs w:val="21"/>
                <w:highlight w:val="none"/>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w:t>
            </w:r>
            <w:r>
              <w:rPr>
                <w:rFonts w:hint="eastAsia" w:cs="黑体" w:asciiTheme="minorEastAsia" w:hAnsiTheme="minorEastAsia"/>
                <w:color w:val="auto"/>
                <w:szCs w:val="21"/>
                <w:highlight w:val="none"/>
                <w:lang w:val="en-US" w:eastAsia="zh-CN"/>
              </w:rPr>
              <w:t>4</w:t>
            </w:r>
          </w:p>
        </w:tc>
        <w:tc>
          <w:tcPr>
            <w:tcW w:w="2268" w:type="dxa"/>
            <w:vAlign w:val="center"/>
          </w:tcPr>
          <w:p>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解释权</w:t>
            </w:r>
          </w:p>
        </w:tc>
        <w:tc>
          <w:tcPr>
            <w:tcW w:w="6813" w:type="dxa"/>
            <w:vAlign w:val="center"/>
          </w:tcPr>
          <w:p>
            <w:pPr>
              <w:spacing w:line="360" w:lineRule="auto"/>
              <w:rPr>
                <w:rFonts w:hAnsi="宋体" w:cs="宋体"/>
                <w:color w:val="auto"/>
                <w:szCs w:val="21"/>
                <w:highlight w:val="none"/>
                <w:lang w:val="zh-CN"/>
              </w:rPr>
            </w:pPr>
            <w:r>
              <w:rPr>
                <w:rFonts w:hint="eastAsia" w:hAnsi="宋体" w:cs="宋体"/>
                <w:color w:val="auto"/>
                <w:szCs w:val="21"/>
                <w:highlight w:val="none"/>
                <w:lang w:val="zh-CN"/>
              </w:rPr>
              <w:t>构成本招标文件的各个组成文件应互为解释，互为说明；</w:t>
            </w:r>
          </w:p>
          <w:p>
            <w:pPr>
              <w:spacing w:line="360" w:lineRule="auto"/>
              <w:rPr>
                <w:rFonts w:hAnsi="宋体" w:cs="宋体"/>
                <w:color w:val="auto"/>
                <w:szCs w:val="21"/>
                <w:highlight w:val="none"/>
                <w:lang w:val="zh-CN"/>
              </w:rPr>
            </w:pPr>
            <w:r>
              <w:rPr>
                <w:rFonts w:hAnsi="宋体" w:cs="宋体"/>
                <w:color w:val="auto"/>
                <w:szCs w:val="21"/>
                <w:highlight w:val="none"/>
                <w:lang w:val="zh-CN"/>
              </w:rPr>
              <w:t>1</w:t>
            </w:r>
            <w:r>
              <w:rPr>
                <w:rFonts w:hint="eastAsia" w:hAnsi="宋体" w:cs="宋体"/>
                <w:color w:val="auto"/>
                <w:szCs w:val="21"/>
                <w:highlight w:val="none"/>
                <w:lang w:val="zh-CN"/>
              </w:rPr>
              <w:t>、除招标文件中有特别规定外，仅适用于招标投标阶段的规定，按招标公告（投标邀请书）、投标人须知、评标办法的先后顺序解释；</w:t>
            </w:r>
          </w:p>
          <w:p>
            <w:pPr>
              <w:spacing w:line="360" w:lineRule="auto"/>
              <w:rPr>
                <w:rFonts w:hAnsi="宋体" w:cs="宋体"/>
                <w:color w:val="auto"/>
                <w:szCs w:val="21"/>
                <w:highlight w:val="none"/>
                <w:lang w:val="zh-CN"/>
              </w:rPr>
            </w:pPr>
            <w:r>
              <w:rPr>
                <w:rFonts w:hint="eastAsia" w:hAnsi="宋体" w:cs="宋体"/>
                <w:color w:val="auto"/>
                <w:szCs w:val="21"/>
                <w:highlight w:val="none"/>
                <w:lang w:val="en-US" w:eastAsia="zh-CN"/>
              </w:rPr>
              <w:t>2</w:t>
            </w:r>
            <w:r>
              <w:rPr>
                <w:rFonts w:hint="eastAsia" w:hAnsi="宋体" w:cs="宋体"/>
                <w:color w:val="auto"/>
                <w:szCs w:val="21"/>
                <w:highlight w:val="none"/>
                <w:lang w:val="zh-CN"/>
              </w:rPr>
              <w:t>、同一组成文件中就同一事项的规定或约定不一致的，以编排顺序在后者为准；</w:t>
            </w:r>
          </w:p>
          <w:p>
            <w:pPr>
              <w:spacing w:line="360" w:lineRule="auto"/>
              <w:rPr>
                <w:rFonts w:hAnsi="宋体" w:cs="宋体"/>
                <w:color w:val="auto"/>
                <w:szCs w:val="21"/>
                <w:highlight w:val="none"/>
                <w:lang w:val="zh-CN"/>
              </w:rPr>
            </w:pPr>
            <w:r>
              <w:rPr>
                <w:rFonts w:hint="eastAsia" w:hAnsi="宋体" w:cs="宋体"/>
                <w:color w:val="auto"/>
                <w:szCs w:val="21"/>
                <w:highlight w:val="none"/>
                <w:lang w:val="en-US" w:eastAsia="zh-CN"/>
              </w:rPr>
              <w:t>3</w:t>
            </w:r>
            <w:r>
              <w:rPr>
                <w:rFonts w:hint="eastAsia" w:hAnsi="宋体" w:cs="宋体"/>
                <w:color w:val="auto"/>
                <w:szCs w:val="21"/>
                <w:highlight w:val="none"/>
                <w:lang w:val="zh-CN"/>
              </w:rPr>
              <w:t>、同一组成文件不同版本之间有不一致的，以形成时间在后者为准；</w:t>
            </w:r>
          </w:p>
          <w:p>
            <w:pPr>
              <w:autoSpaceDE w:val="0"/>
              <w:autoSpaceDN w:val="0"/>
              <w:adjustRightInd w:val="0"/>
              <w:spacing w:line="360" w:lineRule="auto"/>
              <w:contextualSpacing/>
              <w:rPr>
                <w:rFonts w:hAnsi="宋体" w:cs="宋体"/>
                <w:color w:val="auto"/>
                <w:szCs w:val="21"/>
                <w:highlight w:val="none"/>
                <w:lang w:val="zh-CN"/>
              </w:rPr>
            </w:pPr>
            <w:r>
              <w:rPr>
                <w:rFonts w:hint="eastAsia" w:hAnsi="宋体" w:cs="宋体"/>
                <w:color w:val="auto"/>
                <w:szCs w:val="21"/>
                <w:highlight w:val="none"/>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w:t>
            </w:r>
            <w:r>
              <w:rPr>
                <w:rFonts w:hint="eastAsia" w:cs="黑体" w:asciiTheme="minorEastAsia" w:hAnsiTheme="minorEastAsia"/>
                <w:color w:val="auto"/>
                <w:szCs w:val="21"/>
                <w:highlight w:val="none"/>
                <w:lang w:val="en-US" w:eastAsia="zh-CN"/>
              </w:rPr>
              <w:t>5</w:t>
            </w:r>
          </w:p>
        </w:tc>
        <w:tc>
          <w:tcPr>
            <w:tcW w:w="2268" w:type="dxa"/>
            <w:vAlign w:val="center"/>
          </w:tcPr>
          <w:p>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知识产权</w:t>
            </w:r>
          </w:p>
        </w:tc>
        <w:tc>
          <w:tcPr>
            <w:tcW w:w="6813" w:type="dxa"/>
            <w:vAlign w:val="center"/>
          </w:tcPr>
          <w:p>
            <w:pPr>
              <w:spacing w:line="360" w:lineRule="auto"/>
              <w:rPr>
                <w:rFonts w:hAnsi="宋体" w:cs="宋体"/>
                <w:color w:val="auto"/>
                <w:szCs w:val="21"/>
                <w:highlight w:val="none"/>
                <w:lang w:val="zh-CN"/>
              </w:rPr>
            </w:pPr>
            <w:r>
              <w:rPr>
                <w:rFonts w:hint="eastAsia" w:hAnsi="宋体" w:cs="宋体"/>
                <w:color w:val="auto"/>
                <w:szCs w:val="21"/>
                <w:highlight w:val="none"/>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w:t>
            </w:r>
            <w:r>
              <w:rPr>
                <w:rFonts w:hint="eastAsia" w:cs="黑体" w:asciiTheme="minorEastAsia" w:hAnsiTheme="minorEastAsia"/>
                <w:color w:val="auto"/>
                <w:szCs w:val="21"/>
                <w:highlight w:val="none"/>
                <w:lang w:val="en-US" w:eastAsia="zh-CN"/>
              </w:rPr>
              <w:t>6</w:t>
            </w:r>
          </w:p>
        </w:tc>
        <w:tc>
          <w:tcPr>
            <w:tcW w:w="2268" w:type="dxa"/>
            <w:vAlign w:val="center"/>
          </w:tcPr>
          <w:p>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投标费用</w:t>
            </w:r>
          </w:p>
        </w:tc>
        <w:tc>
          <w:tcPr>
            <w:tcW w:w="6813" w:type="dxa"/>
            <w:vAlign w:val="center"/>
          </w:tcPr>
          <w:p>
            <w:pPr>
              <w:spacing w:line="360" w:lineRule="auto"/>
              <w:rPr>
                <w:rFonts w:hAnsi="宋体" w:cs="宋体"/>
                <w:color w:val="auto"/>
                <w:szCs w:val="21"/>
                <w:highlight w:val="none"/>
                <w:lang w:val="zh-CN"/>
              </w:rPr>
            </w:pPr>
            <w:r>
              <w:rPr>
                <w:rFonts w:hint="eastAsia" w:hAnsi="宋体" w:cs="宋体"/>
                <w:color w:val="auto"/>
                <w:szCs w:val="21"/>
                <w:highlight w:val="none"/>
                <w:lang w:val="zh-CN"/>
              </w:rPr>
              <w:t>供应商应自行承担参加投标活动有关的全部费用，招标人和招标代理机构在任何情况下均无义务和责任承担上述费用。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w:t>
            </w:r>
            <w:r>
              <w:rPr>
                <w:rFonts w:hint="eastAsia" w:cs="黑体" w:asciiTheme="minorEastAsia" w:hAnsiTheme="minorEastAsia"/>
                <w:color w:val="auto"/>
                <w:szCs w:val="21"/>
                <w:highlight w:val="none"/>
                <w:lang w:val="en-US" w:eastAsia="zh-CN"/>
              </w:rPr>
              <w:t>7</w:t>
            </w:r>
          </w:p>
        </w:tc>
        <w:tc>
          <w:tcPr>
            <w:tcW w:w="2268" w:type="dxa"/>
            <w:vAlign w:val="center"/>
          </w:tcPr>
          <w:p>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纪律和监督</w:t>
            </w:r>
          </w:p>
        </w:tc>
        <w:tc>
          <w:tcPr>
            <w:tcW w:w="6813" w:type="dxa"/>
            <w:vAlign w:val="center"/>
          </w:tcPr>
          <w:p>
            <w:pPr>
              <w:spacing w:line="360" w:lineRule="auto"/>
              <w:rPr>
                <w:rFonts w:hAnsi="宋体" w:cs="宋体"/>
                <w:color w:val="auto"/>
                <w:szCs w:val="21"/>
                <w:highlight w:val="none"/>
                <w:lang w:val="zh-CN"/>
              </w:rPr>
            </w:pPr>
            <w:r>
              <w:rPr>
                <w:rFonts w:hint="eastAsia" w:hAnsi="宋体" w:cs="宋体"/>
                <w:color w:val="auto"/>
                <w:szCs w:val="21"/>
                <w:highlight w:val="none"/>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3</w:t>
            </w:r>
            <w:r>
              <w:rPr>
                <w:rFonts w:hint="eastAsia" w:cs="黑体" w:asciiTheme="minorEastAsia" w:hAnsiTheme="minorEastAsia"/>
                <w:color w:val="auto"/>
                <w:szCs w:val="21"/>
                <w:highlight w:val="none"/>
                <w:lang w:val="en-US" w:eastAsia="zh-CN"/>
              </w:rPr>
              <w:t>8</w:t>
            </w:r>
          </w:p>
        </w:tc>
        <w:tc>
          <w:tcPr>
            <w:tcW w:w="2268" w:type="dxa"/>
            <w:vAlign w:val="center"/>
          </w:tcPr>
          <w:p>
            <w:pPr>
              <w:autoSpaceDE w:val="0"/>
              <w:autoSpaceDN w:val="0"/>
              <w:adjustRightInd w:val="0"/>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投标文件的拒收</w:t>
            </w:r>
          </w:p>
        </w:tc>
        <w:tc>
          <w:tcPr>
            <w:tcW w:w="6813" w:type="dxa"/>
            <w:vAlign w:val="center"/>
          </w:tcPr>
          <w:p>
            <w:pPr>
              <w:autoSpaceDE w:val="0"/>
              <w:autoSpaceDN w:val="0"/>
              <w:adjustRightInd w:val="0"/>
              <w:spacing w:line="360" w:lineRule="auto"/>
              <w:contextualSpacing/>
              <w:rPr>
                <w:rFonts w:hAnsi="宋体" w:cs="宋体"/>
                <w:color w:val="auto"/>
                <w:szCs w:val="21"/>
                <w:highlight w:val="none"/>
                <w:lang w:val="zh-CN"/>
              </w:rPr>
            </w:pPr>
            <w:r>
              <w:rPr>
                <w:rFonts w:hint="eastAsia" w:hAnsi="宋体" w:cs="宋体"/>
                <w:color w:val="auto"/>
                <w:szCs w:val="21"/>
                <w:highlight w:val="none"/>
                <w:lang w:val="zh-CN"/>
              </w:rPr>
              <w:t>1、未成功上传的投标文件；</w:t>
            </w:r>
          </w:p>
          <w:p>
            <w:pPr>
              <w:autoSpaceDE w:val="0"/>
              <w:autoSpaceDN w:val="0"/>
              <w:adjustRightInd w:val="0"/>
              <w:spacing w:line="360" w:lineRule="auto"/>
              <w:contextualSpacing/>
              <w:rPr>
                <w:rFonts w:hAnsi="宋体" w:cs="宋体"/>
                <w:color w:val="auto"/>
                <w:szCs w:val="21"/>
                <w:highlight w:val="none"/>
                <w:lang w:val="zh-CN"/>
              </w:rPr>
            </w:pPr>
            <w:r>
              <w:rPr>
                <w:rFonts w:hint="eastAsia" w:hAnsi="宋体" w:cs="宋体"/>
                <w:color w:val="auto"/>
                <w:szCs w:val="21"/>
                <w:highlight w:val="none"/>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39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pPr>
              <w:autoSpaceDE w:val="0"/>
              <w:autoSpaceDN w:val="0"/>
              <w:adjustRightInd w:val="0"/>
              <w:spacing w:line="360" w:lineRule="auto"/>
              <w:contextualSpacing/>
              <w:rPr>
                <w:color w:val="auto"/>
                <w:highlight w:val="none"/>
              </w:rPr>
            </w:pPr>
            <w:r>
              <w:rPr>
                <w:rFonts w:hint="eastAsia"/>
                <w:color w:val="auto"/>
                <w:highlight w:val="none"/>
              </w:rPr>
              <w:t>1、按照《关于推进全流程电子化交易和在线监管工作有关问题的通知》（许公管办[2019]3号）规定：</w:t>
            </w:r>
          </w:p>
          <w:p>
            <w:pPr>
              <w:autoSpaceDE w:val="0"/>
              <w:autoSpaceDN w:val="0"/>
              <w:adjustRightInd w:val="0"/>
              <w:spacing w:line="360" w:lineRule="auto"/>
              <w:contextualSpacing/>
              <w:rPr>
                <w:color w:val="auto"/>
                <w:highlight w:val="none"/>
              </w:rPr>
            </w:pPr>
            <w:r>
              <w:rPr>
                <w:rFonts w:hint="eastAsia"/>
                <w:color w:val="auto"/>
                <w:highlight w:val="none"/>
              </w:rPr>
              <w:t>不同供应商电子投标文件制作硬件特征码（网卡MAC地址、CPU序号、硬盘序列号）均一致时，视为‘</w:t>
            </w:r>
            <w:r>
              <w:rPr>
                <w:color w:val="auto"/>
                <w:highlight w:val="none"/>
              </w:rPr>
              <w:t>不同</w:t>
            </w:r>
            <w:r>
              <w:rPr>
                <w:rFonts w:hint="eastAsia"/>
                <w:color w:val="auto"/>
                <w:highlight w:val="none"/>
              </w:rPr>
              <w:t>投标人的投标</w:t>
            </w:r>
            <w:r>
              <w:rPr>
                <w:color w:val="auto"/>
                <w:highlight w:val="none"/>
              </w:rPr>
              <w:t>文件由同一单位或者个人编制</w:t>
            </w:r>
            <w:r>
              <w:rPr>
                <w:rFonts w:hint="eastAsia"/>
                <w:color w:val="auto"/>
                <w:highlight w:val="none"/>
              </w:rPr>
              <w:t>’或‘</w:t>
            </w:r>
            <w:r>
              <w:rPr>
                <w:color w:val="auto"/>
                <w:highlight w:val="none"/>
              </w:rPr>
              <w:t>不同</w:t>
            </w:r>
            <w:r>
              <w:rPr>
                <w:rFonts w:hint="eastAsia"/>
                <w:color w:val="auto"/>
                <w:highlight w:val="none"/>
              </w:rPr>
              <w:t>投标人</w:t>
            </w:r>
            <w:r>
              <w:rPr>
                <w:color w:val="auto"/>
                <w:highlight w:val="none"/>
              </w:rPr>
              <w:t>委托同一单位或者个人办理</w:t>
            </w:r>
            <w:r>
              <w:rPr>
                <w:rFonts w:hint="eastAsia"/>
                <w:color w:val="auto"/>
                <w:highlight w:val="none"/>
              </w:rPr>
              <w:t>投标</w:t>
            </w:r>
            <w:r>
              <w:rPr>
                <w:color w:val="auto"/>
                <w:highlight w:val="none"/>
              </w:rPr>
              <w:t>事宜</w:t>
            </w:r>
            <w:r>
              <w:rPr>
                <w:rFonts w:hint="eastAsia"/>
                <w:color w:val="auto"/>
                <w:highlight w:val="none"/>
              </w:rPr>
              <w:t>’，其投标无效。</w:t>
            </w:r>
          </w:p>
          <w:p>
            <w:pPr>
              <w:autoSpaceDE w:val="0"/>
              <w:autoSpaceDN w:val="0"/>
              <w:adjustRightInd w:val="0"/>
              <w:spacing w:line="360" w:lineRule="auto"/>
              <w:contextualSpacing/>
              <w:rPr>
                <w:color w:val="auto"/>
                <w:highlight w:val="none"/>
              </w:rPr>
            </w:pPr>
            <w:r>
              <w:rPr>
                <w:rFonts w:hint="eastAsia"/>
                <w:color w:val="auto"/>
                <w:highlight w:val="none"/>
              </w:rPr>
              <w:t>评审专家应严格按照要求查看“硬件特征码” 相关信息并进行评审，在评审报告中显示“不同投标人电子投标文件制作硬件特征码”是否雷同的分析及判定结果。</w:t>
            </w:r>
          </w:p>
          <w:p>
            <w:pPr>
              <w:pStyle w:val="2"/>
              <w:rPr>
                <w:color w:val="auto"/>
                <w:highlight w:val="none"/>
                <w:lang w:val="zh-CN"/>
              </w:rPr>
            </w:pPr>
            <w:r>
              <w:rPr>
                <w:rFonts w:hint="eastAsia"/>
                <w:color w:val="auto"/>
                <w:highlight w:val="none"/>
              </w:rPr>
              <w:t>2、</w:t>
            </w:r>
            <w:r>
              <w:rPr>
                <w:rFonts w:hint="eastAsia"/>
                <w:color w:val="auto"/>
                <w:highlight w:val="none"/>
                <w:lang w:val="zh-CN"/>
              </w:rPr>
              <w:t>项目编号以本项目招标文件项目编号为准。</w:t>
            </w:r>
          </w:p>
          <w:p>
            <w:pPr>
              <w:pStyle w:val="2"/>
              <w:rPr>
                <w:color w:val="auto"/>
                <w:highlight w:val="none"/>
                <w:lang w:val="zh-CN"/>
              </w:rPr>
            </w:pPr>
            <w:r>
              <w:rPr>
                <w:rFonts w:hint="eastAsia"/>
                <w:color w:val="auto"/>
                <w:highlight w:val="none"/>
              </w:rPr>
              <w:t>3、</w:t>
            </w:r>
            <w:r>
              <w:rPr>
                <w:rFonts w:hint="eastAsia"/>
                <w:color w:val="auto"/>
                <w:highlight w:val="none"/>
                <w:lang w:val="zh-CN"/>
              </w:rPr>
              <w:t>投标文件格式的先后顺序不作为废标项。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40</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供应商资格核验</w:t>
            </w:r>
          </w:p>
        </w:tc>
        <w:tc>
          <w:tcPr>
            <w:tcW w:w="6813" w:type="dxa"/>
            <w:vAlign w:val="center"/>
          </w:tcPr>
          <w:p>
            <w:pPr>
              <w:autoSpaceDE w:val="0"/>
              <w:autoSpaceDN w:val="0"/>
              <w:adjustRightInd w:val="0"/>
              <w:spacing w:line="360" w:lineRule="auto"/>
              <w:ind w:right="-11"/>
              <w:rPr>
                <w:rFonts w:ascii="ˎ̥" w:hAnsi="ˎ̥"/>
                <w:color w:val="auto"/>
                <w:highlight w:val="none"/>
              </w:rPr>
            </w:pPr>
            <w:r>
              <w:rPr>
                <w:rFonts w:hint="eastAsia" w:ascii="ˎ̥" w:hAnsi="ˎ̥"/>
                <w:color w:val="auto"/>
                <w:highlight w:val="none"/>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一、</w:t>
            </w:r>
            <w:r>
              <w:rPr>
                <w:rFonts w:cs="宋体" w:asciiTheme="minorEastAsia" w:hAnsiTheme="minorEastAsia"/>
                <w:b/>
                <w:bCs/>
                <w:color w:val="auto"/>
                <w:szCs w:val="21"/>
                <w:highlight w:val="none"/>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二、财务状况报告相关材料</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（1）供应商是法人（法人包括企业法人、机关法人、事业单位法人和社会团体法人），提供本单位：</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Theme="minorEastAsia" w:hAnsiTheme="minorEastAsia"/>
                <w:bCs/>
                <w:color w:val="auto"/>
                <w:szCs w:val="21"/>
                <w:highlight w:val="none"/>
                <w:lang w:val="en-US" w:eastAsia="zh-CN"/>
              </w:rPr>
              <w:t>2023年度</w:t>
            </w:r>
            <w:r>
              <w:rPr>
                <w:rFonts w:hint="eastAsia" w:asciiTheme="minorEastAsia" w:hAnsiTheme="minorEastAsia"/>
                <w:bCs/>
                <w:color w:val="auto"/>
                <w:szCs w:val="21"/>
                <w:highlight w:val="none"/>
              </w:rPr>
              <w:t>经审计的财务报告，包括资产负债表、利润表、现金流量表、所有者权益变动表及其附注；</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②基本开户银行出具的资信证明；</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（2）供应商（其他组织和自然人）提供本单位：</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Theme="minorEastAsia" w:hAnsiTheme="minorEastAsia"/>
                <w:bCs/>
                <w:color w:val="auto"/>
                <w:szCs w:val="21"/>
                <w:highlight w:val="none"/>
                <w:lang w:val="en-US" w:eastAsia="zh-CN"/>
              </w:rPr>
              <w:t>2023年度</w:t>
            </w:r>
            <w:r>
              <w:rPr>
                <w:rFonts w:hint="eastAsia" w:asciiTheme="minorEastAsia" w:hAnsiTheme="minorEastAsia"/>
                <w:bCs/>
                <w:color w:val="auto"/>
                <w:szCs w:val="21"/>
                <w:highlight w:val="none"/>
              </w:rPr>
              <w:t>经审计的财务报告，包括资产负债表、利润表、现金流量表、所有者权益变动表及其附注；</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②银行出具的资信证明；</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仿宋_GB2312" w:asciiTheme="minorEastAsia" w:hAnsiTheme="minorEastAsia"/>
                <w:b/>
                <w:color w:val="auto"/>
                <w:szCs w:val="21"/>
                <w:highlight w:val="none"/>
              </w:rPr>
              <w:t>三、依法缴纳税收相关材料</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①相关设备的购置发票、专业技术人员职称证书、用工合同等；</w:t>
            </w:r>
          </w:p>
          <w:p>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color w:val="auto"/>
                <w:kern w:val="0"/>
                <w:szCs w:val="21"/>
                <w:highlight w:val="none"/>
              </w:rPr>
              <w:t>六、</w:t>
            </w:r>
            <w:r>
              <w:rPr>
                <w:rFonts w:cs="宋体" w:asciiTheme="minorEastAsia" w:hAnsiTheme="minorEastAsia"/>
                <w:b/>
                <w:bCs/>
                <w:color w:val="auto"/>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供应商“</w:t>
            </w:r>
            <w:r>
              <w:rPr>
                <w:rFonts w:cs="宋体" w:asciiTheme="minorEastAsia" w:hAnsiTheme="minorEastAsia"/>
                <w:bCs/>
                <w:color w:val="auto"/>
                <w:szCs w:val="21"/>
                <w:highlight w:val="none"/>
                <w:lang w:val="zh-CN"/>
              </w:rPr>
              <w:t>参加政府采购活动前3年内在经营活动中没有重大违法记录的书面声明</w:t>
            </w:r>
            <w:r>
              <w:rPr>
                <w:rFonts w:hint="eastAsia" w:cs="宋体" w:asciiTheme="minorEastAsia" w:hAnsiTheme="minorEastAsia"/>
                <w:bCs/>
                <w:color w:val="auto"/>
                <w:szCs w:val="21"/>
                <w:highlight w:val="none"/>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b/>
                <w:bCs/>
                <w:color w:val="auto"/>
                <w:szCs w:val="21"/>
                <w:highlight w:val="none"/>
                <w:lang w:val="zh-CN"/>
              </w:rPr>
              <w:t>七、</w:t>
            </w:r>
            <w:r>
              <w:rPr>
                <w:rFonts w:cs="仿宋_GB2312" w:asciiTheme="minorEastAsia" w:hAnsiTheme="minorEastAsia"/>
                <w:b/>
                <w:color w:val="auto"/>
                <w:szCs w:val="21"/>
                <w:highlight w:val="none"/>
                <w:shd w:val="clear" w:color="auto" w:fill="FFFFFF"/>
              </w:rPr>
              <w:t>未被列入“信用中国”网站(www.creditchina.gov.cn)失信被执行人、重大税收违法失信主体的</w:t>
            </w:r>
            <w:r>
              <w:rPr>
                <w:rFonts w:hint="eastAsia" w:cs="仿宋_GB2312" w:asciiTheme="minorEastAsia" w:hAnsiTheme="minorEastAsia"/>
                <w:b/>
                <w:color w:val="auto"/>
                <w:szCs w:val="21"/>
                <w:highlight w:val="none"/>
                <w:shd w:val="clear" w:color="auto" w:fill="FFFFFF"/>
              </w:rPr>
              <w:t>供应商</w:t>
            </w:r>
            <w:r>
              <w:rPr>
                <w:rFonts w:cs="仿宋_GB2312" w:asciiTheme="minorEastAsia" w:hAnsiTheme="minorEastAsia"/>
                <w:b/>
                <w:color w:val="auto"/>
                <w:szCs w:val="21"/>
                <w:highlight w:val="none"/>
                <w:shd w:val="clear" w:color="auto" w:fill="FFFFFF"/>
              </w:rPr>
              <w:t>；</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中国政府采购网</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 xml:space="preserve"> (www.ccgp.gov.cn)政府采购严重违法失信行为记录名单的</w:t>
            </w:r>
            <w:r>
              <w:rPr>
                <w:rFonts w:hint="eastAsia" w:cs="仿宋_GB2312" w:asciiTheme="minorEastAsia" w:hAnsiTheme="minorEastAsia"/>
                <w:b/>
                <w:color w:val="auto"/>
                <w:szCs w:val="21"/>
                <w:highlight w:val="none"/>
                <w:shd w:val="clear" w:color="auto" w:fill="FFFFFF"/>
              </w:rPr>
              <w:t>供应商</w:t>
            </w:r>
            <w:r>
              <w:rPr>
                <w:rFonts w:hint="eastAsia" w:cs="宋体" w:asciiTheme="minorEastAsia" w:hAnsiTheme="minorEastAsia"/>
                <w:b/>
                <w:bCs/>
                <w:color w:val="auto"/>
                <w:szCs w:val="21"/>
                <w:highlight w:val="none"/>
                <w:lang w:val="zh-CN"/>
              </w:rPr>
              <w:t>；</w:t>
            </w:r>
            <w:r>
              <w:rPr>
                <w:rFonts w:hint="eastAsia" w:cs="仿宋_GB2312" w:asciiTheme="minorEastAsia" w:hAnsiTheme="minorEastAsia"/>
                <w:b/>
                <w:color w:val="auto"/>
                <w:szCs w:val="21"/>
                <w:highlight w:val="none"/>
                <w:shd w:val="clear" w:color="auto" w:fill="FFFFFF"/>
              </w:rPr>
              <w:t xml:space="preserve"> “中国社会组织政务服务平台”网站（</w:t>
            </w:r>
            <w:r>
              <w:rPr>
                <w:rFonts w:cs="仿宋_GB2312" w:asciiTheme="minorEastAsia" w:hAnsiTheme="minorEastAsia"/>
                <w:b/>
                <w:color w:val="auto"/>
                <w:szCs w:val="21"/>
                <w:highlight w:val="none"/>
                <w:shd w:val="clear" w:color="auto" w:fill="FFFFFF"/>
              </w:rPr>
              <w:t>https://chinanpo.mca.gov.cn</w:t>
            </w:r>
            <w:r>
              <w:rPr>
                <w:rFonts w:hint="eastAsia" w:cs="仿宋_GB2312" w:asciiTheme="minorEastAsia" w:hAnsiTheme="minorEastAsia"/>
                <w:b/>
                <w:color w:val="auto"/>
                <w:szCs w:val="21"/>
                <w:highlight w:val="none"/>
                <w:shd w:val="clear" w:color="auto" w:fill="FFFFFF"/>
              </w:rPr>
              <w:t>）严重违法失信社会组织名单的供应商（</w:t>
            </w:r>
            <w:r>
              <w:rPr>
                <w:rFonts w:hint="eastAsia" w:cs="宋体" w:asciiTheme="minorEastAsia" w:hAnsiTheme="minorEastAsia"/>
                <w:color w:val="auto"/>
                <w:kern w:val="0"/>
                <w:szCs w:val="21"/>
                <w:highlight w:val="none"/>
              </w:rPr>
              <w:t>联合体形式投标的，联合体成员存在不良信用记录，视同联合体存在不良信用记录）。</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1、查询渠道：</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color w:val="auto"/>
                <w:kern w:val="0"/>
                <w:highlight w:val="none"/>
              </w:rPr>
              <w:t>www.creditchina.gov.cn</w:t>
            </w:r>
            <w:r>
              <w:rPr>
                <w:rFonts w:hint="eastAsia" w:cs="宋体"/>
                <w:color w:val="auto"/>
                <w:kern w:val="0"/>
                <w:highlight w:val="none"/>
              </w:rPr>
              <w:fldChar w:fldCharType="end"/>
            </w:r>
            <w:r>
              <w:rPr>
                <w:rFonts w:hint="eastAsia" w:cs="宋体" w:asciiTheme="minorEastAsia" w:hAnsiTheme="minorEastAsia"/>
                <w:color w:val="auto"/>
                <w:kern w:val="0"/>
                <w:szCs w:val="21"/>
                <w:highlight w:val="none"/>
              </w:rPr>
              <w:t>）</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②“中国政府采购网”（www.ccgp.gov.cn）</w:t>
            </w:r>
          </w:p>
          <w:p>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③“中国社会组织政务服务平台”网站（</w:t>
            </w:r>
            <w:r>
              <w:rPr>
                <w:rFonts w:cs="宋体" w:asciiTheme="minorEastAsia" w:hAnsiTheme="minorEastAsia"/>
                <w:color w:val="auto"/>
                <w:kern w:val="0"/>
                <w:szCs w:val="21"/>
                <w:highlight w:val="none"/>
              </w:rPr>
              <w:t>https://chinanpo.mca.gov.cn</w:t>
            </w:r>
            <w:r>
              <w:rPr>
                <w:rFonts w:hint="eastAsia" w:cs="宋体" w:asciiTheme="minorEastAsia" w:hAnsiTheme="minorEastAsia"/>
                <w:color w:val="auto"/>
                <w:kern w:val="0"/>
                <w:szCs w:val="21"/>
                <w:highlight w:val="none"/>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auto"/>
                <w:szCs w:val="21"/>
                <w:highlight w:val="none"/>
                <w:lang w:val="en-US" w:eastAsia="zh-CN"/>
              </w:rPr>
            </w:pPr>
            <w:r>
              <w:rPr>
                <w:rFonts w:hint="eastAsia" w:cs="黑体" w:asciiTheme="minorEastAsia" w:hAnsiTheme="minorEastAsia"/>
                <w:color w:val="auto"/>
                <w:szCs w:val="21"/>
                <w:highlight w:val="none"/>
                <w:lang w:val="en-US" w:eastAsia="zh-CN"/>
              </w:rPr>
              <w:t>41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投诉渠道</w:t>
            </w:r>
          </w:p>
        </w:tc>
        <w:tc>
          <w:tcPr>
            <w:tcW w:w="6813" w:type="dxa"/>
            <w:vAlign w:val="center"/>
          </w:tcPr>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受理电话：0374-8112523   </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电子邮箱：yzscgb8112523@163.com</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通讯地址：禹州市行政北路2号禹州市财政局1305房间</w:t>
            </w:r>
          </w:p>
        </w:tc>
      </w:tr>
    </w:tbl>
    <w:p>
      <w:pPr>
        <w:rPr>
          <w:color w:val="auto"/>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pPr>
        <w:pStyle w:val="28"/>
        <w:ind w:firstLine="340"/>
        <w:rPr>
          <w:color w:val="auto"/>
          <w:highlight w:val="none"/>
        </w:rPr>
      </w:pPr>
    </w:p>
    <w:p>
      <w:pPr>
        <w:pStyle w:val="29"/>
        <w:rPr>
          <w:color w:val="auto"/>
          <w:highlight w:val="none"/>
        </w:rPr>
      </w:pPr>
    </w:p>
    <w:p>
      <w:pPr>
        <w:rPr>
          <w:color w:val="auto"/>
          <w:highlight w:val="none"/>
        </w:rPr>
      </w:pPr>
    </w:p>
    <w:p>
      <w:pPr>
        <w:pStyle w:val="2"/>
        <w:rPr>
          <w:color w:val="auto"/>
          <w:highlight w:val="none"/>
        </w:rPr>
      </w:pPr>
    </w:p>
    <w:p>
      <w:pPr>
        <w:pStyle w:val="3"/>
        <w:rPr>
          <w:color w:val="auto"/>
          <w:highlight w:val="none"/>
        </w:rPr>
      </w:pPr>
    </w:p>
    <w:p>
      <w:pPr>
        <w:pStyle w:val="4"/>
        <w:rPr>
          <w:color w:val="auto"/>
          <w:highlight w:val="none"/>
        </w:rPr>
      </w:pPr>
    </w:p>
    <w:p>
      <w:pPr>
        <w:rPr>
          <w:color w:val="auto"/>
          <w:highlight w:val="none"/>
        </w:rPr>
      </w:pPr>
    </w:p>
    <w:p>
      <w:pPr>
        <w:pStyle w:val="2"/>
        <w:rPr>
          <w:color w:val="auto"/>
          <w:highlight w:val="none"/>
        </w:rPr>
      </w:pPr>
    </w:p>
    <w:p>
      <w:pPr>
        <w:pStyle w:val="3"/>
        <w:rPr>
          <w:color w:val="auto"/>
          <w:highlight w:val="none"/>
        </w:rPr>
      </w:pPr>
    </w:p>
    <w:p>
      <w:pPr>
        <w:pStyle w:val="4"/>
        <w:rPr>
          <w:color w:val="auto"/>
          <w:highlight w:val="none"/>
        </w:rPr>
      </w:pPr>
    </w:p>
    <w:p>
      <w:pPr>
        <w:rPr>
          <w:color w:val="auto"/>
          <w:highlight w:val="none"/>
        </w:rPr>
      </w:pPr>
    </w:p>
    <w:p>
      <w:pPr>
        <w:pStyle w:val="2"/>
        <w:rPr>
          <w:color w:val="auto"/>
          <w:highlight w:val="none"/>
        </w:rPr>
      </w:pPr>
    </w:p>
    <w:p>
      <w:pPr>
        <w:pStyle w:val="3"/>
        <w:rPr>
          <w:color w:val="auto"/>
          <w:highlight w:val="none"/>
        </w:rPr>
      </w:pPr>
    </w:p>
    <w:p>
      <w:pPr>
        <w:pStyle w:val="4"/>
        <w:rPr>
          <w:color w:val="auto"/>
          <w:highlight w:val="none"/>
        </w:rPr>
      </w:pPr>
    </w:p>
    <w:p>
      <w:pPr>
        <w:rPr>
          <w:color w:val="auto"/>
          <w:highlight w:val="none"/>
        </w:rPr>
      </w:pPr>
    </w:p>
    <w:p>
      <w:pPr>
        <w:pStyle w:val="2"/>
        <w:rPr>
          <w:color w:val="auto"/>
          <w:highlight w:val="none"/>
        </w:rPr>
      </w:pPr>
    </w:p>
    <w:p>
      <w:pPr>
        <w:pStyle w:val="3"/>
        <w:rPr>
          <w:color w:val="auto"/>
          <w:highlight w:val="none"/>
        </w:rPr>
      </w:pPr>
    </w:p>
    <w:p>
      <w:pPr>
        <w:pStyle w:val="4"/>
        <w:rPr>
          <w:color w:val="auto"/>
          <w:highlight w:val="none"/>
        </w:rPr>
      </w:pPr>
    </w:p>
    <w:p>
      <w:pPr>
        <w:rPr>
          <w:color w:val="auto"/>
          <w:highlight w:val="none"/>
        </w:rPr>
      </w:pPr>
    </w:p>
    <w:p>
      <w:pPr>
        <w:pStyle w:val="2"/>
        <w:rPr>
          <w:color w:val="auto"/>
          <w:highlight w:val="none"/>
        </w:rPr>
      </w:pPr>
    </w:p>
    <w:p>
      <w:pPr>
        <w:pStyle w:val="3"/>
        <w:rPr>
          <w:color w:val="auto"/>
          <w:highlight w:val="none"/>
        </w:rPr>
      </w:pPr>
    </w:p>
    <w:p>
      <w:pPr>
        <w:pStyle w:val="4"/>
        <w:rPr>
          <w:color w:val="auto"/>
          <w:highlight w:val="none"/>
        </w:rPr>
      </w:pPr>
    </w:p>
    <w:p>
      <w:pPr>
        <w:pStyle w:val="38"/>
        <w:rPr>
          <w:color w:val="auto"/>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58"/>
        <w:numPr>
          <w:ilvl w:val="0"/>
          <w:numId w:val="11"/>
        </w:numPr>
        <w:autoSpaceDE w:val="0"/>
        <w:autoSpaceDN w:val="0"/>
        <w:spacing w:line="360" w:lineRule="auto"/>
        <w:ind w:firstLineChars="0"/>
        <w:contextualSpacing/>
        <w:rPr>
          <w:rFonts w:ascii="宋体" w:cs="宋体"/>
          <w:b/>
          <w:color w:val="auto"/>
          <w:kern w:val="0"/>
          <w:szCs w:val="21"/>
          <w:highlight w:val="none"/>
        </w:rPr>
      </w:pPr>
      <w:r>
        <w:rPr>
          <w:rFonts w:hint="eastAsia" w:ascii="宋体" w:hAnsi="宋体" w:cs="宋体"/>
          <w:b/>
          <w:color w:val="auto"/>
          <w:kern w:val="0"/>
          <w:szCs w:val="21"/>
          <w:highlight w:val="none"/>
        </w:rPr>
        <w:t>适用范围</w:t>
      </w:r>
    </w:p>
    <w:p>
      <w:pPr>
        <w:pStyle w:val="58"/>
        <w:numPr>
          <w:ilvl w:val="0"/>
          <w:numId w:val="12"/>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本招标文件仅适用于本次“投标邀请”中所述采购项目。</w:t>
      </w:r>
    </w:p>
    <w:p>
      <w:pPr>
        <w:pStyle w:val="58"/>
        <w:numPr>
          <w:ilvl w:val="1"/>
          <w:numId w:val="11"/>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本招标文件解释权属于“投标邀请”所述的采购人。</w:t>
      </w:r>
    </w:p>
    <w:p>
      <w:pPr>
        <w:pStyle w:val="58"/>
        <w:numPr>
          <w:ilvl w:val="0"/>
          <w:numId w:val="11"/>
        </w:numPr>
        <w:autoSpaceDE w:val="0"/>
        <w:autoSpaceDN w:val="0"/>
        <w:spacing w:line="360" w:lineRule="auto"/>
        <w:ind w:firstLineChars="0"/>
        <w:contextualSpacing/>
        <w:rPr>
          <w:rFonts w:ascii="宋体" w:cs="宋体"/>
          <w:b/>
          <w:color w:val="auto"/>
          <w:kern w:val="0"/>
          <w:szCs w:val="21"/>
          <w:highlight w:val="none"/>
        </w:rPr>
      </w:pPr>
      <w:r>
        <w:rPr>
          <w:rFonts w:hint="eastAsia" w:ascii="宋体" w:hAnsi="宋体" w:cs="宋体"/>
          <w:b/>
          <w:color w:val="auto"/>
          <w:kern w:val="0"/>
          <w:szCs w:val="21"/>
          <w:highlight w:val="none"/>
        </w:rPr>
        <w:t>定义</w:t>
      </w:r>
    </w:p>
    <w:p>
      <w:pPr>
        <w:pStyle w:val="58"/>
        <w:numPr>
          <w:ilvl w:val="0"/>
          <w:numId w:val="12"/>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“采购项目”：“投标人须知前附表”中所述的采购项目。</w:t>
      </w:r>
    </w:p>
    <w:p>
      <w:pPr>
        <w:pStyle w:val="58"/>
        <w:numPr>
          <w:ilvl w:val="1"/>
          <w:numId w:val="11"/>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“招标人”：“投标人须知前附表”中所述的组织本次招标的代理机构和采购人。</w:t>
      </w:r>
    </w:p>
    <w:p>
      <w:pPr>
        <w:pStyle w:val="58"/>
        <w:numPr>
          <w:ilvl w:val="1"/>
          <w:numId w:val="11"/>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“采购人”：是指依法进行政府采购的国家机关、事业单位、团体组织。采购人名称、</w:t>
      </w:r>
    </w:p>
    <w:p>
      <w:pPr>
        <w:pStyle w:val="58"/>
        <w:numPr>
          <w:ilvl w:val="0"/>
          <w:numId w:val="0"/>
        </w:numPr>
        <w:autoSpaceDE w:val="0"/>
        <w:autoSpaceDN w:val="0"/>
        <w:spacing w:line="360" w:lineRule="auto"/>
        <w:contextualSpacing/>
        <w:rPr>
          <w:rFonts w:ascii="宋体" w:cs="宋体"/>
          <w:color w:val="auto"/>
          <w:kern w:val="0"/>
          <w:szCs w:val="21"/>
          <w:highlight w:val="none"/>
        </w:rPr>
      </w:pPr>
      <w:r>
        <w:rPr>
          <w:rFonts w:hint="eastAsia" w:ascii="宋体" w:hAnsi="宋体" w:cs="宋体"/>
          <w:color w:val="auto"/>
          <w:kern w:val="0"/>
          <w:szCs w:val="21"/>
          <w:highlight w:val="none"/>
        </w:rPr>
        <w:t>地址、电话、联系人见“投标人须知前附表”。</w:t>
      </w:r>
    </w:p>
    <w:p>
      <w:pPr>
        <w:pStyle w:val="58"/>
        <w:numPr>
          <w:ilvl w:val="1"/>
          <w:numId w:val="11"/>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“代理机构”：接受采购人委托，代理采购项目的采购代理机构。代理机构名称、地</w:t>
      </w:r>
    </w:p>
    <w:p>
      <w:pPr>
        <w:pStyle w:val="58"/>
        <w:numPr>
          <w:ilvl w:val="0"/>
          <w:numId w:val="0"/>
        </w:numPr>
        <w:autoSpaceDE w:val="0"/>
        <w:autoSpaceDN w:val="0"/>
        <w:spacing w:line="360" w:lineRule="auto"/>
        <w:contextualSpacing/>
        <w:rPr>
          <w:rFonts w:ascii="宋体" w:cs="宋体"/>
          <w:color w:val="auto"/>
          <w:kern w:val="0"/>
          <w:szCs w:val="21"/>
          <w:highlight w:val="none"/>
        </w:rPr>
      </w:pPr>
      <w:r>
        <w:rPr>
          <w:rFonts w:hint="eastAsia" w:ascii="宋体" w:hAnsi="宋体" w:cs="宋体"/>
          <w:color w:val="auto"/>
          <w:kern w:val="0"/>
          <w:szCs w:val="21"/>
          <w:highlight w:val="none"/>
        </w:rPr>
        <w:t>址、电话、联系人见“投标人须知前附表”。</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采购代理机构及其分支机构不得在所代理的采购项目中投标或者代理投标，不得为所代理的采购项目的投标人参加本项目提供投标咨询。</w:t>
      </w:r>
    </w:p>
    <w:p>
      <w:pPr>
        <w:pStyle w:val="58"/>
        <w:numPr>
          <w:ilvl w:val="1"/>
          <w:numId w:val="11"/>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“潜在投标人”指符合《中华人民共和国政府采购法》及相关法律法规和本招标文件</w:t>
      </w:r>
    </w:p>
    <w:p>
      <w:pPr>
        <w:pStyle w:val="58"/>
        <w:numPr>
          <w:ilvl w:val="0"/>
          <w:numId w:val="0"/>
        </w:numPr>
        <w:autoSpaceDE w:val="0"/>
        <w:autoSpaceDN w:val="0"/>
        <w:spacing w:line="360" w:lineRule="auto"/>
        <w:contextualSpacing/>
        <w:rPr>
          <w:rFonts w:ascii="宋体" w:cs="宋体"/>
          <w:color w:val="auto"/>
          <w:kern w:val="0"/>
          <w:szCs w:val="21"/>
          <w:highlight w:val="none"/>
        </w:rPr>
      </w:pPr>
      <w:r>
        <w:rPr>
          <w:rFonts w:hint="eastAsia" w:ascii="宋体" w:hAnsi="宋体" w:cs="宋体"/>
          <w:color w:val="auto"/>
          <w:kern w:val="0"/>
          <w:szCs w:val="21"/>
          <w:highlight w:val="none"/>
        </w:rPr>
        <w:t>的各项规定，且按照本项目招标公告及招标文件规定的方式获取招标文件的法人、其他组织或者自然人。</w:t>
      </w:r>
    </w:p>
    <w:p>
      <w:pPr>
        <w:pStyle w:val="58"/>
        <w:numPr>
          <w:ilvl w:val="1"/>
          <w:numId w:val="11"/>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“投标人”：是指符合《中华人民共和国政府采购法》及相关法律法规和本招标文件</w:t>
      </w:r>
    </w:p>
    <w:p>
      <w:pPr>
        <w:pStyle w:val="58"/>
        <w:numPr>
          <w:ilvl w:val="0"/>
          <w:numId w:val="0"/>
        </w:numPr>
        <w:autoSpaceDE w:val="0"/>
        <w:autoSpaceDN w:val="0"/>
        <w:spacing w:line="360" w:lineRule="auto"/>
        <w:contextualSpacing/>
        <w:rPr>
          <w:rFonts w:ascii="宋体" w:cs="宋体"/>
          <w:color w:val="auto"/>
          <w:kern w:val="0"/>
          <w:szCs w:val="21"/>
          <w:highlight w:val="none"/>
        </w:rPr>
      </w:pPr>
      <w:r>
        <w:rPr>
          <w:rFonts w:hint="eastAsia" w:ascii="宋体" w:hAnsi="宋体" w:cs="宋体"/>
          <w:color w:val="auto"/>
          <w:kern w:val="0"/>
          <w:szCs w:val="21"/>
          <w:highlight w:val="none"/>
        </w:rPr>
        <w:t>的各项规定，响应招标、参加投标竞争，从招标人处按规定获取招标文件，并按照招标文件要求向招标人提交投标文件的法人、其他组织或者自然人。</w:t>
      </w:r>
    </w:p>
    <w:p>
      <w:pPr>
        <w:pStyle w:val="58"/>
        <w:numPr>
          <w:ilvl w:val="1"/>
          <w:numId w:val="11"/>
        </w:numPr>
        <w:autoSpaceDE w:val="0"/>
        <w:autoSpaceDN w:val="0"/>
        <w:spacing w:line="360" w:lineRule="auto"/>
        <w:ind w:firstLineChars="0"/>
        <w:contextualSpacing/>
        <w:rPr>
          <w:rFonts w:ascii="宋体" w:cs="宋体"/>
          <w:color w:val="auto"/>
          <w:kern w:val="0"/>
          <w:szCs w:val="21"/>
          <w:highlight w:val="none"/>
        </w:rPr>
      </w:pPr>
      <w:r>
        <w:rPr>
          <w:rFonts w:hint="eastAsia" w:ascii="宋体" w:hAnsi="宋体" w:cs="宋体"/>
          <w:color w:val="auto"/>
          <w:kern w:val="0"/>
          <w:szCs w:val="21"/>
          <w:highlight w:val="none"/>
        </w:rPr>
        <w:t>“进口产品”：是指通过中国海关报关验放进入中国境内且产自关境外的产品，包括</w:t>
      </w:r>
    </w:p>
    <w:p>
      <w:pPr>
        <w:pStyle w:val="58"/>
        <w:numPr>
          <w:ilvl w:val="0"/>
          <w:numId w:val="0"/>
        </w:numPr>
        <w:autoSpaceDE w:val="0"/>
        <w:autoSpaceDN w:val="0"/>
        <w:spacing w:line="360" w:lineRule="auto"/>
        <w:contextualSpacing/>
        <w:rPr>
          <w:rFonts w:ascii="宋体" w:cs="宋体"/>
          <w:color w:val="auto"/>
          <w:kern w:val="0"/>
          <w:szCs w:val="21"/>
          <w:highlight w:val="none"/>
        </w:rPr>
      </w:pPr>
      <w:r>
        <w:rPr>
          <w:rFonts w:hint="eastAsia" w:ascii="宋体" w:hAnsi="宋体" w:cs="宋体"/>
          <w:color w:val="auto"/>
          <w:kern w:val="0"/>
          <w:szCs w:val="21"/>
          <w:highlight w:val="none"/>
        </w:rPr>
        <w:t>已经进入中国境内的进口产品。详见《关于政府采购进口产品管理有关问题的通知》</w:t>
      </w:r>
      <w:r>
        <w:rPr>
          <w:rFonts w:ascii="宋体" w:hAnsi="宋体" w:cs="宋体"/>
          <w:color w:val="auto"/>
          <w:kern w:val="0"/>
          <w:szCs w:val="21"/>
          <w:highlight w:val="none"/>
        </w:rPr>
        <w:t>(</w:t>
      </w:r>
      <w:r>
        <w:rPr>
          <w:rFonts w:hint="eastAsia" w:ascii="宋体" w:hAnsi="宋体" w:cs="宋体"/>
          <w:color w:val="auto"/>
          <w:kern w:val="0"/>
          <w:szCs w:val="21"/>
          <w:highlight w:val="none"/>
        </w:rPr>
        <w:t>财库</w:t>
      </w:r>
      <w:r>
        <w:rPr>
          <w:rFonts w:ascii="宋体" w:hAnsi="宋体" w:cs="宋体"/>
          <w:color w:val="auto"/>
          <w:kern w:val="0"/>
          <w:szCs w:val="21"/>
          <w:highlight w:val="none"/>
        </w:rPr>
        <w:t>[2007]119</w:t>
      </w:r>
      <w:r>
        <w:rPr>
          <w:rFonts w:hint="eastAsia" w:ascii="宋体" w:hAnsi="宋体" w:cs="宋体"/>
          <w:color w:val="auto"/>
          <w:kern w:val="0"/>
          <w:szCs w:val="21"/>
          <w:highlight w:val="none"/>
        </w:rPr>
        <w:t>号</w:t>
      </w:r>
      <w:r>
        <w:rPr>
          <w:rFonts w:ascii="宋体" w:hAnsi="宋体" w:cs="宋体"/>
          <w:color w:val="auto"/>
          <w:kern w:val="0"/>
          <w:szCs w:val="21"/>
          <w:highlight w:val="none"/>
        </w:rPr>
        <w:t>)</w:t>
      </w:r>
      <w:r>
        <w:rPr>
          <w:rFonts w:hint="eastAsia" w:ascii="宋体" w:hAnsi="宋体" w:cs="宋体"/>
          <w:color w:val="auto"/>
          <w:kern w:val="0"/>
          <w:szCs w:val="21"/>
          <w:highlight w:val="none"/>
        </w:rPr>
        <w:t>、《关于政府采购进口产品管理有关问题的通知》（财办库［</w:t>
      </w:r>
      <w:r>
        <w:rPr>
          <w:rFonts w:ascii="宋体" w:hAnsi="宋体" w:cs="宋体"/>
          <w:color w:val="auto"/>
          <w:kern w:val="0"/>
          <w:szCs w:val="21"/>
          <w:highlight w:val="none"/>
        </w:rPr>
        <w:t>2008</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248 </w:t>
      </w:r>
      <w:r>
        <w:rPr>
          <w:rFonts w:hint="eastAsia" w:ascii="宋体" w:hAnsi="宋体" w:cs="宋体"/>
          <w:color w:val="auto"/>
          <w:kern w:val="0"/>
          <w:szCs w:val="21"/>
          <w:highlight w:val="none"/>
        </w:rPr>
        <w:t>号）。</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2.7.1 </w:t>
      </w:r>
      <w:r>
        <w:rPr>
          <w:rFonts w:hint="eastAsia" w:ascii="宋体" w:hAnsi="宋体" w:cs="宋体"/>
          <w:color w:val="auto"/>
          <w:kern w:val="0"/>
          <w:szCs w:val="21"/>
          <w:highlight w:val="none"/>
        </w:rPr>
        <w:t>招标文件列明不允许或未列明允许进口产品参加投标的，均视为拒绝进口产品参加投标。</w:t>
      </w:r>
    </w:p>
    <w:p>
      <w:pPr>
        <w:autoSpaceDE w:val="0"/>
        <w:autoSpaceDN w:val="0"/>
        <w:spacing w:line="360" w:lineRule="auto"/>
        <w:ind w:firstLine="420" w:firstLineChars="200"/>
        <w:contextualSpacing/>
        <w:rPr>
          <w:rFonts w:ascii="宋体" w:hAnsi="宋体" w:cs="宋体"/>
          <w:color w:val="auto"/>
          <w:kern w:val="0"/>
          <w:szCs w:val="21"/>
          <w:highlight w:val="none"/>
        </w:rPr>
      </w:pPr>
      <w:r>
        <w:rPr>
          <w:rFonts w:ascii="宋体" w:hAnsi="宋体" w:cs="宋体"/>
          <w:color w:val="auto"/>
          <w:kern w:val="0"/>
          <w:szCs w:val="21"/>
          <w:highlight w:val="none"/>
        </w:rPr>
        <w:t xml:space="preserve">2.7.2 </w:t>
      </w:r>
      <w:r>
        <w:rPr>
          <w:rFonts w:hint="eastAsia" w:ascii="宋体" w:hAnsi="宋体" w:cs="宋体"/>
          <w:color w:val="auto"/>
          <w:kern w:val="0"/>
          <w:szCs w:val="21"/>
          <w:highlight w:val="none"/>
        </w:rPr>
        <w:t>如招标文件中已说明，经财政部门审核同意，允许部分或全部产品采购进口产品，投标人既可提供本国产品，也可以提供进口产品。</w:t>
      </w:r>
    </w:p>
    <w:p>
      <w:pPr>
        <w:pStyle w:val="58"/>
        <w:autoSpaceDE w:val="0"/>
        <w:autoSpaceDN w:val="0"/>
        <w:spacing w:line="360" w:lineRule="auto"/>
        <w:ind w:left="-987" w:leftChars="-470" w:firstLine="1470" w:firstLineChars="700"/>
        <w:contextualSpacing/>
        <w:rPr>
          <w:color w:val="auto"/>
          <w:highlight w:val="none"/>
        </w:rPr>
      </w:pPr>
      <w:r>
        <w:rPr>
          <w:rFonts w:hint="eastAsia" w:cs="宋体" w:asciiTheme="minorEastAsia" w:hAnsiTheme="minorEastAsia"/>
          <w:color w:val="auto"/>
          <w:kern w:val="0"/>
          <w:szCs w:val="21"/>
          <w:highlight w:val="none"/>
        </w:rPr>
        <w:t>2.8 招标文件中凡标有“★”的条款均系实质性要求条款。</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3.</w:t>
      </w:r>
      <w:r>
        <w:rPr>
          <w:rFonts w:hint="eastAsia" w:ascii="宋体" w:hAnsi="宋体" w:cs="宋体"/>
          <w:b/>
          <w:color w:val="auto"/>
          <w:kern w:val="0"/>
          <w:szCs w:val="21"/>
          <w:highlight w:val="none"/>
        </w:rPr>
        <w:t>合格的投标人</w:t>
      </w:r>
    </w:p>
    <w:p>
      <w:pPr>
        <w:pStyle w:val="64"/>
        <w:numPr>
          <w:ilvl w:val="0"/>
          <w:numId w:val="0"/>
        </w:numPr>
        <w:tabs>
          <w:tab w:val="left" w:pos="0"/>
        </w:tabs>
        <w:adjustRightInd/>
        <w:spacing w:line="360" w:lineRule="auto"/>
        <w:ind w:firstLine="420" w:firstLineChars="200"/>
        <w:contextualSpacing/>
        <w:rPr>
          <w:rFonts w:cs="宋体"/>
          <w:color w:val="auto"/>
          <w:highlight w:val="none"/>
        </w:rPr>
      </w:pPr>
      <w:r>
        <w:rPr>
          <w:rFonts w:cs="宋体"/>
          <w:color w:val="auto"/>
          <w:highlight w:val="none"/>
        </w:rPr>
        <w:t>3.1</w:t>
      </w:r>
      <w:r>
        <w:rPr>
          <w:rFonts w:hint="eastAsia" w:cs="宋体"/>
          <w:color w:val="auto"/>
          <w:highlight w:val="none"/>
        </w:rPr>
        <w:t>在中华人民共和国境内注册，具有本项目实施能力，符合、承认并承诺履行本招标文件各项规定的法人、其他组织或者自然人。</w:t>
      </w:r>
    </w:p>
    <w:p>
      <w:pPr>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3.2 </w:t>
      </w:r>
      <w:r>
        <w:rPr>
          <w:rFonts w:hint="eastAsia" w:ascii="宋体" w:hAnsi="宋体" w:cs="宋体"/>
          <w:color w:val="auto"/>
          <w:kern w:val="0"/>
          <w:szCs w:val="21"/>
          <w:highlight w:val="none"/>
        </w:rPr>
        <w:t>符合本项目“投标邀请”和“投标人须知前附表”中规定的合格投标人所必须具备的条件。</w:t>
      </w:r>
    </w:p>
    <w:p>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numPr>
          <w:ilvl w:val="0"/>
          <w:numId w:val="13"/>
        </w:numPr>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查询渠道：“信用中国”网站（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6"/>
          <w:rFonts w:cs="宋体"/>
          <w:color w:val="auto"/>
          <w:szCs w:val="21"/>
          <w:highlight w:val="none"/>
        </w:rPr>
        <w:t>www.creditchina.gov.cn</w:t>
      </w:r>
      <w:r>
        <w:rPr>
          <w:rStyle w:val="36"/>
          <w:rFonts w:cs="宋体"/>
          <w:color w:val="auto"/>
          <w:szCs w:val="21"/>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6"/>
          <w:rFonts w:cs="宋体"/>
          <w:color w:val="auto"/>
          <w:szCs w:val="21"/>
          <w:highlight w:val="none"/>
        </w:rPr>
        <w:t>www.ccgp.gov.cn</w:t>
      </w:r>
      <w:r>
        <w:rPr>
          <w:rStyle w:val="36"/>
          <w:rFonts w:cs="宋体"/>
          <w:color w:val="auto"/>
          <w:szCs w:val="21"/>
          <w:highlight w:val="none"/>
        </w:rPr>
        <w:fldChar w:fldCharType="end"/>
      </w:r>
      <w:r>
        <w:rPr>
          <w:rFonts w:hint="eastAsia" w:ascii="宋体" w:hAnsi="宋体" w:cs="宋体"/>
          <w:color w:val="auto"/>
          <w:szCs w:val="21"/>
          <w:highlight w:val="none"/>
        </w:rPr>
        <w:t>）、“国家企业信用公示系统”网站（</w:t>
      </w:r>
      <w:r>
        <w:rPr>
          <w:color w:val="auto"/>
          <w:highlight w:val="none"/>
        </w:rPr>
        <w:fldChar w:fldCharType="begin"/>
      </w:r>
      <w:r>
        <w:rPr>
          <w:color w:val="auto"/>
          <w:highlight w:val="none"/>
        </w:rPr>
        <w:instrText xml:space="preserve"> HYPERLINK "http://www.gsxt.gov.cn" </w:instrText>
      </w:r>
      <w:r>
        <w:rPr>
          <w:color w:val="auto"/>
          <w:highlight w:val="none"/>
        </w:rPr>
        <w:fldChar w:fldCharType="separate"/>
      </w:r>
      <w:r>
        <w:rPr>
          <w:rStyle w:val="36"/>
          <w:rFonts w:cs="宋体"/>
          <w:color w:val="auto"/>
          <w:szCs w:val="21"/>
          <w:highlight w:val="none"/>
        </w:rPr>
        <w:t>www.gsxt.gov.cn</w:t>
      </w:r>
      <w:r>
        <w:rPr>
          <w:rStyle w:val="36"/>
          <w:rFonts w:cs="宋体"/>
          <w:color w:val="auto"/>
          <w:szCs w:val="21"/>
          <w:highlight w:val="none"/>
        </w:rPr>
        <w:fldChar w:fldCharType="end"/>
      </w:r>
      <w:r>
        <w:rPr>
          <w:rFonts w:hint="eastAsia" w:ascii="宋体" w:hAnsi="宋体" w:cs="宋体"/>
          <w:color w:val="auto"/>
          <w:szCs w:val="21"/>
          <w:highlight w:val="none"/>
        </w:rPr>
        <w:t>）、“中国社会组织政务服务平台”网站（</w:t>
      </w:r>
      <w:r>
        <w:rPr>
          <w:rFonts w:hint="eastAsia"/>
          <w:color w:val="auto"/>
          <w:highlight w:val="none"/>
          <w:u w:val="single"/>
        </w:rPr>
        <w:t>chinanpo.mca.gov.cn</w:t>
      </w:r>
      <w:r>
        <w:rPr>
          <w:rFonts w:hint="eastAsia" w:ascii="宋体" w:hAnsi="宋体" w:cs="宋体"/>
          <w:color w:val="auto"/>
          <w:szCs w:val="21"/>
          <w:highlight w:val="none"/>
        </w:rPr>
        <w:t>）；</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3.4 </w:t>
      </w:r>
      <w:r>
        <w:rPr>
          <w:rFonts w:hint="eastAsia" w:ascii="宋体" w:hAnsi="宋体" w:cs="宋体"/>
          <w:color w:val="auto"/>
          <w:kern w:val="0"/>
          <w:szCs w:val="21"/>
          <w:highlight w:val="none"/>
        </w:rPr>
        <w:t>单位负责人为同一人或者存在直接控股、管理关系的不同供应商，不得参加同一合同项下的政府采购活动；</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3.5 </w:t>
      </w:r>
      <w:r>
        <w:rPr>
          <w:rFonts w:hint="eastAsia" w:ascii="宋体" w:hAnsi="宋体" w:cs="宋体"/>
          <w:color w:val="auto"/>
          <w:kern w:val="0"/>
          <w:szCs w:val="21"/>
          <w:highlight w:val="none"/>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3.6 </w:t>
      </w:r>
      <w:r>
        <w:rPr>
          <w:rFonts w:hint="eastAsia" w:ascii="宋体" w:hAnsi="宋体" w:cs="宋体"/>
          <w:color w:val="auto"/>
          <w:kern w:val="0"/>
          <w:szCs w:val="21"/>
          <w:highlight w:val="none"/>
        </w:rPr>
        <w:t>“投标邀请”和“投标人须知前附表”规定接受联合体投标的，除应符合本章第</w:t>
      </w:r>
      <w:r>
        <w:rPr>
          <w:rFonts w:ascii="宋体" w:hAnsi="宋体" w:cs="宋体"/>
          <w:color w:val="auto"/>
          <w:kern w:val="0"/>
          <w:szCs w:val="21"/>
          <w:highlight w:val="none"/>
        </w:rPr>
        <w:t>3.1</w:t>
      </w:r>
      <w:r>
        <w:rPr>
          <w:rFonts w:hint="eastAsia" w:ascii="宋体" w:hAnsi="宋体" w:cs="宋体"/>
          <w:color w:val="auto"/>
          <w:kern w:val="0"/>
          <w:szCs w:val="21"/>
          <w:highlight w:val="none"/>
        </w:rPr>
        <w:t>项和</w:t>
      </w:r>
      <w:r>
        <w:rPr>
          <w:rFonts w:ascii="宋体" w:hAnsi="宋体" w:cs="宋体"/>
          <w:color w:val="auto"/>
          <w:kern w:val="0"/>
          <w:szCs w:val="21"/>
          <w:highlight w:val="none"/>
        </w:rPr>
        <w:t>3.2</w:t>
      </w:r>
      <w:r>
        <w:rPr>
          <w:rFonts w:hint="eastAsia" w:ascii="宋体" w:hAnsi="宋体" w:cs="宋体"/>
          <w:color w:val="auto"/>
          <w:kern w:val="0"/>
          <w:szCs w:val="21"/>
          <w:highlight w:val="none"/>
        </w:rPr>
        <w:t>项要求外，还应遵守以下规定：</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）在投标文件中向采购人提交联合体协议书，明确联合体各方承担的工作和义务；</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）招标人根据采购项目的特殊要求规定投标人特定条件的，联合体各方中至少应当有一方符合采购规定的特定条件。</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hint="eastAsia" w:ascii="宋体" w:hAnsi="宋体" w:cs="宋体"/>
          <w:color w:val="auto"/>
          <w:kern w:val="0"/>
          <w:szCs w:val="21"/>
          <w:highlight w:val="none"/>
        </w:rPr>
        <w:t>承担连带责任</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3.7 </w:t>
      </w:r>
      <w:r>
        <w:rPr>
          <w:rFonts w:hint="eastAsia" w:ascii="宋体" w:hAnsi="宋体" w:cs="宋体"/>
          <w:color w:val="auto"/>
          <w:kern w:val="0"/>
          <w:szCs w:val="21"/>
          <w:highlight w:val="none"/>
        </w:rPr>
        <w:t>法律、行政法规规定的其他条件。</w:t>
      </w:r>
    </w:p>
    <w:p>
      <w:pPr>
        <w:pStyle w:val="58"/>
        <w:autoSpaceDE w:val="0"/>
        <w:autoSpaceDN w:val="0"/>
        <w:spacing w:line="360" w:lineRule="auto"/>
        <w:ind w:firstLine="0" w:firstLineChars="0"/>
        <w:contextualSpacing/>
        <w:rPr>
          <w:rFonts w:ascii="宋体" w:cs="宋体"/>
          <w:b/>
          <w:color w:val="auto"/>
          <w:kern w:val="0"/>
          <w:szCs w:val="21"/>
          <w:highlight w:val="none"/>
        </w:rPr>
      </w:pPr>
      <w:r>
        <w:rPr>
          <w:rFonts w:ascii="宋体" w:hAnsi="宋体" w:cs="宋体"/>
          <w:b/>
          <w:color w:val="auto"/>
          <w:kern w:val="0"/>
          <w:szCs w:val="21"/>
          <w:highlight w:val="none"/>
        </w:rPr>
        <w:t>4.</w:t>
      </w:r>
      <w:r>
        <w:rPr>
          <w:rFonts w:hint="eastAsia" w:ascii="宋体" w:hAnsi="宋体" w:cs="宋体"/>
          <w:b/>
          <w:color w:val="auto"/>
          <w:kern w:val="0"/>
          <w:szCs w:val="21"/>
          <w:highlight w:val="none"/>
        </w:rPr>
        <w:t>合格的货物和服务</w:t>
      </w:r>
    </w:p>
    <w:p>
      <w:pPr>
        <w:pStyle w:val="58"/>
        <w:autoSpaceDE w:val="0"/>
        <w:autoSpaceDN w:val="0"/>
        <w:spacing w:line="360" w:lineRule="auto"/>
        <w:contextualSpacing/>
        <w:rPr>
          <w:rFonts w:ascii="宋体" w:cs="宋体"/>
          <w:color w:val="auto"/>
          <w:kern w:val="0"/>
          <w:szCs w:val="21"/>
          <w:highlight w:val="none"/>
        </w:rPr>
      </w:pPr>
      <w:r>
        <w:rPr>
          <w:rFonts w:ascii="宋体" w:hAnsi="宋体" w:cs="宋体"/>
          <w:color w:val="auto"/>
          <w:kern w:val="0"/>
          <w:szCs w:val="21"/>
          <w:highlight w:val="none"/>
        </w:rPr>
        <w:t xml:space="preserve">4.1 </w:t>
      </w:r>
      <w:r>
        <w:rPr>
          <w:rFonts w:hint="eastAsia" w:ascii="宋体" w:hAnsi="宋体" w:cs="宋体"/>
          <w:color w:val="auto"/>
          <w:kern w:val="0"/>
          <w:szCs w:val="21"/>
          <w:highlight w:val="none"/>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autoSpaceDE w:val="0"/>
        <w:autoSpaceDN w:val="0"/>
        <w:spacing w:line="360" w:lineRule="auto"/>
        <w:contextualSpacing/>
        <w:rPr>
          <w:rFonts w:ascii="宋体" w:hAnsi="宋体" w:cs="宋体"/>
          <w:color w:val="auto"/>
          <w:kern w:val="0"/>
          <w:szCs w:val="21"/>
          <w:highlight w:val="none"/>
        </w:rPr>
      </w:pPr>
      <w:r>
        <w:rPr>
          <w:rFonts w:ascii="宋体" w:hAnsi="宋体" w:cs="宋体"/>
          <w:color w:val="auto"/>
          <w:kern w:val="0"/>
          <w:szCs w:val="21"/>
          <w:highlight w:val="none"/>
        </w:rPr>
        <w:t xml:space="preserve">4.2 </w:t>
      </w:r>
      <w:r>
        <w:rPr>
          <w:rFonts w:hint="eastAsia" w:ascii="宋体" w:hAnsi="宋体" w:cs="宋体"/>
          <w:color w:val="auto"/>
          <w:kern w:val="0"/>
          <w:szCs w:val="21"/>
          <w:highlight w:val="none"/>
        </w:rPr>
        <w:t>投标人所提供的服务应当没有侵犯任何第三方的知识产权、秘密等合法权利。</w:t>
      </w:r>
    </w:p>
    <w:p>
      <w:pPr>
        <w:pStyle w:val="58"/>
        <w:autoSpaceDE w:val="0"/>
        <w:autoSpaceDN w:val="0"/>
        <w:spacing w:line="360"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8"/>
        <w:autoSpaceDE w:val="0"/>
        <w:autoSpaceDN w:val="0"/>
        <w:spacing w:line="360" w:lineRule="auto"/>
        <w:contextualSpacing/>
        <w:rPr>
          <w:rFonts w:asci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4 如投标人所投产品被列入《中华人民共和国实施强制性产品认证的产品目录》，则该产品应具备国家认监委指定强制性产品认证机构颁发的《中国国家强制性产品认证证书》（</w:t>
      </w:r>
      <w:r>
        <w:rPr>
          <w:rFonts w:ascii="宋体" w:hAnsi="宋体" w:cs="宋体"/>
          <w:color w:val="auto"/>
          <w:kern w:val="0"/>
          <w:szCs w:val="21"/>
          <w:highlight w:val="none"/>
        </w:rPr>
        <w:t xml:space="preserve">CCC </w:t>
      </w:r>
      <w:r>
        <w:rPr>
          <w:rFonts w:hint="eastAsia" w:ascii="宋体" w:hAnsi="宋体" w:cs="宋体"/>
          <w:color w:val="auto"/>
          <w:kern w:val="0"/>
          <w:szCs w:val="21"/>
          <w:highlight w:val="none"/>
        </w:rPr>
        <w:t>认证）。投标人不能提供超出此目录范畴外的替代品。</w:t>
      </w:r>
    </w:p>
    <w:p>
      <w:pPr>
        <w:pStyle w:val="58"/>
        <w:autoSpaceDE w:val="0"/>
        <w:autoSpaceDN w:val="0"/>
        <w:spacing w:line="360" w:lineRule="auto"/>
        <w:contextualSpacing/>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根据国家互联网信息办公室、工业和信息化部、公安部和国家认证认可监督管理委员会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且在有效期内。</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5</w:t>
      </w:r>
      <w:r>
        <w:rPr>
          <w:rFonts w:hint="eastAsia" w:ascii="宋体" w:hAnsi="宋体" w:cs="宋体"/>
          <w:b/>
          <w:color w:val="auto"/>
          <w:kern w:val="0"/>
          <w:szCs w:val="21"/>
          <w:highlight w:val="none"/>
        </w:rPr>
        <w:t>．投标费用</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6</w:t>
      </w:r>
      <w:r>
        <w:rPr>
          <w:rFonts w:hint="eastAsia" w:ascii="宋体" w:hAnsi="宋体" w:cs="宋体"/>
          <w:b/>
          <w:color w:val="auto"/>
          <w:kern w:val="0"/>
          <w:szCs w:val="21"/>
          <w:highlight w:val="none"/>
        </w:rPr>
        <w:t>．信息发布</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本采购项目需要公开的有关信息，包括招标公告、招标文件澄清或修改公告、中标公告以及延长投标截止时间等与招标活动有关的通知，招标人均将通过在</w:t>
      </w:r>
      <w:r>
        <w:rPr>
          <w:rFonts w:hint="eastAsia" w:hAnsi="宋体"/>
          <w:color w:val="auto"/>
          <w:szCs w:val="21"/>
          <w:highlight w:val="none"/>
        </w:rPr>
        <w:t>《河南省政府采购网》、《许昌市政府采购网》</w:t>
      </w:r>
      <w:r>
        <w:rPr>
          <w:rFonts w:hint="eastAsia" w:ascii="宋体" w:hAnsi="宋体" w:cs="宋体"/>
          <w:color w:val="auto"/>
          <w:kern w:val="0"/>
          <w:szCs w:val="21"/>
          <w:highlight w:val="none"/>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7.</w:t>
      </w:r>
      <w:r>
        <w:rPr>
          <w:rFonts w:hint="eastAsia" w:ascii="宋体" w:hAnsi="宋体" w:cs="宋体"/>
          <w:b/>
          <w:color w:val="auto"/>
          <w:kern w:val="0"/>
          <w:szCs w:val="21"/>
          <w:highlight w:val="none"/>
        </w:rPr>
        <w:t>采购代理机构代理费用收取标准和方式</w:t>
      </w:r>
    </w:p>
    <w:p>
      <w:pPr>
        <w:autoSpaceDE w:val="0"/>
        <w:autoSpaceDN w:val="0"/>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见投标人须知前附表。</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 xml:space="preserve">8. </w:t>
      </w:r>
      <w:r>
        <w:rPr>
          <w:rFonts w:hint="eastAsia" w:ascii="宋体" w:hAnsi="宋体" w:cs="宋体"/>
          <w:b/>
          <w:color w:val="auto"/>
          <w:kern w:val="0"/>
          <w:szCs w:val="21"/>
          <w:highlight w:val="none"/>
        </w:rPr>
        <w:t>其他</w:t>
      </w:r>
    </w:p>
    <w:p>
      <w:pPr>
        <w:autoSpaceDE w:val="0"/>
        <w:autoSpaceDN w:val="0"/>
        <w:spacing w:line="360" w:lineRule="auto"/>
        <w:ind w:firstLine="420" w:firstLineChars="200"/>
        <w:contextualSpacing/>
        <w:rPr>
          <w:rFonts w:ascii="宋体" w:cs="宋体"/>
          <w:color w:val="auto"/>
          <w:kern w:val="0"/>
          <w:szCs w:val="21"/>
          <w:highlight w:val="none"/>
        </w:rPr>
      </w:pPr>
      <w:r>
        <w:rPr>
          <w:rFonts w:hint="eastAsia" w:ascii="宋体" w:hAnsi="宋体" w:cs="宋体"/>
          <w:color w:val="auto"/>
          <w:kern w:val="0"/>
          <w:szCs w:val="21"/>
          <w:highlight w:val="none"/>
        </w:rPr>
        <w:t>本“投标人须知”的条款如与“投标邀请”、“项目需求”、“投标人须知前附表”和“资格审查与评标”就同一内容的表述不一致的，以“投标邀请”、“项目需求”、“投标人须知前附表”和“资格审查与评标”中规定的内容为准。</w:t>
      </w:r>
    </w:p>
    <w:p>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二、招标文件说明</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9</w:t>
      </w:r>
      <w:r>
        <w:rPr>
          <w:rFonts w:hint="eastAsia" w:ascii="宋体" w:hAnsi="宋体" w:cs="宋体"/>
          <w:b/>
          <w:color w:val="auto"/>
          <w:kern w:val="0"/>
          <w:szCs w:val="21"/>
          <w:highlight w:val="none"/>
        </w:rPr>
        <w:t>．招标文件构成</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9.1 </w:t>
      </w:r>
      <w:r>
        <w:rPr>
          <w:rFonts w:hint="eastAsia" w:ascii="宋体" w:hAnsi="宋体" w:cs="宋体"/>
          <w:color w:val="auto"/>
          <w:kern w:val="0"/>
          <w:szCs w:val="21"/>
          <w:highlight w:val="none"/>
        </w:rPr>
        <w:t>招标文件由以下部分组成：</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）投标邀请</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）项目需求</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）投标人须知前附表</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）投标人须知</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）政府采购政策功能</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）资格审查与评标</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7</w:t>
      </w:r>
      <w:r>
        <w:rPr>
          <w:rFonts w:hint="eastAsia" w:ascii="宋体" w:hAnsi="宋体" w:cs="宋体"/>
          <w:color w:val="auto"/>
          <w:kern w:val="0"/>
          <w:szCs w:val="21"/>
          <w:highlight w:val="none"/>
        </w:rPr>
        <w:t>）合同条款及格式</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8</w:t>
      </w:r>
      <w:r>
        <w:rPr>
          <w:rFonts w:hint="eastAsia" w:ascii="宋体" w:hAnsi="宋体" w:cs="宋体"/>
          <w:color w:val="auto"/>
          <w:kern w:val="0"/>
          <w:szCs w:val="21"/>
          <w:highlight w:val="none"/>
        </w:rPr>
        <w:t>）投标文件有关格式</w:t>
      </w:r>
    </w:p>
    <w:p>
      <w:pPr>
        <w:autoSpaceDE w:val="0"/>
        <w:autoSpaceDN w:val="0"/>
        <w:spacing w:line="360" w:lineRule="auto"/>
        <w:ind w:firstLine="210" w:firstLineChars="100"/>
        <w:contextualSpacing/>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9</w:t>
      </w:r>
      <w:r>
        <w:rPr>
          <w:rFonts w:hint="eastAsia" w:ascii="宋体" w:hAnsi="宋体" w:cs="宋体"/>
          <w:color w:val="auto"/>
          <w:kern w:val="0"/>
          <w:szCs w:val="21"/>
          <w:highlight w:val="none"/>
        </w:rPr>
        <w:t>）本项目招标文件的附件澄清、答复、修改、补充内容（如有的话）</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9.2 </w:t>
      </w:r>
      <w:r>
        <w:rPr>
          <w:rFonts w:hint="eastAsia" w:ascii="宋体" w:hAnsi="宋体" w:cs="宋体"/>
          <w:color w:val="auto"/>
          <w:kern w:val="0"/>
          <w:szCs w:val="21"/>
          <w:highlight w:val="none"/>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9.3 </w:t>
      </w:r>
      <w:r>
        <w:rPr>
          <w:rFonts w:hint="eastAsia" w:ascii="宋体" w:hAnsi="宋体" w:cs="宋体"/>
          <w:color w:val="auto"/>
          <w:kern w:val="0"/>
          <w:szCs w:val="21"/>
          <w:highlight w:val="none"/>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10.</w:t>
      </w:r>
      <w:r>
        <w:rPr>
          <w:rFonts w:hint="eastAsia" w:ascii="宋体" w:hAnsi="宋体" w:cs="宋体"/>
          <w:b/>
          <w:color w:val="auto"/>
          <w:kern w:val="0"/>
          <w:szCs w:val="21"/>
          <w:highlight w:val="none"/>
        </w:rPr>
        <w:t>现场考察、开标前答疑会</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10.1 </w:t>
      </w:r>
      <w:r>
        <w:rPr>
          <w:rFonts w:hint="eastAsia" w:ascii="宋体" w:hAnsi="宋体" w:cs="宋体"/>
          <w:color w:val="auto"/>
          <w:kern w:val="0"/>
          <w:szCs w:val="21"/>
          <w:highlight w:val="none"/>
        </w:rPr>
        <w:t>不统一组织，自行考察。</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10.</w:t>
      </w:r>
      <w:r>
        <w:rPr>
          <w:rFonts w:hint="eastAsia" w:ascii="宋体" w:hAnsi="宋体" w:cs="宋体"/>
          <w:color w:val="auto"/>
          <w:kern w:val="0"/>
          <w:szCs w:val="21"/>
          <w:highlight w:val="none"/>
        </w:rPr>
        <w:t>2自行现场考察所发生的费用及一切责任由投标人自行承担。</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11.</w:t>
      </w:r>
      <w:r>
        <w:rPr>
          <w:rFonts w:hint="eastAsia" w:ascii="宋体" w:hAnsi="宋体" w:cs="宋体"/>
          <w:b/>
          <w:color w:val="auto"/>
          <w:kern w:val="0"/>
          <w:szCs w:val="21"/>
          <w:highlight w:val="none"/>
        </w:rPr>
        <w:t>招标文件的澄清或修改</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11.1 </w:t>
      </w:r>
      <w:r>
        <w:rPr>
          <w:rFonts w:hint="eastAsia" w:ascii="宋体" w:hAnsi="宋体" w:cs="宋体"/>
          <w:color w:val="auto"/>
          <w:kern w:val="0"/>
          <w:szCs w:val="21"/>
          <w:highlight w:val="none"/>
        </w:rPr>
        <w:t>在投标截止期前，无论出于何种原因，招标人可主动地或在解答潜在投标人提出的澄清问题时对招标文件进行修改。</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11.2 </w:t>
      </w:r>
      <w:r>
        <w:rPr>
          <w:rFonts w:hint="eastAsia" w:ascii="宋体" w:hAnsi="宋体" w:cs="宋体"/>
          <w:color w:val="auto"/>
          <w:kern w:val="0"/>
          <w:szCs w:val="21"/>
          <w:highlight w:val="none"/>
        </w:rPr>
        <w:t>招标人可以对已发出的招标文件进行必要的澄清或者修改。澄清或者修改的内容可能影响投标文件编制的，招标人将在投标截止时间</w:t>
      </w:r>
      <w:r>
        <w:rPr>
          <w:rFonts w:ascii="宋体" w:hAnsi="宋体" w:cs="宋体"/>
          <w:color w:val="auto"/>
          <w:kern w:val="0"/>
          <w:szCs w:val="21"/>
          <w:highlight w:val="none"/>
        </w:rPr>
        <w:t>15</w:t>
      </w:r>
      <w:r>
        <w:rPr>
          <w:rFonts w:hint="eastAsia" w:ascii="宋体" w:hAnsi="宋体" w:cs="宋体"/>
          <w:color w:val="auto"/>
          <w:kern w:val="0"/>
          <w:szCs w:val="21"/>
          <w:highlight w:val="none"/>
        </w:rPr>
        <w:t>日前，在财政部门指定的政府采购信息发布媒体和《全国公共资源交易平台（河南省·许昌市）》发布更正公告。</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11.3 </w:t>
      </w:r>
      <w:r>
        <w:rPr>
          <w:rFonts w:hint="eastAsia" w:ascii="宋体" w:hAnsi="宋体" w:cs="宋体"/>
          <w:color w:val="auto"/>
          <w:kern w:val="0"/>
          <w:szCs w:val="21"/>
          <w:highlight w:val="none"/>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0" w:firstLineChars="200"/>
        <w:contextualSpacing/>
        <w:rPr>
          <w:rFonts w:ascii="宋体" w:cs="宋体"/>
          <w:b/>
          <w:color w:val="auto"/>
          <w:kern w:val="0"/>
          <w:szCs w:val="21"/>
          <w:highlight w:val="none"/>
        </w:rPr>
      </w:pPr>
      <w:r>
        <w:rPr>
          <w:rFonts w:ascii="宋体" w:hAnsi="宋体" w:cs="宋体"/>
          <w:color w:val="auto"/>
          <w:kern w:val="0"/>
          <w:szCs w:val="21"/>
          <w:highlight w:val="none"/>
        </w:rPr>
        <w:t xml:space="preserve">11.4 </w:t>
      </w:r>
      <w:r>
        <w:rPr>
          <w:rFonts w:hint="eastAsia" w:ascii="宋体" w:hAnsi="宋体" w:cs="宋体"/>
          <w:color w:val="auto"/>
          <w:kern w:val="0"/>
          <w:szCs w:val="21"/>
          <w:highlight w:val="none"/>
        </w:rPr>
        <w:t>如果澄清或者修改发出的时间距规定的投标截止时间不足</w:t>
      </w:r>
      <w:r>
        <w:rPr>
          <w:rFonts w:ascii="宋体" w:hAnsi="宋体" w:cs="宋体"/>
          <w:color w:val="auto"/>
          <w:kern w:val="0"/>
          <w:szCs w:val="21"/>
          <w:highlight w:val="none"/>
        </w:rPr>
        <w:t>15</w:t>
      </w:r>
      <w:r>
        <w:rPr>
          <w:rFonts w:hint="eastAsia" w:ascii="宋体" w:hAnsi="宋体" w:cs="宋体"/>
          <w:color w:val="auto"/>
          <w:kern w:val="0"/>
          <w:szCs w:val="21"/>
          <w:highlight w:val="none"/>
        </w:rPr>
        <w:t>日，招标人将顺延提交投标文件的截止时间。</w:t>
      </w:r>
    </w:p>
    <w:p>
      <w:pPr>
        <w:tabs>
          <w:tab w:val="left" w:pos="1260"/>
        </w:tabs>
        <w:autoSpaceDE w:val="0"/>
        <w:autoSpaceDN w:val="0"/>
        <w:spacing w:line="360" w:lineRule="auto"/>
        <w:contextualSpacing/>
        <w:jc w:val="center"/>
        <w:rPr>
          <w:rFonts w:cs="宋体"/>
          <w:color w:val="auto"/>
          <w:szCs w:val="21"/>
          <w:highlight w:val="none"/>
        </w:rPr>
      </w:pPr>
      <w:r>
        <w:rPr>
          <w:rFonts w:hint="eastAsia" w:ascii="宋体" w:hAnsi="宋体" w:cs="宋体"/>
          <w:b/>
          <w:color w:val="auto"/>
          <w:kern w:val="0"/>
          <w:szCs w:val="21"/>
          <w:highlight w:val="none"/>
        </w:rPr>
        <w:t>三、投标文件的编制</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12</w:t>
      </w:r>
      <w:r>
        <w:rPr>
          <w:rFonts w:hint="eastAsia" w:ascii="宋体" w:hAnsi="宋体" w:cs="宋体"/>
          <w:b/>
          <w:color w:val="auto"/>
          <w:kern w:val="0"/>
          <w:szCs w:val="21"/>
          <w:highlight w:val="none"/>
        </w:rPr>
        <w:t>．投标的语言及计量单位</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12</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1 </w:t>
      </w:r>
      <w:r>
        <w:rPr>
          <w:rFonts w:hint="eastAsia" w:ascii="宋体" w:hAnsi="宋体" w:cs="宋体"/>
          <w:color w:val="auto"/>
          <w:kern w:val="0"/>
          <w:szCs w:val="21"/>
          <w:highlight w:val="none"/>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12.2 </w:t>
      </w:r>
      <w:r>
        <w:rPr>
          <w:rFonts w:hint="eastAsia" w:ascii="宋体" w:hAnsi="宋体" w:cs="宋体"/>
          <w:color w:val="auto"/>
          <w:kern w:val="0"/>
          <w:szCs w:val="21"/>
          <w:highlight w:val="none"/>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 xml:space="preserve">13. </w:t>
      </w:r>
      <w:r>
        <w:rPr>
          <w:rFonts w:hint="eastAsia" w:ascii="宋体" w:hAnsi="宋体" w:cs="宋体"/>
          <w:b/>
          <w:color w:val="auto"/>
          <w:kern w:val="0"/>
          <w:szCs w:val="21"/>
          <w:highlight w:val="none"/>
        </w:rPr>
        <w:t>投标报价</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13.1 </w:t>
      </w:r>
      <w:r>
        <w:rPr>
          <w:rFonts w:hint="eastAsia" w:ascii="宋体" w:hAnsi="宋体" w:cs="宋体"/>
          <w:color w:val="auto"/>
          <w:kern w:val="0"/>
          <w:szCs w:val="21"/>
          <w:highlight w:val="none"/>
        </w:rPr>
        <w:t>本次招标项目的投标均以</w:t>
      </w:r>
      <w:r>
        <w:rPr>
          <w:rFonts w:hint="eastAsia" w:ascii="宋体" w:hAnsi="宋体" w:cs="宋体"/>
          <w:b/>
          <w:color w:val="auto"/>
          <w:kern w:val="0"/>
          <w:szCs w:val="21"/>
          <w:highlight w:val="none"/>
        </w:rPr>
        <w:t>人民币</w:t>
      </w:r>
      <w:r>
        <w:rPr>
          <w:rFonts w:hint="eastAsia" w:ascii="宋体" w:hAnsi="宋体" w:cs="宋体"/>
          <w:color w:val="auto"/>
          <w:kern w:val="0"/>
          <w:szCs w:val="21"/>
          <w:highlight w:val="none"/>
        </w:rPr>
        <w:t>为计算单位。</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13.2 </w:t>
      </w:r>
      <w:r>
        <w:rPr>
          <w:rFonts w:hint="eastAsia" w:ascii="宋体" w:hAnsi="宋体" w:cs="宋体"/>
          <w:color w:val="auto"/>
          <w:kern w:val="0"/>
          <w:szCs w:val="21"/>
          <w:highlight w:val="none"/>
        </w:rPr>
        <w:t>采购人不得向投标人索要或者接受其给予的赠品、回扣或者与采购无关的其他商品、服务。</w:t>
      </w:r>
    </w:p>
    <w:p>
      <w:pPr>
        <w:pStyle w:val="39"/>
        <w:spacing w:line="374" w:lineRule="auto"/>
        <w:rPr>
          <w:rFonts w:ascii="宋体" w:cs="宋体"/>
          <w:color w:val="auto"/>
          <w:kern w:val="0"/>
          <w:szCs w:val="21"/>
          <w:highlight w:val="none"/>
        </w:rPr>
      </w:pPr>
      <w:r>
        <w:rPr>
          <w:rFonts w:ascii="宋体" w:hAnsi="宋体" w:cs="宋体"/>
          <w:color w:val="auto"/>
          <w:kern w:val="0"/>
          <w:szCs w:val="21"/>
          <w:highlight w:val="none"/>
        </w:rPr>
        <w:t xml:space="preserve">13.3 </w:t>
      </w:r>
      <w:r>
        <w:rPr>
          <w:rFonts w:hint="eastAsia" w:ascii="宋体" w:hAnsi="宋体" w:cs="宋体"/>
          <w:color w:val="auto"/>
          <w:kern w:val="0"/>
          <w:szCs w:val="21"/>
          <w:highlight w:val="none"/>
        </w:rPr>
        <w:t>投标人应对项目要求的全部内容进行报价，少报漏报将导致其投标</w:t>
      </w:r>
      <w:r>
        <w:rPr>
          <w:rFonts w:hint="eastAsia" w:ascii="宋体" w:hAnsi="宋体" w:cs="宋体"/>
          <w:color w:val="auto"/>
          <w:szCs w:val="21"/>
          <w:highlight w:val="none"/>
          <w:lang w:val="en-GB"/>
        </w:rPr>
        <w:t>为非实质性响应予以拒绝。</w:t>
      </w:r>
    </w:p>
    <w:p>
      <w:pPr>
        <w:spacing w:line="360" w:lineRule="auto"/>
        <w:ind w:firstLine="420" w:firstLineChars="200"/>
        <w:outlineLvl w:val="0"/>
        <w:rPr>
          <w:rFonts w:ascii="宋体" w:cs="宋体"/>
          <w:color w:val="auto"/>
          <w:kern w:val="0"/>
          <w:szCs w:val="21"/>
          <w:highlight w:val="none"/>
        </w:rPr>
      </w:pPr>
      <w:r>
        <w:rPr>
          <w:rFonts w:ascii="宋体" w:hAnsi="宋体" w:cs="宋体"/>
          <w:color w:val="auto"/>
          <w:kern w:val="0"/>
          <w:szCs w:val="21"/>
          <w:highlight w:val="none"/>
        </w:rPr>
        <w:t xml:space="preserve">13.4 </w:t>
      </w:r>
      <w:r>
        <w:rPr>
          <w:rFonts w:hint="eastAsia" w:ascii="宋体" w:hAnsi="宋体" w:cs="宋体"/>
          <w:color w:val="auto"/>
          <w:kern w:val="0"/>
          <w:szCs w:val="21"/>
          <w:highlight w:val="none"/>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13.5 </w:t>
      </w:r>
      <w:r>
        <w:rPr>
          <w:rFonts w:hint="eastAsia" w:ascii="宋体" w:hAnsi="宋体" w:cs="宋体"/>
          <w:color w:val="auto"/>
          <w:kern w:val="0"/>
          <w:szCs w:val="21"/>
          <w:highlight w:val="none"/>
        </w:rPr>
        <w:t>本项目所涉及的运输、施工、安装、集成、调试、验收、备品和工具等费用均包含在投标报价中。</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13.6 </w:t>
      </w:r>
      <w:r>
        <w:rPr>
          <w:rFonts w:hint="eastAsia" w:ascii="宋体" w:hAnsi="宋体" w:cs="宋体"/>
          <w:color w:val="auto"/>
          <w:kern w:val="0"/>
          <w:szCs w:val="21"/>
          <w:highlight w:val="none"/>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13.7 </w:t>
      </w:r>
      <w:r>
        <w:rPr>
          <w:rFonts w:hint="eastAsia" w:ascii="宋体" w:hAnsi="宋体" w:cs="宋体"/>
          <w:color w:val="auto"/>
          <w:kern w:val="0"/>
          <w:szCs w:val="21"/>
          <w:highlight w:val="none"/>
        </w:rPr>
        <w:t>报价不得高于本项目最高限价，且不低于成本价。</w:t>
      </w:r>
      <w:r>
        <w:rPr>
          <w:rFonts w:hint="eastAsia" w:ascii="宋体" w:hAnsi="宋体" w:cs="宋体"/>
          <w:color w:val="auto"/>
          <w:szCs w:val="21"/>
          <w:highlight w:val="none"/>
          <w:lang w:val="en-GB"/>
        </w:rPr>
        <w:t>本次招标实行“最高限价（项目控制金额上限）”</w:t>
      </w:r>
      <w:r>
        <w:rPr>
          <w:rFonts w:ascii="宋体" w:cs="宋体"/>
          <w:color w:val="auto"/>
          <w:szCs w:val="21"/>
          <w:highlight w:val="none"/>
          <w:lang w:val="en-GB"/>
        </w:rPr>
        <w:t>,</w:t>
      </w:r>
      <w:r>
        <w:rPr>
          <w:rFonts w:hint="eastAsia" w:ascii="宋体" w:hAnsi="宋体" w:cs="宋体"/>
          <w:color w:val="auto"/>
          <w:szCs w:val="21"/>
          <w:highlight w:val="none"/>
          <w:lang w:val="en-GB"/>
        </w:rPr>
        <w:t>投标人的投标报价高于最高限价（项目控制金额上限）的，该投标人的投标文件将被视为非实质性响应予以拒绝。</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13.8 </w:t>
      </w:r>
      <w:r>
        <w:rPr>
          <w:rFonts w:hint="eastAsia" w:ascii="宋体" w:hAnsi="宋体" w:cs="宋体"/>
          <w:color w:val="auto"/>
          <w:kern w:val="0"/>
          <w:szCs w:val="21"/>
          <w:highlight w:val="none"/>
        </w:rPr>
        <w:t>最低报价不能作为中标的保证。</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14</w:t>
      </w:r>
      <w:r>
        <w:rPr>
          <w:rFonts w:hint="eastAsia" w:ascii="宋体" w:hAnsi="宋体" w:cs="宋体"/>
          <w:b/>
          <w:color w:val="auto"/>
          <w:kern w:val="0"/>
          <w:szCs w:val="21"/>
          <w:highlight w:val="none"/>
        </w:rPr>
        <w:t>．投标有效期</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14.1 </w:t>
      </w:r>
      <w:r>
        <w:rPr>
          <w:rFonts w:hint="eastAsia" w:ascii="宋体" w:hAnsi="宋体" w:cs="宋体"/>
          <w:color w:val="auto"/>
          <w:kern w:val="0"/>
          <w:szCs w:val="21"/>
          <w:highlight w:val="none"/>
        </w:rPr>
        <w:t>投标有效期从提交投标文件的截止之日起算。本项目投标有效期详</w:t>
      </w:r>
      <w:r>
        <w:rPr>
          <w:rFonts w:hint="eastAsia" w:ascii="宋体" w:hAnsi="宋体" w:cs="宋体"/>
          <w:color w:val="auto"/>
          <w:szCs w:val="21"/>
          <w:highlight w:val="none"/>
          <w:lang w:val="zh-CN"/>
        </w:rPr>
        <w:t>见投标人须知前附表。</w:t>
      </w:r>
      <w:r>
        <w:rPr>
          <w:rFonts w:hint="eastAsia" w:ascii="宋体" w:hAnsi="宋体" w:cs="宋体"/>
          <w:color w:val="auto"/>
          <w:kern w:val="0"/>
          <w:szCs w:val="21"/>
          <w:highlight w:val="none"/>
        </w:rPr>
        <w:t>投标文件中承诺的投标有效期应当不少于“投标人须知前附表”载明的投标有效期。投标有效期比招标文件规定短的属于非实质性响应，将被认定为无效投标。</w:t>
      </w:r>
    </w:p>
    <w:p>
      <w:pPr>
        <w:pStyle w:val="58"/>
        <w:autoSpaceDE w:val="0"/>
        <w:autoSpaceDN w:val="0"/>
        <w:spacing w:line="360" w:lineRule="auto"/>
        <w:contextualSpacing/>
        <w:rPr>
          <w:rFonts w:ascii="宋体" w:cs="宋体"/>
          <w:color w:val="auto"/>
          <w:kern w:val="0"/>
          <w:szCs w:val="21"/>
          <w:highlight w:val="none"/>
        </w:rPr>
      </w:pPr>
      <w:r>
        <w:rPr>
          <w:rFonts w:ascii="宋体" w:hAnsi="宋体" w:cs="宋体"/>
          <w:color w:val="auto"/>
          <w:kern w:val="0"/>
          <w:szCs w:val="21"/>
          <w:highlight w:val="none"/>
        </w:rPr>
        <w:t>14.</w:t>
      </w:r>
      <w:r>
        <w:rPr>
          <w:rFonts w:hint="eastAsia" w:ascii="宋体" w:hAnsi="宋体" w:cs="宋体"/>
          <w:color w:val="auto"/>
          <w:kern w:val="0"/>
          <w:szCs w:val="21"/>
          <w:highlight w:val="none"/>
          <w:lang w:val="en-US" w:eastAsia="zh-CN"/>
        </w:rPr>
        <w:t>2</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14.</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中标人的投标文件作为项目合同的附件，其有效期至中标人全部合同义务履行完毕为止。</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15</w:t>
      </w:r>
      <w:r>
        <w:rPr>
          <w:rFonts w:hint="eastAsia" w:ascii="宋体" w:hAnsi="宋体" w:cs="宋体"/>
          <w:b/>
          <w:color w:val="auto"/>
          <w:kern w:val="0"/>
          <w:szCs w:val="21"/>
          <w:highlight w:val="none"/>
        </w:rPr>
        <w:t>．投标文件构成</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15.1 </w:t>
      </w:r>
      <w:r>
        <w:rPr>
          <w:rFonts w:hint="eastAsia" w:ascii="宋体" w:hAnsi="宋体" w:cs="宋体"/>
          <w:color w:val="auto"/>
          <w:kern w:val="0"/>
          <w:szCs w:val="21"/>
          <w:highlight w:val="none"/>
        </w:rPr>
        <w:t>投标文件的构成应符合法律法规及招标文件的要求。</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15.2 </w:t>
      </w:r>
      <w:r>
        <w:rPr>
          <w:rFonts w:hint="eastAsia" w:ascii="宋体" w:hAnsi="宋体" w:cs="宋体"/>
          <w:color w:val="auto"/>
          <w:kern w:val="0"/>
          <w:szCs w:val="21"/>
          <w:highlight w:val="none"/>
        </w:rPr>
        <w:t>投标人应当按照招标文件的要求编制投标文件。投标文件应当对招标文件提出的要求和条件作出明确响应。</w:t>
      </w:r>
    </w:p>
    <w:p>
      <w:pPr>
        <w:pStyle w:val="58"/>
        <w:numPr>
          <w:ilvl w:val="0"/>
          <w:numId w:val="0"/>
        </w:numPr>
        <w:shd w:val="clear"/>
        <w:autoSpaceDE w:val="0"/>
        <w:autoSpaceDN w:val="0"/>
        <w:spacing w:line="360" w:lineRule="auto"/>
        <w:ind w:leftChars="0"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15.3 </w:t>
      </w:r>
      <w:r>
        <w:rPr>
          <w:rFonts w:hint="eastAsia" w:ascii="宋体" w:hAnsi="宋体" w:cs="宋体"/>
          <w:color w:val="auto"/>
          <w:kern w:val="0"/>
          <w:szCs w:val="21"/>
          <w:highlight w:val="none"/>
        </w:rPr>
        <w:t>投标文件由资格证明材料、符合性证明材料、其它材料等组成。</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highlight w:val="none"/>
        </w:rPr>
        <w:t xml:space="preserve">15.4 </w:t>
      </w:r>
      <w:r>
        <w:rPr>
          <w:rFonts w:hint="eastAsia" w:ascii="宋体" w:hAnsi="宋体" w:cs="宋体"/>
          <w:color w:val="auto"/>
          <w:kern w:val="0"/>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0" w:firstLineChars="200"/>
        <w:contextualSpacing/>
        <w:rPr>
          <w:rFonts w:hint="eastAsia" w:ascii="宋体" w:hAnsi="宋体" w:cs="宋体" w:eastAsiaTheme="minorEastAsia"/>
          <w:color w:val="auto"/>
          <w:kern w:val="0"/>
          <w:sz w:val="21"/>
          <w:szCs w:val="21"/>
          <w:highlight w:val="none"/>
          <w:lang w:val="en-US" w:eastAsia="zh-CN" w:bidi="ar-SA"/>
        </w:rPr>
      </w:pPr>
      <w:r>
        <w:rPr>
          <w:rFonts w:hint="eastAsia" w:ascii="宋体" w:hAnsi="宋体" w:cs="宋体"/>
          <w:bCs/>
          <w:color w:val="auto"/>
          <w:kern w:val="0"/>
          <w:szCs w:val="21"/>
          <w:highlight w:val="none"/>
        </w:rPr>
        <w:t xml:space="preserve">15.5 </w:t>
      </w:r>
      <w:r>
        <w:rPr>
          <w:rFonts w:hint="eastAsia" w:ascii="宋体" w:hAnsi="宋体" w:cs="宋体" w:eastAsiaTheme="minorEastAsia"/>
          <w:color w:val="auto"/>
          <w:kern w:val="0"/>
          <w:sz w:val="21"/>
          <w:szCs w:val="21"/>
          <w:highlight w:val="none"/>
          <w:lang w:val="en-US" w:eastAsia="zh-CN" w:bidi="ar-SA"/>
        </w:rPr>
        <w:t>15.5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pPr>
        <w:autoSpaceDE w:val="0"/>
        <w:autoSpaceDN w:val="0"/>
        <w:spacing w:line="360" w:lineRule="auto"/>
        <w:ind w:firstLine="420" w:firstLineChars="200"/>
        <w:contextualSpacing/>
        <w:rPr>
          <w:rFonts w:ascii="宋体" w:hAnsi="宋体" w:cs="宋体"/>
          <w:bCs/>
          <w:color w:val="auto"/>
          <w:kern w:val="0"/>
          <w:szCs w:val="21"/>
          <w:highlight w:val="none"/>
        </w:rPr>
      </w:pPr>
      <w:r>
        <w:rPr>
          <w:rFonts w:hint="eastAsia" w:ascii="宋体" w:hAnsi="宋体" w:cs="宋体" w:eastAsiaTheme="minorEastAsia"/>
          <w:color w:val="auto"/>
          <w:kern w:val="0"/>
          <w:sz w:val="21"/>
          <w:szCs w:val="21"/>
          <w:highlight w:val="none"/>
          <w:lang w:val="en-US" w:eastAsia="zh-CN" w:bidi="ar-SA"/>
        </w:rPr>
        <w:t>电子投标文件制作技术咨询：0374-2968176。</w:t>
      </w:r>
    </w:p>
    <w:p>
      <w:pPr>
        <w:autoSpaceDE w:val="0"/>
        <w:autoSpaceDN w:val="0"/>
        <w:spacing w:line="360" w:lineRule="auto"/>
        <w:contextualSpacing/>
        <w:rPr>
          <w:rFonts w:ascii="宋体" w:cs="宋体"/>
          <w:b/>
          <w:color w:val="auto"/>
          <w:kern w:val="0"/>
          <w:szCs w:val="21"/>
          <w:highlight w:val="none"/>
        </w:rPr>
      </w:pPr>
      <w:r>
        <w:rPr>
          <w:rFonts w:ascii="宋体" w:hAnsi="宋体" w:cs="宋体"/>
          <w:b/>
          <w:color w:val="auto"/>
          <w:kern w:val="0"/>
          <w:szCs w:val="21"/>
          <w:highlight w:val="none"/>
        </w:rPr>
        <w:t>16.</w:t>
      </w:r>
      <w:r>
        <w:rPr>
          <w:rFonts w:hint="eastAsia" w:ascii="宋体" w:hAnsi="宋体" w:cs="宋体"/>
          <w:b/>
          <w:color w:val="auto"/>
          <w:kern w:val="0"/>
          <w:szCs w:val="21"/>
          <w:highlight w:val="none"/>
        </w:rPr>
        <w:t>投标文件格式</w:t>
      </w:r>
    </w:p>
    <w:p>
      <w:pPr>
        <w:autoSpaceDE w:val="0"/>
        <w:autoSpaceDN w:val="0"/>
        <w:spacing w:line="360" w:lineRule="auto"/>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投标人应按招标文件提供的格式编写投标文件。招标文件未提供标准格式的投标人可自行拟定。</w:t>
      </w:r>
    </w:p>
    <w:p>
      <w:pPr>
        <w:autoSpaceDE w:val="0"/>
        <w:autoSpaceDN w:val="0"/>
        <w:spacing w:line="360" w:lineRule="auto"/>
        <w:contextualSpacing/>
        <w:rPr>
          <w:rFonts w:ascii="宋体" w:hAnsi="宋体" w:cs="宋体"/>
          <w:b/>
          <w:color w:val="auto"/>
          <w:kern w:val="0"/>
          <w:szCs w:val="21"/>
          <w:highlight w:val="none"/>
        </w:rPr>
      </w:pPr>
      <w:r>
        <w:rPr>
          <w:rFonts w:hint="eastAsia" w:ascii="宋体" w:hAnsi="宋体" w:cs="宋体"/>
          <w:b/>
          <w:color w:val="auto"/>
          <w:kern w:val="0"/>
          <w:szCs w:val="21"/>
          <w:highlight w:val="none"/>
        </w:rPr>
        <w:t>17.投标保证金</w:t>
      </w:r>
    </w:p>
    <w:p>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17.1</w:t>
      </w:r>
      <w:r>
        <w:rPr>
          <w:rFonts w:hint="eastAsia" w:ascii="宋体" w:hAnsi="宋体" w:cs="宋体"/>
          <w:color w:val="auto"/>
          <w:szCs w:val="21"/>
          <w:highlight w:val="none"/>
          <w:lang w:val="zh-CN"/>
        </w:rPr>
        <w:t>本项目不收取投标保证金。</w:t>
      </w:r>
    </w:p>
    <w:p>
      <w:pPr>
        <w:autoSpaceDE w:val="0"/>
        <w:autoSpaceDN w:val="0"/>
        <w:adjustRightInd w:val="0"/>
        <w:spacing w:line="360" w:lineRule="auto"/>
        <w:ind w:firstLine="420" w:firstLineChars="200"/>
        <w:rPr>
          <w:color w:val="auto"/>
          <w:highlight w:val="none"/>
        </w:rPr>
      </w:pPr>
      <w:r>
        <w:rPr>
          <w:rFonts w:hint="eastAsia" w:ascii="宋体" w:hAnsi="宋体" w:cs="宋体"/>
          <w:color w:val="auto"/>
          <w:szCs w:val="21"/>
          <w:highlight w:val="none"/>
        </w:rPr>
        <w:t>17.2</w:t>
      </w:r>
      <w:r>
        <w:rPr>
          <w:rFonts w:hint="eastAsia" w:ascii="宋体" w:hAnsi="宋体" w:cs="宋体"/>
          <w:color w:val="auto"/>
          <w:szCs w:val="21"/>
          <w:highlight w:val="none"/>
          <w:lang w:val="zh-CN"/>
        </w:rPr>
        <w:t>投标人应提供投标承诺函。</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1</w:t>
      </w:r>
      <w:r>
        <w:rPr>
          <w:rFonts w:hint="eastAsia" w:ascii="宋体" w:hAnsi="宋体" w:cs="宋体"/>
          <w:b/>
          <w:color w:val="auto"/>
          <w:szCs w:val="21"/>
          <w:highlight w:val="none"/>
        </w:rPr>
        <w:t>8</w:t>
      </w:r>
      <w:r>
        <w:rPr>
          <w:rFonts w:ascii="宋体" w:cs="宋体"/>
          <w:b/>
          <w:color w:val="auto"/>
          <w:szCs w:val="21"/>
          <w:highlight w:val="none"/>
          <w:lang w:val="zh-CN"/>
        </w:rPr>
        <w:t>.</w:t>
      </w:r>
      <w:r>
        <w:rPr>
          <w:rFonts w:hint="eastAsia" w:ascii="宋体" w:hAnsi="宋体" w:cs="宋体"/>
          <w:b/>
          <w:color w:val="auto"/>
          <w:szCs w:val="21"/>
          <w:highlight w:val="none"/>
          <w:lang w:val="zh-CN"/>
        </w:rPr>
        <w:t>投标文件的数量和签署盖章</w:t>
      </w:r>
    </w:p>
    <w:p>
      <w:pPr>
        <w:autoSpaceDE w:val="0"/>
        <w:autoSpaceDN w:val="0"/>
        <w:adjustRightInd w:val="0"/>
        <w:spacing w:line="360" w:lineRule="auto"/>
        <w:ind w:firstLine="420" w:firstLineChars="200"/>
        <w:rPr>
          <w:rFonts w:ascii="宋体" w:cs="宋体"/>
          <w:color w:val="auto"/>
          <w:szCs w:val="21"/>
          <w:highlight w:val="none"/>
          <w:lang w:val="zh-CN"/>
        </w:rPr>
      </w:pPr>
      <w:r>
        <w:rPr>
          <w:rFonts w:ascii="宋体" w:hAnsi="宋体" w:cs="宋体"/>
          <w:color w:val="auto"/>
          <w:szCs w:val="21"/>
          <w:highlight w:val="none"/>
          <w:lang w:val="zh-CN"/>
        </w:rPr>
        <w:t>1</w:t>
      </w:r>
      <w:r>
        <w:rPr>
          <w:rFonts w:hint="eastAsia" w:ascii="宋体" w:hAnsi="宋体" w:cs="宋体"/>
          <w:color w:val="auto"/>
          <w:szCs w:val="21"/>
          <w:highlight w:val="none"/>
        </w:rPr>
        <w:t>8</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投标人应提交投标文件份数见“投标人须知前附表”。</w:t>
      </w:r>
    </w:p>
    <w:p>
      <w:pPr>
        <w:tabs>
          <w:tab w:val="left" w:pos="1260"/>
        </w:tabs>
        <w:autoSpaceDE w:val="0"/>
        <w:autoSpaceDN w:val="0"/>
        <w:spacing w:line="360" w:lineRule="auto"/>
        <w:ind w:firstLine="420" w:firstLineChars="200"/>
        <w:contextualSpacing/>
        <w:rPr>
          <w:ins w:id="0" w:author="许昌丰元咨询管理有限公司:连丹丹" w:date="2021-06-08T09:27:00Z"/>
          <w:rFonts w:ascii="宋体" w:hAnsi="宋体" w:cs="宋体"/>
          <w:b/>
          <w:color w:val="auto"/>
          <w:kern w:val="0"/>
          <w:sz w:val="28"/>
          <w:szCs w:val="28"/>
          <w:highlight w:val="none"/>
        </w:rPr>
      </w:pPr>
      <w:r>
        <w:rPr>
          <w:rFonts w:ascii="宋体" w:hAnsi="宋体" w:cs="宋体"/>
          <w:color w:val="auto"/>
          <w:szCs w:val="21"/>
          <w:highlight w:val="none"/>
          <w:lang w:val="zh-CN"/>
        </w:rPr>
        <w:t>1</w:t>
      </w:r>
      <w:r>
        <w:rPr>
          <w:rFonts w:hint="eastAsia" w:ascii="宋体" w:hAnsi="宋体" w:cs="宋体"/>
          <w:color w:val="auto"/>
          <w:szCs w:val="21"/>
          <w:highlight w:val="none"/>
        </w:rPr>
        <w:t>8</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在招标文件中已明示需盖章及签名之处，</w:t>
      </w:r>
      <w:r>
        <w:rPr>
          <w:rFonts w:hint="eastAsia" w:ascii="宋体" w:hAnsi="宋体" w:cs="宋体"/>
          <w:color w:val="auto"/>
          <w:szCs w:val="21"/>
          <w:highlight w:val="none"/>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四、投标文件的递交</w:t>
      </w:r>
    </w:p>
    <w:p>
      <w:pPr>
        <w:numPr>
          <w:ilvl w:val="0"/>
          <w:numId w:val="14"/>
        </w:numPr>
        <w:tabs>
          <w:tab w:val="left" w:pos="1260"/>
        </w:tabs>
        <w:autoSpaceDE w:val="0"/>
        <w:autoSpaceDN w:val="0"/>
        <w:spacing w:line="360" w:lineRule="auto"/>
        <w:contextualSpacing/>
        <w:rPr>
          <w:rFonts w:ascii="宋体" w:hAnsi="宋体" w:cs="宋体"/>
          <w:b/>
          <w:color w:val="auto"/>
          <w:szCs w:val="21"/>
          <w:highlight w:val="none"/>
          <w:lang w:val="zh-CN"/>
        </w:rPr>
      </w:pPr>
      <w:r>
        <w:rPr>
          <w:rFonts w:hint="eastAsia" w:ascii="宋体" w:hAnsi="宋体" w:cs="宋体"/>
          <w:b/>
          <w:color w:val="auto"/>
          <w:szCs w:val="21"/>
          <w:highlight w:val="none"/>
          <w:lang w:val="zh-CN"/>
        </w:rPr>
        <w:t>投标文件的递交及投标截止时间</w:t>
      </w:r>
    </w:p>
    <w:p>
      <w:pPr>
        <w:tabs>
          <w:tab w:val="left" w:pos="1260"/>
        </w:tabs>
        <w:autoSpaceDE w:val="0"/>
        <w:autoSpaceDN w:val="0"/>
        <w:spacing w:line="360" w:lineRule="auto"/>
        <w:ind w:firstLine="420" w:firstLineChars="200"/>
        <w:contextualSpacing/>
        <w:rPr>
          <w:color w:val="auto"/>
          <w:highlight w:val="none"/>
          <w:lang w:val="zh-CN"/>
        </w:rPr>
      </w:pPr>
      <w:r>
        <w:rPr>
          <w:rFonts w:hint="eastAsia" w:ascii="宋体" w:hAnsi="宋体" w:cs="仿宋_GB2312"/>
          <w:color w:val="auto"/>
          <w:szCs w:val="21"/>
          <w:highlight w:val="none"/>
        </w:rPr>
        <w:t>19.1 电子投标文件：成功上传至《全国公共资源交易平台（河南省·许昌市）》公共资源交易系统加密电子投标文件</w:t>
      </w:r>
      <w:r>
        <w:rPr>
          <w:rFonts w:ascii="宋体" w:hAnsi="宋体" w:cs="仿宋_GB2312"/>
          <w:color w:val="auto"/>
          <w:szCs w:val="21"/>
          <w:highlight w:val="none"/>
        </w:rPr>
        <w:t>1份（文件格式为： XXX公司XXX项目编号.file）。</w:t>
      </w:r>
    </w:p>
    <w:p>
      <w:pPr>
        <w:autoSpaceDE w:val="0"/>
        <w:autoSpaceDN w:val="0"/>
        <w:spacing w:line="360" w:lineRule="auto"/>
        <w:ind w:firstLine="422" w:firstLineChars="200"/>
        <w:contextualSpacing/>
        <w:rPr>
          <w:rFonts w:hint="eastAsia" w:ascii="宋体" w:hAnsi="宋体" w:cs="宋体"/>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19.2</w:t>
      </w:r>
      <w:r>
        <w:rPr>
          <w:rFonts w:hint="eastAsia" w:ascii="宋体" w:hAnsi="宋体" w:cs="宋体"/>
          <w:b/>
          <w:color w:val="auto"/>
          <w:kern w:val="0"/>
          <w:sz w:val="21"/>
          <w:szCs w:val="21"/>
          <w:highlight w:val="none"/>
        </w:rPr>
        <w:t>.本项目采用“远程不见面”开标方式，</w:t>
      </w:r>
      <w:r>
        <w:rPr>
          <w:rFonts w:hint="eastAsia" w:ascii="宋体" w:hAnsi="宋体" w:cs="宋体"/>
          <w:color w:val="auto"/>
          <w:kern w:val="0"/>
          <w:sz w:val="21"/>
          <w:szCs w:val="21"/>
          <w:highlight w:val="none"/>
        </w:rPr>
        <w:t>投标人无须到开标现场参加开标会议、无须现场提交有关原件资料；投标人在</w:t>
      </w:r>
      <w:r>
        <w:rPr>
          <w:rFonts w:hint="eastAsia" w:ascii="宋体" w:hAnsi="宋体" w:cs="宋体"/>
          <w:color w:val="auto"/>
          <w:sz w:val="21"/>
          <w:szCs w:val="21"/>
          <w:highlight w:val="none"/>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 </w:t>
      </w:r>
    </w:p>
    <w:p>
      <w:pPr>
        <w:autoSpaceDE w:val="0"/>
        <w:autoSpaceDN w:val="0"/>
        <w:spacing w:line="360" w:lineRule="auto"/>
        <w:ind w:firstLine="420" w:firstLineChars="200"/>
        <w:contextualSpacing/>
        <w:rPr>
          <w:rFonts w:ascii="宋体" w:cs="宋体"/>
          <w:bCs/>
          <w:color w:val="auto"/>
          <w:szCs w:val="21"/>
          <w:highlight w:val="none"/>
        </w:rPr>
      </w:pPr>
      <w:r>
        <w:rPr>
          <w:rFonts w:hint="eastAsia" w:ascii="宋体" w:hAnsi="宋体" w:cs="宋体"/>
          <w:color w:val="auto"/>
          <w:kern w:val="0"/>
          <w:sz w:val="21"/>
          <w:szCs w:val="21"/>
          <w:highlight w:val="none"/>
          <w:lang w:val="en-US" w:eastAsia="zh-CN"/>
        </w:rPr>
        <w:t>19.3</w:t>
      </w:r>
      <w:r>
        <w:rPr>
          <w:rFonts w:hint="eastAsia" w:ascii="宋体" w:hAnsi="宋体" w:cs="宋体"/>
          <w:bCs/>
          <w:color w:val="auto"/>
          <w:szCs w:val="21"/>
          <w:highlight w:val="none"/>
        </w:rPr>
        <w:t>招标人可以按本须知第</w:t>
      </w:r>
      <w:r>
        <w:rPr>
          <w:rFonts w:ascii="宋体" w:hAnsi="宋体" w:cs="宋体"/>
          <w:bCs/>
          <w:color w:val="auto"/>
          <w:szCs w:val="21"/>
          <w:highlight w:val="none"/>
        </w:rPr>
        <w:t>1</w:t>
      </w:r>
      <w:r>
        <w:rPr>
          <w:rFonts w:hint="eastAsia" w:ascii="宋体" w:hAnsi="宋体" w:cs="宋体"/>
          <w:bCs/>
          <w:color w:val="auto"/>
          <w:szCs w:val="21"/>
          <w:highlight w:val="none"/>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宋体"/>
          <w:b/>
          <w:color w:val="auto"/>
          <w:szCs w:val="21"/>
          <w:highlight w:val="none"/>
          <w:lang w:val="zh-CN"/>
        </w:rPr>
      </w:pPr>
      <w:r>
        <w:rPr>
          <w:rFonts w:hint="eastAsia" w:ascii="宋体" w:hAnsi="宋体" w:cs="宋体"/>
          <w:b/>
          <w:color w:val="auto"/>
          <w:szCs w:val="21"/>
          <w:highlight w:val="none"/>
        </w:rPr>
        <w:t>20</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迟交的投标文件</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投标截止时间之后上传的投标文件，招标人将拒绝接收。</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1</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投标文件的修改和撤回</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1</w:t>
      </w:r>
      <w:r>
        <w:rPr>
          <w:rFonts w:ascii="宋体" w:hAnsi="宋体" w:cs="宋体"/>
          <w:color w:val="auto"/>
          <w:szCs w:val="21"/>
          <w:highlight w:val="none"/>
          <w:lang w:val="zh-CN"/>
        </w:rPr>
        <w:t xml:space="preserve">.1 </w:t>
      </w:r>
      <w:r>
        <w:rPr>
          <w:rFonts w:hint="eastAsia" w:ascii="宋体" w:hAnsi="宋体" w:cs="宋体"/>
          <w:color w:val="auto"/>
          <w:szCs w:val="21"/>
          <w:highlight w:val="none"/>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1</w:t>
      </w:r>
      <w:r>
        <w:rPr>
          <w:rFonts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投标人在递交投标文件后，可以撤回其投标，但投标人必须在规定的投标截止时间前以书面形式告知招标人。</w:t>
      </w:r>
    </w:p>
    <w:p>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szCs w:val="21"/>
          <w:highlight w:val="none"/>
          <w:lang w:val="zh-CN"/>
        </w:rPr>
        <w:t>2</w:t>
      </w:r>
      <w:r>
        <w:rPr>
          <w:rFonts w:hint="eastAsia" w:ascii="宋体" w:hAnsi="宋体" w:cs="宋体"/>
          <w:color w:val="auto"/>
          <w:szCs w:val="21"/>
          <w:highlight w:val="none"/>
        </w:rPr>
        <w:t>1</w:t>
      </w:r>
      <w:r>
        <w:rPr>
          <w:rFonts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kern w:val="0"/>
          <w:szCs w:val="21"/>
          <w:highlight w:val="none"/>
        </w:rPr>
        <w:t>投标人不得在投标有效期内撤销投标文件，否则招标人将不退还其投标保证金。</w:t>
      </w:r>
    </w:p>
    <w:p>
      <w:pPr>
        <w:autoSpaceDE w:val="0"/>
        <w:autoSpaceDN w:val="0"/>
        <w:spacing w:line="360" w:lineRule="auto"/>
        <w:contextualSpacing/>
        <w:rPr>
          <w:rFonts w:ascii="宋体" w:cs="宋体"/>
          <w:color w:val="auto"/>
          <w:kern w:val="0"/>
          <w:szCs w:val="21"/>
          <w:highlight w:val="none"/>
        </w:rPr>
      </w:pPr>
      <w:r>
        <w:rPr>
          <w:rFonts w:ascii="宋体" w:hAnsi="宋体" w:cs="宋体"/>
          <w:b/>
          <w:color w:val="auto"/>
          <w:kern w:val="0"/>
          <w:szCs w:val="21"/>
          <w:highlight w:val="none"/>
        </w:rPr>
        <w:t>2</w:t>
      </w:r>
      <w:r>
        <w:rPr>
          <w:rFonts w:hint="eastAsia" w:ascii="宋体" w:hAnsi="宋体" w:cs="宋体"/>
          <w:b/>
          <w:color w:val="auto"/>
          <w:kern w:val="0"/>
          <w:szCs w:val="21"/>
          <w:highlight w:val="none"/>
        </w:rPr>
        <w:t>2．</w:t>
      </w:r>
      <w:r>
        <w:rPr>
          <w:rFonts w:hint="eastAsia" w:ascii="宋体" w:hAnsi="宋体" w:cs="宋体"/>
          <w:b/>
          <w:color w:val="auto"/>
          <w:szCs w:val="21"/>
          <w:highlight w:val="none"/>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五、开标和评标</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3</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开标</w:t>
      </w:r>
    </w:p>
    <w:p>
      <w:pPr>
        <w:pStyle w:val="58"/>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23.1招标人将按招标文件规定的时间和地点组织远程不见面开标。开标由代理机构主持，投标人无须到现场。评标委员会成员不得参加开标活动。</w:t>
      </w:r>
    </w:p>
    <w:p>
      <w:pPr>
        <w:tabs>
          <w:tab w:val="left" w:pos="1260"/>
        </w:tabs>
        <w:autoSpaceDE w:val="0"/>
        <w:autoSpaceDN w:val="0"/>
        <w:spacing w:line="360" w:lineRule="auto"/>
        <w:ind w:firstLine="420" w:firstLineChars="200"/>
        <w:contextualSpacing/>
        <w:jc w:val="left"/>
        <w:rPr>
          <w:rFonts w:ascii="宋体" w:hAnsi="宋体" w:cs="宋体"/>
          <w:color w:val="auto"/>
          <w:kern w:val="0"/>
          <w:sz w:val="21"/>
          <w:szCs w:val="21"/>
          <w:highlight w:val="none"/>
        </w:rPr>
      </w:pPr>
      <w:r>
        <w:rPr>
          <w:rFonts w:hint="eastAsia" w:cs="宋体" w:asciiTheme="minorEastAsia" w:hAnsiTheme="minorEastAsia"/>
          <w:color w:val="auto"/>
          <w:kern w:val="0"/>
          <w:szCs w:val="21"/>
          <w:highlight w:val="none"/>
        </w:rPr>
        <w:t>23.2</w:t>
      </w:r>
      <w:r>
        <w:rPr>
          <w:rFonts w:hint="eastAsia" w:ascii="宋体" w:hAnsi="宋体" w:cs="宋体"/>
          <w:color w:val="auto"/>
          <w:kern w:val="0"/>
          <w:sz w:val="21"/>
          <w:szCs w:val="21"/>
          <w:highlight w:val="none"/>
        </w:rPr>
        <w:t>开标程序</w:t>
      </w:r>
    </w:p>
    <w:p>
      <w:pPr>
        <w:numPr>
          <w:ilvl w:val="0"/>
          <w:numId w:val="15"/>
        </w:numPr>
        <w:tabs>
          <w:tab w:val="left" w:pos="1260"/>
        </w:tabs>
        <w:autoSpaceDE w:val="0"/>
        <w:autoSpaceDN w:val="0"/>
        <w:spacing w:line="360" w:lineRule="auto"/>
        <w:ind w:firstLine="315" w:firstLineChars="150"/>
        <w:contextualSpacing/>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本项目采用远程“不见面”开标方式，投标前请详细阅读“全国公共资源交易平台（河南省·许昌市）”的“服务指南”栏目下《必看！新交易平台使用手册》中的相关内容。</w:t>
      </w:r>
    </w:p>
    <w:p>
      <w:pPr>
        <w:numPr>
          <w:ilvl w:val="0"/>
          <w:numId w:val="15"/>
        </w:numPr>
        <w:tabs>
          <w:tab w:val="left" w:pos="1260"/>
        </w:tabs>
        <w:autoSpaceDE w:val="0"/>
        <w:autoSpaceDN w:val="0"/>
        <w:spacing w:line="360" w:lineRule="auto"/>
        <w:ind w:firstLine="315" w:firstLineChars="150"/>
        <w:contextualSpacing/>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供应商应按新交易平台使用手册提前设置好浏览器，并于开标时间前登录本项目网上开标大厅，按照规定的开标时间准时参加网上开标。</w:t>
      </w:r>
    </w:p>
    <w:p>
      <w:pPr>
        <w:numPr>
          <w:ilvl w:val="0"/>
          <w:numId w:val="15"/>
        </w:numPr>
        <w:tabs>
          <w:tab w:val="left" w:pos="1260"/>
        </w:tabs>
        <w:autoSpaceDE w:val="0"/>
        <w:autoSpaceDN w:val="0"/>
        <w:spacing w:line="360" w:lineRule="auto"/>
        <w:ind w:firstLine="315" w:firstLineChars="150"/>
        <w:contextualSpacing/>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根据开标大厅界面右侧“公告栏”中的系统提示，供应商应在“标书解密”环节完成解密操作。供应商未解密或因供应商原因解密失败的，其响应文件将被退回。</w:t>
      </w:r>
    </w:p>
    <w:p>
      <w:pPr>
        <w:numPr>
          <w:ilvl w:val="0"/>
          <w:numId w:val="15"/>
        </w:numPr>
        <w:tabs>
          <w:tab w:val="left" w:pos="1260"/>
        </w:tabs>
        <w:autoSpaceDE w:val="0"/>
        <w:autoSpaceDN w:val="0"/>
        <w:spacing w:line="360" w:lineRule="auto"/>
        <w:ind w:firstLine="315" w:firstLineChars="150"/>
        <w:contextualSpacing/>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在“唱标”环节，供应商应对唱标信息进行确认，供应商未进行唱标确认操作的，视同认可唱标结果。</w:t>
      </w:r>
    </w:p>
    <w:p>
      <w:pPr>
        <w:numPr>
          <w:ilvl w:val="0"/>
          <w:numId w:val="15"/>
        </w:numPr>
        <w:tabs>
          <w:tab w:val="left" w:pos="1260"/>
        </w:tabs>
        <w:autoSpaceDE w:val="0"/>
        <w:autoSpaceDN w:val="0"/>
        <w:spacing w:line="360" w:lineRule="auto"/>
        <w:ind w:firstLine="315" w:firstLineChars="150"/>
        <w:contextualSpacing/>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在“开标结束”环节，供应商应在《开标情况记录表》上进行电子签章。供应商未签章的，视同认可开标结果。</w:t>
      </w:r>
    </w:p>
    <w:p>
      <w:pPr>
        <w:numPr>
          <w:ilvl w:val="0"/>
          <w:numId w:val="15"/>
        </w:numPr>
        <w:tabs>
          <w:tab w:val="left" w:pos="1260"/>
        </w:tabs>
        <w:autoSpaceDE w:val="0"/>
        <w:autoSpaceDN w:val="0"/>
        <w:spacing w:line="360" w:lineRule="auto"/>
        <w:ind w:firstLine="315" w:firstLineChars="150"/>
        <w:contextualSpacing/>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供应商对开标过程和开标记录如有异议，可在本项目开标大厅界面右下方“发起异议”中提出异议。</w:t>
      </w:r>
    </w:p>
    <w:p>
      <w:pPr>
        <w:tabs>
          <w:tab w:val="left" w:pos="1260"/>
        </w:tabs>
        <w:autoSpaceDE w:val="0"/>
        <w:autoSpaceDN w:val="0"/>
        <w:spacing w:line="360" w:lineRule="auto"/>
        <w:ind w:firstLine="420" w:firstLineChars="200"/>
        <w:contextualSpacing/>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.3采购人应当对开标、评标现场活动进行全程录音录像。录音录像应当清晰可辨，音像资料作为采购文件一并存档。</w:t>
      </w:r>
    </w:p>
    <w:p>
      <w:pPr>
        <w:tabs>
          <w:tab w:val="left" w:pos="1260"/>
        </w:tabs>
        <w:autoSpaceDE w:val="0"/>
        <w:autoSpaceDN w:val="0"/>
        <w:spacing w:line="360" w:lineRule="auto"/>
        <w:ind w:firstLine="420" w:firstLineChars="200"/>
        <w:contextualSpacing/>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.4投标人不足3家的，不得开标。</w:t>
      </w:r>
    </w:p>
    <w:p>
      <w:pPr>
        <w:tabs>
          <w:tab w:val="left" w:pos="1260"/>
        </w:tabs>
        <w:autoSpaceDE w:val="0"/>
        <w:autoSpaceDN w:val="0"/>
        <w:spacing w:line="360" w:lineRule="auto"/>
        <w:ind w:firstLine="420" w:firstLineChars="200"/>
        <w:contextualSpacing/>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.5开标过程由采购代理机构负责记录，《开标情况记录表》经投标人进行电子签章、由参加开标的采购人和监督人签字确认后随采购文件一并存档。投标人未电子签章的，视同认可开标结果。</w:t>
      </w:r>
    </w:p>
    <w:p>
      <w:pPr>
        <w:tabs>
          <w:tab w:val="left" w:pos="1260"/>
        </w:tabs>
        <w:autoSpaceDE w:val="0"/>
        <w:autoSpaceDN w:val="0"/>
        <w:spacing w:line="360" w:lineRule="auto"/>
        <w:contextualSpacing/>
        <w:rPr>
          <w:rFonts w:ascii="宋体" w:cs="宋体"/>
          <w:b/>
          <w:color w:val="auto"/>
          <w:szCs w:val="21"/>
          <w:highlight w:val="none"/>
          <w:lang w:val="zh-CN"/>
        </w:rPr>
      </w:pPr>
      <w:r>
        <w:rPr>
          <w:rFonts w:hint="eastAsia" w:ascii="宋体" w:hAnsi="宋体" w:cs="宋体"/>
          <w:b/>
          <w:color w:val="auto"/>
          <w:szCs w:val="21"/>
          <w:highlight w:val="none"/>
        </w:rPr>
        <w:t>24</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资格审查</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bCs/>
          <w:color w:val="auto"/>
          <w:szCs w:val="21"/>
          <w:highlight w:val="none"/>
        </w:rPr>
        <w:t>开标结束后，采购人依法对投标人的资格进行审查。</w:t>
      </w:r>
      <w:r>
        <w:rPr>
          <w:rFonts w:hint="eastAsia" w:ascii="宋体" w:hAnsi="宋体" w:cs="宋体"/>
          <w:color w:val="auto"/>
          <w:szCs w:val="21"/>
          <w:highlight w:val="none"/>
          <w:lang w:val="zh-CN"/>
        </w:rPr>
        <w:t>合格投标人不足</w:t>
      </w:r>
      <w:r>
        <w:rPr>
          <w:rFonts w:ascii="宋体" w:hAnsi="宋体" w:cs="宋体"/>
          <w:color w:val="auto"/>
          <w:szCs w:val="21"/>
          <w:highlight w:val="none"/>
          <w:lang w:val="zh-CN"/>
        </w:rPr>
        <w:t>3</w:t>
      </w:r>
      <w:r>
        <w:rPr>
          <w:rFonts w:hint="eastAsia" w:ascii="宋体" w:hAnsi="宋体" w:cs="宋体"/>
          <w:color w:val="auto"/>
          <w:szCs w:val="21"/>
          <w:highlight w:val="none"/>
          <w:lang w:val="zh-CN"/>
        </w:rPr>
        <w:t>家的，不得评标。</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5</w:t>
      </w:r>
      <w:r>
        <w:rPr>
          <w:rFonts w:ascii="宋体" w:cs="宋体"/>
          <w:b/>
          <w:color w:val="auto"/>
          <w:szCs w:val="21"/>
          <w:highlight w:val="none"/>
          <w:lang w:val="zh-CN"/>
        </w:rPr>
        <w:t>.</w:t>
      </w:r>
      <w:r>
        <w:rPr>
          <w:rFonts w:hint="eastAsia" w:ascii="宋体" w:hAnsi="宋体" w:cs="宋体"/>
          <w:b/>
          <w:color w:val="auto"/>
          <w:szCs w:val="21"/>
          <w:highlight w:val="none"/>
          <w:lang w:val="zh-CN"/>
        </w:rPr>
        <w:t>评标委员会的组成</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hint="eastAsia" w:ascii="宋体" w:hAnsi="宋体" w:cs="宋体"/>
          <w:color w:val="auto"/>
          <w:szCs w:val="21"/>
          <w:highlight w:val="none"/>
          <w:lang w:val="zh-CN"/>
        </w:rPr>
        <w:t>．</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招标人将依法组建评标委员会，评标委员会由采购人代表和评审专家组成，成员人数应当为</w:t>
      </w:r>
      <w:r>
        <w:rPr>
          <w:rFonts w:ascii="宋体" w:hAnsi="宋体" w:cs="宋体"/>
          <w:color w:val="auto"/>
          <w:szCs w:val="21"/>
          <w:highlight w:val="none"/>
          <w:lang w:val="zh-CN"/>
        </w:rPr>
        <w:t>5</w:t>
      </w:r>
      <w:r>
        <w:rPr>
          <w:rFonts w:hint="eastAsia" w:ascii="宋体" w:hAnsi="宋体" w:cs="宋体"/>
          <w:color w:val="auto"/>
          <w:szCs w:val="21"/>
          <w:highlight w:val="none"/>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.1.1 </w:t>
      </w:r>
      <w:r>
        <w:rPr>
          <w:rFonts w:hint="eastAsia" w:ascii="宋体" w:hAnsi="宋体" w:cs="宋体"/>
          <w:color w:val="auto"/>
          <w:szCs w:val="21"/>
          <w:highlight w:val="none"/>
          <w:lang w:val="zh-CN"/>
        </w:rPr>
        <w:t>采购项目符合下列情形之一的，评标委员会成员人数应当为</w:t>
      </w:r>
      <w:r>
        <w:rPr>
          <w:rFonts w:ascii="宋体" w:hAnsi="宋体" w:cs="宋体"/>
          <w:color w:val="auto"/>
          <w:szCs w:val="21"/>
          <w:highlight w:val="none"/>
          <w:lang w:val="zh-CN"/>
        </w:rPr>
        <w:t>7</w:t>
      </w:r>
      <w:r>
        <w:rPr>
          <w:rFonts w:hint="eastAsia" w:ascii="宋体" w:hAnsi="宋体" w:cs="宋体"/>
          <w:color w:val="auto"/>
          <w:szCs w:val="21"/>
          <w:highlight w:val="none"/>
          <w:lang w:val="zh-CN"/>
        </w:rPr>
        <w:t>人以上单数：</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（一）采购预算金额在</w:t>
      </w:r>
      <w:r>
        <w:rPr>
          <w:rFonts w:ascii="宋体" w:hAnsi="宋体" w:cs="宋体"/>
          <w:color w:val="auto"/>
          <w:szCs w:val="21"/>
          <w:highlight w:val="none"/>
          <w:lang w:val="zh-CN"/>
        </w:rPr>
        <w:t>1000</w:t>
      </w:r>
      <w:r>
        <w:rPr>
          <w:rFonts w:hint="eastAsia" w:ascii="宋体" w:hAnsi="宋体" w:cs="宋体"/>
          <w:color w:val="auto"/>
          <w:szCs w:val="21"/>
          <w:highlight w:val="none"/>
          <w:lang w:val="zh-CN"/>
        </w:rPr>
        <w:t>万元以上；</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（二）技术复杂；</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（三）社会影响较大。</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评审专家与投标人存在下列利害关系之一的</w:t>
      </w:r>
      <w:r>
        <w:rPr>
          <w:rFonts w:ascii="宋体" w:cs="宋体"/>
          <w:color w:val="auto"/>
          <w:szCs w:val="21"/>
          <w:highlight w:val="none"/>
          <w:lang w:val="zh-CN"/>
        </w:rPr>
        <w:t>,</w:t>
      </w:r>
      <w:r>
        <w:rPr>
          <w:rFonts w:hint="eastAsia" w:ascii="宋体" w:hAnsi="宋体" w:cs="宋体"/>
          <w:color w:val="auto"/>
          <w:szCs w:val="21"/>
          <w:highlight w:val="none"/>
          <w:lang w:val="zh-CN"/>
        </w:rPr>
        <w:t>应当回避</w:t>
      </w:r>
      <w:r>
        <w:rPr>
          <w:rFonts w:ascii="宋体" w:hAnsi="宋体" w:cs="宋体"/>
          <w:color w:val="auto"/>
          <w:szCs w:val="21"/>
          <w:highlight w:val="none"/>
          <w:lang w:val="zh-CN"/>
        </w:rPr>
        <w:t>:</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一</w:t>
      </w:r>
      <w:r>
        <w:rPr>
          <w:rFonts w:ascii="宋体" w:hAnsi="宋体" w:cs="宋体"/>
          <w:color w:val="auto"/>
          <w:szCs w:val="21"/>
          <w:highlight w:val="none"/>
          <w:lang w:val="zh-CN"/>
        </w:rPr>
        <w:t>)</w:t>
      </w:r>
      <w:r>
        <w:rPr>
          <w:rFonts w:hint="eastAsia" w:ascii="宋体" w:hAnsi="宋体" w:cs="宋体"/>
          <w:color w:val="auto"/>
          <w:szCs w:val="21"/>
          <w:highlight w:val="none"/>
          <w:lang w:val="zh-CN"/>
        </w:rPr>
        <w:t>参加采购活动前三年内</w:t>
      </w:r>
      <w:r>
        <w:rPr>
          <w:rFonts w:ascii="宋体" w:cs="宋体"/>
          <w:color w:val="auto"/>
          <w:szCs w:val="21"/>
          <w:highlight w:val="none"/>
          <w:lang w:val="zh-CN"/>
        </w:rPr>
        <w:t>,</w:t>
      </w:r>
      <w:r>
        <w:rPr>
          <w:rFonts w:hint="eastAsia" w:ascii="宋体" w:hAnsi="宋体" w:cs="宋体"/>
          <w:color w:val="auto"/>
          <w:szCs w:val="21"/>
          <w:highlight w:val="none"/>
          <w:lang w:val="zh-CN"/>
        </w:rPr>
        <w:t>与供应商存在劳动关系</w:t>
      </w:r>
      <w:r>
        <w:rPr>
          <w:rFonts w:ascii="宋体" w:cs="宋体"/>
          <w:color w:val="auto"/>
          <w:szCs w:val="21"/>
          <w:highlight w:val="none"/>
          <w:lang w:val="zh-CN"/>
        </w:rPr>
        <w:t>,</w:t>
      </w:r>
      <w:r>
        <w:rPr>
          <w:rFonts w:hint="eastAsia" w:ascii="宋体" w:hAnsi="宋体" w:cs="宋体"/>
          <w:color w:val="auto"/>
          <w:szCs w:val="21"/>
          <w:highlight w:val="none"/>
          <w:lang w:val="zh-CN"/>
        </w:rPr>
        <w:t>或者担任过供应商的董事、监事</w:t>
      </w:r>
      <w:r>
        <w:rPr>
          <w:rFonts w:ascii="宋体" w:cs="宋体"/>
          <w:color w:val="auto"/>
          <w:szCs w:val="21"/>
          <w:highlight w:val="none"/>
          <w:lang w:val="zh-CN"/>
        </w:rPr>
        <w:t>,</w:t>
      </w:r>
      <w:r>
        <w:rPr>
          <w:rFonts w:hint="eastAsia" w:ascii="宋体" w:hAnsi="宋体" w:cs="宋体"/>
          <w:color w:val="auto"/>
          <w:szCs w:val="21"/>
          <w:highlight w:val="none"/>
          <w:lang w:val="zh-CN"/>
        </w:rPr>
        <w:t>或者是供应商的控股股东或实际控制人；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二</w:t>
      </w:r>
      <w:r>
        <w:rPr>
          <w:rFonts w:ascii="宋体" w:hAnsi="宋体" w:cs="宋体"/>
          <w:color w:val="auto"/>
          <w:szCs w:val="21"/>
          <w:highlight w:val="none"/>
          <w:lang w:val="zh-CN"/>
        </w:rPr>
        <w:t>)</w:t>
      </w:r>
      <w:r>
        <w:rPr>
          <w:rFonts w:hint="eastAsia" w:ascii="宋体" w:hAnsi="宋体" w:cs="宋体"/>
          <w:color w:val="auto"/>
          <w:szCs w:val="21"/>
          <w:highlight w:val="none"/>
          <w:lang w:val="zh-CN"/>
        </w:rPr>
        <w:t>与供应商的法定代表人或者负责人有夫妻、直系血亲、三代以内旁系血亲或者近姻亲关系；</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三</w:t>
      </w:r>
      <w:r>
        <w:rPr>
          <w:rFonts w:ascii="宋体" w:hAnsi="宋体" w:cs="宋体"/>
          <w:color w:val="auto"/>
          <w:szCs w:val="21"/>
          <w:highlight w:val="none"/>
          <w:lang w:val="zh-CN"/>
        </w:rPr>
        <w:t>)</w:t>
      </w:r>
      <w:r>
        <w:rPr>
          <w:rFonts w:hint="eastAsia" w:ascii="宋体" w:hAnsi="宋体" w:cs="宋体"/>
          <w:color w:val="auto"/>
          <w:szCs w:val="21"/>
          <w:highlight w:val="none"/>
          <w:lang w:val="zh-CN"/>
        </w:rPr>
        <w:t>与供应商有其他可能影响政府采购活动公平、公正进行的关系。</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评审专家发现本人与参加采购活动的供应商有利害关系的</w:t>
      </w:r>
      <w:r>
        <w:rPr>
          <w:rFonts w:ascii="宋体" w:cs="宋体"/>
          <w:color w:val="auto"/>
          <w:szCs w:val="21"/>
          <w:highlight w:val="none"/>
          <w:lang w:val="zh-CN"/>
        </w:rPr>
        <w:t>,</w:t>
      </w:r>
      <w:r>
        <w:rPr>
          <w:rFonts w:hint="eastAsia" w:ascii="宋体" w:hAnsi="宋体" w:cs="宋体"/>
          <w:color w:val="auto"/>
          <w:szCs w:val="21"/>
          <w:highlight w:val="none"/>
          <w:lang w:val="zh-CN"/>
        </w:rPr>
        <w:t>应当主动提出回避。采购人或者代理机构发现评审专家与参加采购活动的供应商有利害关系的</w:t>
      </w:r>
      <w:r>
        <w:rPr>
          <w:rFonts w:ascii="宋体" w:cs="宋体"/>
          <w:color w:val="auto"/>
          <w:szCs w:val="21"/>
          <w:highlight w:val="none"/>
          <w:lang w:val="zh-CN"/>
        </w:rPr>
        <w:t>,</w:t>
      </w:r>
      <w:r>
        <w:rPr>
          <w:rFonts w:hint="eastAsia" w:ascii="宋体" w:hAnsi="宋体" w:cs="宋体"/>
          <w:color w:val="auto"/>
          <w:szCs w:val="21"/>
          <w:highlight w:val="none"/>
          <w:lang w:val="zh-CN"/>
        </w:rPr>
        <w:t>应当要求其回避。</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.5 </w:t>
      </w:r>
      <w:r>
        <w:rPr>
          <w:rFonts w:hint="eastAsia" w:ascii="宋体" w:hAnsi="宋体" w:cs="宋体"/>
          <w:color w:val="auto"/>
          <w:szCs w:val="21"/>
          <w:highlight w:val="none"/>
          <w:lang w:val="zh-CN"/>
        </w:rPr>
        <w:t>采购人不得担任评标小组长。</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.6 </w:t>
      </w:r>
      <w:r>
        <w:rPr>
          <w:rFonts w:hint="eastAsia" w:ascii="宋体" w:hAnsi="宋体" w:cs="宋体"/>
          <w:color w:val="auto"/>
          <w:szCs w:val="21"/>
          <w:highlight w:val="none"/>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5</w:t>
      </w:r>
      <w:r>
        <w:rPr>
          <w:rFonts w:ascii="宋体" w:hAnsi="宋体" w:cs="宋体"/>
          <w:color w:val="auto"/>
          <w:szCs w:val="21"/>
          <w:highlight w:val="none"/>
          <w:lang w:val="zh-CN"/>
        </w:rPr>
        <w:t xml:space="preserve">.7 </w:t>
      </w:r>
      <w:r>
        <w:rPr>
          <w:rFonts w:hint="eastAsia" w:ascii="宋体" w:hAnsi="宋体" w:cs="宋体"/>
          <w:color w:val="auto"/>
          <w:szCs w:val="21"/>
          <w:highlight w:val="none"/>
          <w:lang w:val="zh-CN"/>
        </w:rPr>
        <w:t>评标委员会成员名单在评标结果公告前应当保密。</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6</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符合性审查</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6</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6</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审查、评价投标文件是否符合招标文件的商务、技术等实质性要求。</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6</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可要求投标人对投标文件有关事项作出澄清或者说明。</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7</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投标文件的澄清</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7</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27</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7</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投标人的澄清文件是其投标文件的组成部分。</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2</w:t>
      </w:r>
      <w:r>
        <w:rPr>
          <w:rFonts w:hint="eastAsia" w:ascii="宋体" w:hAnsi="宋体" w:cs="宋体"/>
          <w:b/>
          <w:color w:val="auto"/>
          <w:szCs w:val="21"/>
          <w:highlight w:val="none"/>
        </w:rPr>
        <w:t>8</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投标文件报价出现前后不一致的修正</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投标文件中开标一览表</w:t>
      </w:r>
      <w:r>
        <w:rPr>
          <w:rFonts w:ascii="宋体" w:hAnsi="宋体" w:cs="宋体"/>
          <w:color w:val="auto"/>
          <w:szCs w:val="21"/>
          <w:highlight w:val="none"/>
          <w:lang w:val="zh-CN"/>
        </w:rPr>
        <w:t>(</w:t>
      </w:r>
      <w:r>
        <w:rPr>
          <w:rFonts w:hint="eastAsia" w:ascii="宋体" w:hAnsi="宋体" w:cs="宋体"/>
          <w:color w:val="auto"/>
          <w:szCs w:val="21"/>
          <w:highlight w:val="none"/>
          <w:lang w:val="zh-CN"/>
        </w:rPr>
        <w:t>报价表</w:t>
      </w:r>
      <w:r>
        <w:rPr>
          <w:rFonts w:ascii="宋体" w:hAnsi="宋体" w:cs="宋体"/>
          <w:color w:val="auto"/>
          <w:szCs w:val="21"/>
          <w:highlight w:val="none"/>
          <w:lang w:val="zh-CN"/>
        </w:rPr>
        <w:t>)</w:t>
      </w:r>
      <w:r>
        <w:rPr>
          <w:rFonts w:hint="eastAsia" w:ascii="宋体" w:hAnsi="宋体" w:cs="宋体"/>
          <w:color w:val="auto"/>
          <w:szCs w:val="21"/>
          <w:highlight w:val="none"/>
          <w:lang w:val="zh-CN"/>
        </w:rPr>
        <w:t>内容与投标文件中相应内容不一致的，以开标一览表</w:t>
      </w:r>
      <w:r>
        <w:rPr>
          <w:rFonts w:ascii="宋体" w:hAnsi="宋体" w:cs="宋体"/>
          <w:color w:val="auto"/>
          <w:szCs w:val="21"/>
          <w:highlight w:val="none"/>
          <w:lang w:val="zh-CN"/>
        </w:rPr>
        <w:t>(</w:t>
      </w:r>
      <w:r>
        <w:rPr>
          <w:rFonts w:hint="eastAsia" w:ascii="宋体" w:hAnsi="宋体" w:cs="宋体"/>
          <w:color w:val="auto"/>
          <w:szCs w:val="21"/>
          <w:highlight w:val="none"/>
          <w:lang w:val="zh-CN"/>
        </w:rPr>
        <w:t>报价表</w:t>
      </w:r>
      <w:r>
        <w:rPr>
          <w:rFonts w:ascii="宋体" w:hAnsi="宋体" w:cs="宋体"/>
          <w:color w:val="auto"/>
          <w:szCs w:val="21"/>
          <w:highlight w:val="none"/>
          <w:lang w:val="zh-CN"/>
        </w:rPr>
        <w:t>)</w:t>
      </w:r>
      <w:r>
        <w:rPr>
          <w:rFonts w:hint="eastAsia" w:ascii="宋体" w:hAnsi="宋体" w:cs="宋体"/>
          <w:color w:val="auto"/>
          <w:szCs w:val="21"/>
          <w:highlight w:val="none"/>
          <w:lang w:val="zh-CN"/>
        </w:rPr>
        <w:t>为准；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大写金额和小写金额不一致的，以大写金额为准；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单价金额小数点或者百分比有明显错位的，以开标一览表的总价为准，并修改单价；</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rPr>
        <w:t>8</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highlight w:val="none"/>
          <w:lang w:val="zh-CN"/>
        </w:rPr>
        <w:t>2</w:t>
      </w:r>
      <w:r>
        <w:rPr>
          <w:rFonts w:ascii="宋体" w:hAnsi="宋体" w:cs="宋体"/>
          <w:color w:val="auto"/>
          <w:szCs w:val="21"/>
          <w:highlight w:val="none"/>
        </w:rPr>
        <w:t>8</w:t>
      </w:r>
      <w:r>
        <w:rPr>
          <w:rFonts w:ascii="宋体" w:hAnsi="宋体" w:cs="宋体"/>
          <w:color w:val="auto"/>
          <w:szCs w:val="21"/>
          <w:highlight w:val="none"/>
          <w:lang w:val="zh-CN"/>
        </w:rPr>
        <w:t>.2</w:t>
      </w:r>
      <w:r>
        <w:rPr>
          <w:rFonts w:hint="eastAsia" w:ascii="宋体" w:hAnsi="宋体" w:cs="宋体"/>
          <w:color w:val="auto"/>
          <w:szCs w:val="21"/>
          <w:highlight w:val="none"/>
          <w:lang w:val="zh-CN"/>
        </w:rPr>
        <w:t>规定经投标人确认后产生约束力，投标人不确认的，其投标无效。</w:t>
      </w:r>
    </w:p>
    <w:p>
      <w:pPr>
        <w:tabs>
          <w:tab w:val="left" w:pos="1260"/>
        </w:tabs>
        <w:autoSpaceDE w:val="0"/>
        <w:autoSpaceDN w:val="0"/>
        <w:spacing w:line="360" w:lineRule="auto"/>
        <w:contextualSpacing/>
        <w:rPr>
          <w:rFonts w:ascii="宋体" w:cs="宋体"/>
          <w:b/>
          <w:color w:val="auto"/>
          <w:szCs w:val="21"/>
          <w:highlight w:val="none"/>
          <w:lang w:val="zh-CN"/>
        </w:rPr>
      </w:pPr>
      <w:r>
        <w:rPr>
          <w:rFonts w:hint="eastAsia" w:ascii="宋体" w:hAnsi="宋体" w:cs="宋体"/>
          <w:b/>
          <w:color w:val="auto"/>
          <w:szCs w:val="21"/>
          <w:highlight w:val="none"/>
        </w:rPr>
        <w:t>29</w:t>
      </w:r>
      <w:r>
        <w:rPr>
          <w:rFonts w:ascii="宋体" w:hAnsi="宋体" w:cs="宋体"/>
          <w:b/>
          <w:color w:val="auto"/>
          <w:szCs w:val="21"/>
          <w:highlight w:val="none"/>
          <w:lang w:val="zh-CN"/>
        </w:rPr>
        <w:t>.</w:t>
      </w:r>
      <w:r>
        <w:rPr>
          <w:rFonts w:hint="eastAsia" w:ascii="宋体" w:hAnsi="宋体" w:cs="宋体"/>
          <w:b/>
          <w:color w:val="auto"/>
          <w:szCs w:val="21"/>
          <w:highlight w:val="none"/>
          <w:lang w:val="zh-CN"/>
        </w:rPr>
        <w:t>投标无效情形</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投标文件属下列情况之一的，按照无效投标处理：</w:t>
      </w:r>
    </w:p>
    <w:p>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.1.1 </w:t>
      </w:r>
      <w:r>
        <w:rPr>
          <w:rFonts w:hint="eastAsia" w:ascii="宋体" w:hAnsi="宋体" w:cs="宋体"/>
          <w:color w:val="auto"/>
          <w:szCs w:val="21"/>
          <w:highlight w:val="none"/>
          <w:lang w:val="zh-CN"/>
        </w:rPr>
        <w:t>未按照招标文件的规定提供投标承诺函的；</w:t>
      </w:r>
    </w:p>
    <w:p>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29.1.2未按照招标文件的规定提交《禹州市政府采购供应商信用承诺函》的；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3</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投标文件未按招标文件要求签署、盖章的；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4不具备招标文件中规定的资格要求的；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5</w:t>
      </w:r>
      <w:r>
        <w:rPr>
          <w:rFonts w:ascii="宋体" w:hAnsi="宋体" w:cs="宋体"/>
          <w:color w:val="auto"/>
          <w:szCs w:val="21"/>
          <w:highlight w:val="none"/>
          <w:lang w:val="zh-CN"/>
        </w:rPr>
        <w:t xml:space="preserve"> </w:t>
      </w:r>
      <w:r>
        <w:rPr>
          <w:rFonts w:hint="eastAsia" w:ascii="宋体" w:hAnsi="宋体" w:cs="宋体"/>
          <w:color w:val="auto"/>
          <w:szCs w:val="21"/>
          <w:highlight w:val="none"/>
          <w:lang w:val="zh-CN"/>
        </w:rPr>
        <w:t>报价超过招标文件中规定的预算金额或者最高限价的；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6投标文件内容模糊清，无法辨认的；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.1.</w:t>
      </w:r>
      <w:r>
        <w:rPr>
          <w:rFonts w:hint="eastAsia" w:ascii="宋体" w:hAnsi="宋体" w:cs="宋体"/>
          <w:color w:val="auto"/>
          <w:szCs w:val="21"/>
          <w:highlight w:val="none"/>
          <w:lang w:val="zh-CN"/>
        </w:rPr>
        <w:t>7投标文件含有采购人不能接受的附加条件的。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.2.1 </w:t>
      </w:r>
      <w:r>
        <w:rPr>
          <w:rFonts w:hint="eastAsia" w:ascii="宋体" w:hAnsi="宋体" w:cs="宋体"/>
          <w:color w:val="auto"/>
          <w:szCs w:val="21"/>
          <w:highlight w:val="none"/>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.2.2 </w:t>
      </w:r>
      <w:r>
        <w:rPr>
          <w:rFonts w:hint="eastAsia" w:ascii="宋体" w:hAnsi="宋体" w:cs="宋体"/>
          <w:color w:val="auto"/>
          <w:szCs w:val="21"/>
          <w:highlight w:val="none"/>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.2.3 </w:t>
      </w:r>
      <w:r>
        <w:rPr>
          <w:rFonts w:hint="eastAsia" w:ascii="宋体" w:hAnsi="宋体" w:cs="宋体"/>
          <w:color w:val="auto"/>
          <w:szCs w:val="21"/>
          <w:highlight w:val="none"/>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.2.4 </w:t>
      </w:r>
      <w:r>
        <w:rPr>
          <w:rFonts w:hint="eastAsia" w:ascii="宋体" w:hAnsi="宋体" w:cs="宋体"/>
          <w:color w:val="auto"/>
          <w:szCs w:val="21"/>
          <w:highlight w:val="none"/>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.2.5 </w:t>
      </w:r>
      <w:r>
        <w:rPr>
          <w:rFonts w:hint="eastAsia" w:ascii="宋体" w:hAnsi="宋体" w:cs="宋体"/>
          <w:color w:val="auto"/>
          <w:szCs w:val="21"/>
          <w:highlight w:val="none"/>
          <w:lang w:val="zh-CN"/>
        </w:rPr>
        <w:t>不同投标人的投标文件相互混装；</w:t>
      </w:r>
    </w:p>
    <w:p>
      <w:pPr>
        <w:pStyle w:val="18"/>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29</w:t>
      </w:r>
      <w:r>
        <w:rPr>
          <w:rFonts w:ascii="宋体" w:hAnsi="宋体" w:cs="宋体"/>
          <w:color w:val="auto"/>
          <w:sz w:val="21"/>
          <w:szCs w:val="21"/>
          <w:highlight w:val="none"/>
          <w:lang w:val="zh-CN"/>
        </w:rPr>
        <w:t>.3</w:t>
      </w:r>
      <w:r>
        <w:rPr>
          <w:rFonts w:hint="eastAsia" w:ascii="宋体" w:hAnsi="宋体" w:cs="宋体"/>
          <w:color w:val="auto"/>
          <w:sz w:val="21"/>
          <w:szCs w:val="21"/>
          <w:highlight w:val="none"/>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8"/>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（一）提供虚假材料谋取中标、成交的；</w:t>
      </w:r>
    </w:p>
    <w:p>
      <w:pPr>
        <w:pStyle w:val="18"/>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（二）采取不正当手段诋毁、排挤其他供应商的；</w:t>
      </w:r>
    </w:p>
    <w:p>
      <w:pPr>
        <w:pStyle w:val="18"/>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（三）与采购人、其他供应商或者采购代理机构恶意串通的；</w:t>
      </w:r>
    </w:p>
    <w:p>
      <w:pPr>
        <w:pStyle w:val="18"/>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（四）向采购人、采购代理机构行贿或者提供其他不正当利益的；</w:t>
      </w:r>
    </w:p>
    <w:p>
      <w:pPr>
        <w:pStyle w:val="18"/>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（五）在招标采购过程中与采购人进行协商谈判的；</w:t>
      </w:r>
    </w:p>
    <w:p>
      <w:pPr>
        <w:pStyle w:val="18"/>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（六）拒绝有关部门监督检查或者提供虚假情况的。</w:t>
      </w:r>
    </w:p>
    <w:p>
      <w:pPr>
        <w:pStyle w:val="18"/>
        <w:spacing w:line="360" w:lineRule="auto"/>
        <w:ind w:firstLine="420" w:firstLineChars="200"/>
        <w:rPr>
          <w:rFonts w:ascii="宋体" w:cs="宋体"/>
          <w:color w:val="auto"/>
          <w:kern w:val="0"/>
          <w:sz w:val="21"/>
          <w:szCs w:val="21"/>
          <w:highlight w:val="none"/>
        </w:rPr>
      </w:pPr>
      <w:r>
        <w:rPr>
          <w:rFonts w:hint="eastAsia" w:ascii="宋体" w:hAnsi="宋体" w:cs="宋体"/>
          <w:color w:val="auto"/>
          <w:sz w:val="21"/>
          <w:szCs w:val="21"/>
          <w:highlight w:val="none"/>
        </w:rPr>
        <w:t>投标人有前款第（一）至（五）项情形之一的，中标、成交无效。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 xml:space="preserve">.5 </w:t>
      </w:r>
      <w:r>
        <w:rPr>
          <w:rFonts w:hint="eastAsia" w:ascii="宋体" w:hAnsi="宋体" w:cs="宋体"/>
          <w:color w:val="auto"/>
          <w:szCs w:val="21"/>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8"/>
        <w:autoSpaceDE w:val="0"/>
        <w:autoSpaceDN w:val="0"/>
        <w:spacing w:line="360" w:lineRule="auto"/>
        <w:contextualSpacing/>
        <w:rPr>
          <w:color w:val="auto"/>
          <w:highlight w:val="none"/>
          <w:lang w:val="zh-CN"/>
        </w:rPr>
      </w:pPr>
      <w:r>
        <w:rPr>
          <w:rFonts w:hint="eastAsia" w:ascii="宋体" w:hAnsi="宋体" w:cs="宋体"/>
          <w:color w:val="auto"/>
          <w:szCs w:val="21"/>
          <w:highlight w:val="none"/>
        </w:rPr>
        <w:t>29.6 按照</w:t>
      </w:r>
      <w:r>
        <w:rPr>
          <w:rFonts w:hint="eastAsia" w:ascii="ˎ̥" w:hAnsi="ˎ̥"/>
          <w:color w:val="auto"/>
          <w:highlight w:val="none"/>
        </w:rPr>
        <w:t>《关于推进全流程电子化交易和在线监管工作有关问题的通知》（许公管办[2019]3号）规定，不同投标人电子投标文件制作硬件特征码（网卡MAC地址、CPU序号、硬盘序列号）均一致时，视为‘</w:t>
      </w:r>
      <w:r>
        <w:rPr>
          <w:rFonts w:ascii="ˎ̥" w:hAnsi="ˎ̥"/>
          <w:color w:val="auto"/>
          <w:highlight w:val="none"/>
        </w:rPr>
        <w:t>不同</w:t>
      </w:r>
      <w:r>
        <w:rPr>
          <w:rFonts w:hint="eastAsia" w:ascii="ˎ̥" w:hAnsi="ˎ̥"/>
          <w:color w:val="auto"/>
          <w:highlight w:val="none"/>
        </w:rPr>
        <w:t>投标人</w:t>
      </w:r>
      <w:r>
        <w:rPr>
          <w:rFonts w:ascii="ˎ̥" w:hAnsi="ˎ̥"/>
          <w:color w:val="auto"/>
          <w:highlight w:val="none"/>
        </w:rPr>
        <w:t>的</w:t>
      </w:r>
      <w:r>
        <w:rPr>
          <w:rFonts w:hint="eastAsia" w:ascii="ˎ̥" w:hAnsi="ˎ̥"/>
          <w:color w:val="auto"/>
          <w:highlight w:val="none"/>
        </w:rPr>
        <w:t>投标</w:t>
      </w:r>
      <w:r>
        <w:rPr>
          <w:rFonts w:ascii="ˎ̥" w:hAnsi="ˎ̥"/>
          <w:color w:val="auto"/>
          <w:highlight w:val="none"/>
        </w:rPr>
        <w:t>文件由同一单位或者个人编制</w:t>
      </w:r>
      <w:r>
        <w:rPr>
          <w:rFonts w:hint="eastAsia" w:ascii="ˎ̥" w:hAnsi="ˎ̥"/>
          <w:color w:val="auto"/>
          <w:highlight w:val="none"/>
        </w:rPr>
        <w:t>’或‘</w:t>
      </w:r>
      <w:r>
        <w:rPr>
          <w:rFonts w:ascii="ˎ̥" w:hAnsi="ˎ̥"/>
          <w:color w:val="auto"/>
          <w:highlight w:val="none"/>
        </w:rPr>
        <w:t>不同</w:t>
      </w:r>
      <w:r>
        <w:rPr>
          <w:rFonts w:hint="eastAsia" w:ascii="ˎ̥" w:hAnsi="ˎ̥"/>
          <w:color w:val="auto"/>
          <w:highlight w:val="none"/>
        </w:rPr>
        <w:t>投标人</w:t>
      </w:r>
      <w:r>
        <w:rPr>
          <w:rFonts w:ascii="ˎ̥" w:hAnsi="ˎ̥"/>
          <w:color w:val="auto"/>
          <w:highlight w:val="none"/>
        </w:rPr>
        <w:t>委托同一单位或者个人办理</w:t>
      </w:r>
      <w:r>
        <w:rPr>
          <w:rFonts w:hint="eastAsia" w:ascii="ˎ̥" w:hAnsi="ˎ̥"/>
          <w:color w:val="auto"/>
          <w:highlight w:val="none"/>
        </w:rPr>
        <w:t>响应</w:t>
      </w:r>
      <w:r>
        <w:rPr>
          <w:rFonts w:ascii="ˎ̥" w:hAnsi="ˎ̥"/>
          <w:color w:val="auto"/>
          <w:highlight w:val="none"/>
        </w:rPr>
        <w:t>事宜</w:t>
      </w:r>
      <w:r>
        <w:rPr>
          <w:rFonts w:hint="eastAsia" w:ascii="ˎ̥" w:hAnsi="ˎ̥"/>
          <w:color w:val="auto"/>
          <w:highlight w:val="none"/>
        </w:rPr>
        <w:t>’，其投标无效。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29</w:t>
      </w:r>
      <w:r>
        <w:rPr>
          <w:rFonts w:ascii="宋体" w:hAnsi="宋体" w:cs="宋体"/>
          <w:color w:val="auto"/>
          <w:szCs w:val="21"/>
          <w:highlight w:val="none"/>
          <w:lang w:val="zh-CN"/>
        </w:rPr>
        <w:t>.</w:t>
      </w:r>
      <w:r>
        <w:rPr>
          <w:rFonts w:hint="eastAsia" w:ascii="宋体" w:hAnsi="宋体" w:cs="宋体"/>
          <w:color w:val="auto"/>
          <w:szCs w:val="21"/>
          <w:highlight w:val="none"/>
        </w:rPr>
        <w:t xml:space="preserve">7 </w:t>
      </w:r>
      <w:r>
        <w:rPr>
          <w:rFonts w:hint="eastAsia" w:ascii="宋体" w:hAnsi="宋体" w:cs="宋体"/>
          <w:color w:val="auto"/>
          <w:szCs w:val="21"/>
          <w:highlight w:val="none"/>
          <w:lang w:val="zh-CN"/>
        </w:rPr>
        <w:t>法律、法规和招标文件规定的其他无效情形。</w:t>
      </w:r>
    </w:p>
    <w:p>
      <w:pPr>
        <w:tabs>
          <w:tab w:val="left" w:pos="1260"/>
        </w:tabs>
        <w:autoSpaceDE w:val="0"/>
        <w:autoSpaceDN w:val="0"/>
        <w:spacing w:line="360" w:lineRule="auto"/>
        <w:contextualSpacing/>
        <w:rPr>
          <w:rFonts w:ascii="宋体" w:cs="宋体"/>
          <w:b/>
          <w:bCs/>
          <w:color w:val="auto"/>
          <w:szCs w:val="21"/>
          <w:highlight w:val="none"/>
          <w:lang w:val="zh-CN"/>
        </w:rPr>
      </w:pPr>
      <w:r>
        <w:rPr>
          <w:rFonts w:hint="eastAsia" w:ascii="宋体" w:hAnsi="宋体" w:cs="宋体"/>
          <w:b/>
          <w:bCs/>
          <w:color w:val="auto"/>
          <w:szCs w:val="21"/>
          <w:highlight w:val="none"/>
        </w:rPr>
        <w:t>30</w:t>
      </w:r>
      <w:r>
        <w:rPr>
          <w:rFonts w:ascii="宋体" w:hAnsi="宋体" w:cs="宋体"/>
          <w:b/>
          <w:bCs/>
          <w:color w:val="auto"/>
          <w:szCs w:val="21"/>
          <w:highlight w:val="none"/>
          <w:lang w:val="zh-CN"/>
        </w:rPr>
        <w:t>.</w:t>
      </w:r>
      <w:r>
        <w:rPr>
          <w:rFonts w:hint="eastAsia" w:ascii="宋体" w:hAnsi="宋体" w:cs="宋体"/>
          <w:b/>
          <w:bCs/>
          <w:color w:val="auto"/>
          <w:szCs w:val="21"/>
          <w:highlight w:val="none"/>
          <w:lang w:val="zh-CN"/>
        </w:rPr>
        <w:t>相同品牌投标人的认定（服务类项目不适用本条款规定）</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30</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rPr>
        <w:t>30</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color w:val="auto"/>
          <w:szCs w:val="21"/>
          <w:highlight w:val="none"/>
          <w:lang w:val="zh-CN"/>
        </w:rPr>
        <w:t>;</w:t>
      </w:r>
      <w:r>
        <w:rPr>
          <w:rFonts w:hint="eastAsia" w:ascii="宋体" w:hAnsi="宋体" w:cs="宋体"/>
          <w:color w:val="auto"/>
          <w:szCs w:val="21"/>
          <w:highlight w:val="none"/>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rPr>
        <w:t>3</w:t>
      </w:r>
      <w:r>
        <w:rPr>
          <w:rFonts w:hint="eastAsia" w:ascii="宋体" w:hAnsi="宋体" w:cs="宋体"/>
          <w:b/>
          <w:color w:val="auto"/>
          <w:szCs w:val="21"/>
          <w:highlight w:val="none"/>
        </w:rPr>
        <w:t>1</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投标文件的比较与评价</w:t>
      </w:r>
    </w:p>
    <w:p>
      <w:pPr>
        <w:tabs>
          <w:tab w:val="left" w:pos="1260"/>
        </w:tabs>
        <w:autoSpaceDE w:val="0"/>
        <w:autoSpaceDN w:val="0"/>
        <w:spacing w:line="360" w:lineRule="auto"/>
        <w:ind w:firstLine="420" w:firstLineChars="200"/>
        <w:contextualSpacing/>
        <w:rPr>
          <w:rFonts w:hint="eastAsia" w:ascii="宋体" w:hAnsi="宋体" w:cs="宋体"/>
          <w:color w:val="auto"/>
          <w:szCs w:val="21"/>
          <w:highlight w:val="none"/>
          <w:lang w:val="zh-CN"/>
        </w:rPr>
      </w:pPr>
      <w:r>
        <w:rPr>
          <w:rFonts w:hint="eastAsia" w:ascii="宋体" w:hAnsi="宋体" w:cs="宋体"/>
          <w:color w:val="auto"/>
          <w:szCs w:val="21"/>
          <w:highlight w:val="none"/>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宋体"/>
          <w:b/>
          <w:color w:val="auto"/>
          <w:szCs w:val="21"/>
          <w:highlight w:val="none"/>
          <w:lang w:val="zh-CN"/>
        </w:rPr>
      </w:pPr>
      <w:r>
        <w:rPr>
          <w:rFonts w:hint="eastAsia" w:ascii="宋体" w:hAnsi="宋体" w:cs="宋体"/>
          <w:b/>
          <w:color w:val="auto"/>
          <w:szCs w:val="21"/>
          <w:highlight w:val="none"/>
          <w:lang w:val="zh-CN"/>
        </w:rPr>
        <w:t>32. 投标文件一般医用耗材承诺的配送时间出现前后不一致的修正</w:t>
      </w:r>
    </w:p>
    <w:p>
      <w:pPr>
        <w:tabs>
          <w:tab w:val="left" w:pos="1260"/>
        </w:tabs>
        <w:autoSpaceDE w:val="0"/>
        <w:autoSpaceDN w:val="0"/>
        <w:spacing w:line="360" w:lineRule="auto"/>
        <w:ind w:firstLine="420" w:firstLineChars="200"/>
        <w:contextualSpacing/>
        <w:rPr>
          <w:rFonts w:ascii="宋体" w:hAnsi="宋体" w:cs="宋体"/>
          <w:color w:val="auto"/>
          <w:szCs w:val="21"/>
          <w:highlight w:val="none"/>
          <w:lang w:val="zh-CN"/>
        </w:rPr>
      </w:pPr>
      <w:r>
        <w:rPr>
          <w:rFonts w:hint="eastAsia" w:ascii="宋体" w:hAnsi="宋体" w:cs="宋体"/>
          <w:color w:val="auto"/>
          <w:szCs w:val="21"/>
          <w:highlight w:val="none"/>
          <w:lang w:val="zh-CN"/>
        </w:rPr>
        <w:t>32.1 投标文件中开标一览表内容与投标文件中相应内容不一致的，以开标一览表为准；</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3</w:t>
      </w:r>
      <w:r>
        <w:rPr>
          <w:rFonts w:ascii="宋体" w:hAnsi="宋体" w:cs="宋体"/>
          <w:b/>
          <w:color w:val="auto"/>
          <w:szCs w:val="21"/>
          <w:highlight w:val="none"/>
          <w:lang w:val="zh-CN"/>
        </w:rPr>
        <w:t>.</w:t>
      </w:r>
      <w:r>
        <w:rPr>
          <w:rFonts w:hint="eastAsia" w:ascii="宋体" w:hAnsi="宋体" w:cs="宋体"/>
          <w:b/>
          <w:color w:val="auto"/>
          <w:szCs w:val="21"/>
          <w:highlight w:val="none"/>
          <w:lang w:val="zh-CN"/>
        </w:rPr>
        <w:t>评标方法、评标标准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评标方法分为最低评标价法和综合评分法。</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.1.1 </w:t>
      </w:r>
      <w:r>
        <w:rPr>
          <w:rFonts w:hint="eastAsia" w:ascii="宋体" w:hAnsi="宋体" w:cs="宋体"/>
          <w:color w:val="auto"/>
          <w:szCs w:val="21"/>
          <w:highlight w:val="none"/>
          <w:lang w:val="zh-CN"/>
        </w:rPr>
        <w:t>最低评标价法</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.1.1.1 </w:t>
      </w:r>
      <w:r>
        <w:rPr>
          <w:rFonts w:hint="eastAsia" w:ascii="宋体" w:hAnsi="宋体" w:cs="宋体"/>
          <w:color w:val="auto"/>
          <w:szCs w:val="21"/>
          <w:highlight w:val="none"/>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.1.1.2 </w:t>
      </w:r>
      <w:r>
        <w:rPr>
          <w:rFonts w:hint="eastAsia" w:ascii="宋体" w:hAnsi="宋体" w:cs="宋体"/>
          <w:color w:val="auto"/>
          <w:szCs w:val="21"/>
          <w:highlight w:val="none"/>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33</w:t>
      </w:r>
      <w:r>
        <w:rPr>
          <w:rFonts w:ascii="宋体" w:hAnsi="宋体" w:cs="宋体"/>
          <w:color w:val="auto"/>
          <w:szCs w:val="21"/>
          <w:highlight w:val="none"/>
          <w:lang w:val="zh-CN"/>
        </w:rPr>
        <w:t xml:space="preserve">.1.2 </w:t>
      </w:r>
      <w:r>
        <w:rPr>
          <w:rFonts w:hint="eastAsia" w:ascii="宋体" w:hAnsi="宋体" w:cs="宋体"/>
          <w:color w:val="auto"/>
          <w:szCs w:val="21"/>
          <w:highlight w:val="none"/>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价格分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.2.1 </w:t>
      </w:r>
      <w:r>
        <w:rPr>
          <w:rFonts w:hint="eastAsia" w:ascii="宋体" w:hAnsi="宋体" w:cs="宋体"/>
          <w:color w:val="auto"/>
          <w:szCs w:val="21"/>
          <w:highlight w:val="none"/>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宋体"/>
          <w:color w:val="auto"/>
          <w:szCs w:val="21"/>
          <w:highlight w:val="none"/>
          <w:lang w:val="zh-CN"/>
        </w:rPr>
      </w:pPr>
      <w:r>
        <w:rPr>
          <w:rFonts w:hint="eastAsia" w:ascii="宋体" w:hAnsi="宋体" w:cs="宋体"/>
          <w:color w:val="auto"/>
          <w:szCs w:val="21"/>
          <w:highlight w:val="none"/>
          <w:lang w:val="zh-CN"/>
        </w:rPr>
        <w:t>投标报价得分</w:t>
      </w:r>
      <w:r>
        <w:rPr>
          <w:rFonts w:ascii="宋体" w:hAnsi="宋体" w:cs="宋体"/>
          <w:color w:val="auto"/>
          <w:szCs w:val="21"/>
          <w:highlight w:val="none"/>
          <w:lang w:val="zh-CN"/>
        </w:rPr>
        <w:t>=(</w:t>
      </w:r>
      <w:r>
        <w:rPr>
          <w:rFonts w:hint="eastAsia" w:ascii="宋体" w:hAnsi="宋体" w:cs="宋体"/>
          <w:color w:val="auto"/>
          <w:szCs w:val="21"/>
          <w:highlight w:val="none"/>
          <w:lang w:val="zh-CN"/>
        </w:rPr>
        <w:t>评标基准价</w:t>
      </w:r>
      <w:r>
        <w:rPr>
          <w:rFonts w:ascii="宋体" w:hAnsi="宋体" w:cs="宋体"/>
          <w:color w:val="auto"/>
          <w:szCs w:val="21"/>
          <w:highlight w:val="none"/>
          <w:lang w:val="zh-CN"/>
        </w:rPr>
        <w:t>/</w:t>
      </w:r>
      <w:r>
        <w:rPr>
          <w:rFonts w:hint="eastAsia" w:ascii="宋体" w:hAnsi="宋体" w:cs="宋体"/>
          <w:color w:val="auto"/>
          <w:szCs w:val="21"/>
          <w:highlight w:val="none"/>
          <w:lang w:val="zh-CN"/>
        </w:rPr>
        <w:t>投标报价</w:t>
      </w:r>
      <w:r>
        <w:rPr>
          <w:rFonts w:ascii="宋体" w:hAnsi="宋体" w:cs="宋体"/>
          <w:color w:val="auto"/>
          <w:szCs w:val="21"/>
          <w:highlight w:val="none"/>
          <w:lang w:val="zh-CN"/>
        </w:rPr>
        <w:t>)</w:t>
      </w:r>
      <w:r>
        <w:rPr>
          <w:rFonts w:hint="eastAsia" w:ascii="宋体" w:hAnsi="宋体" w:cs="宋体"/>
          <w:color w:val="auto"/>
          <w:szCs w:val="21"/>
          <w:highlight w:val="none"/>
          <w:lang w:val="zh-CN"/>
        </w:rPr>
        <w:t>×</w:t>
      </w:r>
      <w:r>
        <w:rPr>
          <w:rFonts w:ascii="宋体" w:hAnsi="宋体" w:cs="宋体"/>
          <w:color w:val="auto"/>
          <w:szCs w:val="21"/>
          <w:highlight w:val="none"/>
          <w:lang w:val="zh-CN"/>
        </w:rPr>
        <w:t>100</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评标总得分</w:t>
      </w:r>
      <w:r>
        <w:rPr>
          <w:rFonts w:ascii="宋体" w:hAnsi="宋体" w:cs="宋体"/>
          <w:color w:val="auto"/>
          <w:szCs w:val="21"/>
          <w:highlight w:val="none"/>
          <w:lang w:val="zh-CN"/>
        </w:rPr>
        <w:t>=F1</w:t>
      </w:r>
      <w:r>
        <w:rPr>
          <w:rFonts w:hint="eastAsia" w:ascii="宋体" w:hAnsi="宋体" w:cs="宋体"/>
          <w:color w:val="auto"/>
          <w:szCs w:val="21"/>
          <w:highlight w:val="none"/>
          <w:lang w:val="zh-CN"/>
        </w:rPr>
        <w:t>×</w:t>
      </w:r>
      <w:r>
        <w:rPr>
          <w:rFonts w:ascii="宋体" w:hAnsi="宋体" w:cs="宋体"/>
          <w:color w:val="auto"/>
          <w:szCs w:val="21"/>
          <w:highlight w:val="none"/>
          <w:lang w:val="zh-CN"/>
        </w:rPr>
        <w:t>A1+F2</w:t>
      </w:r>
      <w:r>
        <w:rPr>
          <w:rFonts w:hint="eastAsia" w:ascii="宋体" w:hAnsi="宋体" w:cs="宋体"/>
          <w:color w:val="auto"/>
          <w:szCs w:val="21"/>
          <w:highlight w:val="none"/>
          <w:lang w:val="zh-CN"/>
        </w:rPr>
        <w:t>×</w:t>
      </w:r>
      <w:r>
        <w:rPr>
          <w:rFonts w:ascii="宋体" w:hAnsi="宋体" w:cs="宋体"/>
          <w:color w:val="auto"/>
          <w:szCs w:val="21"/>
          <w:highlight w:val="none"/>
          <w:lang w:val="zh-CN"/>
        </w:rPr>
        <w:t>A2+</w:t>
      </w:r>
      <w:r>
        <w:rPr>
          <w:rFonts w:hint="eastAsia" w:ascii="宋体" w:hAnsi="宋体" w:cs="宋体"/>
          <w:color w:val="auto"/>
          <w:szCs w:val="21"/>
          <w:highlight w:val="none"/>
          <w:lang w:val="zh-CN"/>
        </w:rPr>
        <w:t>……</w:t>
      </w:r>
      <w:r>
        <w:rPr>
          <w:rFonts w:ascii="宋体" w:hAnsi="宋体" w:cs="宋体"/>
          <w:color w:val="auto"/>
          <w:szCs w:val="21"/>
          <w:highlight w:val="none"/>
          <w:lang w:val="zh-CN"/>
        </w:rPr>
        <w:t>+Fn</w:t>
      </w:r>
      <w:r>
        <w:rPr>
          <w:rFonts w:hint="eastAsia" w:ascii="宋体" w:hAnsi="宋体" w:cs="宋体"/>
          <w:color w:val="auto"/>
          <w:szCs w:val="21"/>
          <w:highlight w:val="none"/>
          <w:lang w:val="zh-CN"/>
        </w:rPr>
        <w:t>×</w:t>
      </w:r>
      <w:r>
        <w:rPr>
          <w:rFonts w:ascii="宋体" w:hAnsi="宋体" w:cs="宋体"/>
          <w:color w:val="auto"/>
          <w:szCs w:val="21"/>
          <w:highlight w:val="none"/>
          <w:lang w:val="zh-CN"/>
        </w:rPr>
        <w:t>An</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F1</w:t>
      </w:r>
      <w:r>
        <w:rPr>
          <w:rFonts w:hint="eastAsia" w:ascii="宋体" w:hAnsi="宋体" w:cs="宋体"/>
          <w:color w:val="auto"/>
          <w:szCs w:val="21"/>
          <w:highlight w:val="none"/>
          <w:lang w:val="zh-CN"/>
        </w:rPr>
        <w:t>、</w:t>
      </w:r>
      <w:r>
        <w:rPr>
          <w:rFonts w:ascii="宋体" w:hAnsi="宋体" w:cs="宋体"/>
          <w:color w:val="auto"/>
          <w:szCs w:val="21"/>
          <w:highlight w:val="none"/>
          <w:lang w:val="zh-CN"/>
        </w:rPr>
        <w:t>F2</w:t>
      </w:r>
      <w:r>
        <w:rPr>
          <w:rFonts w:hint="eastAsia" w:ascii="宋体" w:hAnsi="宋体" w:cs="宋体"/>
          <w:color w:val="auto"/>
          <w:szCs w:val="21"/>
          <w:highlight w:val="none"/>
          <w:lang w:val="zh-CN"/>
        </w:rPr>
        <w:t>……</w:t>
      </w:r>
      <w:r>
        <w:rPr>
          <w:rFonts w:ascii="宋体" w:hAnsi="宋体" w:cs="宋体"/>
          <w:color w:val="auto"/>
          <w:szCs w:val="21"/>
          <w:highlight w:val="none"/>
          <w:lang w:val="zh-CN"/>
        </w:rPr>
        <w:t>Fn</w:t>
      </w:r>
      <w:r>
        <w:rPr>
          <w:rFonts w:hint="eastAsia" w:ascii="宋体" w:hAnsi="宋体" w:cs="宋体"/>
          <w:color w:val="auto"/>
          <w:szCs w:val="21"/>
          <w:highlight w:val="none"/>
          <w:lang w:val="zh-CN"/>
        </w:rPr>
        <w:t>分别为各项评审因素的得分</w:t>
      </w:r>
      <w:r>
        <w:rPr>
          <w:rFonts w:ascii="宋体" w:hAnsi="宋体" w:cs="宋体"/>
          <w:color w:val="auto"/>
          <w:szCs w:val="21"/>
          <w:highlight w:val="none"/>
          <w:lang w:val="zh-CN"/>
        </w:rPr>
        <w:t>;</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A1</w:t>
      </w:r>
      <w:r>
        <w:rPr>
          <w:rFonts w:hint="eastAsia" w:ascii="宋体" w:hAnsi="宋体" w:cs="宋体"/>
          <w:color w:val="auto"/>
          <w:szCs w:val="21"/>
          <w:highlight w:val="none"/>
          <w:lang w:val="zh-CN"/>
        </w:rPr>
        <w:t>、</w:t>
      </w:r>
      <w:r>
        <w:rPr>
          <w:rFonts w:ascii="宋体" w:hAnsi="宋体" w:cs="宋体"/>
          <w:color w:val="auto"/>
          <w:szCs w:val="21"/>
          <w:highlight w:val="none"/>
          <w:lang w:val="zh-CN"/>
        </w:rPr>
        <w:t>A2</w:t>
      </w:r>
      <w:r>
        <w:rPr>
          <w:rFonts w:hint="eastAsia" w:ascii="宋体" w:hAnsi="宋体" w:cs="宋体"/>
          <w:color w:val="auto"/>
          <w:szCs w:val="21"/>
          <w:highlight w:val="none"/>
          <w:lang w:val="zh-CN"/>
        </w:rPr>
        <w:t>、……</w:t>
      </w:r>
      <w:r>
        <w:rPr>
          <w:rFonts w:ascii="宋体" w:hAnsi="宋体" w:cs="宋体"/>
          <w:color w:val="auto"/>
          <w:szCs w:val="21"/>
          <w:highlight w:val="none"/>
          <w:lang w:val="zh-CN"/>
        </w:rPr>
        <w:t xml:space="preserve">An </w:t>
      </w:r>
      <w:r>
        <w:rPr>
          <w:rFonts w:hint="eastAsia" w:ascii="宋体" w:hAnsi="宋体" w:cs="宋体"/>
          <w:color w:val="auto"/>
          <w:szCs w:val="21"/>
          <w:highlight w:val="none"/>
          <w:lang w:val="zh-CN"/>
        </w:rPr>
        <w:t>分别为各项评审因素所占的权重</w:t>
      </w:r>
      <w:r>
        <w:rPr>
          <w:rFonts w:ascii="宋体" w:hAnsi="宋体" w:cs="宋体"/>
          <w:color w:val="auto"/>
          <w:szCs w:val="21"/>
          <w:highlight w:val="none"/>
          <w:lang w:val="zh-CN"/>
        </w:rPr>
        <w:t>(A1+A2+</w:t>
      </w:r>
      <w:r>
        <w:rPr>
          <w:rFonts w:hint="eastAsia" w:ascii="宋体" w:hAnsi="宋体" w:cs="宋体"/>
          <w:color w:val="auto"/>
          <w:szCs w:val="21"/>
          <w:highlight w:val="none"/>
          <w:lang w:val="zh-CN"/>
        </w:rPr>
        <w:t>……</w:t>
      </w:r>
      <w:r>
        <w:rPr>
          <w:rFonts w:ascii="宋体" w:hAnsi="宋体" w:cs="宋体"/>
          <w:color w:val="auto"/>
          <w:szCs w:val="21"/>
          <w:highlight w:val="none"/>
          <w:lang w:val="zh-CN"/>
        </w:rPr>
        <w:t>+An=1)</w:t>
      </w:r>
      <w:r>
        <w:rPr>
          <w:rFonts w:hint="eastAsia" w:ascii="宋体" w:hAnsi="宋体" w:cs="宋体"/>
          <w:color w:val="auto"/>
          <w:szCs w:val="21"/>
          <w:highlight w:val="none"/>
          <w:lang w:val="zh-CN"/>
        </w:rPr>
        <w:t>。</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.2.2 </w:t>
      </w:r>
      <w:r>
        <w:rPr>
          <w:rFonts w:hint="eastAsia" w:ascii="宋体" w:hAnsi="宋体" w:cs="宋体"/>
          <w:color w:val="auto"/>
          <w:szCs w:val="21"/>
          <w:highlight w:val="none"/>
          <w:lang w:val="zh-CN"/>
        </w:rPr>
        <w:t>评标过程中，不得去掉报价中的最高报价和最低报价。</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 xml:space="preserve">.2.3 </w:t>
      </w:r>
      <w:r>
        <w:rPr>
          <w:rFonts w:hint="eastAsia" w:ascii="宋体" w:hAnsi="宋体" w:cs="宋体"/>
          <w:color w:val="auto"/>
          <w:szCs w:val="21"/>
          <w:highlight w:val="none"/>
          <w:lang w:val="zh-CN"/>
        </w:rPr>
        <w:t>因落实政府采购政策进行价格调整的，以调整后的价格计算评标基准价和投标报价。</w:t>
      </w:r>
    </w:p>
    <w:p>
      <w:pPr>
        <w:tabs>
          <w:tab w:val="left" w:pos="1260"/>
        </w:tabs>
        <w:autoSpaceDE w:val="0"/>
        <w:autoSpaceDN w:val="0"/>
        <w:spacing w:line="360" w:lineRule="auto"/>
        <w:ind w:firstLine="420" w:firstLineChars="200"/>
        <w:contextualSpacing/>
        <w:rPr>
          <w:rFonts w:ascii="宋体" w:cs="宋体"/>
          <w:b/>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3</w:t>
      </w:r>
      <w:r>
        <w:rPr>
          <w:rFonts w:ascii="宋体" w:hAnsi="宋体" w:cs="宋体"/>
          <w:color w:val="auto"/>
          <w:szCs w:val="21"/>
          <w:highlight w:val="none"/>
          <w:lang w:val="zh-CN"/>
        </w:rPr>
        <w:t>.3</w:t>
      </w:r>
      <w:r>
        <w:rPr>
          <w:rFonts w:hint="eastAsia" w:ascii="宋体" w:hAnsi="宋体" w:cs="宋体"/>
          <w:b/>
          <w:color w:val="auto"/>
          <w:szCs w:val="21"/>
          <w:highlight w:val="none"/>
          <w:lang w:val="zh-CN"/>
        </w:rPr>
        <w:t>本次评标具体评标方法、评标标准见（第六章资格审查与</w:t>
      </w:r>
      <w:r>
        <w:rPr>
          <w:rFonts w:hint="eastAsia" w:ascii="宋体" w:hAnsi="宋体" w:cs="宋体"/>
          <w:b/>
          <w:color w:val="auto"/>
          <w:kern w:val="0"/>
          <w:szCs w:val="21"/>
          <w:highlight w:val="none"/>
        </w:rPr>
        <w:t>评标</w:t>
      </w:r>
      <w:r>
        <w:rPr>
          <w:rFonts w:hint="eastAsia" w:ascii="宋体" w:hAnsi="宋体" w:cs="宋体"/>
          <w:b/>
          <w:color w:val="auto"/>
          <w:szCs w:val="21"/>
          <w:highlight w:val="none"/>
          <w:lang w:val="zh-CN"/>
        </w:rPr>
        <w:t>）。</w:t>
      </w:r>
    </w:p>
    <w:p>
      <w:pPr>
        <w:tabs>
          <w:tab w:val="left" w:pos="1260"/>
        </w:tabs>
        <w:autoSpaceDE w:val="0"/>
        <w:autoSpaceDN w:val="0"/>
        <w:spacing w:line="360" w:lineRule="auto"/>
        <w:contextualSpacing/>
        <w:rPr>
          <w:rFonts w:ascii="宋体" w:cs="宋体"/>
          <w:color w:val="auto"/>
          <w:szCs w:val="21"/>
          <w:highlight w:val="none"/>
          <w:lang w:val="zh-CN"/>
        </w:rPr>
      </w:pPr>
      <w:r>
        <w:rPr>
          <w:rFonts w:ascii="宋体" w:hAnsi="宋体" w:cs="宋体"/>
          <w:b/>
          <w:bCs/>
          <w:color w:val="auto"/>
          <w:szCs w:val="21"/>
          <w:highlight w:val="none"/>
          <w:lang w:val="zh-CN"/>
        </w:rPr>
        <w:t>3</w:t>
      </w:r>
      <w:r>
        <w:rPr>
          <w:rFonts w:hint="eastAsia" w:ascii="宋体" w:hAnsi="宋体" w:cs="宋体"/>
          <w:b/>
          <w:bCs/>
          <w:color w:val="auto"/>
          <w:szCs w:val="21"/>
          <w:highlight w:val="none"/>
        </w:rPr>
        <w:t>4</w:t>
      </w:r>
      <w:r>
        <w:rPr>
          <w:rFonts w:ascii="宋体" w:hAnsi="宋体" w:cs="宋体"/>
          <w:b/>
          <w:bCs/>
          <w:color w:val="auto"/>
          <w:szCs w:val="21"/>
          <w:highlight w:val="none"/>
          <w:lang w:val="zh-CN"/>
        </w:rPr>
        <w:t xml:space="preserve">. </w:t>
      </w:r>
      <w:r>
        <w:rPr>
          <w:rFonts w:hint="eastAsia" w:ascii="宋体" w:hAnsi="宋体" w:cs="宋体"/>
          <w:b/>
          <w:bCs/>
          <w:color w:val="auto"/>
          <w:szCs w:val="21"/>
          <w:highlight w:val="none"/>
          <w:lang w:val="zh-CN"/>
        </w:rPr>
        <w:t>推荐中标候选人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4</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4</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5</w:t>
      </w:r>
      <w:r>
        <w:rPr>
          <w:rFonts w:ascii="宋体" w:cs="宋体"/>
          <w:b/>
          <w:color w:val="auto"/>
          <w:szCs w:val="21"/>
          <w:highlight w:val="none"/>
          <w:lang w:val="zh-CN"/>
        </w:rPr>
        <w:t>.</w:t>
      </w:r>
      <w:r>
        <w:rPr>
          <w:rFonts w:hint="eastAsia" w:ascii="宋体" w:hAnsi="宋体" w:cs="宋体"/>
          <w:b/>
          <w:color w:val="auto"/>
          <w:szCs w:val="21"/>
          <w:highlight w:val="none"/>
          <w:lang w:val="zh-CN"/>
        </w:rPr>
        <w:t>评审意见无效情形</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hint="eastAsia" w:ascii="宋体" w:hAnsi="宋体" w:cs="宋体"/>
          <w:color w:val="auto"/>
          <w:szCs w:val="21"/>
          <w:highlight w:val="none"/>
          <w:lang w:val="zh-CN"/>
        </w:rPr>
        <w:t>评标委员会及其成员有下列行为之一的，其评审意见无效：</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确定参与评标至评标结束前私自接触投标人；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接受投标人提出的与投标文件不一致的澄清或者说明，《投标人须知》</w:t>
      </w:r>
      <w:r>
        <w:rPr>
          <w:rFonts w:ascii="宋体" w:hAnsi="宋体" w:cs="宋体"/>
          <w:color w:val="auto"/>
          <w:szCs w:val="21"/>
          <w:highlight w:val="none"/>
          <w:lang w:val="zh-CN"/>
        </w:rPr>
        <w:t>2</w:t>
      </w:r>
      <w:r>
        <w:rPr>
          <w:rFonts w:ascii="宋体" w:hAnsi="宋体" w:cs="宋体"/>
          <w:color w:val="auto"/>
          <w:szCs w:val="21"/>
          <w:highlight w:val="none"/>
        </w:rPr>
        <w:t>6</w:t>
      </w:r>
      <w:r>
        <w:rPr>
          <w:rFonts w:hint="eastAsia" w:ascii="宋体" w:hAnsi="宋体" w:cs="宋体"/>
          <w:color w:val="auto"/>
          <w:szCs w:val="21"/>
          <w:highlight w:val="none"/>
          <w:lang w:val="zh-CN"/>
        </w:rPr>
        <w:t>条规定的情形除外；</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.3 </w:t>
      </w:r>
      <w:r>
        <w:rPr>
          <w:rFonts w:hint="eastAsia" w:ascii="宋体" w:hAnsi="宋体" w:cs="宋体"/>
          <w:color w:val="auto"/>
          <w:szCs w:val="21"/>
          <w:highlight w:val="none"/>
          <w:lang w:val="zh-CN"/>
        </w:rPr>
        <w:t>违反评标纪律发表倾向性意见或者征询采购人的倾向性意见；</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.4 </w:t>
      </w:r>
      <w:r>
        <w:rPr>
          <w:rFonts w:hint="eastAsia" w:ascii="宋体" w:hAnsi="宋体" w:cs="宋体"/>
          <w:color w:val="auto"/>
          <w:szCs w:val="21"/>
          <w:highlight w:val="none"/>
          <w:lang w:val="zh-CN"/>
        </w:rPr>
        <w:t>对需要专业判断的主观评审因素协商评分；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.5 </w:t>
      </w:r>
      <w:r>
        <w:rPr>
          <w:rFonts w:hint="eastAsia" w:ascii="宋体" w:hAnsi="宋体" w:cs="宋体"/>
          <w:color w:val="auto"/>
          <w:szCs w:val="21"/>
          <w:highlight w:val="none"/>
          <w:lang w:val="zh-CN"/>
        </w:rPr>
        <w:t>在评标过程中擅离职守，影响评标程序正常进行的；</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.6 </w:t>
      </w:r>
      <w:r>
        <w:rPr>
          <w:rFonts w:hint="eastAsia" w:ascii="宋体" w:hAnsi="宋体" w:cs="宋体"/>
          <w:color w:val="auto"/>
          <w:szCs w:val="21"/>
          <w:highlight w:val="none"/>
          <w:lang w:val="zh-CN"/>
        </w:rPr>
        <w:t>记录、复制或者带走任何评标资料；</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5</w:t>
      </w:r>
      <w:r>
        <w:rPr>
          <w:rFonts w:ascii="宋体" w:hAnsi="宋体" w:cs="宋体"/>
          <w:color w:val="auto"/>
          <w:szCs w:val="21"/>
          <w:highlight w:val="none"/>
          <w:lang w:val="zh-CN"/>
        </w:rPr>
        <w:t xml:space="preserve">.7 </w:t>
      </w:r>
      <w:r>
        <w:rPr>
          <w:rFonts w:hint="eastAsia" w:ascii="宋体" w:hAnsi="宋体" w:cs="宋体"/>
          <w:color w:val="auto"/>
          <w:szCs w:val="21"/>
          <w:highlight w:val="none"/>
          <w:lang w:val="zh-CN"/>
        </w:rPr>
        <w:t>其他不遵守评标纪律的行为。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6</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保密</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6</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评审专家应当遵守评审工作纪律，不得泄露评审文件、评审情况和评审中获悉的商业秘密。</w:t>
      </w:r>
    </w:p>
    <w:p>
      <w:pPr>
        <w:tabs>
          <w:tab w:val="left" w:pos="1260"/>
        </w:tabs>
        <w:autoSpaceDE w:val="0"/>
        <w:autoSpaceDN w:val="0"/>
        <w:spacing w:line="360" w:lineRule="auto"/>
        <w:ind w:firstLine="420" w:firstLineChars="200"/>
        <w:contextualSpacing/>
        <w:rPr>
          <w:rFonts w:ascii="宋体" w:cs="宋体"/>
          <w:color w:val="auto"/>
          <w:sz w:val="24"/>
          <w:szCs w:val="24"/>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6</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cs="宋体"/>
          <w:b/>
          <w:color w:val="auto"/>
          <w:kern w:val="0"/>
          <w:szCs w:val="21"/>
          <w:highlight w:val="none"/>
        </w:rPr>
      </w:pPr>
      <w:r>
        <w:rPr>
          <w:rFonts w:hint="eastAsia" w:ascii="宋体" w:hAnsi="宋体" w:cs="宋体"/>
          <w:b/>
          <w:color w:val="auto"/>
          <w:kern w:val="0"/>
          <w:szCs w:val="21"/>
          <w:highlight w:val="none"/>
        </w:rPr>
        <w:t>六、定标和授予合同</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7</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确定中标人</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7</w:t>
      </w:r>
      <w:r>
        <w:rPr>
          <w:rFonts w:ascii="宋体" w:hAnsi="宋体" w:cs="宋体"/>
          <w:color w:val="auto"/>
          <w:szCs w:val="21"/>
          <w:highlight w:val="none"/>
          <w:lang w:val="zh-CN"/>
        </w:rPr>
        <w:t xml:space="preserve">.1 </w:t>
      </w:r>
      <w:r>
        <w:rPr>
          <w:rFonts w:hint="eastAsia" w:ascii="宋体" w:hAnsi="宋体" w:cs="宋体"/>
          <w:color w:val="auto"/>
          <w:szCs w:val="21"/>
          <w:highlight w:val="none"/>
          <w:lang w:val="zh-CN"/>
        </w:rPr>
        <w:t>采购人应当自收到评</w:t>
      </w:r>
      <w:r>
        <w:rPr>
          <w:rFonts w:hint="eastAsia" w:ascii="宋体" w:hAnsi="宋体" w:cs="宋体"/>
          <w:color w:val="auto"/>
          <w:szCs w:val="21"/>
          <w:highlight w:val="none"/>
          <w:lang w:val="zh-CN"/>
        </w:rPr>
        <w:t>标报告之日起</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个工作日内，在评</w:t>
      </w:r>
      <w:r>
        <w:rPr>
          <w:rFonts w:hint="eastAsia" w:ascii="宋体" w:hAnsi="宋体" w:cs="宋体"/>
          <w:color w:val="auto"/>
          <w:szCs w:val="21"/>
          <w:highlight w:val="none"/>
          <w:lang w:val="zh-CN"/>
        </w:rPr>
        <w:t>标报告确定的中标候选人名单中按顺序确定中标人。中标候选人并列的，由采购人采取随机抽取的方式确定。</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7</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采购人在收到评标</w:t>
      </w:r>
      <w:r>
        <w:rPr>
          <w:rFonts w:hint="eastAsia" w:ascii="宋体" w:hAnsi="宋体" w:cs="宋体"/>
          <w:color w:val="auto"/>
          <w:szCs w:val="21"/>
          <w:highlight w:val="none"/>
          <w:lang w:val="zh-CN"/>
        </w:rPr>
        <w:t>报告</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个工作日内未按评</w:t>
      </w:r>
      <w:r>
        <w:rPr>
          <w:rFonts w:hint="eastAsia" w:ascii="宋体" w:hAnsi="宋体" w:cs="宋体"/>
          <w:color w:val="auto"/>
          <w:szCs w:val="21"/>
          <w:highlight w:val="none"/>
          <w:lang w:val="zh-CN"/>
        </w:rPr>
        <w:t>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lang w:val="zh-CN"/>
        </w:rPr>
        <w:t>3</w:t>
      </w:r>
      <w:r>
        <w:rPr>
          <w:rFonts w:hint="eastAsia" w:ascii="宋体" w:hAnsi="宋体" w:cs="宋体"/>
          <w:b/>
          <w:color w:val="auto"/>
          <w:szCs w:val="21"/>
          <w:highlight w:val="none"/>
        </w:rPr>
        <w:t>8</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中标公告、发出中标通知书</w:t>
      </w:r>
    </w:p>
    <w:p>
      <w:pPr>
        <w:tabs>
          <w:tab w:val="left" w:pos="1260"/>
        </w:tabs>
        <w:autoSpaceDE w:val="0"/>
        <w:autoSpaceDN w:val="0"/>
        <w:spacing w:line="360" w:lineRule="auto"/>
        <w:ind w:firstLine="420" w:firstLineChars="200"/>
        <w:contextualSpacing/>
        <w:rPr>
          <w:rFonts w:hint="eastAsia" w:ascii="宋体" w:hAnsi="宋体" w:cs="宋体"/>
          <w:color w:val="auto"/>
          <w:kern w:val="0"/>
          <w:sz w:val="21"/>
          <w:szCs w:val="21"/>
          <w:highlight w:val="none"/>
        </w:rPr>
      </w:pPr>
      <w:r>
        <w:rPr>
          <w:rFonts w:ascii="宋体" w:hAnsi="宋体" w:cs="宋体"/>
          <w:color w:val="auto"/>
          <w:szCs w:val="21"/>
          <w:highlight w:val="none"/>
          <w:lang w:val="zh-CN"/>
        </w:rPr>
        <w:t>3</w:t>
      </w:r>
      <w:r>
        <w:rPr>
          <w:rFonts w:hint="eastAsia" w:ascii="宋体" w:hAnsi="宋体" w:cs="宋体"/>
          <w:color w:val="auto"/>
          <w:szCs w:val="21"/>
          <w:highlight w:val="none"/>
        </w:rPr>
        <w:t>8</w:t>
      </w:r>
      <w:r>
        <w:rPr>
          <w:rFonts w:ascii="宋体" w:hAnsi="宋体" w:cs="宋体"/>
          <w:color w:val="auto"/>
          <w:szCs w:val="21"/>
          <w:highlight w:val="none"/>
          <w:lang w:val="zh-CN"/>
        </w:rPr>
        <w:t xml:space="preserve">.1 </w:t>
      </w:r>
      <w:r>
        <w:rPr>
          <w:rFonts w:hint="eastAsia" w:ascii="宋体" w:hAnsi="宋体" w:cs="宋体"/>
          <w:color w:val="auto"/>
          <w:kern w:val="0"/>
          <w:sz w:val="21"/>
          <w:szCs w:val="21"/>
          <w:highlight w:val="none"/>
        </w:rPr>
        <w:t>采购人确认中标人后，采</w:t>
      </w:r>
      <w:r>
        <w:rPr>
          <w:rFonts w:hint="eastAsia" w:ascii="宋体" w:hAnsi="宋体" w:cs="宋体"/>
          <w:color w:val="auto"/>
          <w:kern w:val="0"/>
          <w:sz w:val="21"/>
          <w:szCs w:val="21"/>
          <w:highlight w:val="none"/>
        </w:rPr>
        <w:t>购人在公告中标结果的同时，通知中标人核验投标时由信用承诺函替代的证明材料。经核验无误后，发出中标通知书。</w:t>
      </w:r>
    </w:p>
    <w:p>
      <w:pPr>
        <w:tabs>
          <w:tab w:val="left" w:pos="1260"/>
        </w:tabs>
        <w:autoSpaceDE w:val="0"/>
        <w:autoSpaceDN w:val="0"/>
        <w:spacing w:line="360" w:lineRule="auto"/>
        <w:ind w:firstLine="420" w:firstLineChars="200"/>
        <w:contextualSpacing/>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rPr>
        <w:t>8</w:t>
      </w:r>
      <w:r>
        <w:rPr>
          <w:rFonts w:ascii="宋体" w:hAnsi="宋体" w:cs="宋体"/>
          <w:color w:val="auto"/>
          <w:szCs w:val="21"/>
          <w:highlight w:val="none"/>
          <w:lang w:val="zh-CN"/>
        </w:rPr>
        <w:t xml:space="preserve">.2 </w:t>
      </w:r>
      <w:r>
        <w:rPr>
          <w:rFonts w:hint="eastAsia" w:ascii="宋体" w:hAnsi="宋体" w:cs="宋体"/>
          <w:color w:val="auto"/>
          <w:szCs w:val="21"/>
          <w:highlight w:val="none"/>
          <w:lang w:val="zh-CN"/>
        </w:rPr>
        <w:t>中标通知书发出后，采购人不得违法改变中标结果，中标人无正当理由不得放弃中标。</w:t>
      </w:r>
    </w:p>
    <w:p>
      <w:pPr>
        <w:tabs>
          <w:tab w:val="left" w:pos="1260"/>
        </w:tabs>
        <w:autoSpaceDE w:val="0"/>
        <w:autoSpaceDN w:val="0"/>
        <w:spacing w:line="360" w:lineRule="auto"/>
        <w:ind w:firstLine="420" w:firstLineChars="200"/>
        <w:contextualSpacing/>
        <w:rPr>
          <w:rFonts w:ascii="宋体" w:cs="宋体"/>
          <w:bCs/>
          <w:color w:val="auto"/>
          <w:szCs w:val="21"/>
          <w:highlight w:val="none"/>
          <w:lang w:val="zh-CN"/>
        </w:rPr>
      </w:pPr>
      <w:r>
        <w:rPr>
          <w:rFonts w:ascii="宋体" w:hAnsi="宋体" w:cs="宋体"/>
          <w:color w:val="auto"/>
          <w:szCs w:val="21"/>
          <w:highlight w:val="none"/>
        </w:rPr>
        <w:t>3</w:t>
      </w:r>
      <w:r>
        <w:rPr>
          <w:rFonts w:hint="eastAsia" w:ascii="宋体" w:hAnsi="宋体" w:cs="宋体"/>
          <w:color w:val="auto"/>
          <w:szCs w:val="21"/>
          <w:highlight w:val="none"/>
        </w:rPr>
        <w:t>8</w:t>
      </w:r>
      <w:r>
        <w:rPr>
          <w:rFonts w:ascii="宋体" w:hAnsi="宋体" w:cs="宋体"/>
          <w:color w:val="auto"/>
          <w:szCs w:val="21"/>
          <w:highlight w:val="none"/>
        </w:rPr>
        <w:t xml:space="preserve">.3 </w:t>
      </w:r>
      <w:r>
        <w:rPr>
          <w:rFonts w:hint="eastAsia" w:ascii="宋体" w:hAnsi="宋体" w:cs="宋体"/>
          <w:bCs/>
          <w:color w:val="auto"/>
          <w:szCs w:val="21"/>
          <w:highlight w:val="none"/>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宋体"/>
          <w:b/>
          <w:color w:val="auto"/>
          <w:szCs w:val="21"/>
          <w:highlight w:val="none"/>
          <w:lang w:val="zh-CN"/>
        </w:rPr>
      </w:pPr>
      <w:r>
        <w:rPr>
          <w:rFonts w:ascii="宋体" w:hAnsi="宋体" w:cs="宋体"/>
          <w:b/>
          <w:color w:val="auto"/>
          <w:szCs w:val="21"/>
          <w:highlight w:val="none"/>
        </w:rPr>
        <w:t>3</w:t>
      </w:r>
      <w:r>
        <w:rPr>
          <w:rFonts w:hint="eastAsia" w:ascii="宋体" w:hAnsi="宋体" w:cs="宋体"/>
          <w:b/>
          <w:color w:val="auto"/>
          <w:szCs w:val="21"/>
          <w:highlight w:val="none"/>
        </w:rPr>
        <w:t>9</w:t>
      </w:r>
      <w:r>
        <w:rPr>
          <w:rFonts w:ascii="宋体" w:hAnsi="宋体" w:cs="宋体"/>
          <w:b/>
          <w:color w:val="auto"/>
          <w:szCs w:val="21"/>
          <w:highlight w:val="none"/>
        </w:rPr>
        <w:t>.</w:t>
      </w:r>
      <w:r>
        <w:rPr>
          <w:rFonts w:hint="eastAsia" w:ascii="宋体" w:hAnsi="宋体" w:cs="宋体"/>
          <w:b/>
          <w:color w:val="auto"/>
          <w:szCs w:val="21"/>
          <w:highlight w:val="none"/>
          <w:lang w:val="zh-CN"/>
        </w:rPr>
        <w:t>质疑提出与答复</w:t>
      </w:r>
    </w:p>
    <w:p>
      <w:pPr>
        <w:tabs>
          <w:tab w:val="left" w:pos="1260"/>
        </w:tabs>
        <w:autoSpaceDE w:val="0"/>
        <w:autoSpaceDN w:val="0"/>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.1 </w:t>
      </w:r>
      <w:r>
        <w:rPr>
          <w:rFonts w:hint="eastAsia" w:ascii="宋体" w:hAnsi="宋体" w:cs="宋体"/>
          <w:color w:val="auto"/>
          <w:szCs w:val="21"/>
          <w:highlight w:val="none"/>
        </w:rPr>
        <w:t>供应商认为招标文件、采购过程和中标结果使自己的权益受到损害的，可以按照</w:t>
      </w:r>
      <w:r>
        <w:rPr>
          <w:rFonts w:hint="eastAsia" w:ascii="宋体" w:hAnsi="宋体" w:cs="宋体"/>
          <w:bCs/>
          <w:color w:val="auto"/>
          <w:kern w:val="0"/>
          <w:szCs w:val="21"/>
          <w:highlight w:val="none"/>
          <w:lang w:val="zh-CN"/>
        </w:rPr>
        <w:t>财政部</w:t>
      </w:r>
      <w:r>
        <w:rPr>
          <w:rFonts w:ascii="宋体" w:hAnsi="宋体" w:cs="宋体"/>
          <w:bCs/>
          <w:color w:val="auto"/>
          <w:kern w:val="0"/>
          <w:szCs w:val="21"/>
          <w:highlight w:val="none"/>
          <w:lang w:val="zh-CN"/>
        </w:rPr>
        <w:t>94</w:t>
      </w:r>
      <w:r>
        <w:rPr>
          <w:rFonts w:hint="eastAsia" w:ascii="宋体" w:hAnsi="宋体" w:cs="宋体"/>
          <w:bCs/>
          <w:color w:val="auto"/>
          <w:kern w:val="0"/>
          <w:szCs w:val="21"/>
          <w:highlight w:val="none"/>
          <w:lang w:val="zh-CN"/>
        </w:rPr>
        <w:t>号令</w:t>
      </w:r>
      <w:r>
        <w:rPr>
          <w:rFonts w:hint="eastAsia" w:ascii="宋体" w:hAnsi="宋体" w:cs="宋体"/>
          <w:bCs/>
          <w:color w:val="auto"/>
          <w:szCs w:val="21"/>
          <w:highlight w:val="none"/>
          <w:lang w:val="zh-CN"/>
        </w:rPr>
        <w:t>提出质</w:t>
      </w:r>
      <w:r>
        <w:rPr>
          <w:rFonts w:hint="eastAsia" w:ascii="宋体" w:hAnsi="宋体" w:cs="宋体"/>
          <w:color w:val="auto"/>
          <w:szCs w:val="21"/>
          <w:highlight w:val="none"/>
        </w:rPr>
        <w:t>疑。提出质疑的供应商应当是参与本项目采购活动的供应商。</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39.1.1</w:t>
      </w:r>
      <w:r>
        <w:rPr>
          <w:rFonts w:hint="eastAsia" w:cs="宋体" w:asciiTheme="minorEastAsia" w:hAnsiTheme="minorEastAsia"/>
          <w:color w:val="auto"/>
          <w:kern w:val="0"/>
          <w:szCs w:val="21"/>
          <w:highlight w:val="none"/>
        </w:rPr>
        <w:t>对采购文件提出质疑的，</w:t>
      </w:r>
      <w:r>
        <w:rPr>
          <w:rFonts w:cs="宋体" w:asciiTheme="minorEastAsia" w:hAnsiTheme="minorEastAsia"/>
          <w:color w:val="auto"/>
          <w:kern w:val="0"/>
          <w:szCs w:val="21"/>
          <w:highlight w:val="none"/>
        </w:rPr>
        <w:t>潜在</w:t>
      </w:r>
      <w:r>
        <w:rPr>
          <w:rFonts w:hint="eastAsia" w:cs="宋体" w:asciiTheme="minorEastAsia" w:hAnsiTheme="minorEastAsia"/>
          <w:color w:val="auto"/>
          <w:kern w:val="0"/>
          <w:szCs w:val="21"/>
          <w:highlight w:val="none"/>
        </w:rPr>
        <w:t>投标人应</w:t>
      </w:r>
      <w:r>
        <w:rPr>
          <w:rFonts w:cs="宋体" w:asciiTheme="minorEastAsia" w:hAnsiTheme="minorEastAsia"/>
          <w:color w:val="auto"/>
          <w:kern w:val="0"/>
          <w:szCs w:val="21"/>
          <w:highlight w:val="none"/>
        </w:rPr>
        <w:t>已依法获取采购文件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获取采购文件或者采购文件公告期限届满之日起7个工作日内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auto"/>
          <w:kern w:val="0"/>
          <w:szCs w:val="21"/>
          <w:highlight w:val="none"/>
        </w:rPr>
        <w:t>潜在</w:t>
      </w:r>
      <w:r>
        <w:rPr>
          <w:rFonts w:hint="eastAsia" w:cs="宋体" w:asciiTheme="minorEastAsia" w:hAnsiTheme="minorEastAsia"/>
          <w:color w:val="auto"/>
          <w:kern w:val="0"/>
          <w:szCs w:val="21"/>
          <w:highlight w:val="none"/>
        </w:rPr>
        <w:t>投标人应及时联系招标公告中代理机构联系人查看。如未提出视为全面接受。</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hint="eastAsia" w:ascii="宋体" w:hAnsi="宋体" w:cs="宋体"/>
          <w:color w:val="auto"/>
          <w:szCs w:val="21"/>
          <w:highlight w:val="none"/>
        </w:rPr>
        <w:t>39</w:t>
      </w:r>
      <w:r>
        <w:rPr>
          <w:rFonts w:ascii="宋体" w:hAnsi="宋体" w:cs="宋体"/>
          <w:color w:val="auto"/>
          <w:szCs w:val="21"/>
          <w:highlight w:val="none"/>
        </w:rPr>
        <w:t xml:space="preserve">.1.2 </w:t>
      </w:r>
      <w:r>
        <w:rPr>
          <w:rFonts w:hint="eastAsia" w:ascii="宋体" w:hAnsi="宋体" w:cs="宋体"/>
          <w:color w:val="auto"/>
          <w:szCs w:val="21"/>
          <w:highlight w:val="none"/>
        </w:rPr>
        <w:t>对采购过程提出质疑的，为各采购程序环节结束之日起七个工作日内，以书面形式向采购人和采购代理机构一次性提出；</w:t>
      </w:r>
      <w:r>
        <w:rPr>
          <w:rFonts w:ascii="宋体" w:cs="宋体"/>
          <w:color w:val="auto"/>
          <w:szCs w:val="21"/>
          <w:highlight w:val="none"/>
        </w:rPr>
        <w:br w:type="textWrapping"/>
      </w:r>
      <w:r>
        <w:rPr>
          <w:rFonts w:hint="eastAsia" w:ascii="宋体" w:hAnsi="宋体" w:cs="宋体"/>
          <w:color w:val="auto"/>
          <w:szCs w:val="21"/>
          <w:highlight w:val="none"/>
        </w:rPr>
        <w:t xml:space="preserve">    </w:t>
      </w: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.1.3 </w:t>
      </w:r>
      <w:r>
        <w:rPr>
          <w:rFonts w:hint="eastAsia" w:ascii="宋体" w:hAnsi="宋体" w:cs="宋体"/>
          <w:color w:val="auto"/>
          <w:szCs w:val="21"/>
          <w:highlight w:val="none"/>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.2 </w:t>
      </w:r>
      <w:r>
        <w:rPr>
          <w:rFonts w:hint="eastAsia" w:ascii="宋体" w:hAnsi="宋体" w:cs="宋体"/>
          <w:color w:val="auto"/>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.2.1 </w:t>
      </w:r>
      <w:r>
        <w:rPr>
          <w:rFonts w:hint="eastAsia" w:ascii="宋体" w:hAnsi="宋体" w:cs="宋体"/>
          <w:color w:val="auto"/>
          <w:szCs w:val="21"/>
          <w:highlight w:val="none"/>
        </w:rPr>
        <w:t>对招标文件提出的质疑，依法通过澄清或者修改可以继续开展采购活动的，澄清或者修改招标文件后继续开展采购活动；否则应当修改招标文件后重新开展采购活动。</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.2.2 </w:t>
      </w:r>
      <w:r>
        <w:rPr>
          <w:rFonts w:hint="eastAsia" w:ascii="宋体" w:hAnsi="宋体" w:cs="宋体"/>
          <w:color w:val="auto"/>
          <w:szCs w:val="21"/>
          <w:highlight w:val="none"/>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.3 </w:t>
      </w:r>
      <w:r>
        <w:rPr>
          <w:rFonts w:hint="eastAsia" w:ascii="宋体" w:hAnsi="宋体" w:cs="宋体"/>
          <w:color w:val="auto"/>
          <w:szCs w:val="21"/>
          <w:highlight w:val="none"/>
        </w:rPr>
        <w:t>答复</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.3.1 </w:t>
      </w:r>
      <w:r>
        <w:rPr>
          <w:rFonts w:hint="eastAsia" w:ascii="宋体" w:hAnsi="宋体" w:cs="宋体"/>
          <w:color w:val="auto"/>
          <w:szCs w:val="21"/>
          <w:highlight w:val="none"/>
        </w:rPr>
        <w:t>对招标文件提出质疑的，质疑供应商和其他有关供应商在法定时限内到《全国公共资源交易平台（河南省·许昌市）》自行下载并打印书面质疑回复函，或者联系采购单位领取书面质疑回复函。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.3.2 </w:t>
      </w:r>
      <w:r>
        <w:rPr>
          <w:rFonts w:hint="eastAsia" w:ascii="宋体" w:hAnsi="宋体" w:cs="宋体"/>
          <w:color w:val="auto"/>
          <w:szCs w:val="21"/>
          <w:highlight w:val="none"/>
        </w:rPr>
        <w:t>对采购过程提出质疑的，质疑供应商和其他有关供应商在法定时限内联系采购单位领取书面质疑回复函。</w:t>
      </w:r>
    </w:p>
    <w:p>
      <w:pPr>
        <w:tabs>
          <w:tab w:val="left" w:pos="1260"/>
        </w:tabs>
        <w:autoSpaceDE w:val="0"/>
        <w:autoSpaceDN w:val="0"/>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9</w:t>
      </w:r>
      <w:r>
        <w:rPr>
          <w:rFonts w:ascii="宋体" w:hAnsi="宋体" w:cs="宋体"/>
          <w:color w:val="auto"/>
          <w:szCs w:val="21"/>
          <w:highlight w:val="none"/>
        </w:rPr>
        <w:t xml:space="preserve">.3.3 </w:t>
      </w:r>
      <w:r>
        <w:rPr>
          <w:rFonts w:hint="eastAsia" w:ascii="宋体" w:hAnsi="宋体" w:cs="宋体"/>
          <w:color w:val="auto"/>
          <w:szCs w:val="21"/>
          <w:highlight w:val="none"/>
        </w:rPr>
        <w:t>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cs="宋体"/>
          <w:b/>
          <w:color w:val="auto"/>
          <w:szCs w:val="21"/>
          <w:highlight w:val="none"/>
        </w:rPr>
      </w:pPr>
      <w:r>
        <w:rPr>
          <w:rFonts w:hint="eastAsia" w:ascii="宋体" w:hAnsi="宋体" w:cs="宋体"/>
          <w:b/>
          <w:color w:val="auto"/>
          <w:szCs w:val="21"/>
          <w:highlight w:val="none"/>
        </w:rPr>
        <w:t>40</w:t>
      </w:r>
      <w:r>
        <w:rPr>
          <w:rFonts w:ascii="宋体" w:hAnsi="宋体" w:cs="宋体"/>
          <w:b/>
          <w:color w:val="auto"/>
          <w:szCs w:val="21"/>
          <w:highlight w:val="none"/>
        </w:rPr>
        <w:t>.</w:t>
      </w:r>
      <w:r>
        <w:rPr>
          <w:rFonts w:hint="eastAsia" w:ascii="宋体" w:hAnsi="宋体" w:cs="宋体"/>
          <w:b/>
          <w:color w:val="auto"/>
          <w:szCs w:val="21"/>
          <w:highlight w:val="none"/>
          <w:lang w:val="zh-CN"/>
        </w:rPr>
        <w:t>签订合同</w:t>
      </w:r>
    </w:p>
    <w:p>
      <w:pPr>
        <w:tabs>
          <w:tab w:val="left" w:pos="1260"/>
        </w:tabs>
        <w:autoSpaceDE w:val="0"/>
        <w:autoSpaceDN w:val="0"/>
        <w:spacing w:line="360" w:lineRule="auto"/>
        <w:ind w:firstLine="420" w:firstLineChars="200"/>
        <w:contextualSpacing/>
        <w:rPr>
          <w:rFonts w:hint="eastAsia" w:ascii="宋体" w:hAnsi="宋体" w:cs="宋体"/>
          <w:color w:val="auto"/>
          <w:szCs w:val="21"/>
          <w:highlight w:val="none"/>
          <w:lang w:val="zh-CN"/>
        </w:rPr>
      </w:pPr>
      <w:r>
        <w:rPr>
          <w:rFonts w:hint="eastAsia" w:ascii="宋体" w:hAnsi="宋体" w:cs="宋体"/>
          <w:color w:val="auto"/>
          <w:szCs w:val="21"/>
          <w:highlight w:val="none"/>
          <w:lang w:val="zh-CN"/>
        </w:rPr>
        <w:t>采购人应当自中标通知书发出之日起1个工作日内与采购单位签定政府采购合同，采购单位应当自合同签订之日起2个工作日内在河南省电子化政府采购系统进行合同备案。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宋体"/>
          <w:b/>
          <w:color w:val="auto"/>
          <w:szCs w:val="21"/>
          <w:highlight w:val="none"/>
        </w:rPr>
      </w:pPr>
      <w:r>
        <w:rPr>
          <w:rFonts w:hint="eastAsia" w:ascii="宋体" w:hAnsi="宋体" w:cs="宋体"/>
          <w:b/>
          <w:color w:val="auto"/>
          <w:szCs w:val="21"/>
          <w:highlight w:val="none"/>
        </w:rPr>
        <w:t>41</w:t>
      </w:r>
      <w:r>
        <w:rPr>
          <w:rFonts w:ascii="宋体" w:hAnsi="宋体" w:cs="宋体"/>
          <w:b/>
          <w:color w:val="auto"/>
          <w:szCs w:val="21"/>
          <w:highlight w:val="none"/>
        </w:rPr>
        <w:t>.</w:t>
      </w:r>
      <w:r>
        <w:rPr>
          <w:rFonts w:hint="eastAsia" w:ascii="宋体" w:hAnsi="宋体" w:cs="宋体"/>
          <w:b/>
          <w:color w:val="auto"/>
          <w:szCs w:val="21"/>
          <w:highlight w:val="none"/>
        </w:rPr>
        <w:t>履约保证金</w:t>
      </w:r>
    </w:p>
    <w:p>
      <w:pPr>
        <w:autoSpaceDE w:val="0"/>
        <w:autoSpaceDN w:val="0"/>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kern w:val="0"/>
          <w:szCs w:val="21"/>
          <w:highlight w:val="none"/>
        </w:rPr>
        <w:t>“投标人须知前附表”中规定</w:t>
      </w:r>
      <w:r>
        <w:rPr>
          <w:rFonts w:hint="eastAsia" w:ascii="宋体" w:hAnsi="宋体" w:cs="宋体"/>
          <w:color w:val="auto"/>
          <w:szCs w:val="21"/>
          <w:highlight w:val="none"/>
        </w:rPr>
        <w:t xml:space="preserve">中标人提交履约保证金的，中标人应当以支票、汇票、本票或者金融机构、担保机构出具的保函等非现金形式向采购人提交。履约保证金的数额不得超过政府采购合同金额的   </w:t>
      </w:r>
      <w:r>
        <w:rPr>
          <w:rFonts w:ascii="宋体" w:hAnsi="宋体" w:cs="宋体"/>
          <w:color w:val="auto"/>
          <w:szCs w:val="21"/>
          <w:highlight w:val="none"/>
        </w:rPr>
        <w:t>%</w:t>
      </w:r>
      <w:r>
        <w:rPr>
          <w:rFonts w:hint="eastAsia" w:ascii="宋体" w:hAnsi="宋体" w:cs="宋体"/>
          <w:color w:val="auto"/>
          <w:szCs w:val="21"/>
          <w:highlight w:val="none"/>
        </w:rPr>
        <w:t>。</w:t>
      </w:r>
    </w:p>
    <w:p>
      <w:pPr>
        <w:pStyle w:val="58"/>
        <w:autoSpaceDE w:val="0"/>
        <w:autoSpaceDN w:val="0"/>
        <w:spacing w:line="360" w:lineRule="auto"/>
        <w:ind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42.政府采购合同融资</w:t>
      </w:r>
    </w:p>
    <w:p>
      <w:pPr>
        <w:pStyle w:val="58"/>
        <w:wordWrap w:val="0"/>
        <w:topLinePunct/>
        <w:autoSpaceDE w:val="0"/>
        <w:autoSpaceDN w:val="0"/>
        <w:adjustRightInd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42.1缓解中小企业融资难题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42.2合作金融机构（排名不分先后）</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合作金融机构名称：中原银行许昌分行（小微金融部）</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联系人及电话：陈阳 13137407575   方金龙  15836539901</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地址：许昌市建安大道与紫云路交汇处中原银行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合作金融机构名称：浦发银行许昌分行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联系人及电话：赵勇  0374-7313569、7313502 18937459920</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地址：许昌市许继大道1163号许继花园</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合作金融机构名称：交通银行许昌分行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联系人：宋纪刚  0374-2369912  13733951305</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地址：许昌市莲城大道114号</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合作金融机构名称：光大银行许昌分行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联系人：李东磊  0374-2928168 18569936868</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地址：许昌市魏都区八一路文峰路交叉口西北角</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合作金融机构名称：招商银行许昌分行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联系人及电话：崔星迪  0374-5376058  18839983051</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地址：许昌市建安大道中段新天下AB座</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合作金融机构名称：邮储银行许昌市分行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联系人及电话：张彦峰13839001972 武松涛18839902679</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徐亚爽15038297574</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地址：许昌市莲城大道邮储银行莲城支行二楼</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合作金融机构名称：中国银行许昌分行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联系人及电话：白炜 13938772680   刘晓飞  0374-3338596</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地址：许昌市魏都区建设路1488号</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联系人：韩晨  13253490679</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地址：郑州市金水区经三路北26号中信银行郑州红专路支行</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w:t>
      </w:r>
      <w:r>
        <w:rPr>
          <w:rFonts w:hint="eastAsia" w:cs="宋体" w:asciiTheme="minorEastAsia" w:hAnsiTheme="minorEastAsia"/>
          <w:color w:val="auto"/>
          <w:kern w:val="0"/>
          <w:szCs w:val="21"/>
          <w:highlight w:val="none"/>
          <w:lang w:val="en-US" w:eastAsia="zh-CN"/>
        </w:rPr>
        <w:t>2</w:t>
      </w:r>
      <w:r>
        <w:rPr>
          <w:rFonts w:hint="eastAsia" w:cs="宋体" w:asciiTheme="minorEastAsia" w:hAnsiTheme="minorEastAsia"/>
          <w:color w:val="auto"/>
          <w:kern w:val="0"/>
          <w:szCs w:val="21"/>
          <w:highlight w:val="none"/>
        </w:rPr>
        <w:t>.3 “许昌市政府采购合同融资金融产品推介名录”链接</w:t>
      </w:r>
    </w:p>
    <w:p>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http://xuchang.hngp.gov.cn/xuchang/content?infoId=1606365368231095&amp;channelCode=H711001</w:t>
      </w:r>
    </w:p>
    <w:p>
      <w:pPr>
        <w:autoSpaceDE w:val="0"/>
        <w:autoSpaceDN w:val="0"/>
        <w:spacing w:line="360" w:lineRule="auto"/>
        <w:contextualSpacing/>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3</w:t>
      </w:r>
      <w:r>
        <w:rPr>
          <w:rFonts w:ascii="宋体" w:hAnsi="宋体" w:cs="宋体"/>
          <w:b/>
          <w:color w:val="auto"/>
          <w:szCs w:val="21"/>
          <w:highlight w:val="none"/>
        </w:rPr>
        <w:t xml:space="preserve">. </w:t>
      </w:r>
      <w:r>
        <w:rPr>
          <w:rFonts w:hint="eastAsia" w:ascii="宋体" w:hAnsi="宋体" w:cs="宋体"/>
          <w:b/>
          <w:color w:val="auto"/>
          <w:szCs w:val="21"/>
          <w:highlight w:val="none"/>
        </w:rPr>
        <w:t>其他</w:t>
      </w:r>
    </w:p>
    <w:p>
      <w:pPr>
        <w:tabs>
          <w:tab w:val="left" w:pos="1260"/>
        </w:tabs>
        <w:autoSpaceDE w:val="0"/>
        <w:autoSpaceDN w:val="0"/>
        <w:spacing w:line="360" w:lineRule="auto"/>
        <w:ind w:firstLine="420" w:firstLineChars="200"/>
        <w:contextualSpacing/>
        <w:jc w:val="left"/>
        <w:rPr>
          <w:rFonts w:ascii="宋体" w:cs="宋体"/>
          <w:color w:val="auto"/>
          <w:kern w:val="0"/>
          <w:szCs w:val="21"/>
          <w:highlight w:val="none"/>
        </w:rPr>
      </w:pPr>
      <w:r>
        <w:rPr>
          <w:rFonts w:hint="eastAsia" w:ascii="宋体" w:hAnsi="宋体" w:cs="宋体"/>
          <w:color w:val="auto"/>
          <w:kern w:val="0"/>
          <w:szCs w:val="21"/>
          <w:highlight w:val="none"/>
        </w:rPr>
        <w:t>本次招标文件未尽事项，以法律法规规定的为准。</w:t>
      </w:r>
    </w:p>
    <w:p>
      <w:pPr>
        <w:pStyle w:val="29"/>
        <w:ind w:left="0" w:leftChars="0" w:firstLine="0" w:firstLineChars="0"/>
        <w:rPr>
          <w:color w:val="auto"/>
          <w:highlight w:val="none"/>
        </w:rPr>
      </w:pPr>
    </w:p>
    <w:p>
      <w:pPr>
        <w:pStyle w:val="4"/>
        <w:rPr>
          <w:color w:val="auto"/>
          <w:highlight w:val="none"/>
        </w:rPr>
      </w:pPr>
    </w:p>
    <w:p>
      <w:pPr>
        <w:rPr>
          <w:color w:val="auto"/>
          <w:highlight w:val="none"/>
        </w:rPr>
      </w:pPr>
    </w:p>
    <w:p>
      <w:pPr>
        <w:pStyle w:val="2"/>
        <w:rPr>
          <w:color w:val="auto"/>
          <w:highlight w:val="none"/>
        </w:rPr>
      </w:pPr>
    </w:p>
    <w:p>
      <w:pPr>
        <w:pStyle w:val="3"/>
        <w:rPr>
          <w:color w:val="auto"/>
          <w:highlight w:val="none"/>
        </w:rPr>
      </w:pPr>
    </w:p>
    <w:p>
      <w:pPr>
        <w:pStyle w:val="4"/>
        <w:rPr>
          <w:color w:val="auto"/>
          <w:highlight w:val="none"/>
        </w:rPr>
      </w:pPr>
    </w:p>
    <w:p>
      <w:pPr>
        <w:rPr>
          <w:color w:val="auto"/>
          <w:highlight w:val="none"/>
        </w:rPr>
      </w:pPr>
    </w:p>
    <w:p>
      <w:pPr>
        <w:pStyle w:val="2"/>
        <w:rPr>
          <w:color w:val="auto"/>
          <w:highlight w:val="none"/>
        </w:rPr>
      </w:pPr>
    </w:p>
    <w:p>
      <w:pPr>
        <w:pStyle w:val="3"/>
        <w:rPr>
          <w:color w:val="auto"/>
          <w:highlight w:val="none"/>
        </w:rPr>
      </w:pPr>
    </w:p>
    <w:p>
      <w:pPr>
        <w:pStyle w:val="4"/>
        <w:rPr>
          <w:color w:val="auto"/>
          <w:highlight w:val="none"/>
        </w:rPr>
      </w:pPr>
    </w:p>
    <w:p>
      <w:pPr>
        <w:rPr>
          <w:color w:val="auto"/>
          <w:highlight w:val="none"/>
        </w:rPr>
      </w:pPr>
    </w:p>
    <w:p>
      <w:pPr>
        <w:pStyle w:val="2"/>
        <w:rPr>
          <w:color w:val="auto"/>
          <w:highlight w:val="none"/>
        </w:rPr>
      </w:pPr>
    </w:p>
    <w:p>
      <w:pPr>
        <w:pStyle w:val="3"/>
        <w:rPr>
          <w:color w:val="auto"/>
          <w:highlight w:val="none"/>
        </w:rPr>
      </w:pPr>
    </w:p>
    <w:p>
      <w:pPr>
        <w:pStyle w:val="4"/>
        <w:rPr>
          <w:color w:val="auto"/>
          <w:highlight w:val="none"/>
        </w:rPr>
      </w:pPr>
    </w:p>
    <w:p>
      <w:pPr>
        <w:rPr>
          <w:color w:val="auto"/>
          <w:highlight w:val="none"/>
        </w:rPr>
      </w:pPr>
    </w:p>
    <w:p>
      <w:pPr>
        <w:pStyle w:val="2"/>
        <w:rPr>
          <w:color w:val="auto"/>
          <w:highlight w:val="none"/>
        </w:rPr>
      </w:pPr>
    </w:p>
    <w:p>
      <w:pPr>
        <w:pStyle w:val="3"/>
        <w:rPr>
          <w:color w:val="auto"/>
          <w:highlight w:val="none"/>
        </w:rPr>
      </w:pPr>
    </w:p>
    <w:p>
      <w:pPr>
        <w:pStyle w:val="4"/>
        <w:rPr>
          <w:color w:val="auto"/>
          <w:highlight w:val="none"/>
        </w:rPr>
      </w:pPr>
    </w:p>
    <w:p>
      <w:pPr>
        <w:rPr>
          <w:color w:val="auto"/>
          <w:highlight w:val="none"/>
        </w:rPr>
      </w:pPr>
    </w:p>
    <w:p>
      <w:pPr>
        <w:pStyle w:val="9"/>
        <w:ind w:firstLine="0"/>
        <w:rPr>
          <w:rFonts w:cs="宋体" w:asciiTheme="majorEastAsia" w:hAnsiTheme="majorEastAsia" w:eastAsiaTheme="majorEastAsia"/>
          <w:b/>
          <w:color w:val="auto"/>
          <w:kern w:val="0"/>
          <w:sz w:val="32"/>
          <w:szCs w:val="32"/>
          <w:highlight w:val="none"/>
        </w:rPr>
      </w:pP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8"/>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eastAsia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8"/>
        <w:spacing w:line="348"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一、节能能源、保护环境</w:t>
      </w:r>
    </w:p>
    <w:p>
      <w:pPr>
        <w:pStyle w:val="18"/>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highlight w:val="none"/>
        </w:rPr>
        <w:t>财政部、生态环境部</w:t>
      </w:r>
      <w:r>
        <w:rPr>
          <w:rFonts w:hint="eastAsia" w:cs="仿宋_GB2312" w:asciiTheme="minorEastAsia" w:hAnsiTheme="minorEastAsia" w:eastAsiaTheme="minorEastAsia"/>
          <w:color w:val="auto"/>
          <w:sz w:val="21"/>
          <w:szCs w:val="21"/>
          <w:highlight w:val="none"/>
          <w:lang w:val="zh-CN"/>
        </w:rPr>
        <w:t>《关于印发环境标志产品政府采购品目清单的通知》</w:t>
      </w:r>
      <w:r>
        <w:rPr>
          <w:rFonts w:hint="eastAsia" w:cs="仿宋_GB2312" w:asciiTheme="minorEastAsia" w:hAnsiTheme="minorEastAsia" w:eastAsiaTheme="minorEastAsia"/>
          <w:color w:val="auto"/>
          <w:sz w:val="21"/>
          <w:szCs w:val="21"/>
          <w:highlight w:val="none"/>
        </w:rPr>
        <w:t>（财库[2019]18号）以及</w:t>
      </w:r>
      <w:r>
        <w:rPr>
          <w:rFonts w:hint="eastAsia" w:cs="仿宋_GB2312" w:asciiTheme="minorEastAsia" w:hAnsiTheme="minorEastAsia" w:eastAsiaTheme="minorEastAsia"/>
          <w:color w:val="auto"/>
          <w:sz w:val="21"/>
          <w:szCs w:val="21"/>
          <w:highlight w:val="none"/>
          <w:lang w:val="zh-CN"/>
        </w:rPr>
        <w:t>财政部、发展改革委</w:t>
      </w:r>
      <w:r>
        <w:rPr>
          <w:rFonts w:hint="eastAsia" w:cs="仿宋_GB2312" w:asciiTheme="minorEastAsia" w:hAnsiTheme="minorEastAsia" w:eastAsiaTheme="minorEastAsia"/>
          <w:color w:val="auto"/>
          <w:sz w:val="21"/>
          <w:szCs w:val="21"/>
          <w:highlight w:val="none"/>
        </w:rPr>
        <w:t>《关于印发节能产品政府采购品目清单的通知》（财库[2019]19号）</w:t>
      </w:r>
      <w:r>
        <w:rPr>
          <w:rFonts w:hint="eastAsia"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rPr>
        <w:t>采购属于政府强</w:t>
      </w:r>
      <w:r>
        <w:rPr>
          <w:rFonts w:hint="eastAsia" w:cs="仿宋_GB2312" w:asciiTheme="minorEastAsia" w:hAnsiTheme="minorEastAsia" w:eastAsiaTheme="minorEastAsia"/>
          <w:color w:val="auto"/>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8"/>
        <w:spacing w:line="348" w:lineRule="auto"/>
        <w:ind w:firstLine="422" w:firstLineChars="200"/>
        <w:contextualSpacing/>
        <w:rPr>
          <w:rFonts w:cs="仿宋_GB2312" w:asciiTheme="minorEastAsia" w:hAnsi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hint="eastAsia" w:cs="仿宋_GB2312" w:asciiTheme="minorEastAsia" w:hAnsiTheme="minorEastAsia"/>
          <w:b/>
          <w:color w:val="auto"/>
          <w:sz w:val="21"/>
          <w:szCs w:val="21"/>
          <w:highlight w:val="none"/>
          <w:lang w:val="zh-CN"/>
        </w:rPr>
        <w:t>促进中小企业发展（不含民办非企业）</w:t>
      </w:r>
    </w:p>
    <w:p>
      <w:pPr>
        <w:topLinePunct/>
        <w:spacing w:line="348" w:lineRule="auto"/>
        <w:ind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（一）专门面向中小企业采购</w:t>
      </w:r>
    </w:p>
    <w:p>
      <w:pPr>
        <w:topLinePunct/>
        <w:spacing w:line="348" w:lineRule="auto"/>
        <w:ind w:firstLine="420" w:firstLineChars="200"/>
        <w:contextualSpacing/>
        <w:rPr>
          <w:rFonts w:hint="eastAsia"/>
          <w:color w:val="auto"/>
          <w:highlight w:val="none"/>
          <w:lang w:val="en-US" w:eastAsia="zh-CN"/>
        </w:rPr>
      </w:pPr>
      <w:r>
        <w:rPr>
          <w:rFonts w:hint="eastAsia" w:cs="仿宋_GB2312" w:asciiTheme="minorEastAsia" w:hAnsiTheme="minorEastAsia"/>
          <w:color w:val="auto"/>
          <w:szCs w:val="21"/>
          <w:highlight w:val="none"/>
          <w:lang w:val="zh-CN"/>
        </w:rPr>
        <w:t>（二）非专门面向中小企业采购</w:t>
      </w:r>
    </w:p>
    <w:p>
      <w:pPr>
        <w:topLinePunct/>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如非专门面向中小企业采购，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topLinePunct/>
        <w:spacing w:line="348" w:lineRule="auto"/>
        <w:ind w:firstLine="420" w:firstLineChars="200"/>
        <w:contextualSpacing/>
        <w:rPr>
          <w:rFonts w:ascii="ˎ̥" w:hAnsi="ˎ̥"/>
          <w:color w:val="auto"/>
          <w:highlight w:val="none"/>
        </w:rPr>
      </w:pPr>
      <w:r>
        <w:rPr>
          <w:rFonts w:hint="eastAsia" w:ascii="ˎ̥" w:hAnsi="ˎ̥"/>
          <w:color w:val="auto"/>
          <w:highlight w:val="none"/>
        </w:rPr>
        <w:t>2、</w:t>
      </w:r>
      <w:r>
        <w:rPr>
          <w:rFonts w:ascii="ˎ̥" w:hAnsi="ˎ̥"/>
          <w:color w:val="auto"/>
          <w:highlight w:val="none"/>
        </w:rPr>
        <w:t>在货物采购项目中，供应商提供的货物既有中小企业制造货物，也有大型企业制造货物的，不享受</w:t>
      </w:r>
      <w:r>
        <w:rPr>
          <w:rFonts w:hint="eastAsia" w:cs="仿宋_GB2312" w:asciiTheme="minorEastAsia" w:hAnsiTheme="minorEastAsia"/>
          <w:color w:val="auto"/>
          <w:szCs w:val="21"/>
          <w:highlight w:val="none"/>
          <w:lang w:val="zh-CN"/>
        </w:rPr>
        <w:t>《政府采购促进中小企业发展管理办法》（财库[2020]46号）</w:t>
      </w:r>
      <w:r>
        <w:rPr>
          <w:rFonts w:ascii="ˎ̥" w:hAnsi="ˎ̥"/>
          <w:color w:val="auto"/>
          <w:highlight w:val="none"/>
        </w:rPr>
        <w:t>规定的中小企业扶持政策。</w:t>
      </w:r>
    </w:p>
    <w:p>
      <w:pPr>
        <w:spacing w:line="348" w:lineRule="auto"/>
        <w:ind w:firstLine="420" w:firstLineChars="200"/>
        <w:contextualSpacing/>
        <w:rPr>
          <w:rFonts w:ascii="ˎ̥" w:hAnsi="ˎ̥"/>
          <w:color w:val="auto"/>
          <w:highlight w:val="none"/>
        </w:rPr>
      </w:pPr>
      <w:r>
        <w:rPr>
          <w:rFonts w:hint="eastAsia" w:ascii="ˎ̥" w:hAnsi="ˎ̥"/>
          <w:color w:val="auto"/>
          <w:highlight w:val="none"/>
        </w:rPr>
        <w:t>3、</w:t>
      </w:r>
      <w:r>
        <w:rPr>
          <w:rFonts w:ascii="ˎ̥" w:hAnsi="ˎ̥"/>
          <w:color w:val="auto"/>
          <w:highlight w:val="none"/>
        </w:rPr>
        <w:t>以联合体形式参加政府采购活动，联合体各方均为中小企业的，联合体视同中小企业。其中，联合体各方均为小微企业的，联合体视同小微企业。</w:t>
      </w:r>
    </w:p>
    <w:p>
      <w:pPr>
        <w:spacing w:line="348" w:lineRule="auto"/>
        <w:ind w:firstLine="420" w:firstLineChars="200"/>
        <w:contextualSpacing/>
        <w:rPr>
          <w:rFonts w:ascii="ˎ̥" w:hAnsi="ˎ̥"/>
          <w:color w:val="auto"/>
          <w:highlight w:val="none"/>
        </w:rPr>
      </w:pPr>
      <w:r>
        <w:rPr>
          <w:rFonts w:hint="eastAsia" w:ascii="ˎ̥" w:hAnsi="ˎ̥"/>
          <w:color w:val="auto"/>
          <w:highlight w:val="none"/>
        </w:rPr>
        <w:t>4、</w:t>
      </w:r>
      <w:r>
        <w:rPr>
          <w:rFonts w:ascii="ˎ̥" w:hAnsi="ˎ̥"/>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highlight w:val="none"/>
        </w:rPr>
        <w:t>4</w:t>
      </w:r>
      <w:r>
        <w:rPr>
          <w:rFonts w:ascii="ˎ̥" w:hAnsi="ˎ̥"/>
          <w:color w:val="auto"/>
          <w:highlight w:val="none"/>
        </w:rPr>
        <w:t>—</w:t>
      </w:r>
      <w:r>
        <w:rPr>
          <w:rFonts w:hint="eastAsia" w:ascii="ˎ̥" w:hAnsi="ˎ̥"/>
          <w:color w:val="auto"/>
          <w:highlight w:val="none"/>
        </w:rPr>
        <w:t>6</w:t>
      </w:r>
      <w:r>
        <w:rPr>
          <w:rFonts w:ascii="ˎ̥" w:hAnsi="ˎ̥"/>
          <w:color w:val="auto"/>
          <w:highlight w:val="none"/>
        </w:rPr>
        <w:t>%的扣除，用扣除后的价格参加评审。组成联合体或者接受分包的小微企业与联合体内其他企业、分包企业之间存在直接控股、管理关系的，不享受价格扣除优惠政策。</w:t>
      </w:r>
    </w:p>
    <w:p>
      <w:pPr>
        <w:topLinePunct/>
        <w:spacing w:line="348" w:lineRule="auto"/>
        <w:ind w:firstLine="420" w:firstLineChars="200"/>
        <w:contextualSpacing/>
        <w:rPr>
          <w:rFonts w:ascii="ˎ̥" w:hAnsi="ˎ̥"/>
          <w:color w:val="auto"/>
          <w:highlight w:val="none"/>
        </w:rPr>
      </w:pPr>
      <w:r>
        <w:rPr>
          <w:rFonts w:hint="eastAsia" w:ascii="ˎ̥" w:hAnsi="ˎ̥"/>
          <w:color w:val="auto"/>
          <w:highlight w:val="none"/>
        </w:rPr>
        <w:t>5、按照本次采购标的所属行业的划型标准，符合条件的中小企业应按照招标文件格式要求提供《中小企业声明函》，</w:t>
      </w:r>
      <w:r>
        <w:rPr>
          <w:rFonts w:ascii="ˎ̥" w:hAnsi="ˎ̥"/>
          <w:color w:val="auto"/>
          <w:highlight w:val="none"/>
        </w:rPr>
        <w:t>否则不得享受相关中小企业扶持政策。</w:t>
      </w:r>
    </w:p>
    <w:p>
      <w:pPr>
        <w:topLinePunct/>
        <w:spacing w:line="348"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三、支持监狱企业发展</w:t>
      </w:r>
    </w:p>
    <w:p>
      <w:pPr>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3" w:name="OLE_LINK6"/>
      <w:r>
        <w:rPr>
          <w:rFonts w:hint="eastAsia" w:cs="仿宋_GB2312" w:asciiTheme="minorEastAsia" w:hAnsiTheme="minorEastAsia"/>
          <w:color w:val="auto"/>
          <w:szCs w:val="21"/>
          <w:highlight w:val="none"/>
          <w:lang w:val="zh-CN"/>
        </w:rPr>
        <w:t>财库[2014]68号</w:t>
      </w:r>
      <w:bookmarkEnd w:id="3"/>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48"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四、促进残疾人就业</w:t>
      </w:r>
    </w:p>
    <w:p>
      <w:pPr>
        <w:pStyle w:val="18"/>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pPr>
        <w:pStyle w:val="18"/>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8"/>
        <w:spacing w:line="348"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3、中标人为残疾人福利性单位的，采购人应当随中标结果同时公告其《残疾人福利性单位声明函》，接受社会监督。</w:t>
      </w:r>
    </w:p>
    <w:p>
      <w:pPr>
        <w:spacing w:line="348"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五、支持脱贫攻坚（物业服务采购）</w:t>
      </w:r>
    </w:p>
    <w:p>
      <w:pPr>
        <w:topLinePunct/>
        <w:spacing w:line="348"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48" w:lineRule="auto"/>
        <w:ind w:firstLine="420" w:firstLineChars="200"/>
        <w:contextualSpacing/>
        <w:rPr>
          <w:rFonts w:cs="宋体" w:asciiTheme="majorEastAsia" w:hAnsiTheme="majorEastAsia" w:eastAsiaTheme="majorEastAsia"/>
          <w:b/>
          <w:color w:val="auto"/>
          <w:kern w:val="0"/>
          <w:sz w:val="36"/>
          <w:szCs w:val="36"/>
          <w:highlight w:val="none"/>
        </w:rPr>
      </w:pPr>
      <w:r>
        <w:rPr>
          <w:rFonts w:hint="eastAsia" w:cs="仿宋_GB2312" w:asciiTheme="minorEastAsia" w:hAnsiTheme="minorEastAsia"/>
          <w:color w:val="auto"/>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pStyle w:val="29"/>
        <w:rPr>
          <w:rFonts w:hint="eastAsia" w:cs="宋体" w:asciiTheme="majorEastAsia" w:hAnsiTheme="majorEastAsia" w:eastAsiaTheme="majorEastAsia"/>
          <w:b/>
          <w:color w:val="auto"/>
          <w:kern w:val="0"/>
          <w:sz w:val="32"/>
          <w:szCs w:val="32"/>
          <w:highlight w:val="none"/>
        </w:rPr>
      </w:pPr>
    </w:p>
    <w:p>
      <w:pPr>
        <w:rPr>
          <w:rFonts w:hint="eastAsia" w:cs="宋体" w:asciiTheme="majorEastAsia" w:hAnsiTheme="majorEastAsia" w:eastAsiaTheme="majorEastAsia"/>
          <w:b/>
          <w:color w:val="auto"/>
          <w:kern w:val="0"/>
          <w:sz w:val="32"/>
          <w:szCs w:val="32"/>
          <w:highlight w:val="none"/>
        </w:rPr>
      </w:pPr>
    </w:p>
    <w:p>
      <w:pPr>
        <w:pStyle w:val="29"/>
        <w:rPr>
          <w:rFonts w:hint="eastAsia" w:cs="宋体" w:asciiTheme="majorEastAsia" w:hAnsiTheme="majorEastAsia" w:eastAsiaTheme="majorEastAsia"/>
          <w:b/>
          <w:color w:val="auto"/>
          <w:kern w:val="0"/>
          <w:sz w:val="32"/>
          <w:szCs w:val="32"/>
          <w:highlight w:val="none"/>
        </w:rPr>
      </w:pPr>
    </w:p>
    <w:p>
      <w:pPr>
        <w:rPr>
          <w:rFonts w:hint="eastAsia" w:cs="宋体" w:asciiTheme="majorEastAsia" w:hAnsiTheme="majorEastAsia" w:eastAsiaTheme="majorEastAsia"/>
          <w:b/>
          <w:color w:val="auto"/>
          <w:kern w:val="0"/>
          <w:sz w:val="32"/>
          <w:szCs w:val="32"/>
          <w:highlight w:val="none"/>
        </w:rPr>
      </w:pPr>
    </w:p>
    <w:p>
      <w:pPr>
        <w:pStyle w:val="29"/>
        <w:rPr>
          <w:rFonts w:hint="eastAsia" w:cs="宋体" w:asciiTheme="majorEastAsia" w:hAnsiTheme="majorEastAsia" w:eastAsiaTheme="majorEastAsia"/>
          <w:b/>
          <w:color w:val="auto"/>
          <w:kern w:val="0"/>
          <w:sz w:val="32"/>
          <w:szCs w:val="32"/>
          <w:highlight w:val="none"/>
        </w:rPr>
      </w:pPr>
    </w:p>
    <w:p>
      <w:pPr>
        <w:rPr>
          <w:rFonts w:hint="eastAsia" w:cs="宋体" w:asciiTheme="majorEastAsia" w:hAnsiTheme="majorEastAsia" w:eastAsiaTheme="majorEastAsia"/>
          <w:b/>
          <w:color w:val="auto"/>
          <w:kern w:val="0"/>
          <w:sz w:val="32"/>
          <w:szCs w:val="32"/>
          <w:highlight w:val="none"/>
        </w:rPr>
      </w:pPr>
    </w:p>
    <w:p>
      <w:pPr>
        <w:pStyle w:val="2"/>
        <w:rPr>
          <w:rFonts w:hint="eastAsia"/>
          <w:color w:val="auto"/>
          <w:highlight w:val="none"/>
        </w:rPr>
      </w:pPr>
    </w:p>
    <w:p>
      <w:pPr>
        <w:pStyle w:val="29"/>
        <w:rPr>
          <w:rFonts w:hint="eastAsia" w:cs="宋体" w:asciiTheme="majorEastAsia" w:hAnsiTheme="majorEastAsia" w:eastAsiaTheme="majorEastAsia"/>
          <w:b/>
          <w:color w:val="auto"/>
          <w:kern w:val="0"/>
          <w:sz w:val="32"/>
          <w:szCs w:val="32"/>
          <w:highlight w:val="none"/>
        </w:rPr>
      </w:pPr>
    </w:p>
    <w:p>
      <w:pPr>
        <w:rPr>
          <w:rFonts w:hint="eastAsia"/>
          <w:color w:val="auto"/>
          <w:highlight w:val="none"/>
        </w:rPr>
      </w:pPr>
    </w:p>
    <w:p>
      <w:pPr>
        <w:tabs>
          <w:tab w:val="left" w:pos="1260"/>
        </w:tabs>
        <w:autoSpaceDE w:val="0"/>
        <w:autoSpaceDN w:val="0"/>
        <w:adjustRightInd w:val="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第六章   资格审查与评标</w:t>
      </w:r>
    </w:p>
    <w:p>
      <w:pPr>
        <w:pStyle w:val="18"/>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pStyle w:val="18"/>
        <w:spacing w:line="360" w:lineRule="auto"/>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（一）</w:t>
      </w:r>
      <w:r>
        <w:rPr>
          <w:rFonts w:ascii="宋体" w:hAnsi="宋体" w:cs="仿宋_GB2312"/>
          <w:color w:val="auto"/>
          <w:sz w:val="21"/>
          <w:szCs w:val="21"/>
          <w:highlight w:val="none"/>
          <w:lang w:val="zh-CN"/>
        </w:rPr>
        <w:t>开标结束后，</w:t>
      </w:r>
      <w:r>
        <w:rPr>
          <w:rFonts w:hint="eastAsia" w:ascii="宋体" w:hAnsi="宋体" w:cs="仿宋_GB2312"/>
          <w:color w:val="auto"/>
          <w:sz w:val="21"/>
          <w:szCs w:val="21"/>
          <w:highlight w:val="none"/>
          <w:lang w:val="zh-CN"/>
        </w:rPr>
        <w:t>采购人依法对投标人资格进行审查</w:t>
      </w:r>
      <w:r>
        <w:rPr>
          <w:rFonts w:ascii="宋体" w:hAnsi="宋体" w:cs="仿宋_GB2312"/>
          <w:color w:val="auto"/>
          <w:sz w:val="21"/>
          <w:szCs w:val="21"/>
          <w:highlight w:val="none"/>
          <w:lang w:val="zh-CN"/>
        </w:rPr>
        <w:t>。</w:t>
      </w:r>
    </w:p>
    <w:p>
      <w:pPr>
        <w:spacing w:line="360" w:lineRule="auto"/>
        <w:ind w:right="420" w:rightChars="200" w:firstLine="420" w:firstLineChars="200"/>
        <w:contextualSpacing/>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（三）资格审查中所涉及到的证书及材料，均须在电子投标文件中提供原件扫描件（或图片）。</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410"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资格审查因素</w:t>
            </w:r>
          </w:p>
        </w:tc>
        <w:tc>
          <w:tcPr>
            <w:tcW w:w="5954"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2410"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投标函</w:t>
            </w:r>
          </w:p>
        </w:tc>
        <w:tc>
          <w:tcPr>
            <w:tcW w:w="5954" w:type="dxa"/>
            <w:vAlign w:val="center"/>
          </w:tcPr>
          <w:p>
            <w:pPr>
              <w:spacing w:line="360" w:lineRule="auto"/>
              <w:rPr>
                <w:rFonts w:ascii="宋体" w:hAnsi="宋体" w:eastAsia="宋体" w:cs="宋体"/>
                <w:b/>
                <w:color w:val="auto"/>
                <w:szCs w:val="21"/>
                <w:highlight w:val="none"/>
              </w:rPr>
            </w:pPr>
            <w:r>
              <w:rPr>
                <w:rFonts w:hint="eastAsia" w:ascii="宋体" w:hAnsi="宋体" w:eastAsia="宋体" w:cs="宋体"/>
                <w:bCs/>
                <w:color w:val="auto"/>
                <w:szCs w:val="21"/>
                <w:highlight w:val="none"/>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2</w:t>
            </w:r>
          </w:p>
        </w:tc>
        <w:tc>
          <w:tcPr>
            <w:tcW w:w="2410" w:type="dxa"/>
            <w:vAlign w:val="center"/>
          </w:tcPr>
          <w:p>
            <w:pPr>
              <w:spacing w:line="360" w:lineRule="auto"/>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禹州</w:t>
            </w:r>
            <w:r>
              <w:rPr>
                <w:rFonts w:cs="宋体" w:asciiTheme="minorEastAsia" w:hAnsiTheme="minorEastAsia"/>
                <w:b/>
                <w:color w:val="auto"/>
                <w:szCs w:val="21"/>
                <w:highlight w:val="none"/>
                <w:lang w:val="zh-CN"/>
              </w:rPr>
              <w:t>市政府采购</w:t>
            </w:r>
          </w:p>
          <w:p>
            <w:pPr>
              <w:spacing w:line="360" w:lineRule="auto"/>
              <w:jc w:val="center"/>
              <w:rPr>
                <w:rFonts w:cs="宋体" w:asciiTheme="minorEastAsia" w:hAnsiTheme="minorEastAsia"/>
                <w:b/>
                <w:color w:val="auto"/>
                <w:szCs w:val="21"/>
                <w:highlight w:val="none"/>
                <w:lang w:val="zh-CN"/>
              </w:rPr>
            </w:pPr>
            <w:r>
              <w:rPr>
                <w:rFonts w:cs="宋体" w:asciiTheme="minorEastAsia" w:hAnsiTheme="minorEastAsia"/>
                <w:b/>
                <w:color w:val="auto"/>
                <w:szCs w:val="21"/>
                <w:highlight w:val="none"/>
                <w:lang w:val="zh-CN"/>
              </w:rPr>
              <w:t>供应商信用承诺函</w:t>
            </w:r>
          </w:p>
        </w:tc>
        <w:tc>
          <w:tcPr>
            <w:tcW w:w="5954" w:type="dxa"/>
            <w:vAlign w:val="center"/>
          </w:tcPr>
          <w:p>
            <w:pPr>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按照招标文件第八章3.</w:t>
            </w:r>
            <w:r>
              <w:rPr>
                <w:rFonts w:hint="eastAsia" w:cs="宋体" w:asciiTheme="minorEastAsia" w:hAnsiTheme="minorEastAsia"/>
                <w:bCs/>
                <w:color w:val="auto"/>
                <w:szCs w:val="21"/>
                <w:highlight w:val="none"/>
              </w:rPr>
              <w:t>4</w:t>
            </w:r>
            <w:r>
              <w:rPr>
                <w:rFonts w:hint="eastAsia" w:cs="宋体" w:asciiTheme="minorEastAsia" w:hAnsiTheme="minorEastAsia"/>
                <w:bCs/>
                <w:color w:val="auto"/>
                <w:szCs w:val="21"/>
                <w:highlight w:val="none"/>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bCs/>
                <w:color w:val="auto"/>
                <w:szCs w:val="21"/>
                <w:highlight w:val="none"/>
              </w:rPr>
              <w:t>中小企业</w:t>
            </w:r>
          </w:p>
        </w:tc>
        <w:tc>
          <w:tcPr>
            <w:tcW w:w="5954" w:type="dxa"/>
            <w:vAlign w:val="center"/>
          </w:tcPr>
          <w:p>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（1）中小</w:t>
            </w:r>
            <w:r>
              <w:rPr>
                <w:rFonts w:hint="eastAsia" w:asciiTheme="minorEastAsia" w:hAnsiTheme="minorEastAsia"/>
                <w:bCs/>
                <w:color w:val="auto"/>
                <w:szCs w:val="21"/>
                <w:highlight w:val="none"/>
                <w:lang w:eastAsia="zh-CN"/>
              </w:rPr>
              <w:t>型</w:t>
            </w:r>
            <w:r>
              <w:rPr>
                <w:rFonts w:hint="eastAsia" w:asciiTheme="minorEastAsia" w:hAnsiTheme="minorEastAsia"/>
                <w:bCs/>
                <w:color w:val="auto"/>
                <w:szCs w:val="21"/>
                <w:highlight w:val="none"/>
              </w:rPr>
              <w:t>企业出具《中小企业声明函》</w:t>
            </w:r>
          </w:p>
          <w:p>
            <w:pPr>
              <w:spacing w:line="360" w:lineRule="auto"/>
              <w:jc w:val="left"/>
              <w:rPr>
                <w:rFonts w:hint="eastAsia" w:asciiTheme="minorEastAsia" w:hAnsiTheme="minorEastAsia" w:eastAsiaTheme="minorEastAsia"/>
                <w:bCs/>
                <w:color w:val="auto"/>
                <w:szCs w:val="21"/>
                <w:highlight w:val="none"/>
                <w:lang w:eastAsia="zh-CN"/>
              </w:rPr>
            </w:pPr>
            <w:r>
              <w:rPr>
                <w:rFonts w:hint="eastAsia" w:asciiTheme="minorEastAsia" w:hAnsiTheme="minorEastAsia"/>
                <w:bCs/>
                <w:color w:val="auto"/>
                <w:szCs w:val="21"/>
                <w:highlight w:val="none"/>
              </w:rPr>
              <w:t>（2）残疾人福利性单位出具《残疾人福利企业声明函》</w:t>
            </w:r>
          </w:p>
          <w:p>
            <w:pPr>
              <w:spacing w:line="360" w:lineRule="auto"/>
              <w:jc w:val="left"/>
              <w:rPr>
                <w:rFonts w:hint="eastAsia" w:asciiTheme="minorEastAsia" w:hAnsiTheme="minorEastAsia"/>
                <w:bCs/>
                <w:color w:val="auto"/>
                <w:szCs w:val="21"/>
                <w:highlight w:val="none"/>
              </w:rPr>
            </w:pPr>
            <w:r>
              <w:rPr>
                <w:rFonts w:hint="eastAsia" w:asciiTheme="minorEastAsia" w:hAnsiTheme="minorEastAsia"/>
                <w:bCs/>
                <w:color w:val="auto"/>
                <w:szCs w:val="21"/>
                <w:highlight w:val="none"/>
                <w:lang w:val="en-US" w:eastAsia="zh-CN"/>
              </w:rPr>
              <w:t xml:space="preserve">（3）监狱企业提供由省级以上监狱管理局、戒毒管理局（含新 </w:t>
            </w:r>
          </w:p>
          <w:p>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lang w:val="en-US" w:eastAsia="zh-CN"/>
              </w:rPr>
              <w:t>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410" w:type="dxa"/>
            <w:vAlign w:val="center"/>
          </w:tcPr>
          <w:p>
            <w:pPr>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投标人须具备的特殊</w:t>
            </w:r>
          </w:p>
          <w:p>
            <w:pPr>
              <w:spacing w:line="360" w:lineRule="auto"/>
              <w:jc w:val="center"/>
              <w:rPr>
                <w:rFonts w:hint="eastAsia" w:asciiTheme="minorEastAsia" w:hAnsiTheme="minorEastAsia"/>
                <w:b/>
                <w:bCs/>
                <w:color w:val="auto"/>
                <w:szCs w:val="21"/>
                <w:highlight w:val="none"/>
              </w:rPr>
            </w:pPr>
            <w:r>
              <w:rPr>
                <w:rFonts w:hint="eastAsia" w:ascii="宋体" w:hAnsi="宋体" w:eastAsia="宋体" w:cs="Times New Roman"/>
                <w:b/>
                <w:color w:val="auto"/>
                <w:szCs w:val="21"/>
                <w:highlight w:val="none"/>
              </w:rPr>
              <w:t>资质证书</w:t>
            </w:r>
          </w:p>
        </w:tc>
        <w:tc>
          <w:tcPr>
            <w:tcW w:w="5954" w:type="dxa"/>
            <w:vAlign w:val="center"/>
          </w:tcPr>
          <w:p>
            <w:pPr>
              <w:spacing w:line="360" w:lineRule="auto"/>
              <w:jc w:val="left"/>
              <w:rPr>
                <w:rFonts w:hint="eastAsia" w:asciiTheme="minorEastAsia" w:hAnsiTheme="minorEastAsia"/>
                <w:bCs/>
                <w:color w:val="auto"/>
                <w:szCs w:val="21"/>
                <w:highlight w:val="none"/>
              </w:rPr>
            </w:pPr>
            <w:r>
              <w:rPr>
                <w:rFonts w:hint="eastAsia" w:asciiTheme="minorEastAsia" w:hAnsiTheme="minorEastAsia"/>
                <w:bCs/>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410"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w:t>
            </w:r>
            <w:r>
              <w:rPr>
                <w:rFonts w:hint="eastAsia" w:ascii="宋体" w:hAnsi="宋体" w:eastAsia="宋体" w:cs="宋体"/>
                <w:b/>
                <w:color w:val="auto"/>
                <w:szCs w:val="21"/>
                <w:highlight w:val="none"/>
                <w:lang w:val="zh-CN"/>
              </w:rPr>
              <w:t>报价</w:t>
            </w:r>
          </w:p>
        </w:tc>
        <w:tc>
          <w:tcPr>
            <w:tcW w:w="5954" w:type="dxa"/>
          </w:tcPr>
          <w:p>
            <w:pPr>
              <w:spacing w:line="360" w:lineRule="auto"/>
              <w:rPr>
                <w:rFonts w:ascii="宋体" w:hAnsi="宋体" w:eastAsia="宋体" w:cs="宋体"/>
                <w:b/>
                <w:bCs/>
                <w:color w:val="auto"/>
                <w:szCs w:val="21"/>
                <w:highlight w:val="none"/>
              </w:rPr>
            </w:pPr>
            <w:r>
              <w:rPr>
                <w:rFonts w:hint="eastAsia" w:ascii="宋体" w:hAnsi="宋体" w:eastAsia="宋体" w:cs="宋体"/>
                <w:color w:val="auto"/>
                <w:szCs w:val="21"/>
                <w:highlight w:val="none"/>
                <w:lang w:val="zh-CN"/>
              </w:rPr>
              <w:t>投标报价是否超出招标文件中规定的预算金额（最高限价），超出预算金额（最高限价）的投标无效。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6</w:t>
            </w:r>
          </w:p>
        </w:tc>
        <w:tc>
          <w:tcPr>
            <w:tcW w:w="2410"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b/>
                <w:color w:val="auto"/>
                <w:szCs w:val="21"/>
                <w:highlight w:val="none"/>
              </w:rPr>
              <w:t>投标承诺函</w:t>
            </w:r>
          </w:p>
        </w:tc>
        <w:tc>
          <w:tcPr>
            <w:tcW w:w="5954" w:type="dxa"/>
            <w:vAlign w:val="center"/>
          </w:tcPr>
          <w:p>
            <w:pPr>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7</w:t>
            </w:r>
          </w:p>
        </w:tc>
        <w:tc>
          <w:tcPr>
            <w:tcW w:w="2410"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联合体协议</w:t>
            </w:r>
          </w:p>
        </w:tc>
        <w:tc>
          <w:tcPr>
            <w:tcW w:w="5954" w:type="dxa"/>
          </w:tcPr>
          <w:p>
            <w:pPr>
              <w:spacing w:line="360" w:lineRule="auto"/>
              <w:rPr>
                <w:rFonts w:ascii="宋体" w:hAnsi="宋体" w:eastAsia="宋体" w:cs="宋体"/>
                <w:b/>
                <w:bCs/>
                <w:color w:val="auto"/>
                <w:szCs w:val="21"/>
                <w:highlight w:val="none"/>
              </w:rPr>
            </w:pPr>
            <w:r>
              <w:rPr>
                <w:rFonts w:hint="eastAsia" w:ascii="宋体" w:hAnsi="宋体" w:eastAsia="宋体" w:cs="宋体"/>
                <w:bCs/>
                <w:color w:val="auto"/>
                <w:szCs w:val="21"/>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8</w:t>
            </w:r>
          </w:p>
        </w:tc>
        <w:tc>
          <w:tcPr>
            <w:tcW w:w="2410"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投标人身份证明及授权</w:t>
            </w:r>
          </w:p>
        </w:tc>
        <w:tc>
          <w:tcPr>
            <w:tcW w:w="5954" w:type="dxa"/>
          </w:tcPr>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（1）法定代表人身份证明或提供法定代表人授权委托书及被授权人身份证明。（法人投标提供）</w:t>
            </w:r>
          </w:p>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（2）单位负责人身份证明或提供单位负责人授权委托书及被授权人身份证明。（非法人投标提供）</w:t>
            </w:r>
          </w:p>
          <w:p>
            <w:pPr>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注：</w:t>
            </w:r>
          </w:p>
          <w:p>
            <w:pPr>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cs="宋体"/>
                <w:b/>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宋体"/>
                <w:color w:val="auto"/>
                <w:kern w:val="0"/>
                <w:szCs w:val="21"/>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9</w:t>
            </w:r>
          </w:p>
        </w:tc>
        <w:tc>
          <w:tcPr>
            <w:tcW w:w="2410" w:type="dxa"/>
            <w:vAlign w:val="center"/>
          </w:tcPr>
          <w:p>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投标人提供与参加本项目投标的其他供应商之间，单位负责人不为同一人并且不存在直接控股、管理关系承诺函（承诺函格式自拟）。</w:t>
            </w:r>
          </w:p>
          <w:p>
            <w:pPr>
              <w:spacing w:line="360" w:lineRule="auto"/>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10</w:t>
            </w:r>
          </w:p>
        </w:tc>
        <w:tc>
          <w:tcPr>
            <w:tcW w:w="2410" w:type="dxa"/>
            <w:vAlign w:val="center"/>
          </w:tcPr>
          <w:p>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为本项目提供整体设计、规范编制或者项目管理、监理、检测等服务的供应商不得参加本项目投标</w:t>
            </w:r>
          </w:p>
        </w:tc>
        <w:tc>
          <w:tcPr>
            <w:tcW w:w="5954" w:type="dxa"/>
          </w:tcPr>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bookmarkStart w:id="4" w:name="baidusnap2"/>
            <w:bookmarkEnd w:id="4"/>
            <w:r>
              <w:rPr>
                <w:rFonts w:hint="eastAsia" w:ascii="宋体" w:hAnsi="宋体" w:eastAsia="宋体" w:cs="宋体"/>
                <w:color w:val="auto"/>
                <w:szCs w:val="21"/>
                <w:highlight w:val="none"/>
                <w:lang w:val="zh-CN"/>
              </w:rPr>
              <w:t>提供未为本项目提供整体设计、</w:t>
            </w:r>
            <w:bookmarkStart w:id="5" w:name="baidusnap9"/>
            <w:bookmarkEnd w:id="5"/>
            <w:r>
              <w:rPr>
                <w:rFonts w:hint="eastAsia" w:ascii="宋体" w:hAnsi="宋体" w:eastAsia="宋体" w:cs="宋体"/>
                <w:color w:val="auto"/>
                <w:szCs w:val="21"/>
                <w:highlight w:val="none"/>
                <w:lang w:val="zh-CN"/>
              </w:rPr>
              <w:t>规范编制或者项目管理、监理、检测等服务承诺函（承诺函格式自拟）。</w:t>
            </w:r>
          </w:p>
          <w:p>
            <w:pPr>
              <w:spacing w:line="360" w:lineRule="auto"/>
              <w:rPr>
                <w:rFonts w:ascii="宋体" w:hAnsi="宋体" w:eastAsia="宋体" w:cs="宋体"/>
                <w:bCs/>
                <w:color w:val="auto"/>
                <w:szCs w:val="21"/>
                <w:highlight w:val="none"/>
              </w:rPr>
            </w:pPr>
          </w:p>
        </w:tc>
      </w:tr>
    </w:tbl>
    <w:p>
      <w:pPr>
        <w:pStyle w:val="18"/>
        <w:spacing w:line="360" w:lineRule="auto"/>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二、评标</w:t>
      </w:r>
    </w:p>
    <w:p>
      <w:pPr>
        <w:pStyle w:val="18"/>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（一）评标方法</w:t>
      </w:r>
    </w:p>
    <w:p>
      <w:pPr>
        <w:pStyle w:val="18"/>
        <w:spacing w:line="360" w:lineRule="auto"/>
        <w:ind w:firstLine="420"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本项目采用综合评分法。总分为100分。</w:t>
      </w:r>
    </w:p>
    <w:p>
      <w:pPr>
        <w:pStyle w:val="18"/>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w:t>
      </w:r>
      <w:r>
        <w:rPr>
          <w:rFonts w:cs="仿宋_GB2312" w:asciiTheme="minorEastAsia" w:hAnsiTheme="minorEastAsia" w:eastAsiaTheme="minorEastAsia"/>
          <w:b/>
          <w:color w:val="auto"/>
          <w:sz w:val="21"/>
          <w:szCs w:val="21"/>
          <w:highlight w:val="none"/>
          <w:lang w:val="zh-CN"/>
        </w:rPr>
        <w:t>评标委员会负责具体评标事务，并独立履行下列职责</w:t>
      </w:r>
    </w:p>
    <w:p>
      <w:pPr>
        <w:pStyle w:val="18"/>
        <w:spacing w:line="360" w:lineRule="auto"/>
        <w:ind w:firstLine="422" w:firstLineChars="200"/>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1、审查、评价投标文件是否符合招标文件的商务、技术等实质性要求；</w:t>
      </w:r>
    </w:p>
    <w:p>
      <w:pPr>
        <w:pStyle w:val="18"/>
        <w:spacing w:line="360" w:lineRule="auto"/>
        <w:ind w:firstLine="420" w:firstLineChars="200"/>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评标委员会对符合资格的投标人的投标文件进行符合性审查，以确定其是否满足招标文件的商务、技术等实质性要求。</w:t>
      </w:r>
    </w:p>
    <w:p>
      <w:pPr>
        <w:pStyle w:val="18"/>
        <w:spacing w:line="360" w:lineRule="auto"/>
        <w:ind w:firstLine="420" w:firstLineChars="200"/>
        <w:contextualSpacing/>
        <w:jc w:val="left"/>
        <w:rPr>
          <w:rFonts w:hint="eastAsia" w:cs="仿宋_GB2312" w:asciiTheme="minorEastAsia" w:hAnsiTheme="minorEastAsia" w:eastAsiaTheme="minorEastAsia"/>
          <w:b/>
          <w:color w:val="auto"/>
          <w:sz w:val="21"/>
          <w:szCs w:val="21"/>
          <w:highlight w:val="none"/>
          <w:lang w:val="en-US" w:eastAsia="zh-CN"/>
        </w:rPr>
      </w:pPr>
      <w:r>
        <w:rPr>
          <w:rFonts w:hint="eastAsia" w:ascii="宋体" w:hAnsi="宋体" w:cs="宋体"/>
          <w:color w:val="auto"/>
          <w:sz w:val="21"/>
          <w:szCs w:val="21"/>
          <w:highlight w:val="none"/>
          <w:lang w:val="zh-CN"/>
        </w:rPr>
        <w:t>注：符合性审查中所涉及到的证书及材料，均应在电子投标文件中提供原件扫描件（或图片）。</w:t>
      </w:r>
    </w:p>
    <w:tbl>
      <w:tblPr>
        <w:tblStyle w:val="30"/>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2450"/>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789" w:type="dxa"/>
            <w:noWrap/>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450" w:type="dxa"/>
            <w:noWrap/>
            <w:vAlign w:val="center"/>
          </w:tcPr>
          <w:p>
            <w:pPr>
              <w:autoSpaceDE w:val="0"/>
              <w:autoSpaceDN w:val="0"/>
              <w:adjustRightInd w:val="0"/>
              <w:spacing w:line="400" w:lineRule="exact"/>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val="0"/>
                <w:bCs/>
                <w:color w:val="auto"/>
                <w:sz w:val="21"/>
                <w:szCs w:val="21"/>
                <w:highlight w:val="none"/>
                <w:lang w:val="en-US" w:eastAsia="zh-CN"/>
              </w:rPr>
              <w:t>符合性</w:t>
            </w:r>
            <w:r>
              <w:rPr>
                <w:rFonts w:hint="eastAsia" w:ascii="宋体" w:hAnsi="宋体" w:eastAsia="宋体" w:cs="宋体"/>
                <w:b w:val="0"/>
                <w:bCs/>
                <w:color w:val="auto"/>
                <w:kern w:val="0"/>
                <w:sz w:val="21"/>
                <w:szCs w:val="21"/>
                <w:highlight w:val="none"/>
              </w:rPr>
              <w:t>评审因素</w:t>
            </w:r>
          </w:p>
        </w:tc>
        <w:tc>
          <w:tcPr>
            <w:tcW w:w="4920" w:type="dxa"/>
            <w:noWrap/>
            <w:vAlign w:val="center"/>
          </w:tcPr>
          <w:p>
            <w:pPr>
              <w:autoSpaceDE w:val="0"/>
              <w:autoSpaceDN w:val="0"/>
              <w:adjustRightInd w:val="0"/>
              <w:spacing w:line="400" w:lineRule="exact"/>
              <w:ind w:left="38" w:leftChars="18"/>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789" w:type="dxa"/>
            <w:vMerge w:val="restart"/>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符合性审查标准</w:t>
            </w:r>
          </w:p>
        </w:tc>
        <w:tc>
          <w:tcPr>
            <w:tcW w:w="2450" w:type="dxa"/>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投标文件签署、盖章</w:t>
            </w:r>
          </w:p>
        </w:tc>
        <w:tc>
          <w:tcPr>
            <w:tcW w:w="4920" w:type="dxa"/>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投标文件按</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789" w:type="dxa"/>
            <w:vMerge w:val="continue"/>
            <w:noWrap/>
            <w:vAlign w:val="center"/>
          </w:tcPr>
          <w:p>
            <w:pPr>
              <w:widowControl/>
              <w:jc w:val="center"/>
              <w:rPr>
                <w:rFonts w:hint="eastAsia" w:ascii="宋体" w:hAnsi="宋体" w:eastAsia="宋体" w:cs="宋体"/>
                <w:color w:val="auto"/>
                <w:kern w:val="0"/>
                <w:sz w:val="21"/>
                <w:szCs w:val="21"/>
                <w:highlight w:val="none"/>
              </w:rPr>
            </w:pPr>
          </w:p>
        </w:tc>
        <w:tc>
          <w:tcPr>
            <w:tcW w:w="2450" w:type="dxa"/>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报价唯一</w:t>
            </w:r>
          </w:p>
        </w:tc>
        <w:tc>
          <w:tcPr>
            <w:tcW w:w="4920" w:type="dxa"/>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1789" w:type="dxa"/>
            <w:vMerge w:val="continue"/>
            <w:noWrap/>
            <w:vAlign w:val="center"/>
          </w:tcPr>
          <w:p>
            <w:pPr>
              <w:widowControl/>
              <w:jc w:val="center"/>
              <w:rPr>
                <w:rFonts w:hint="eastAsia" w:ascii="宋体" w:hAnsi="宋体" w:eastAsia="宋体" w:cs="宋体"/>
                <w:color w:val="auto"/>
                <w:kern w:val="0"/>
                <w:sz w:val="21"/>
                <w:szCs w:val="21"/>
                <w:highlight w:val="none"/>
                <w:lang w:val="en-US" w:eastAsia="zh-CN"/>
              </w:rPr>
            </w:pPr>
          </w:p>
        </w:tc>
        <w:tc>
          <w:tcPr>
            <w:tcW w:w="2450" w:type="dxa"/>
            <w:noWrap/>
            <w:vAlign w:val="center"/>
          </w:tcPr>
          <w:p>
            <w:pPr>
              <w:widowControl/>
              <w:jc w:val="center"/>
              <w:rPr>
                <w:rFonts w:hint="eastAsia" w:ascii="宋体" w:hAnsi="宋体" w:eastAsia="宋体" w:cs="宋体"/>
                <w:color w:val="auto"/>
                <w:kern w:val="0"/>
                <w:sz w:val="21"/>
                <w:szCs w:val="21"/>
                <w:highlight w:val="none"/>
              </w:rPr>
            </w:pPr>
            <w:r>
              <w:rPr>
                <w:rFonts w:hint="eastAsia" w:hAnsi="宋体"/>
                <w:color w:val="auto"/>
                <w:szCs w:val="21"/>
                <w:highlight w:val="none"/>
              </w:rPr>
              <w:t>合同履行期限</w:t>
            </w:r>
          </w:p>
        </w:tc>
        <w:tc>
          <w:tcPr>
            <w:tcW w:w="4920" w:type="dxa"/>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789" w:type="dxa"/>
            <w:vMerge w:val="continue"/>
            <w:noWrap/>
            <w:vAlign w:val="center"/>
          </w:tcPr>
          <w:p>
            <w:pPr>
              <w:widowControl/>
              <w:jc w:val="center"/>
              <w:rPr>
                <w:rFonts w:hint="eastAsia" w:ascii="宋体" w:hAnsi="宋体" w:eastAsia="宋体" w:cs="宋体"/>
                <w:color w:val="auto"/>
                <w:kern w:val="0"/>
                <w:sz w:val="21"/>
                <w:szCs w:val="21"/>
                <w:highlight w:val="none"/>
              </w:rPr>
            </w:pPr>
          </w:p>
        </w:tc>
        <w:tc>
          <w:tcPr>
            <w:tcW w:w="2450" w:type="dxa"/>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质量标准</w:t>
            </w:r>
          </w:p>
        </w:tc>
        <w:tc>
          <w:tcPr>
            <w:tcW w:w="4920" w:type="dxa"/>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89" w:type="dxa"/>
            <w:vMerge w:val="continue"/>
            <w:noWrap/>
            <w:vAlign w:val="center"/>
          </w:tcPr>
          <w:p>
            <w:pPr>
              <w:widowControl/>
              <w:jc w:val="center"/>
              <w:rPr>
                <w:rFonts w:hint="eastAsia" w:ascii="宋体" w:hAnsi="宋体" w:eastAsia="宋体" w:cs="宋体"/>
                <w:color w:val="auto"/>
                <w:kern w:val="0"/>
                <w:sz w:val="21"/>
                <w:szCs w:val="21"/>
                <w:highlight w:val="none"/>
              </w:rPr>
            </w:pPr>
          </w:p>
        </w:tc>
        <w:tc>
          <w:tcPr>
            <w:tcW w:w="2450" w:type="dxa"/>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投标有效期</w:t>
            </w:r>
          </w:p>
        </w:tc>
        <w:tc>
          <w:tcPr>
            <w:tcW w:w="4920" w:type="dxa"/>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89" w:type="dxa"/>
            <w:vMerge w:val="continue"/>
            <w:noWrap/>
            <w:vAlign w:val="center"/>
          </w:tcPr>
          <w:p>
            <w:pPr>
              <w:widowControl/>
              <w:jc w:val="center"/>
              <w:rPr>
                <w:rFonts w:hint="eastAsia" w:ascii="宋体" w:hAnsi="宋体" w:eastAsia="宋体" w:cs="宋体"/>
                <w:color w:val="auto"/>
                <w:kern w:val="0"/>
                <w:sz w:val="21"/>
                <w:szCs w:val="21"/>
                <w:highlight w:val="none"/>
              </w:rPr>
            </w:pPr>
          </w:p>
        </w:tc>
        <w:tc>
          <w:tcPr>
            <w:tcW w:w="2450" w:type="dxa"/>
            <w:noWrap/>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其他符合性审查标准</w:t>
            </w:r>
          </w:p>
        </w:tc>
        <w:tc>
          <w:tcPr>
            <w:tcW w:w="4920" w:type="dxa"/>
            <w:noWrap/>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符合</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文件规定</w:t>
            </w:r>
          </w:p>
        </w:tc>
      </w:tr>
    </w:tbl>
    <w:p>
      <w:pPr>
        <w:pStyle w:val="18"/>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2、要求投标人对投标文件有关事项作出澄清或者说明；</w:t>
      </w:r>
    </w:p>
    <w:p>
      <w:pPr>
        <w:pStyle w:val="18"/>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对于投标文件中含义不明确、同类问题表述不一致或者有明显文字和计算错误的内容，评标委员会应当以书面形式要求投标人作出必要的澄清、说明或者补正。</w:t>
      </w:r>
    </w:p>
    <w:p>
      <w:pPr>
        <w:pStyle w:val="18"/>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8"/>
        <w:spacing w:line="360" w:lineRule="auto"/>
        <w:ind w:firstLine="465"/>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3、对投标文件进行比较和评价；</w:t>
      </w:r>
    </w:p>
    <w:p>
      <w:pPr>
        <w:pStyle w:val="18"/>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8"/>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注：评标标准中所涉及到的证书及材料，均应在电子投标文件中提供原件扫描件（或图片）。</w:t>
      </w:r>
    </w:p>
    <w:p>
      <w:pPr>
        <w:pStyle w:val="18"/>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（1）价格分计算</w:t>
      </w:r>
    </w:p>
    <w:p>
      <w:pPr>
        <w:pStyle w:val="18"/>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tabs>
          <w:tab w:val="left" w:pos="1260"/>
        </w:tabs>
        <w:autoSpaceDE w:val="0"/>
        <w:autoSpaceDN w:val="0"/>
        <w:spacing w:line="360" w:lineRule="auto"/>
        <w:ind w:firstLine="422" w:firstLineChars="200"/>
        <w:contextualSpacing/>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lang w:val="zh-CN"/>
        </w:rPr>
        <w:t>）投标无效情形</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e.不同投标人的投标文件相互混装；</w:t>
      </w:r>
    </w:p>
    <w:p>
      <w:pPr>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5）法律、法规和招标文件规定的其他无效情形。</w:t>
      </w:r>
    </w:p>
    <w:p>
      <w:pPr>
        <w:pStyle w:val="18"/>
        <w:spacing w:line="360" w:lineRule="auto"/>
        <w:ind w:firstLine="422" w:firstLineChars="200"/>
        <w:contextualSpacing/>
        <w:rPr>
          <w:rFonts w:hint="eastAsia"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w:t>
      </w:r>
      <w:r>
        <w:rPr>
          <w:rFonts w:hint="eastAsia" w:cs="仿宋_GB2312" w:asciiTheme="minorEastAsia" w:hAnsiTheme="minorEastAsia" w:eastAsiaTheme="minorEastAsia"/>
          <w:b/>
          <w:color w:val="auto"/>
          <w:sz w:val="21"/>
          <w:szCs w:val="21"/>
          <w:highlight w:val="none"/>
          <w:lang w:val="en-US" w:eastAsia="zh-CN"/>
        </w:rPr>
        <w:t>3</w:t>
      </w:r>
      <w:r>
        <w:rPr>
          <w:rFonts w:hint="eastAsia" w:cs="仿宋_GB2312" w:asciiTheme="minorEastAsia" w:hAnsiTheme="minorEastAsia" w:eastAsiaTheme="minorEastAsia"/>
          <w:b/>
          <w:color w:val="auto"/>
          <w:sz w:val="21"/>
          <w:szCs w:val="21"/>
          <w:highlight w:val="none"/>
          <w:lang w:val="zh-CN"/>
        </w:rPr>
        <w:t>）评标标准</w:t>
      </w:r>
    </w:p>
    <w:tbl>
      <w:tblPr>
        <w:tblStyle w:val="3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分值构成</w:t>
            </w:r>
          </w:p>
          <w:p>
            <w:pPr>
              <w:tabs>
                <w:tab w:val="left" w:pos="1260"/>
              </w:tabs>
              <w:autoSpaceDE w:val="0"/>
              <w:autoSpaceDN w:val="0"/>
              <w:spacing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(总分100分)</w:t>
            </w:r>
          </w:p>
        </w:tc>
        <w:tc>
          <w:tcPr>
            <w:tcW w:w="7618"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价格得分：</w:t>
            </w:r>
            <w:r>
              <w:rPr>
                <w:rFonts w:hint="eastAsia" w:ascii="宋体" w:hAnsi="宋体" w:eastAsia="宋体" w:cs="宋体"/>
                <w:color w:val="auto"/>
                <w:szCs w:val="21"/>
                <w:highlight w:val="none"/>
                <w:lang w:val="en-US" w:eastAsia="zh-CN"/>
              </w:rPr>
              <w:t>2</w:t>
            </w:r>
            <w:r>
              <w:rPr>
                <w:rFonts w:ascii="宋体" w:hAnsi="宋体" w:eastAsia="宋体" w:cs="宋体"/>
                <w:color w:val="auto"/>
                <w:szCs w:val="21"/>
                <w:highlight w:val="none"/>
                <w:lang w:val="zh-CN"/>
              </w:rPr>
              <w:t>0分</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商务部分：</w:t>
            </w: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lang w:val="zh-CN"/>
              </w:rPr>
              <w:t>分</w:t>
            </w:r>
          </w:p>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技术部分：</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一、价格得分（满分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30" w:lineRule="atLeast"/>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投标报价</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评分标准</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投标报价得分采用低价优先法计算，即满足招标文件要求且投标价格最低的投标报价为评标基准价，其价格分为满分。其他投标人的价格分统一按照下列公式计算：投标报价得分=（评标基准价/投标报价）×</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计算按四舍五入法则,保留小数点后两位。</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二、商务部分（满分</w:t>
            </w: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30" w:lineRule="atLeast"/>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业绩</w:t>
            </w: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GB"/>
              </w:rPr>
              <w:t>供应商</w:t>
            </w:r>
            <w:r>
              <w:rPr>
                <w:rFonts w:hint="eastAsia" w:ascii="宋体" w:hAnsi="宋体" w:eastAsia="宋体" w:cs="宋体"/>
                <w:color w:val="auto"/>
                <w:szCs w:val="21"/>
                <w:highlight w:val="none"/>
                <w:lang w:val="en-GB" w:eastAsia="zh-CN"/>
              </w:rPr>
              <w:t>自</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zh-CN"/>
              </w:rPr>
              <w:t>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val="zh-CN"/>
              </w:rPr>
              <w:t>年1月1日以来（以合同签订时间为准），具有类似项目业绩</w:t>
            </w:r>
            <w:r>
              <w:rPr>
                <w:rFonts w:hint="eastAsia" w:ascii="宋体" w:hAnsi="宋体" w:eastAsia="宋体" w:cs="宋体"/>
                <w:color w:val="auto"/>
                <w:szCs w:val="21"/>
                <w:highlight w:val="none"/>
                <w:lang w:val="zh-CN" w:eastAsia="zh-CN"/>
              </w:rPr>
              <w:t>的</w:t>
            </w:r>
            <w:r>
              <w:rPr>
                <w:rFonts w:hint="eastAsia" w:ascii="宋体" w:hAnsi="宋体" w:eastAsia="宋体" w:cs="宋体"/>
                <w:color w:val="auto"/>
                <w:szCs w:val="21"/>
                <w:highlight w:val="none"/>
                <w:lang w:val="en-US" w:eastAsia="zh-CN"/>
              </w:rPr>
              <w:t>每个得6</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lang w:val="zh-CN" w:eastAsia="zh-CN"/>
              </w:rPr>
              <w:t>最高得</w:t>
            </w:r>
            <w:r>
              <w:rPr>
                <w:rFonts w:hint="eastAsia" w:ascii="宋体" w:hAnsi="宋体" w:eastAsia="宋体" w:cs="宋体"/>
                <w:color w:val="auto"/>
                <w:szCs w:val="21"/>
                <w:highlight w:val="none"/>
                <w:lang w:val="en-US" w:eastAsia="zh-CN"/>
              </w:rPr>
              <w:t>18分，</w:t>
            </w:r>
            <w:r>
              <w:rPr>
                <w:rFonts w:hint="eastAsia" w:ascii="宋体" w:hAnsi="宋体" w:eastAsia="宋体" w:cs="宋体"/>
                <w:color w:val="auto"/>
                <w:szCs w:val="21"/>
                <w:highlight w:val="none"/>
                <w:lang w:val="zh-CN"/>
              </w:rPr>
              <w:t>不提供者为0分。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注：提供合同</w:t>
            </w:r>
            <w:r>
              <w:rPr>
                <w:rFonts w:hint="eastAsia" w:ascii="宋体" w:hAnsi="宋体" w:eastAsia="宋体" w:cs="宋体"/>
                <w:color w:val="auto"/>
                <w:szCs w:val="21"/>
                <w:highlight w:val="none"/>
                <w:lang w:val="en-US" w:eastAsia="zh-CN"/>
              </w:rPr>
              <w:t>及中标通知书</w:t>
            </w:r>
            <w:r>
              <w:rPr>
                <w:rFonts w:hint="eastAsia" w:ascii="宋体" w:hAnsi="宋体" w:eastAsia="宋体" w:cs="宋体"/>
                <w:color w:val="auto"/>
                <w:szCs w:val="21"/>
                <w:highlight w:val="none"/>
                <w:lang w:val="zh-CN"/>
              </w:rPr>
              <w:t>原件扫描件。</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人员</w:t>
            </w: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拟派项目负责人具有</w:t>
            </w:r>
            <w:r>
              <w:rPr>
                <w:rFonts w:hint="eastAsia" w:ascii="宋体" w:hAnsi="宋体" w:eastAsia="宋体" w:cs="宋体"/>
                <w:color w:val="auto"/>
                <w:szCs w:val="21"/>
                <w:highlight w:val="none"/>
                <w:lang w:val="en-US" w:eastAsia="zh-CN"/>
              </w:rPr>
              <w:t>环境类</w:t>
            </w:r>
            <w:r>
              <w:rPr>
                <w:rFonts w:hint="eastAsia" w:ascii="宋体" w:hAnsi="宋体" w:eastAsia="宋体" w:cs="宋体"/>
                <w:color w:val="auto"/>
                <w:szCs w:val="21"/>
                <w:highlight w:val="none"/>
                <w:lang w:val="zh-CN" w:eastAsia="zh-CN"/>
              </w:rPr>
              <w:t>中级及以上职称的，</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lang w:val="zh-CN" w:eastAsia="zh-CN"/>
              </w:rPr>
              <w:t>具有中国环境监测总站组织的环境空气自动监测运维人员合格证的，得</w:t>
            </w:r>
            <w:r>
              <w:rPr>
                <w:rFonts w:hint="eastAsia" w:ascii="宋体" w:hAnsi="宋体" w:eastAsia="宋体" w:cs="宋体"/>
                <w:color w:val="auto"/>
                <w:szCs w:val="21"/>
                <w:highlight w:val="none"/>
                <w:lang w:val="en-US" w:eastAsia="zh-CN"/>
              </w:rPr>
              <w:t>5分。</w:t>
            </w:r>
          </w:p>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拟派运维人员（不含项目负责人）具有中国环境监测总站组织的环境空气自动监测运维人员合格证的，有一名得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eastAsia="zh-CN"/>
              </w:rPr>
              <w:t>分，最高得</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eastAsia="zh-CN"/>
              </w:rPr>
              <w:t>分</w:t>
            </w:r>
            <w:r>
              <w:rPr>
                <w:rFonts w:hint="eastAsia" w:ascii="宋体" w:hAnsi="宋体" w:eastAsia="宋体" w:cs="宋体"/>
                <w:color w:val="auto"/>
                <w:szCs w:val="21"/>
                <w:highlight w:val="none"/>
                <w:lang w:val="zh-CN"/>
              </w:rPr>
              <w:t>。</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三、技术部分（满分</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评分因素</w:t>
            </w:r>
          </w:p>
        </w:tc>
        <w:tc>
          <w:tcPr>
            <w:tcW w:w="6662"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30" w:lineRule="atLeast"/>
              <w:contextualSpacing/>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68"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质量保障措施</w:t>
            </w: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投标人按照《环境空气质量自动监测技术规范》要求，建立完善的质量保证和质量控制体系，制定完善的针对每个监测指标的质控措施，符合采购需求，高效保证运维质量的</w:t>
            </w:r>
            <w:r>
              <w:rPr>
                <w:rFonts w:hint="eastAsia" w:ascii="宋体" w:hAnsi="宋体" w:eastAsia="宋体" w:cs="宋体"/>
                <w:color w:val="auto"/>
                <w:szCs w:val="21"/>
                <w:highlight w:val="none"/>
                <w:lang w:val="en-US" w:eastAsia="zh-CN"/>
              </w:rPr>
              <w:t>措施</w:t>
            </w:r>
            <w:r>
              <w:rPr>
                <w:rFonts w:hint="default" w:ascii="宋体" w:hAnsi="宋体" w:eastAsia="宋体" w:cs="宋体"/>
                <w:color w:val="auto"/>
                <w:szCs w:val="21"/>
                <w:highlight w:val="none"/>
                <w:lang w:val="en-US" w:eastAsia="zh-CN"/>
              </w:rPr>
              <w:t>得</w:t>
            </w:r>
            <w:r>
              <w:rPr>
                <w:rFonts w:hint="eastAsia" w:ascii="宋体" w:hAnsi="宋体" w:eastAsia="宋体" w:cs="宋体"/>
                <w:color w:val="auto"/>
                <w:szCs w:val="21"/>
                <w:highlight w:val="none"/>
                <w:lang w:val="en-US" w:eastAsia="zh-CN"/>
              </w:rPr>
              <w:t>9</w:t>
            </w:r>
            <w:r>
              <w:rPr>
                <w:rFonts w:hint="default"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en-US" w:eastAsia="zh-CN"/>
              </w:rPr>
              <w:t>，措施一般或不全的得6.3分，无措施0分。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68" w:type="dxa"/>
            <w:tcBorders>
              <w:top w:val="single" w:color="auto" w:sz="4" w:space="0"/>
              <w:left w:val="single" w:color="auto" w:sz="4" w:space="0"/>
              <w:right w:val="single" w:color="auto" w:sz="4" w:space="0"/>
            </w:tcBorders>
            <w:vAlign w:val="center"/>
          </w:tcPr>
          <w:p>
            <w:pPr>
              <w:pStyle w:val="18"/>
              <w:shd w:val="clear"/>
              <w:spacing w:line="360" w:lineRule="auto"/>
              <w:contextualSpacing/>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突发事件</w:t>
            </w:r>
            <w:r>
              <w:rPr>
                <w:rFonts w:hint="eastAsia" w:ascii="宋体" w:hAnsi="宋体" w:cs="宋体"/>
                <w:color w:val="auto"/>
                <w:kern w:val="2"/>
                <w:sz w:val="21"/>
                <w:szCs w:val="21"/>
                <w:highlight w:val="none"/>
                <w:lang w:val="zh-CN" w:eastAsia="zh-CN" w:bidi="ar-SA"/>
              </w:rPr>
              <w:t>应急</w:t>
            </w:r>
            <w:r>
              <w:rPr>
                <w:rFonts w:hint="eastAsia" w:ascii="宋体" w:hAnsi="宋体" w:eastAsia="宋体" w:cs="宋体"/>
                <w:color w:val="auto"/>
                <w:kern w:val="2"/>
                <w:sz w:val="21"/>
                <w:szCs w:val="21"/>
                <w:highlight w:val="none"/>
                <w:lang w:val="zh-CN" w:eastAsia="zh-CN" w:bidi="ar-SA"/>
              </w:rPr>
              <w:t>预案</w:t>
            </w:r>
          </w:p>
        </w:tc>
        <w:tc>
          <w:tcPr>
            <w:tcW w:w="6662" w:type="dxa"/>
            <w:tcBorders>
              <w:top w:val="single" w:color="auto" w:sz="4" w:space="0"/>
              <w:left w:val="nil"/>
              <w:bottom w:val="single" w:color="auto" w:sz="4" w:space="0"/>
              <w:right w:val="single" w:color="auto" w:sz="4" w:space="0"/>
            </w:tcBorders>
            <w:shd w:val="clear" w:color="auto" w:fill="auto"/>
            <w:vAlign w:val="center"/>
          </w:tcPr>
          <w:p>
            <w:pPr>
              <w:pStyle w:val="18"/>
              <w:shd w:val="clear"/>
              <w:spacing w:line="360" w:lineRule="auto"/>
              <w:ind w:firstLine="420" w:firstLineChars="200"/>
              <w:contextualSpacing/>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根据投标人提供的应急预案（含应急分类、判别与处置），对运维期间如出现严重影响系统运行和数据质量的重大问题时，是否具备有效的预防和补救措施，并制定了异常数据监控制度和处理处置方法。对应急工作进行了合理规划并制定可行计划，同时列出各种应急情景、发现应急情况的方法、应急措施及解决方案，系统地阐述判断和解决方法，制定完善的工作流程，能完全满足采购需求，能较好应对可能的突发情况的</w:t>
            </w:r>
            <w:r>
              <w:rPr>
                <w:rFonts w:hint="eastAsia" w:ascii="宋体" w:hAnsi="宋体" w:cs="宋体"/>
                <w:color w:val="auto"/>
                <w:kern w:val="2"/>
                <w:sz w:val="21"/>
                <w:szCs w:val="21"/>
                <w:highlight w:val="none"/>
                <w:lang w:val="zh-CN" w:eastAsia="zh-CN" w:bidi="ar-SA"/>
              </w:rPr>
              <w:t>得</w:t>
            </w:r>
            <w:r>
              <w:rPr>
                <w:rFonts w:hint="eastAsia" w:ascii="宋体" w:hAnsi="宋体" w:cs="宋体"/>
                <w:color w:val="auto"/>
                <w:kern w:val="2"/>
                <w:sz w:val="21"/>
                <w:szCs w:val="21"/>
                <w:highlight w:val="none"/>
                <w:lang w:val="en-US" w:eastAsia="zh-CN" w:bidi="ar-SA"/>
              </w:rPr>
              <w:t>9分，预案一般或不全的得6.3分，无预案0分。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668" w:type="dxa"/>
            <w:tcBorders>
              <w:top w:val="single" w:color="auto" w:sz="4" w:space="0"/>
              <w:left w:val="single" w:color="auto" w:sz="4" w:space="0"/>
              <w:right w:val="single" w:color="auto" w:sz="4" w:space="0"/>
            </w:tcBorders>
            <w:vAlign w:val="center"/>
          </w:tcPr>
          <w:p>
            <w:pPr>
              <w:pStyle w:val="18"/>
              <w:shd w:val="clear"/>
              <w:spacing w:line="360" w:lineRule="auto"/>
              <w:contextualSpacing/>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监测设备标准化操作规程</w:t>
            </w:r>
          </w:p>
        </w:tc>
        <w:tc>
          <w:tcPr>
            <w:tcW w:w="6662" w:type="dxa"/>
            <w:tcBorders>
              <w:top w:val="single" w:color="auto" w:sz="4" w:space="0"/>
              <w:left w:val="nil"/>
              <w:bottom w:val="single" w:color="auto" w:sz="4" w:space="0"/>
              <w:right w:val="single" w:color="auto" w:sz="4" w:space="0"/>
            </w:tcBorders>
            <w:shd w:val="clear" w:color="auto" w:fill="auto"/>
            <w:vAlign w:val="center"/>
          </w:tcPr>
          <w:p>
            <w:pPr>
              <w:pStyle w:val="18"/>
              <w:shd w:val="clear"/>
              <w:spacing w:line="360" w:lineRule="auto"/>
              <w:ind w:firstLine="420" w:firstLineChars="200"/>
              <w:contextualSpacing/>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依据本项目采购需求的各种运维工作，针对拟运维空气站内主要设备编制了全面详细的、可操作性强的监测设备标准化操作规程</w:t>
            </w:r>
            <w:r>
              <w:rPr>
                <w:rFonts w:hint="eastAsia" w:ascii="宋体" w:hAnsi="宋体" w:cs="宋体"/>
                <w:color w:val="auto"/>
                <w:kern w:val="2"/>
                <w:sz w:val="21"/>
                <w:szCs w:val="21"/>
                <w:highlight w:val="none"/>
                <w:lang w:val="zh-CN" w:eastAsia="zh-CN" w:bidi="ar-SA"/>
              </w:rPr>
              <w:t>的</w:t>
            </w:r>
            <w:r>
              <w:rPr>
                <w:rFonts w:hint="eastAsia" w:ascii="宋体" w:hAnsi="宋体" w:eastAsia="宋体" w:cs="宋体"/>
                <w:color w:val="auto"/>
                <w:kern w:val="2"/>
                <w:sz w:val="21"/>
                <w:szCs w:val="21"/>
                <w:highlight w:val="none"/>
                <w:lang w:val="zh-CN" w:eastAsia="zh-CN" w:bidi="ar-SA"/>
              </w:rPr>
              <w:t>得</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zh-CN" w:eastAsia="zh-CN" w:bidi="ar-SA"/>
              </w:rPr>
              <w:t>分</w:t>
            </w:r>
            <w:r>
              <w:rPr>
                <w:rFonts w:hint="eastAsia" w:ascii="宋体" w:hAnsi="宋体" w:cs="宋体"/>
                <w:color w:val="auto"/>
                <w:kern w:val="2"/>
                <w:sz w:val="21"/>
                <w:szCs w:val="21"/>
                <w:highlight w:val="none"/>
                <w:lang w:val="zh-CN" w:eastAsia="zh-CN" w:bidi="ar-SA"/>
              </w:rPr>
              <w:t>，操作规程一般或操作性不强的得</w:t>
            </w:r>
            <w:r>
              <w:rPr>
                <w:rFonts w:hint="eastAsia" w:ascii="宋体" w:hAnsi="宋体" w:cs="宋体"/>
                <w:color w:val="auto"/>
                <w:kern w:val="2"/>
                <w:sz w:val="21"/>
                <w:szCs w:val="21"/>
                <w:highlight w:val="none"/>
                <w:lang w:val="en-US" w:eastAsia="zh-CN" w:bidi="ar-SA"/>
              </w:rPr>
              <w:t>6.3分，无操作规程0分。</w:t>
            </w:r>
            <w:r>
              <w:rPr>
                <w:rFonts w:hint="eastAsia" w:ascii="宋体" w:hAnsi="宋体" w:eastAsia="宋体" w:cs="宋体"/>
                <w:color w:val="auto"/>
                <w:kern w:val="2"/>
                <w:sz w:val="21"/>
                <w:szCs w:val="21"/>
                <w:highlight w:val="none"/>
                <w:lang w:val="zh-CN" w:eastAsia="zh-CN" w:bidi="ar-SA"/>
              </w:rPr>
              <w:t xml:space="preserve"> </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668" w:type="dxa"/>
            <w:tcBorders>
              <w:left w:val="single" w:color="auto" w:sz="4" w:space="0"/>
              <w:right w:val="single" w:color="auto" w:sz="4" w:space="0"/>
            </w:tcBorders>
            <w:vAlign w:val="center"/>
          </w:tcPr>
          <w:p>
            <w:pPr>
              <w:tabs>
                <w:tab w:val="left" w:pos="1260"/>
              </w:tabs>
              <w:autoSpaceDE w:val="0"/>
              <w:autoSpaceDN w:val="0"/>
              <w:spacing w:line="360" w:lineRule="auto"/>
              <w:contextualSpacing/>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运维方案</w:t>
            </w: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ind w:firstLine="420" w:firstLineChars="20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投标人根据运维区域、站点情况制定运维方案，包括设备性能、运维任务判别、运维计划、运维安全保障等编制方案，运维方案完整齐全的得</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eastAsia="zh-CN"/>
              </w:rPr>
              <w:t>分，方</w:t>
            </w:r>
            <w:r>
              <w:rPr>
                <w:rFonts w:hint="eastAsia" w:ascii="宋体" w:hAnsi="宋体" w:cs="宋体"/>
                <w:color w:val="auto"/>
                <w:kern w:val="2"/>
                <w:sz w:val="21"/>
                <w:szCs w:val="21"/>
                <w:highlight w:val="none"/>
                <w:lang w:val="en-US" w:eastAsia="zh-CN" w:bidi="ar-SA"/>
              </w:rPr>
              <w:t>案一般或不全的6.3分，无方案0分</w:t>
            </w:r>
            <w:r>
              <w:rPr>
                <w:rFonts w:hint="eastAsia" w:ascii="宋体" w:hAnsi="宋体" w:eastAsia="宋体" w:cs="宋体"/>
                <w:color w:val="auto"/>
                <w:szCs w:val="21"/>
                <w:highlight w:val="none"/>
                <w:lang w:val="zh-CN" w:eastAsia="zh-CN"/>
              </w:rPr>
              <w:t>。</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668" w:type="dxa"/>
            <w:tcBorders>
              <w:left w:val="single" w:color="auto" w:sz="4" w:space="0"/>
              <w:right w:val="single" w:color="auto" w:sz="4" w:space="0"/>
            </w:tcBorders>
            <w:vAlign w:val="center"/>
          </w:tcPr>
          <w:p>
            <w:pPr>
              <w:tabs>
                <w:tab w:val="left" w:pos="1260"/>
              </w:tabs>
              <w:autoSpaceDE w:val="0"/>
              <w:autoSpaceDN w:val="0"/>
              <w:spacing w:line="360" w:lineRule="auto"/>
              <w:contextualSpacing/>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服务承诺</w:t>
            </w:r>
          </w:p>
        </w:tc>
        <w:tc>
          <w:tcPr>
            <w:tcW w:w="6662" w:type="dxa"/>
            <w:tcBorders>
              <w:top w:val="single" w:color="auto" w:sz="4" w:space="0"/>
              <w:left w:val="nil"/>
              <w:bottom w:val="single" w:color="auto" w:sz="4" w:space="0"/>
              <w:right w:val="single" w:color="auto" w:sz="4" w:space="0"/>
            </w:tcBorders>
            <w:shd w:val="clear" w:color="auto" w:fill="auto"/>
            <w:vAlign w:val="center"/>
          </w:tcPr>
          <w:p>
            <w:pPr>
              <w:tabs>
                <w:tab w:val="left" w:pos="1260"/>
              </w:tabs>
              <w:autoSpaceDE w:val="0"/>
              <w:autoSpaceDN w:val="0"/>
              <w:spacing w:line="360" w:lineRule="auto"/>
              <w:contextualSpacing/>
              <w:rPr>
                <w:rFonts w:hint="eastAsia" w:ascii="宋体" w:hAnsi="宋体" w:eastAsia="宋体" w:cs="宋体"/>
                <w:color w:val="auto"/>
                <w:szCs w:val="21"/>
                <w:highlight w:val="none"/>
                <w:lang w:val="zh-CN" w:eastAsia="zh-CN"/>
              </w:rPr>
            </w:pPr>
            <w:r>
              <w:rPr>
                <w:rFonts w:hint="eastAsia" w:ascii="宋体" w:hAnsi="宋体" w:cs="宋体"/>
                <w:color w:val="auto"/>
                <w:kern w:val="2"/>
                <w:sz w:val="21"/>
                <w:szCs w:val="21"/>
                <w:highlight w:val="none"/>
                <w:lang w:val="en-US" w:eastAsia="zh-CN" w:bidi="ar-SA"/>
              </w:rPr>
              <w:t>投标人根据本项目实际需求提供详细合理、清晰完整的服务承诺，服务承诺应包含服务内容、服务措施、服务标准、服务流程、服务响应时间等方面。阐述详细，内容能完全满足或优于采购需求得9分；阐述简单，基本满足采购需求得6.3分；无承诺得0分。</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contextualSpacing/>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r>
    </w:tbl>
    <w:p>
      <w:pPr>
        <w:pStyle w:val="18"/>
        <w:spacing w:line="360" w:lineRule="auto"/>
        <w:ind w:firstLine="422" w:firstLineChars="200"/>
        <w:contextualSpacing/>
        <w:rPr>
          <w:rFonts w:hint="eastAsia" w:cs="仿宋_GB2312" w:asciiTheme="minorEastAsia" w:hAnsiTheme="minorEastAsia" w:eastAsiaTheme="minorEastAsia"/>
          <w:b/>
          <w:color w:val="auto"/>
          <w:sz w:val="21"/>
          <w:szCs w:val="21"/>
          <w:highlight w:val="none"/>
          <w:lang w:val="zh-CN"/>
        </w:rPr>
      </w:pPr>
    </w:p>
    <w:p>
      <w:pPr>
        <w:pStyle w:val="18"/>
        <w:spacing w:line="360" w:lineRule="auto"/>
        <w:ind w:firstLine="211" w:firstLineChars="100"/>
        <w:contextualSpacing/>
        <w:jc w:val="both"/>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w:t>
      </w:r>
      <w:r>
        <w:rPr>
          <w:rFonts w:hint="eastAsia" w:cs="仿宋_GB2312" w:asciiTheme="minorEastAsia" w:hAnsiTheme="minorEastAsia" w:eastAsiaTheme="minorEastAsia"/>
          <w:b/>
          <w:color w:val="auto"/>
          <w:sz w:val="21"/>
          <w:szCs w:val="21"/>
          <w:highlight w:val="none"/>
          <w:lang w:val="en-US" w:eastAsia="zh-CN"/>
        </w:rPr>
        <w:t>4</w:t>
      </w:r>
      <w:r>
        <w:rPr>
          <w:rFonts w:hint="eastAsia" w:cs="仿宋_GB2312" w:asciiTheme="minorEastAsia" w:hAnsiTheme="minorEastAsia" w:eastAsiaTheme="minorEastAsia"/>
          <w:b/>
          <w:color w:val="auto"/>
          <w:sz w:val="21"/>
          <w:szCs w:val="21"/>
          <w:highlight w:val="none"/>
          <w:lang w:val="zh-CN"/>
        </w:rPr>
        <w:t>）</w:t>
      </w:r>
      <w:r>
        <w:rPr>
          <w:rFonts w:cs="仿宋_GB2312" w:asciiTheme="minorEastAsia" w:hAnsiTheme="minorEastAsia" w:eastAsiaTheme="minorEastAsia"/>
          <w:b/>
          <w:color w:val="auto"/>
          <w:sz w:val="21"/>
          <w:szCs w:val="21"/>
          <w:highlight w:val="none"/>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1） </w:t>
      </w:r>
      <w:r>
        <w:rPr>
          <w:rFonts w:cs="仿宋_GB2312" w:asciiTheme="minorEastAsia" w:hAnsiTheme="minorEastAsia"/>
          <w:color w:val="auto"/>
          <w:szCs w:val="21"/>
          <w:highlight w:val="none"/>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2） </w:t>
      </w:r>
      <w:r>
        <w:rPr>
          <w:rFonts w:cs="仿宋_GB2312" w:asciiTheme="minorEastAsia" w:hAnsiTheme="minorEastAsia"/>
          <w:color w:val="auto"/>
          <w:szCs w:val="21"/>
          <w:highlight w:val="none"/>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3） </w:t>
      </w:r>
      <w:r>
        <w:rPr>
          <w:rFonts w:cs="仿宋_GB2312" w:asciiTheme="minorEastAsia" w:hAnsiTheme="minorEastAsia"/>
          <w:color w:val="auto"/>
          <w:szCs w:val="21"/>
          <w:highlight w:val="none"/>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 xml:space="preserve">4） </w:t>
      </w:r>
      <w:r>
        <w:rPr>
          <w:rFonts w:cs="仿宋_GB2312" w:asciiTheme="minorEastAsia" w:hAnsiTheme="minorEastAsia"/>
          <w:color w:val="auto"/>
          <w:szCs w:val="21"/>
          <w:highlight w:val="none"/>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2"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b/>
          <w:bCs/>
          <w:color w:val="auto"/>
          <w:szCs w:val="21"/>
          <w:highlight w:val="none"/>
          <w:lang w:val="zh-CN"/>
        </w:rPr>
        <w:t>（</w:t>
      </w:r>
      <w:r>
        <w:rPr>
          <w:rFonts w:hint="eastAsia" w:cs="仿宋_GB2312" w:asciiTheme="minorEastAsia" w:hAnsiTheme="minorEastAsia"/>
          <w:b/>
          <w:bCs/>
          <w:color w:val="auto"/>
          <w:szCs w:val="21"/>
          <w:highlight w:val="none"/>
          <w:lang w:val="en-US" w:eastAsia="zh-CN"/>
        </w:rPr>
        <w:t>5</w:t>
      </w:r>
      <w:r>
        <w:rPr>
          <w:rFonts w:hint="eastAsia" w:cs="仿宋_GB2312" w:asciiTheme="minorEastAsia" w:hAnsiTheme="minorEastAsia"/>
          <w:b/>
          <w:bCs/>
          <w:color w:val="auto"/>
          <w:szCs w:val="21"/>
          <w:highlight w:val="none"/>
          <w:lang w:val="zh-CN"/>
        </w:rPr>
        <w:t>）按照《</w:t>
      </w:r>
      <w:r>
        <w:rPr>
          <w:rFonts w:hint="eastAsia" w:cs="仿宋_GB2312" w:asciiTheme="minorEastAsia" w:hAnsiTheme="minorEastAsia"/>
          <w:color w:val="auto"/>
          <w:szCs w:val="21"/>
          <w:highlight w:val="none"/>
          <w:lang w:val="zh-CN"/>
        </w:rPr>
        <w:t>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w:t>
      </w:r>
      <w:r>
        <w:rPr>
          <w:rFonts w:hint="eastAsia" w:cs="仿宋_GB2312" w:asciiTheme="minorEastAsia" w:hAnsiTheme="minorEastAsia"/>
          <w:b/>
          <w:color w:val="auto"/>
          <w:szCs w:val="21"/>
          <w:highlight w:val="none"/>
          <w:lang w:val="en-US" w:eastAsia="zh-CN"/>
        </w:rPr>
        <w:t>6</w:t>
      </w:r>
      <w:r>
        <w:rPr>
          <w:rFonts w:hint="eastAsia" w:cs="仿宋_GB2312" w:asciiTheme="minorEastAsia" w:hAnsiTheme="minorEastAsia"/>
          <w:b/>
          <w:color w:val="auto"/>
          <w:szCs w:val="21"/>
          <w:highlight w:val="none"/>
          <w:lang w:val="zh-CN"/>
        </w:rPr>
        <w:t>）</w:t>
      </w:r>
      <w:r>
        <w:rPr>
          <w:rFonts w:cs="仿宋_GB2312" w:asciiTheme="minorEastAsia" w:hAnsiTheme="minorEastAsia"/>
          <w:b/>
          <w:color w:val="auto"/>
          <w:szCs w:val="21"/>
          <w:highlight w:val="none"/>
          <w:lang w:val="zh-CN"/>
        </w:rPr>
        <w:t>评标委员会</w:t>
      </w:r>
      <w:r>
        <w:rPr>
          <w:rFonts w:hint="eastAsia" w:cs="仿宋_GB2312" w:asciiTheme="minorEastAsia" w:hAnsiTheme="minorEastAsia"/>
          <w:b/>
          <w:color w:val="auto"/>
          <w:szCs w:val="21"/>
          <w:highlight w:val="none"/>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highlight w:val="none"/>
          <w:lang w:val="zh-CN"/>
        </w:rPr>
      </w:pPr>
      <w:r>
        <w:rPr>
          <w:rFonts w:cs="仿宋_GB2312" w:asciiTheme="minorEastAsia" w:hAnsiTheme="minorEastAsia"/>
          <w:color w:val="auto"/>
          <w:szCs w:val="21"/>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contextualSpacing/>
        <w:rPr>
          <w:rFonts w:hint="eastAsia" w:eastAsiaTheme="minorEastAsia"/>
          <w:color w:val="auto"/>
          <w:highlight w:val="none"/>
          <w:lang w:val="en-US" w:eastAsia="zh-CN"/>
        </w:rPr>
      </w:pPr>
      <w:r>
        <w:rPr>
          <w:rFonts w:cs="仿宋_GB2312" w:asciiTheme="minorEastAsia" w:hAnsiTheme="minorEastAsia"/>
          <w:bCs/>
          <w:color w:val="auto"/>
          <w:szCs w:val="21"/>
          <w:highlight w:val="none"/>
          <w:lang w:val="zh-CN"/>
        </w:rPr>
        <w:t>确定中标候</w:t>
      </w:r>
      <w:r>
        <w:rPr>
          <w:rFonts w:cs="仿宋_GB2312" w:asciiTheme="minorEastAsia" w:hAnsiTheme="minorEastAsia"/>
          <w:bCs/>
          <w:color w:val="auto"/>
          <w:szCs w:val="21"/>
          <w:highlight w:val="none"/>
          <w:lang w:val="zh-CN"/>
        </w:rPr>
        <w:t>选人名单，以及根据采购人委托直接确定中标人</w:t>
      </w:r>
      <w:r>
        <w:rPr>
          <w:rFonts w:cs="仿宋_GB2312" w:asciiTheme="minorEastAsia" w:hAnsiTheme="minorEastAsia"/>
          <w:color w:val="auto"/>
          <w:szCs w:val="21"/>
          <w:highlight w:val="none"/>
          <w:lang w:val="zh-CN"/>
        </w:rPr>
        <w:t>。</w:t>
      </w: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pPr>
        <w:pStyle w:val="3"/>
        <w:rPr>
          <w:rFonts w:hint="eastAsia"/>
          <w:color w:val="auto"/>
          <w:highlight w:val="none"/>
        </w:rPr>
      </w:pPr>
    </w:p>
    <w:p>
      <w:pPr>
        <w:pStyle w:val="4"/>
        <w:rPr>
          <w:rFonts w:hint="eastAsia"/>
          <w:color w:val="auto"/>
          <w:highlight w:val="none"/>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第七章 合同条款及格式</w:t>
      </w:r>
    </w:p>
    <w:p>
      <w:pPr>
        <w:pStyle w:val="88"/>
        <w:keepNext/>
        <w:keepLines/>
        <w:widowControl w:val="0"/>
        <w:shd w:val="clear" w:color="auto" w:fill="auto"/>
        <w:bidi w:val="0"/>
        <w:spacing w:before="0" w:after="540" w:line="240" w:lineRule="auto"/>
        <w:ind w:left="0" w:right="0" w:firstLine="0"/>
        <w:jc w:val="center"/>
        <w:rPr>
          <w:color w:val="auto"/>
          <w:highlight w:val="none"/>
        </w:rPr>
      </w:pPr>
      <w:bookmarkStart w:id="6" w:name="bookmark60"/>
      <w:bookmarkStart w:id="7" w:name="bookmark59"/>
      <w:bookmarkStart w:id="8" w:name="bookmark61"/>
      <w:r>
        <w:rPr>
          <w:color w:val="auto"/>
          <w:spacing w:val="0"/>
          <w:w w:val="100"/>
          <w:position w:val="0"/>
          <w:highlight w:val="none"/>
        </w:rPr>
        <w:t>政府采购服务合同（范本）</w:t>
      </w:r>
      <w:bookmarkEnd w:id="6"/>
      <w:bookmarkEnd w:id="7"/>
      <w:bookmarkEnd w:id="8"/>
    </w:p>
    <w:p>
      <w:pPr>
        <w:pStyle w:val="89"/>
        <w:keepNext w:val="0"/>
        <w:keepLines w:val="0"/>
        <w:widowControl w:val="0"/>
        <w:shd w:val="clear" w:color="auto" w:fill="auto"/>
        <w:tabs>
          <w:tab w:val="left" w:pos="4622"/>
        </w:tabs>
        <w:bidi w:val="0"/>
        <w:spacing w:before="0" w:after="0" w:line="398" w:lineRule="exact"/>
        <w:ind w:left="0" w:right="0" w:firstLine="480"/>
        <w:jc w:val="both"/>
        <w:rPr>
          <w:color w:val="auto"/>
          <w:sz w:val="21"/>
          <w:szCs w:val="21"/>
          <w:highlight w:val="none"/>
        </w:rPr>
      </w:pPr>
      <w:r>
        <w:rPr>
          <w:color w:val="auto"/>
          <w:spacing w:val="0"/>
          <w:w w:val="100"/>
          <w:position w:val="0"/>
          <w:sz w:val="21"/>
          <w:szCs w:val="21"/>
          <w:highlight w:val="none"/>
        </w:rPr>
        <w:t>合同编号：</w:t>
      </w:r>
      <w:r>
        <w:rPr>
          <w:color w:val="auto"/>
          <w:sz w:val="21"/>
          <w:szCs w:val="21"/>
          <w:highlight w:val="none"/>
          <w:u w:val="single"/>
        </w:rPr>
        <w:t xml:space="preserve"> </w:t>
      </w:r>
      <w:r>
        <w:rPr>
          <w:color w:val="auto"/>
          <w:sz w:val="21"/>
          <w:szCs w:val="21"/>
          <w:highlight w:val="none"/>
          <w:u w:val="single"/>
        </w:rPr>
        <w:tab/>
      </w:r>
    </w:p>
    <w:p>
      <w:pPr>
        <w:pStyle w:val="89"/>
        <w:keepNext w:val="0"/>
        <w:keepLines w:val="0"/>
        <w:widowControl w:val="0"/>
        <w:shd w:val="clear" w:color="auto" w:fill="auto"/>
        <w:tabs>
          <w:tab w:val="left" w:pos="4008"/>
          <w:tab w:val="left" w:leader="underscore" w:pos="4618"/>
        </w:tabs>
        <w:bidi w:val="0"/>
        <w:spacing w:before="0" w:after="0" w:line="398" w:lineRule="exact"/>
        <w:ind w:left="0" w:right="0" w:firstLine="480"/>
        <w:jc w:val="both"/>
        <w:rPr>
          <w:color w:val="auto"/>
          <w:sz w:val="21"/>
          <w:szCs w:val="21"/>
          <w:highlight w:val="none"/>
        </w:rPr>
      </w:pPr>
      <w:r>
        <w:rPr>
          <w:color w:val="auto"/>
          <w:spacing w:val="0"/>
          <w:w w:val="100"/>
          <w:position w:val="0"/>
          <w:sz w:val="21"/>
          <w:szCs w:val="21"/>
          <w:highlight w:val="none"/>
        </w:rPr>
        <w:t>签订地：</w:t>
      </w:r>
      <w:r>
        <w:rPr>
          <w:color w:val="auto"/>
          <w:sz w:val="21"/>
          <w:szCs w:val="21"/>
          <w:highlight w:val="none"/>
          <w:u w:val="single"/>
        </w:rPr>
        <w:t xml:space="preserve"> </w:t>
      </w:r>
      <w:r>
        <w:rPr>
          <w:color w:val="auto"/>
          <w:sz w:val="21"/>
          <w:szCs w:val="21"/>
          <w:highlight w:val="none"/>
          <w:u w:val="single"/>
        </w:rPr>
        <w:tab/>
      </w:r>
      <w:r>
        <w:rPr>
          <w:color w:val="auto"/>
          <w:spacing w:val="0"/>
          <w:w w:val="100"/>
          <w:position w:val="0"/>
          <w:sz w:val="21"/>
          <w:szCs w:val="21"/>
          <w:highlight w:val="none"/>
        </w:rPr>
        <w:tab/>
      </w:r>
    </w:p>
    <w:p>
      <w:pPr>
        <w:pStyle w:val="89"/>
        <w:keepNext w:val="0"/>
        <w:keepLines w:val="0"/>
        <w:widowControl w:val="0"/>
        <w:shd w:val="clear" w:color="auto" w:fill="auto"/>
        <w:tabs>
          <w:tab w:val="left" w:pos="4598"/>
        </w:tabs>
        <w:bidi w:val="0"/>
        <w:spacing w:before="0" w:after="0" w:line="398" w:lineRule="exact"/>
        <w:ind w:left="0" w:right="0" w:firstLine="480"/>
        <w:jc w:val="both"/>
        <w:rPr>
          <w:color w:val="auto"/>
          <w:sz w:val="21"/>
          <w:szCs w:val="21"/>
          <w:highlight w:val="none"/>
        </w:rPr>
      </w:pPr>
      <w:r>
        <w:rPr>
          <w:color w:val="auto"/>
          <w:spacing w:val="0"/>
          <w:w w:val="100"/>
          <w:position w:val="0"/>
          <w:sz w:val="21"/>
          <w:szCs w:val="21"/>
          <w:highlight w:val="none"/>
        </w:rPr>
        <w:t>甲方（采购人）：</w:t>
      </w:r>
      <w:r>
        <w:rPr>
          <w:color w:val="auto"/>
          <w:sz w:val="21"/>
          <w:szCs w:val="21"/>
          <w:highlight w:val="none"/>
          <w:u w:val="single"/>
        </w:rPr>
        <w:t xml:space="preserve"> </w:t>
      </w:r>
      <w:r>
        <w:rPr>
          <w:color w:val="auto"/>
          <w:sz w:val="21"/>
          <w:szCs w:val="21"/>
          <w:highlight w:val="none"/>
          <w:u w:val="single"/>
        </w:rPr>
        <w:tab/>
      </w:r>
    </w:p>
    <w:p>
      <w:pPr>
        <w:pStyle w:val="89"/>
        <w:keepNext w:val="0"/>
        <w:keepLines w:val="0"/>
        <w:widowControl w:val="0"/>
        <w:shd w:val="clear" w:color="auto" w:fill="auto"/>
        <w:tabs>
          <w:tab w:val="left" w:pos="4627"/>
        </w:tabs>
        <w:bidi w:val="0"/>
        <w:spacing w:before="0" w:after="0" w:line="398" w:lineRule="exact"/>
        <w:ind w:left="0" w:right="0" w:firstLine="480"/>
        <w:jc w:val="both"/>
        <w:rPr>
          <w:color w:val="auto"/>
          <w:sz w:val="21"/>
          <w:szCs w:val="21"/>
          <w:highlight w:val="none"/>
        </w:rPr>
      </w:pPr>
      <w:r>
        <w:rPr>
          <w:color w:val="auto"/>
          <w:spacing w:val="0"/>
          <w:w w:val="100"/>
          <w:position w:val="0"/>
          <w:sz w:val="21"/>
          <w:szCs w:val="21"/>
          <w:highlight w:val="none"/>
        </w:rPr>
        <w:t>住所地：</w:t>
      </w:r>
      <w:r>
        <w:rPr>
          <w:color w:val="auto"/>
          <w:sz w:val="21"/>
          <w:szCs w:val="21"/>
          <w:highlight w:val="none"/>
          <w:u w:val="single"/>
        </w:rPr>
        <w:t xml:space="preserve"> </w:t>
      </w:r>
      <w:r>
        <w:rPr>
          <w:color w:val="auto"/>
          <w:sz w:val="21"/>
          <w:szCs w:val="21"/>
          <w:highlight w:val="none"/>
          <w:u w:val="single"/>
        </w:rPr>
        <w:tab/>
      </w:r>
    </w:p>
    <w:p>
      <w:pPr>
        <w:pStyle w:val="89"/>
        <w:keepNext w:val="0"/>
        <w:keepLines w:val="0"/>
        <w:widowControl w:val="0"/>
        <w:shd w:val="clear" w:color="auto" w:fill="auto"/>
        <w:tabs>
          <w:tab w:val="left" w:pos="4608"/>
        </w:tabs>
        <w:bidi w:val="0"/>
        <w:spacing w:before="0" w:after="0" w:line="398" w:lineRule="exact"/>
        <w:ind w:left="0" w:right="0" w:firstLine="480"/>
        <w:jc w:val="both"/>
        <w:rPr>
          <w:color w:val="auto"/>
          <w:sz w:val="21"/>
          <w:szCs w:val="21"/>
          <w:highlight w:val="none"/>
        </w:rPr>
      </w:pPr>
      <w:r>
        <w:rPr>
          <w:color w:val="auto"/>
          <w:spacing w:val="0"/>
          <w:w w:val="100"/>
          <w:position w:val="0"/>
          <w:sz w:val="21"/>
          <w:szCs w:val="21"/>
          <w:highlight w:val="none"/>
        </w:rPr>
        <w:t>乙方（中标人）：</w:t>
      </w:r>
      <w:r>
        <w:rPr>
          <w:color w:val="auto"/>
          <w:sz w:val="21"/>
          <w:szCs w:val="21"/>
          <w:highlight w:val="none"/>
          <w:u w:val="single"/>
        </w:rPr>
        <w:t xml:space="preserve"> </w:t>
      </w:r>
      <w:r>
        <w:rPr>
          <w:color w:val="auto"/>
          <w:sz w:val="21"/>
          <w:szCs w:val="21"/>
          <w:highlight w:val="none"/>
          <w:u w:val="single"/>
        </w:rPr>
        <w:tab/>
      </w:r>
    </w:p>
    <w:p>
      <w:pPr>
        <w:pStyle w:val="89"/>
        <w:keepNext w:val="0"/>
        <w:keepLines w:val="0"/>
        <w:widowControl w:val="0"/>
        <w:shd w:val="clear" w:color="auto" w:fill="auto"/>
        <w:tabs>
          <w:tab w:val="left" w:pos="4627"/>
        </w:tabs>
        <w:bidi w:val="0"/>
        <w:spacing w:before="0" w:after="0" w:line="398" w:lineRule="exact"/>
        <w:ind w:left="0" w:right="0" w:firstLine="480"/>
        <w:jc w:val="both"/>
        <w:rPr>
          <w:color w:val="auto"/>
          <w:sz w:val="21"/>
          <w:szCs w:val="21"/>
          <w:highlight w:val="none"/>
        </w:rPr>
      </w:pPr>
      <w:r>
        <w:rPr>
          <w:color w:val="auto"/>
          <w:spacing w:val="0"/>
          <w:w w:val="100"/>
          <w:position w:val="0"/>
          <w:sz w:val="21"/>
          <w:szCs w:val="21"/>
          <w:highlight w:val="none"/>
        </w:rPr>
        <w:t>住所地：</w:t>
      </w:r>
      <w:r>
        <w:rPr>
          <w:color w:val="auto"/>
          <w:sz w:val="21"/>
          <w:szCs w:val="21"/>
          <w:highlight w:val="none"/>
          <w:u w:val="single"/>
        </w:rPr>
        <w:t xml:space="preserve"> </w:t>
      </w:r>
      <w:r>
        <w:rPr>
          <w:color w:val="auto"/>
          <w:sz w:val="21"/>
          <w:szCs w:val="21"/>
          <w:highlight w:val="none"/>
          <w:u w:val="single"/>
        </w:rPr>
        <w:tab/>
      </w:r>
    </w:p>
    <w:p>
      <w:pPr>
        <w:pStyle w:val="89"/>
        <w:keepNext w:val="0"/>
        <w:keepLines w:val="0"/>
        <w:widowControl w:val="0"/>
        <w:shd w:val="clear" w:color="auto" w:fill="auto"/>
        <w:bidi w:val="0"/>
        <w:spacing w:before="0" w:after="0" w:line="398" w:lineRule="exact"/>
        <w:ind w:left="0" w:right="0" w:firstLine="500"/>
        <w:jc w:val="both"/>
        <w:rPr>
          <w:color w:val="auto"/>
          <w:sz w:val="21"/>
          <w:szCs w:val="21"/>
          <w:highlight w:val="none"/>
        </w:rPr>
      </w:pPr>
      <w:r>
        <w:rPr>
          <w:color w:val="auto"/>
          <w:spacing w:val="0"/>
          <w:w w:val="100"/>
          <w:position w:val="0"/>
          <w:sz w:val="21"/>
          <w:szCs w:val="21"/>
          <w:highlight w:val="none"/>
        </w:rPr>
        <w:t>乙方于</w:t>
      </w:r>
      <w:r>
        <w:rPr>
          <w:rFonts w:hint="eastAsia"/>
          <w:color w:val="auto"/>
          <w:spacing w:val="0"/>
          <w:w w:val="100"/>
          <w:position w:val="0"/>
          <w:sz w:val="21"/>
          <w:szCs w:val="21"/>
          <w:highlight w:val="none"/>
          <w:u w:val="single"/>
          <w:lang w:val="en-US" w:eastAsia="zh-CN" w:bidi="zh-CN"/>
        </w:rPr>
        <w:t xml:space="preserve">   </w:t>
      </w:r>
      <w:r>
        <w:rPr>
          <w:color w:val="auto"/>
          <w:spacing w:val="0"/>
          <w:w w:val="100"/>
          <w:position w:val="0"/>
          <w:sz w:val="21"/>
          <w:szCs w:val="21"/>
          <w:highlight w:val="none"/>
        </w:rPr>
        <w:t>年</w:t>
      </w:r>
      <w:r>
        <w:rPr>
          <w:rFonts w:hint="eastAsia"/>
          <w:color w:val="auto"/>
          <w:spacing w:val="0"/>
          <w:w w:val="100"/>
          <w:position w:val="0"/>
          <w:sz w:val="21"/>
          <w:szCs w:val="21"/>
          <w:highlight w:val="none"/>
          <w:u w:val="single"/>
          <w:lang w:val="en-US" w:eastAsia="zh-CN" w:bidi="zh-CN"/>
        </w:rPr>
        <w:t xml:space="preserve">  </w:t>
      </w:r>
      <w:r>
        <w:rPr>
          <w:color w:val="auto"/>
          <w:spacing w:val="0"/>
          <w:w w:val="100"/>
          <w:position w:val="0"/>
          <w:sz w:val="21"/>
          <w:szCs w:val="21"/>
          <w:highlight w:val="none"/>
        </w:rPr>
        <w:t>月</w:t>
      </w:r>
      <w:r>
        <w:rPr>
          <w:rFonts w:hint="eastAsia"/>
          <w:color w:val="auto"/>
          <w:spacing w:val="0"/>
          <w:w w:val="100"/>
          <w:position w:val="0"/>
          <w:sz w:val="21"/>
          <w:szCs w:val="21"/>
          <w:highlight w:val="none"/>
          <w:u w:val="single"/>
          <w:lang w:val="en-US" w:eastAsia="zh-CN" w:bidi="zh-CN"/>
        </w:rPr>
        <w:t xml:space="preserve">   </w:t>
      </w:r>
      <w:r>
        <w:rPr>
          <w:color w:val="auto"/>
          <w:spacing w:val="0"/>
          <w:w w:val="100"/>
          <w:position w:val="0"/>
          <w:sz w:val="21"/>
          <w:szCs w:val="21"/>
          <w:highlight w:val="none"/>
        </w:rPr>
        <w:t xml:space="preserve">日参加了 </w:t>
      </w:r>
      <w:r>
        <w:rPr>
          <w:color w:val="auto"/>
          <w:spacing w:val="0"/>
          <w:w w:val="100"/>
          <w:position w:val="0"/>
          <w:sz w:val="21"/>
          <w:szCs w:val="21"/>
          <w:highlight w:val="none"/>
          <w:u w:val="single"/>
        </w:rPr>
        <w:t>（</w:t>
      </w:r>
      <w:r>
        <w:rPr>
          <w:rFonts w:hint="eastAsia"/>
          <w:color w:val="auto"/>
          <w:spacing w:val="0"/>
          <w:w w:val="100"/>
          <w:position w:val="0"/>
          <w:sz w:val="21"/>
          <w:szCs w:val="21"/>
          <w:highlight w:val="none"/>
          <w:u w:val="single"/>
          <w:lang w:eastAsia="zh-CN"/>
        </w:rPr>
        <w:t>采</w:t>
      </w:r>
      <w:r>
        <w:rPr>
          <w:color w:val="auto"/>
          <w:spacing w:val="0"/>
          <w:w w:val="100"/>
          <w:position w:val="0"/>
          <w:sz w:val="21"/>
          <w:szCs w:val="21"/>
          <w:highlight w:val="none"/>
          <w:u w:val="single"/>
        </w:rPr>
        <w:t>购代理机构）</w:t>
      </w:r>
      <w:r>
        <w:rPr>
          <w:color w:val="auto"/>
          <w:spacing w:val="0"/>
          <w:w w:val="100"/>
          <w:position w:val="0"/>
          <w:sz w:val="21"/>
          <w:szCs w:val="21"/>
          <w:highlight w:val="none"/>
        </w:rPr>
        <w:t>组织的“</w:t>
      </w:r>
      <w:r>
        <w:rPr>
          <w:color w:val="auto"/>
          <w:spacing w:val="0"/>
          <w:w w:val="100"/>
          <w:position w:val="0"/>
          <w:sz w:val="21"/>
          <w:szCs w:val="21"/>
          <w:highlight w:val="none"/>
          <w:u w:val="single"/>
        </w:rPr>
        <w:t>（项目名称及项目编号）</w:t>
      </w:r>
      <w:r>
        <w:rPr>
          <w:color w:val="auto"/>
          <w:spacing w:val="0"/>
          <w:w w:val="100"/>
          <w:position w:val="0"/>
          <w:sz w:val="21"/>
          <w:szCs w:val="21"/>
          <w:highlight w:val="none"/>
          <w:lang w:val="en-US" w:eastAsia="en-US" w:bidi="en-US"/>
        </w:rPr>
        <w:t>"</w:t>
      </w:r>
      <w:r>
        <w:rPr>
          <w:color w:val="auto"/>
          <w:spacing w:val="0"/>
          <w:w w:val="100"/>
          <w:position w:val="0"/>
          <w:sz w:val="21"/>
          <w:szCs w:val="21"/>
          <w:highlight w:val="none"/>
        </w:rPr>
        <w:t>政府</w:t>
      </w:r>
      <w:r>
        <w:rPr>
          <w:rFonts w:hint="eastAsia"/>
          <w:color w:val="auto"/>
          <w:spacing w:val="0"/>
          <w:w w:val="100"/>
          <w:position w:val="0"/>
          <w:sz w:val="21"/>
          <w:szCs w:val="21"/>
          <w:highlight w:val="none"/>
          <w:lang w:eastAsia="zh-CN"/>
        </w:rPr>
        <w:t>采购</w:t>
      </w:r>
      <w:r>
        <w:rPr>
          <w:color w:val="auto"/>
          <w:spacing w:val="0"/>
          <w:w w:val="100"/>
          <w:position w:val="0"/>
          <w:sz w:val="21"/>
          <w:szCs w:val="21"/>
          <w:highlight w:val="none"/>
        </w:rPr>
        <w:t>活动，经评标委）会评审确定乙方为</w:t>
      </w:r>
      <w:r>
        <w:rPr>
          <w:color w:val="auto"/>
          <w:spacing w:val="0"/>
          <w:w w:val="100"/>
          <w:position w:val="0"/>
          <w:sz w:val="21"/>
          <w:szCs w:val="21"/>
          <w:highlight w:val="none"/>
          <w:u w:val="single"/>
        </w:rPr>
        <w:t>（包及包名称）</w:t>
      </w:r>
      <w:r>
        <w:rPr>
          <w:color w:val="auto"/>
          <w:spacing w:val="0"/>
          <w:w w:val="100"/>
          <w:position w:val="0"/>
          <w:sz w:val="21"/>
          <w:szCs w:val="21"/>
          <w:highlight w:val="none"/>
        </w:rPr>
        <w:t>中标人，按照《中华人民共和国民法典》、《中华人民共和国政府</w:t>
      </w:r>
      <w:r>
        <w:rPr>
          <w:rFonts w:hint="eastAsia"/>
          <w:color w:val="auto"/>
          <w:spacing w:val="0"/>
          <w:w w:val="100"/>
          <w:position w:val="0"/>
          <w:sz w:val="21"/>
          <w:szCs w:val="21"/>
          <w:highlight w:val="none"/>
          <w:lang w:eastAsia="zh-CN"/>
        </w:rPr>
        <w:t>采购</w:t>
      </w:r>
      <w:r>
        <w:rPr>
          <w:color w:val="auto"/>
          <w:spacing w:val="0"/>
          <w:w w:val="100"/>
          <w:position w:val="0"/>
          <w:sz w:val="21"/>
          <w:szCs w:val="21"/>
          <w:highlight w:val="none"/>
        </w:rPr>
        <w:t>法》和相关的法律法规规定，以及招标文件规定，经甲乙双方协商一致，签订本政府</w:t>
      </w:r>
      <w:r>
        <w:rPr>
          <w:rFonts w:hint="eastAsia"/>
          <w:color w:val="auto"/>
          <w:spacing w:val="0"/>
          <w:w w:val="100"/>
          <w:position w:val="0"/>
          <w:sz w:val="21"/>
          <w:szCs w:val="21"/>
          <w:highlight w:val="none"/>
          <w:lang w:eastAsia="zh-CN"/>
        </w:rPr>
        <w:t>采购</w:t>
      </w:r>
      <w:r>
        <w:rPr>
          <w:color w:val="auto"/>
          <w:spacing w:val="0"/>
          <w:w w:val="100"/>
          <w:position w:val="0"/>
          <w:sz w:val="21"/>
          <w:szCs w:val="21"/>
          <w:highlight w:val="none"/>
        </w:rPr>
        <w:t>合同。</w:t>
      </w:r>
    </w:p>
    <w:p>
      <w:pPr>
        <w:pStyle w:val="89"/>
        <w:keepNext w:val="0"/>
        <w:keepLines w:val="0"/>
        <w:widowControl w:val="0"/>
        <w:shd w:val="clear" w:color="auto" w:fill="auto"/>
        <w:bidi w:val="0"/>
        <w:spacing w:before="0" w:after="0" w:line="398" w:lineRule="exact"/>
        <w:ind w:left="0" w:right="0" w:firstLine="480"/>
        <w:jc w:val="both"/>
        <w:rPr>
          <w:color w:val="auto"/>
          <w:sz w:val="21"/>
          <w:szCs w:val="21"/>
          <w:highlight w:val="none"/>
        </w:rPr>
      </w:pPr>
      <w:r>
        <w:rPr>
          <w:color w:val="auto"/>
          <w:spacing w:val="0"/>
          <w:w w:val="100"/>
          <w:position w:val="0"/>
          <w:sz w:val="21"/>
          <w:szCs w:val="21"/>
          <w:highlight w:val="none"/>
        </w:rPr>
        <w:t>第一条合同标的</w:t>
      </w:r>
    </w:p>
    <w:p>
      <w:pPr>
        <w:pStyle w:val="89"/>
        <w:keepNext w:val="0"/>
        <w:keepLines w:val="0"/>
        <w:widowControl w:val="0"/>
        <w:shd w:val="clear" w:color="auto" w:fill="auto"/>
        <w:bidi w:val="0"/>
        <w:spacing w:before="0" w:after="0" w:line="398" w:lineRule="exact"/>
        <w:ind w:left="0" w:right="0" w:firstLine="480"/>
        <w:jc w:val="both"/>
        <w:rPr>
          <w:color w:val="auto"/>
          <w:sz w:val="21"/>
          <w:szCs w:val="21"/>
          <w:highlight w:val="none"/>
        </w:rPr>
      </w:pPr>
      <w:r>
        <w:rPr>
          <w:color w:val="auto"/>
          <w:spacing w:val="0"/>
          <w:w w:val="100"/>
          <w:position w:val="0"/>
          <w:sz w:val="21"/>
          <w:szCs w:val="21"/>
          <w:highlight w:val="none"/>
        </w:rPr>
        <w:t>服务名称：</w:t>
      </w:r>
    </w:p>
    <w:p>
      <w:pPr>
        <w:pStyle w:val="89"/>
        <w:keepNext w:val="0"/>
        <w:keepLines w:val="0"/>
        <w:widowControl w:val="0"/>
        <w:shd w:val="clear" w:color="auto" w:fill="auto"/>
        <w:tabs>
          <w:tab w:val="left" w:leader="dot" w:pos="2573"/>
        </w:tabs>
        <w:bidi w:val="0"/>
        <w:spacing w:before="0" w:after="0" w:line="398" w:lineRule="exact"/>
        <w:ind w:left="0" w:right="0" w:firstLine="480"/>
        <w:jc w:val="both"/>
        <w:rPr>
          <w:color w:val="auto"/>
          <w:sz w:val="21"/>
          <w:szCs w:val="21"/>
          <w:highlight w:val="none"/>
        </w:rPr>
      </w:pPr>
      <w:r>
        <w:rPr>
          <w:color w:val="auto"/>
          <w:spacing w:val="0"/>
          <w:w w:val="100"/>
          <w:position w:val="0"/>
          <w:sz w:val="21"/>
          <w:szCs w:val="21"/>
          <w:highlight w:val="none"/>
        </w:rPr>
        <w:t>服务内容：</w:t>
      </w:r>
      <w:r>
        <w:rPr>
          <w:color w:val="auto"/>
          <w:spacing w:val="0"/>
          <w:w w:val="100"/>
          <w:position w:val="0"/>
          <w:sz w:val="21"/>
          <w:szCs w:val="21"/>
          <w:highlight w:val="none"/>
          <w:lang w:val="en-US" w:eastAsia="en-US" w:bidi="en-US"/>
        </w:rPr>
        <w:tab/>
      </w:r>
    </w:p>
    <w:p>
      <w:pPr>
        <w:pStyle w:val="89"/>
        <w:keepNext w:val="0"/>
        <w:keepLines w:val="0"/>
        <w:widowControl w:val="0"/>
        <w:shd w:val="clear" w:color="auto" w:fill="auto"/>
        <w:tabs>
          <w:tab w:val="left" w:leader="dot" w:pos="2098"/>
        </w:tabs>
        <w:bidi w:val="0"/>
        <w:spacing w:before="0" w:after="0" w:line="398" w:lineRule="exact"/>
        <w:ind w:left="0" w:right="0" w:firstLine="480"/>
        <w:jc w:val="both"/>
        <w:rPr>
          <w:color w:val="auto"/>
          <w:sz w:val="21"/>
          <w:szCs w:val="21"/>
          <w:highlight w:val="none"/>
        </w:rPr>
      </w:pPr>
      <w:r>
        <w:rPr>
          <w:color w:val="auto"/>
          <w:spacing w:val="0"/>
          <w:w w:val="100"/>
          <w:position w:val="0"/>
          <w:sz w:val="21"/>
          <w:szCs w:val="21"/>
          <w:highlight w:val="none"/>
        </w:rPr>
        <w:t>技术标准：</w:t>
      </w:r>
      <w:r>
        <w:rPr>
          <w:color w:val="auto"/>
          <w:spacing w:val="0"/>
          <w:w w:val="100"/>
          <w:position w:val="0"/>
          <w:sz w:val="21"/>
          <w:szCs w:val="21"/>
          <w:highlight w:val="none"/>
          <w:lang w:val="en-US" w:eastAsia="en-US" w:bidi="en-US"/>
        </w:rPr>
        <w:tab/>
      </w:r>
    </w:p>
    <w:p>
      <w:pPr>
        <w:pStyle w:val="89"/>
        <w:keepNext w:val="0"/>
        <w:keepLines w:val="0"/>
        <w:widowControl w:val="0"/>
        <w:shd w:val="clear" w:color="auto" w:fill="auto"/>
        <w:bidi w:val="0"/>
        <w:spacing w:before="0" w:after="0" w:line="398" w:lineRule="exact"/>
        <w:ind w:left="0" w:right="0" w:firstLine="480"/>
        <w:jc w:val="left"/>
        <w:rPr>
          <w:color w:val="auto"/>
          <w:sz w:val="21"/>
          <w:szCs w:val="21"/>
          <w:highlight w:val="none"/>
        </w:rPr>
      </w:pPr>
      <w:r>
        <w:rPr>
          <w:color w:val="auto"/>
          <w:spacing w:val="0"/>
          <w:w w:val="100"/>
          <w:position w:val="0"/>
          <w:sz w:val="21"/>
          <w:szCs w:val="21"/>
          <w:highlight w:val="none"/>
        </w:rPr>
        <w:t>第二条合同总金额</w:t>
      </w:r>
    </w:p>
    <w:p>
      <w:pPr>
        <w:pStyle w:val="89"/>
        <w:keepNext w:val="0"/>
        <w:keepLines w:val="0"/>
        <w:widowControl w:val="0"/>
        <w:shd w:val="clear" w:color="auto" w:fill="auto"/>
        <w:tabs>
          <w:tab w:val="left" w:pos="5218"/>
          <w:tab w:val="left" w:pos="6639"/>
        </w:tabs>
        <w:bidi w:val="0"/>
        <w:spacing w:before="0" w:after="0" w:line="392" w:lineRule="exact"/>
        <w:ind w:left="0" w:right="0" w:firstLine="500"/>
        <w:jc w:val="both"/>
        <w:rPr>
          <w:color w:val="auto"/>
          <w:sz w:val="21"/>
          <w:szCs w:val="21"/>
          <w:highlight w:val="none"/>
        </w:rPr>
      </w:pPr>
      <w:r>
        <w:rPr>
          <w:color w:val="auto"/>
          <w:spacing w:val="0"/>
          <w:w w:val="100"/>
          <w:position w:val="0"/>
          <w:sz w:val="21"/>
          <w:szCs w:val="21"/>
          <w:highlight w:val="none"/>
        </w:rPr>
        <w:t>合同总金额为人民币（大写）：</w:t>
      </w:r>
      <w:r>
        <w:rPr>
          <w:color w:val="auto"/>
          <w:sz w:val="21"/>
          <w:szCs w:val="21"/>
          <w:highlight w:val="none"/>
          <w:u w:val="single"/>
        </w:rPr>
        <w:t xml:space="preserve"> </w:t>
      </w:r>
      <w:r>
        <w:rPr>
          <w:color w:val="auto"/>
          <w:sz w:val="21"/>
          <w:szCs w:val="21"/>
          <w:highlight w:val="none"/>
          <w:u w:val="single"/>
        </w:rPr>
        <w:tab/>
      </w:r>
      <w:r>
        <w:rPr>
          <w:color w:val="auto"/>
          <w:spacing w:val="0"/>
          <w:w w:val="100"/>
          <w:position w:val="0"/>
          <w:sz w:val="21"/>
          <w:szCs w:val="21"/>
          <w:highlight w:val="none"/>
        </w:rPr>
        <w:t xml:space="preserve"> （¥</w:t>
      </w:r>
      <w:r>
        <w:rPr>
          <w:color w:val="auto"/>
          <w:sz w:val="21"/>
          <w:szCs w:val="21"/>
          <w:highlight w:val="none"/>
          <w:u w:val="single"/>
        </w:rPr>
        <w:t xml:space="preserve"> </w:t>
      </w:r>
      <w:r>
        <w:rPr>
          <w:color w:val="auto"/>
          <w:sz w:val="21"/>
          <w:szCs w:val="21"/>
          <w:highlight w:val="none"/>
          <w:u w:val="single"/>
        </w:rPr>
        <w:tab/>
      </w:r>
      <w:r>
        <w:rPr>
          <w:color w:val="auto"/>
          <w:spacing w:val="0"/>
          <w:w w:val="100"/>
          <w:position w:val="0"/>
          <w:sz w:val="21"/>
          <w:szCs w:val="21"/>
          <w:highlight w:val="none"/>
        </w:rPr>
        <w:t>）</w:t>
      </w:r>
    </w:p>
    <w:p>
      <w:pPr>
        <w:pStyle w:val="89"/>
        <w:keepNext w:val="0"/>
        <w:keepLines w:val="0"/>
        <w:widowControl w:val="0"/>
        <w:shd w:val="clear" w:color="auto" w:fill="auto"/>
        <w:tabs>
          <w:tab w:val="left" w:leader="dot" w:pos="5875"/>
        </w:tabs>
        <w:bidi w:val="0"/>
        <w:spacing w:before="0" w:after="0" w:line="392" w:lineRule="exact"/>
        <w:ind w:left="0" w:right="0" w:firstLine="500"/>
        <w:jc w:val="both"/>
        <w:rPr>
          <w:color w:val="auto"/>
          <w:sz w:val="21"/>
          <w:szCs w:val="21"/>
          <w:highlight w:val="none"/>
        </w:rPr>
      </w:pPr>
      <w:r>
        <w:rPr>
          <w:color w:val="auto"/>
          <w:spacing w:val="0"/>
          <w:w w:val="100"/>
          <w:position w:val="0"/>
          <w:sz w:val="21"/>
          <w:szCs w:val="21"/>
          <w:highlight w:val="none"/>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pPr>
        <w:pStyle w:val="89"/>
        <w:keepNext w:val="0"/>
        <w:keepLines w:val="0"/>
        <w:widowControl w:val="0"/>
        <w:shd w:val="clear" w:color="auto" w:fill="auto"/>
        <w:bidi w:val="0"/>
        <w:spacing w:before="0" w:after="160" w:line="392" w:lineRule="exact"/>
        <w:ind w:left="0" w:right="0" w:firstLine="500"/>
        <w:jc w:val="both"/>
        <w:rPr>
          <w:color w:val="auto"/>
          <w:sz w:val="21"/>
          <w:szCs w:val="21"/>
          <w:highlight w:val="none"/>
        </w:rPr>
      </w:pPr>
      <w:r>
        <w:rPr>
          <w:color w:val="auto"/>
          <w:spacing w:val="0"/>
          <w:w w:val="100"/>
          <w:position w:val="0"/>
          <w:sz w:val="21"/>
          <w:szCs w:val="21"/>
          <w:highlight w:val="none"/>
        </w:rPr>
        <w:t>第三条服务交付</w:t>
      </w:r>
    </w:p>
    <w:p>
      <w:pPr>
        <w:pStyle w:val="89"/>
        <w:keepNext w:val="0"/>
        <w:keepLines w:val="0"/>
        <w:widowControl w:val="0"/>
        <w:shd w:val="clear" w:color="auto" w:fill="auto"/>
        <w:tabs>
          <w:tab w:val="left" w:pos="878"/>
        </w:tabs>
        <w:bidi w:val="0"/>
        <w:spacing w:before="0" w:after="0" w:line="372" w:lineRule="auto"/>
        <w:ind w:left="0" w:right="0" w:firstLine="500"/>
        <w:jc w:val="both"/>
        <w:rPr>
          <w:color w:val="auto"/>
          <w:sz w:val="21"/>
          <w:szCs w:val="21"/>
          <w:highlight w:val="none"/>
        </w:rPr>
      </w:pPr>
      <w:bookmarkStart w:id="9" w:name="bookmark62"/>
      <w:r>
        <w:rPr>
          <w:rFonts w:ascii="Times New Roman" w:hAnsi="Times New Roman" w:eastAsia="Times New Roman" w:cs="Times New Roman"/>
          <w:color w:val="auto"/>
          <w:spacing w:val="0"/>
          <w:w w:val="100"/>
          <w:position w:val="0"/>
          <w:sz w:val="21"/>
          <w:szCs w:val="21"/>
          <w:highlight w:val="none"/>
        </w:rPr>
        <w:t>1</w:t>
      </w:r>
      <w:bookmarkEnd w:id="9"/>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交付日期：</w:t>
      </w:r>
    </w:p>
    <w:p>
      <w:pPr>
        <w:pStyle w:val="89"/>
        <w:keepNext w:val="0"/>
        <w:keepLines w:val="0"/>
        <w:widowControl w:val="0"/>
        <w:shd w:val="clear" w:color="auto" w:fill="auto"/>
        <w:tabs>
          <w:tab w:val="left" w:pos="892"/>
          <w:tab w:val="left" w:leader="dot" w:pos="2478"/>
        </w:tabs>
        <w:bidi w:val="0"/>
        <w:spacing w:before="0" w:after="0" w:line="372" w:lineRule="auto"/>
        <w:ind w:left="0" w:right="0" w:firstLine="500"/>
        <w:jc w:val="both"/>
        <w:rPr>
          <w:color w:val="auto"/>
          <w:sz w:val="21"/>
          <w:szCs w:val="21"/>
          <w:highlight w:val="none"/>
        </w:rPr>
      </w:pPr>
      <w:bookmarkStart w:id="10" w:name="bookmark63"/>
      <w:r>
        <w:rPr>
          <w:rFonts w:ascii="Times New Roman" w:hAnsi="Times New Roman" w:eastAsia="Times New Roman" w:cs="Times New Roman"/>
          <w:color w:val="auto"/>
          <w:spacing w:val="0"/>
          <w:w w:val="100"/>
          <w:position w:val="0"/>
          <w:sz w:val="21"/>
          <w:szCs w:val="21"/>
          <w:highlight w:val="none"/>
        </w:rPr>
        <w:t>2</w:t>
      </w:r>
      <w:bookmarkEnd w:id="10"/>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交付地点:</w:t>
      </w:r>
    </w:p>
    <w:p>
      <w:pPr>
        <w:pStyle w:val="89"/>
        <w:keepNext w:val="0"/>
        <w:keepLines w:val="0"/>
        <w:widowControl w:val="0"/>
        <w:shd w:val="clear" w:color="auto" w:fill="auto"/>
        <w:bidi w:val="0"/>
        <w:spacing w:before="0" w:after="0" w:line="391" w:lineRule="exact"/>
        <w:ind w:left="0" w:right="0" w:firstLine="500"/>
        <w:jc w:val="both"/>
        <w:rPr>
          <w:color w:val="auto"/>
          <w:sz w:val="21"/>
          <w:szCs w:val="21"/>
          <w:highlight w:val="none"/>
        </w:rPr>
      </w:pPr>
      <w:r>
        <w:rPr>
          <w:color w:val="auto"/>
          <w:spacing w:val="0"/>
          <w:w w:val="100"/>
          <w:position w:val="0"/>
          <w:sz w:val="21"/>
          <w:szCs w:val="21"/>
          <w:highlight w:val="none"/>
        </w:rPr>
        <w:t>第四条交付验收</w:t>
      </w:r>
    </w:p>
    <w:p>
      <w:pPr>
        <w:pStyle w:val="89"/>
        <w:keepNext w:val="0"/>
        <w:keepLines w:val="0"/>
        <w:widowControl w:val="0"/>
        <w:numPr>
          <w:ilvl w:val="0"/>
          <w:numId w:val="16"/>
        </w:numPr>
        <w:shd w:val="clear" w:color="auto" w:fill="auto"/>
        <w:bidi w:val="0"/>
        <w:spacing w:before="0" w:after="80" w:line="391" w:lineRule="exact"/>
        <w:ind w:left="0" w:right="0" w:firstLine="500"/>
        <w:jc w:val="both"/>
        <w:rPr>
          <w:color w:val="auto"/>
          <w:spacing w:val="0"/>
          <w:w w:val="100"/>
          <w:position w:val="0"/>
          <w:sz w:val="21"/>
          <w:szCs w:val="21"/>
          <w:highlight w:val="none"/>
        </w:rPr>
        <w:sectPr>
          <w:footerReference r:id="rId4" w:type="default"/>
          <w:footnotePr>
            <w:numFmt w:val="decimal"/>
          </w:footnotePr>
          <w:pgSz w:w="11900" w:h="16840"/>
          <w:pgMar w:top="1559" w:right="1680" w:bottom="1361" w:left="1709" w:header="1131" w:footer="964" w:gutter="0"/>
          <w:pgNumType w:fmt="decimal" w:start="1"/>
          <w:cols w:space="0" w:num="1"/>
          <w:rtlGutter w:val="0"/>
          <w:docGrid w:linePitch="360" w:charSpace="0"/>
        </w:sectPr>
      </w:pPr>
      <w:r>
        <w:rPr>
          <w:color w:val="auto"/>
          <w:spacing w:val="0"/>
          <w:w w:val="100"/>
          <w:position w:val="0"/>
          <w:sz w:val="21"/>
          <w:szCs w:val="21"/>
          <w:highlight w:val="none"/>
        </w:rPr>
        <w:t>甲方应当根据国家、行业验收标准，以及合同约定验收方案，明确验收时间、方式、程序和内容等事项，组成验收小组，在收到乙方项目验收建议之日起</w:t>
      </w:r>
      <w:r>
        <w:rPr>
          <w:rFonts w:ascii="Times New Roman" w:hAnsi="Times New Roman" w:eastAsia="Times New Roman" w:cs="Times New Roman"/>
          <w:color w:val="auto"/>
          <w:spacing w:val="0"/>
          <w:w w:val="100"/>
          <w:position w:val="0"/>
          <w:sz w:val="21"/>
          <w:szCs w:val="21"/>
          <w:highlight w:val="none"/>
        </w:rPr>
        <w:t>1</w:t>
      </w:r>
      <w:r>
        <w:rPr>
          <w:color w:val="auto"/>
          <w:spacing w:val="0"/>
          <w:w w:val="100"/>
          <w:position w:val="0"/>
          <w:sz w:val="21"/>
          <w:szCs w:val="21"/>
          <w:highlight w:val="none"/>
        </w:rPr>
        <w:t>个工作日内，对采购项目进行实质性验收（验收建议有明显不当的除外）。乙方应对提交的服务成果</w:t>
      </w:r>
    </w:p>
    <w:p>
      <w:pPr>
        <w:pStyle w:val="89"/>
        <w:keepNext w:val="0"/>
        <w:keepLines w:val="0"/>
        <w:widowControl w:val="0"/>
        <w:shd w:val="clear" w:color="auto" w:fill="auto"/>
        <w:bidi w:val="0"/>
        <w:spacing w:before="0" w:after="0" w:line="400" w:lineRule="exact"/>
        <w:ind w:left="0" w:right="0" w:firstLine="0"/>
        <w:jc w:val="both"/>
        <w:rPr>
          <w:color w:val="auto"/>
          <w:sz w:val="21"/>
          <w:szCs w:val="21"/>
          <w:highlight w:val="none"/>
        </w:rPr>
      </w:pPr>
      <w:r>
        <w:rPr>
          <w:color w:val="auto"/>
          <w:spacing w:val="0"/>
          <w:w w:val="100"/>
          <w:position w:val="0"/>
          <w:sz w:val="21"/>
          <w:szCs w:val="21"/>
          <w:highlight w:val="none"/>
        </w:rPr>
        <w:t>作出全面检查和整理，并列出清单，作为甲方验收和使用技术条件依据，清单应随提交的服务成果交给甲方。</w:t>
      </w:r>
    </w:p>
    <w:p>
      <w:pPr>
        <w:pStyle w:val="89"/>
        <w:keepNext w:val="0"/>
        <w:keepLines w:val="0"/>
        <w:widowControl w:val="0"/>
        <w:shd w:val="clear" w:color="auto" w:fill="auto"/>
        <w:tabs>
          <w:tab w:val="left" w:pos="848"/>
        </w:tabs>
        <w:bidi w:val="0"/>
        <w:spacing w:before="0" w:after="0" w:line="400" w:lineRule="exact"/>
        <w:ind w:left="0" w:right="0" w:firstLine="480"/>
        <w:jc w:val="both"/>
        <w:rPr>
          <w:color w:val="auto"/>
          <w:sz w:val="21"/>
          <w:szCs w:val="21"/>
          <w:highlight w:val="none"/>
        </w:rPr>
      </w:pPr>
      <w:bookmarkStart w:id="11" w:name="bookmark64"/>
      <w:r>
        <w:rPr>
          <w:rFonts w:ascii="Times New Roman" w:hAnsi="Times New Roman" w:eastAsia="Times New Roman" w:cs="Times New Roman"/>
          <w:color w:val="auto"/>
          <w:spacing w:val="0"/>
          <w:w w:val="100"/>
          <w:position w:val="0"/>
          <w:sz w:val="21"/>
          <w:szCs w:val="21"/>
          <w:highlight w:val="none"/>
        </w:rPr>
        <w:t>2</w:t>
      </w:r>
      <w:bookmarkEnd w:id="11"/>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对大型或复杂的政府</w:t>
      </w:r>
      <w:r>
        <w:rPr>
          <w:rFonts w:hint="eastAsia"/>
          <w:color w:val="auto"/>
          <w:spacing w:val="0"/>
          <w:w w:val="100"/>
          <w:position w:val="0"/>
          <w:sz w:val="21"/>
          <w:szCs w:val="21"/>
          <w:highlight w:val="none"/>
          <w:lang w:eastAsia="zh-CN"/>
        </w:rPr>
        <w:t>采购</w:t>
      </w:r>
      <w:r>
        <w:rPr>
          <w:color w:val="auto"/>
          <w:spacing w:val="0"/>
          <w:w w:val="100"/>
          <w:position w:val="0"/>
          <w:sz w:val="21"/>
          <w:szCs w:val="21"/>
          <w:highlight w:val="none"/>
        </w:rPr>
        <w:t>项目，甲方应当邀请国家认可的质量检测机构参与验收工作，并出具验收报告，相关费用负担由甲乙双方约定。</w:t>
      </w:r>
    </w:p>
    <w:p>
      <w:pPr>
        <w:pStyle w:val="89"/>
        <w:keepNext w:val="0"/>
        <w:keepLines w:val="0"/>
        <w:widowControl w:val="0"/>
        <w:shd w:val="clear" w:color="auto" w:fill="auto"/>
        <w:tabs>
          <w:tab w:val="left" w:pos="862"/>
        </w:tabs>
        <w:bidi w:val="0"/>
        <w:spacing w:before="0" w:after="0" w:line="400" w:lineRule="exact"/>
        <w:ind w:left="0" w:right="0" w:firstLine="480"/>
        <w:jc w:val="both"/>
        <w:rPr>
          <w:color w:val="auto"/>
          <w:sz w:val="21"/>
          <w:szCs w:val="21"/>
          <w:highlight w:val="none"/>
        </w:rPr>
      </w:pPr>
      <w:bookmarkStart w:id="12" w:name="bookmark65"/>
      <w:r>
        <w:rPr>
          <w:rFonts w:ascii="Times New Roman" w:hAnsi="Times New Roman" w:eastAsia="Times New Roman" w:cs="Times New Roman"/>
          <w:color w:val="auto"/>
          <w:spacing w:val="0"/>
          <w:w w:val="100"/>
          <w:position w:val="0"/>
          <w:sz w:val="21"/>
          <w:szCs w:val="21"/>
          <w:highlight w:val="none"/>
        </w:rPr>
        <w:t>3</w:t>
      </w:r>
      <w:bookmarkEnd w:id="12"/>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乙方在指定地点提交服务成果后，甲乙双方应依据招标文件、投标文件等文件材料的要求共同验收，并且出具书面验收报告，履约验收报告应当依法依规及时在</w:t>
      </w:r>
      <w:r>
        <w:rPr>
          <w:rFonts w:hint="eastAsia"/>
          <w:color w:val="auto"/>
          <w:spacing w:val="0"/>
          <w:w w:val="100"/>
          <w:position w:val="0"/>
          <w:sz w:val="21"/>
          <w:szCs w:val="21"/>
          <w:highlight w:val="none"/>
          <w:lang w:eastAsia="zh-CN"/>
        </w:rPr>
        <w:t>河南省</w:t>
      </w:r>
      <w:r>
        <w:rPr>
          <w:color w:val="auto"/>
          <w:spacing w:val="0"/>
          <w:w w:val="100"/>
          <w:position w:val="0"/>
          <w:sz w:val="21"/>
          <w:szCs w:val="21"/>
          <w:highlight w:val="none"/>
        </w:rPr>
        <w:t>政府采购网公开发布。</w:t>
      </w:r>
    </w:p>
    <w:p>
      <w:pPr>
        <w:pStyle w:val="89"/>
        <w:keepNext w:val="0"/>
        <w:keepLines w:val="0"/>
        <w:widowControl w:val="0"/>
        <w:shd w:val="clear" w:color="auto" w:fill="auto"/>
        <w:tabs>
          <w:tab w:val="left" w:pos="853"/>
          <w:tab w:val="left" w:pos="5846"/>
        </w:tabs>
        <w:bidi w:val="0"/>
        <w:spacing w:before="0" w:after="0" w:line="400" w:lineRule="exact"/>
        <w:ind w:left="0" w:right="0" w:firstLine="480"/>
        <w:jc w:val="both"/>
        <w:rPr>
          <w:color w:val="auto"/>
          <w:sz w:val="21"/>
          <w:szCs w:val="21"/>
          <w:highlight w:val="none"/>
        </w:rPr>
      </w:pPr>
      <w:bookmarkStart w:id="13" w:name="bookmark66"/>
      <w:r>
        <w:rPr>
          <w:rFonts w:ascii="Times New Roman" w:hAnsi="Times New Roman" w:eastAsia="Times New Roman" w:cs="Times New Roman"/>
          <w:color w:val="auto"/>
          <w:spacing w:val="0"/>
          <w:w w:val="100"/>
          <w:position w:val="0"/>
          <w:sz w:val="21"/>
          <w:szCs w:val="21"/>
          <w:highlight w:val="none"/>
        </w:rPr>
        <w:t>4</w:t>
      </w:r>
      <w:bookmarkEnd w:id="13"/>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根据财政部等三部门《关于印发</w:t>
      </w:r>
      <w:r>
        <w:rPr>
          <w:color w:val="auto"/>
          <w:spacing w:val="0"/>
          <w:w w:val="100"/>
          <w:position w:val="0"/>
          <w:sz w:val="21"/>
          <w:szCs w:val="21"/>
          <w:highlight w:val="none"/>
          <w:lang w:val="zh-CN" w:eastAsia="zh-CN" w:bidi="zh-CN"/>
        </w:rPr>
        <w:t>〈商</w:t>
      </w:r>
      <w:r>
        <w:rPr>
          <w:color w:val="auto"/>
          <w:spacing w:val="0"/>
          <w:w w:val="100"/>
          <w:position w:val="0"/>
          <w:sz w:val="21"/>
          <w:szCs w:val="21"/>
          <w:highlight w:val="none"/>
        </w:rPr>
        <w:t>品包装政府采购需求标准（试行）〉、〈 快递包装政府采购需求标准（试行）〉的通知》规定，</w:t>
      </w:r>
      <w:r>
        <w:rPr>
          <w:rFonts w:hint="eastAsia"/>
          <w:color w:val="auto"/>
          <w:spacing w:val="0"/>
          <w:w w:val="100"/>
          <w:position w:val="0"/>
          <w:sz w:val="21"/>
          <w:szCs w:val="21"/>
          <w:highlight w:val="none"/>
          <w:lang w:eastAsia="zh-CN"/>
        </w:rPr>
        <w:t>采购</w:t>
      </w:r>
      <w:r>
        <w:rPr>
          <w:color w:val="auto"/>
          <w:spacing w:val="0"/>
          <w:w w:val="100"/>
          <w:position w:val="0"/>
          <w:sz w:val="21"/>
          <w:szCs w:val="21"/>
          <w:highlight w:val="none"/>
        </w:rPr>
        <w:t>文件对商品包装和快递包装提出具体要求的，对乙方所提供包装的履约验收要求（必要时要求乙方在履约验收环节出具检测报告）：</w:t>
      </w:r>
      <w:r>
        <w:rPr>
          <w:color w:val="auto"/>
          <w:sz w:val="21"/>
          <w:szCs w:val="21"/>
          <w:highlight w:val="none"/>
          <w:u w:val="single"/>
        </w:rPr>
        <w:t xml:space="preserve"> </w:t>
      </w:r>
      <w:r>
        <w:rPr>
          <w:color w:val="auto"/>
          <w:sz w:val="21"/>
          <w:szCs w:val="21"/>
          <w:highlight w:val="none"/>
          <w:u w:val="single"/>
        </w:rPr>
        <w:tab/>
      </w:r>
    </w:p>
    <w:p>
      <w:pPr>
        <w:pStyle w:val="89"/>
        <w:keepNext w:val="0"/>
        <w:keepLines w:val="0"/>
        <w:widowControl w:val="0"/>
        <w:shd w:val="clear" w:color="auto" w:fill="auto"/>
        <w:bidi w:val="0"/>
        <w:spacing w:before="0" w:after="140" w:line="400" w:lineRule="exact"/>
        <w:ind w:left="0" w:right="0" w:firstLine="480"/>
        <w:jc w:val="both"/>
        <w:rPr>
          <w:color w:val="auto"/>
          <w:sz w:val="21"/>
          <w:szCs w:val="21"/>
          <w:highlight w:val="none"/>
        </w:rPr>
      </w:pPr>
      <w:r>
        <w:rPr>
          <w:color w:val="auto"/>
          <w:spacing w:val="0"/>
          <w:w w:val="100"/>
          <w:position w:val="0"/>
          <w:sz w:val="21"/>
          <w:szCs w:val="21"/>
          <w:highlight w:val="none"/>
        </w:rPr>
        <w:t>第五条权利瑕疵担当</w:t>
      </w:r>
    </w:p>
    <w:p>
      <w:pPr>
        <w:pStyle w:val="89"/>
        <w:keepNext w:val="0"/>
        <w:keepLines w:val="0"/>
        <w:widowControl w:val="0"/>
        <w:numPr>
          <w:ilvl w:val="0"/>
          <w:numId w:val="17"/>
        </w:numPr>
        <w:shd w:val="clear" w:color="auto" w:fill="auto"/>
        <w:tabs>
          <w:tab w:val="left" w:pos="819"/>
        </w:tabs>
        <w:bidi w:val="0"/>
        <w:spacing w:before="0" w:after="0"/>
        <w:ind w:left="0" w:right="0" w:firstLine="480"/>
        <w:jc w:val="both"/>
        <w:rPr>
          <w:color w:val="auto"/>
          <w:sz w:val="21"/>
          <w:szCs w:val="21"/>
          <w:highlight w:val="none"/>
        </w:rPr>
      </w:pPr>
      <w:bookmarkStart w:id="14" w:name="bookmark67"/>
      <w:bookmarkEnd w:id="14"/>
      <w:r>
        <w:rPr>
          <w:color w:val="auto"/>
          <w:spacing w:val="0"/>
          <w:w w:val="100"/>
          <w:position w:val="0"/>
          <w:sz w:val="21"/>
          <w:szCs w:val="21"/>
          <w:highlight w:val="none"/>
        </w:rPr>
        <w:t>乙方保证对其出售的标的物享有合法的权利；</w:t>
      </w:r>
    </w:p>
    <w:p>
      <w:pPr>
        <w:pStyle w:val="89"/>
        <w:keepNext w:val="0"/>
        <w:keepLines w:val="0"/>
        <w:widowControl w:val="0"/>
        <w:numPr>
          <w:ilvl w:val="0"/>
          <w:numId w:val="17"/>
        </w:numPr>
        <w:shd w:val="clear" w:color="auto" w:fill="auto"/>
        <w:tabs>
          <w:tab w:val="left" w:pos="824"/>
        </w:tabs>
        <w:bidi w:val="0"/>
        <w:spacing w:before="0" w:after="0" w:line="400" w:lineRule="exact"/>
        <w:ind w:left="0" w:right="0" w:firstLine="480"/>
        <w:jc w:val="both"/>
        <w:rPr>
          <w:color w:val="auto"/>
          <w:sz w:val="21"/>
          <w:szCs w:val="21"/>
          <w:highlight w:val="none"/>
        </w:rPr>
      </w:pPr>
      <w:bookmarkStart w:id="15" w:name="bookmark68"/>
      <w:bookmarkEnd w:id="15"/>
      <w:r>
        <w:rPr>
          <w:color w:val="auto"/>
          <w:spacing w:val="0"/>
          <w:w w:val="100"/>
          <w:position w:val="0"/>
          <w:sz w:val="21"/>
          <w:szCs w:val="21"/>
          <w:highlight w:val="none"/>
        </w:rPr>
        <w:t>乙方应保证在其出售的标的物上不存在任何未曾向甲方透露的担保物权，如抵押权、质押权、留置权等；</w:t>
      </w:r>
    </w:p>
    <w:p>
      <w:pPr>
        <w:pStyle w:val="89"/>
        <w:keepNext w:val="0"/>
        <w:keepLines w:val="0"/>
        <w:widowControl w:val="0"/>
        <w:numPr>
          <w:ilvl w:val="0"/>
          <w:numId w:val="17"/>
        </w:numPr>
        <w:shd w:val="clear" w:color="auto" w:fill="auto"/>
        <w:tabs>
          <w:tab w:val="left" w:pos="819"/>
        </w:tabs>
        <w:bidi w:val="0"/>
        <w:spacing w:before="0" w:after="140" w:line="400" w:lineRule="exact"/>
        <w:ind w:left="0" w:right="0" w:firstLine="480"/>
        <w:jc w:val="both"/>
        <w:rPr>
          <w:color w:val="auto"/>
          <w:sz w:val="21"/>
          <w:szCs w:val="21"/>
          <w:highlight w:val="none"/>
        </w:rPr>
      </w:pPr>
      <w:bookmarkStart w:id="16" w:name="bookmark69"/>
      <w:bookmarkEnd w:id="16"/>
      <w:r>
        <w:rPr>
          <w:color w:val="auto"/>
          <w:spacing w:val="0"/>
          <w:w w:val="100"/>
          <w:position w:val="0"/>
          <w:sz w:val="21"/>
          <w:szCs w:val="21"/>
          <w:highlight w:val="none"/>
        </w:rPr>
        <w:t>乙方应保证其所出售的标的物没有侵害任何第三人的知识产权和商业秘密等权利；</w:t>
      </w:r>
    </w:p>
    <w:p>
      <w:pPr>
        <w:pStyle w:val="89"/>
        <w:keepNext w:val="0"/>
        <w:keepLines w:val="0"/>
        <w:widowControl w:val="0"/>
        <w:numPr>
          <w:ilvl w:val="0"/>
          <w:numId w:val="17"/>
        </w:numPr>
        <w:shd w:val="clear" w:color="auto" w:fill="auto"/>
        <w:tabs>
          <w:tab w:val="left" w:pos="834"/>
        </w:tabs>
        <w:bidi w:val="0"/>
        <w:spacing w:before="0" w:after="0"/>
        <w:ind w:left="0" w:right="0" w:firstLine="480"/>
        <w:jc w:val="both"/>
        <w:rPr>
          <w:color w:val="auto"/>
          <w:sz w:val="21"/>
          <w:szCs w:val="21"/>
          <w:highlight w:val="none"/>
        </w:rPr>
      </w:pPr>
      <w:bookmarkStart w:id="17" w:name="bookmark70"/>
      <w:bookmarkEnd w:id="17"/>
      <w:r>
        <w:rPr>
          <w:color w:val="auto"/>
          <w:spacing w:val="0"/>
          <w:w w:val="100"/>
          <w:position w:val="0"/>
          <w:sz w:val="21"/>
          <w:szCs w:val="21"/>
          <w:highlight w:val="none"/>
        </w:rPr>
        <w:t>如甲方使用该标的物构成上述侵权的，则由乙方承担全部责任。</w:t>
      </w:r>
    </w:p>
    <w:p>
      <w:pPr>
        <w:pStyle w:val="89"/>
        <w:keepNext w:val="0"/>
        <w:keepLines w:val="0"/>
        <w:widowControl w:val="0"/>
        <w:shd w:val="clear" w:color="auto" w:fill="auto"/>
        <w:bidi w:val="0"/>
        <w:spacing w:before="0" w:after="0" w:line="400" w:lineRule="exact"/>
        <w:ind w:left="0" w:right="0" w:firstLine="480"/>
        <w:jc w:val="both"/>
        <w:rPr>
          <w:color w:val="auto"/>
          <w:sz w:val="21"/>
          <w:szCs w:val="21"/>
          <w:highlight w:val="none"/>
        </w:rPr>
      </w:pPr>
      <w:r>
        <w:rPr>
          <w:color w:val="auto"/>
          <w:spacing w:val="0"/>
          <w:w w:val="100"/>
          <w:position w:val="0"/>
          <w:sz w:val="21"/>
          <w:szCs w:val="21"/>
          <w:highlight w:val="none"/>
        </w:rPr>
        <w:t>第六条所有权归属</w:t>
      </w:r>
    </w:p>
    <w:p>
      <w:pPr>
        <w:pStyle w:val="89"/>
        <w:keepNext w:val="0"/>
        <w:keepLines w:val="0"/>
        <w:widowControl w:val="0"/>
        <w:shd w:val="clear" w:color="auto" w:fill="auto"/>
        <w:bidi w:val="0"/>
        <w:spacing w:before="0" w:after="0" w:line="400" w:lineRule="exact"/>
        <w:ind w:left="0" w:right="0" w:firstLine="480"/>
        <w:jc w:val="both"/>
        <w:rPr>
          <w:color w:val="auto"/>
          <w:sz w:val="21"/>
          <w:szCs w:val="21"/>
          <w:highlight w:val="none"/>
        </w:rPr>
      </w:pPr>
      <w:r>
        <w:rPr>
          <w:color w:val="auto"/>
          <w:spacing w:val="0"/>
          <w:w w:val="100"/>
          <w:position w:val="0"/>
          <w:sz w:val="21"/>
          <w:szCs w:val="21"/>
          <w:highlight w:val="none"/>
        </w:rPr>
        <w:t>乙方将服务成果交付甲方，并且经甲乙双方共同验收合格后所有权转移给甲方，在所有权转移之前，标的物损毁、灭失的风险归乙方，乙方保证所交付的服务成果的所有权完全属于乙方且无任何抵押、查封等产</w:t>
      </w:r>
      <w:r>
        <w:rPr>
          <w:rFonts w:hint="eastAsia"/>
          <w:color w:val="auto"/>
          <w:spacing w:val="0"/>
          <w:w w:val="100"/>
          <w:position w:val="0"/>
          <w:sz w:val="21"/>
          <w:szCs w:val="21"/>
          <w:highlight w:val="none"/>
          <w:lang w:eastAsia="zh-CN"/>
        </w:rPr>
        <w:t>权</w:t>
      </w:r>
      <w:r>
        <w:rPr>
          <w:color w:val="auto"/>
          <w:spacing w:val="0"/>
          <w:w w:val="100"/>
          <w:position w:val="0"/>
          <w:sz w:val="21"/>
          <w:szCs w:val="21"/>
          <w:highlight w:val="none"/>
        </w:rPr>
        <w:t>瑕疵。</w:t>
      </w:r>
    </w:p>
    <w:p>
      <w:pPr>
        <w:pStyle w:val="89"/>
        <w:keepNext w:val="0"/>
        <w:keepLines w:val="0"/>
        <w:widowControl w:val="0"/>
        <w:shd w:val="clear" w:color="auto" w:fill="auto"/>
        <w:bidi w:val="0"/>
        <w:spacing w:before="0" w:after="0" w:line="400" w:lineRule="exact"/>
        <w:ind w:left="0" w:right="0" w:firstLine="480"/>
        <w:jc w:val="both"/>
        <w:rPr>
          <w:color w:val="auto"/>
          <w:sz w:val="21"/>
          <w:szCs w:val="21"/>
          <w:highlight w:val="none"/>
        </w:rPr>
      </w:pPr>
      <w:r>
        <w:rPr>
          <w:color w:val="auto"/>
          <w:spacing w:val="0"/>
          <w:w w:val="100"/>
          <w:position w:val="0"/>
          <w:sz w:val="21"/>
          <w:szCs w:val="21"/>
          <w:highlight w:val="none"/>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pPr>
        <w:pStyle w:val="89"/>
        <w:keepNext w:val="0"/>
        <w:keepLines w:val="0"/>
        <w:widowControl w:val="0"/>
        <w:shd w:val="clear" w:color="auto" w:fill="auto"/>
        <w:bidi w:val="0"/>
        <w:spacing w:before="0" w:after="0" w:line="400" w:lineRule="exact"/>
        <w:ind w:left="0" w:right="0" w:firstLine="480"/>
        <w:jc w:val="both"/>
        <w:rPr>
          <w:color w:val="auto"/>
          <w:sz w:val="21"/>
          <w:szCs w:val="21"/>
          <w:highlight w:val="none"/>
        </w:rPr>
      </w:pPr>
      <w:r>
        <w:rPr>
          <w:color w:val="auto"/>
          <w:spacing w:val="0"/>
          <w:w w:val="100"/>
          <w:position w:val="0"/>
          <w:sz w:val="21"/>
          <w:szCs w:val="21"/>
          <w:highlight w:val="none"/>
        </w:rPr>
        <w:t>第七条包装、装运及运输</w:t>
      </w:r>
    </w:p>
    <w:p>
      <w:pPr>
        <w:pStyle w:val="89"/>
        <w:keepNext w:val="0"/>
        <w:keepLines w:val="0"/>
        <w:widowControl w:val="0"/>
        <w:shd w:val="clear" w:color="auto" w:fill="auto"/>
        <w:tabs>
          <w:tab w:val="left" w:pos="862"/>
        </w:tabs>
        <w:bidi w:val="0"/>
        <w:spacing w:before="0" w:after="140" w:line="400" w:lineRule="exact"/>
        <w:ind w:left="0" w:right="0" w:firstLine="480"/>
        <w:jc w:val="both"/>
        <w:rPr>
          <w:color w:val="auto"/>
          <w:sz w:val="21"/>
          <w:szCs w:val="21"/>
          <w:highlight w:val="none"/>
        </w:rPr>
      </w:pPr>
      <w:bookmarkStart w:id="18" w:name="bookmark71"/>
      <w:r>
        <w:rPr>
          <w:rFonts w:ascii="Times New Roman" w:hAnsi="Times New Roman" w:eastAsia="Times New Roman" w:cs="Times New Roman"/>
          <w:color w:val="auto"/>
          <w:spacing w:val="0"/>
          <w:w w:val="100"/>
          <w:position w:val="0"/>
          <w:sz w:val="21"/>
          <w:szCs w:val="21"/>
          <w:highlight w:val="none"/>
        </w:rPr>
        <w:t>1</w:t>
      </w:r>
      <w:bookmarkEnd w:id="18"/>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乙方负责包装、装运和运输，由于不适当的包装、装运和运输造成任何损坏均由乙方负责。</w:t>
      </w:r>
    </w:p>
    <w:p>
      <w:pPr>
        <w:pStyle w:val="89"/>
        <w:keepNext w:val="0"/>
        <w:keepLines w:val="0"/>
        <w:widowControl w:val="0"/>
        <w:shd w:val="clear" w:color="auto" w:fill="auto"/>
        <w:tabs>
          <w:tab w:val="left" w:pos="872"/>
        </w:tabs>
        <w:bidi w:val="0"/>
        <w:spacing w:before="0" w:after="0"/>
        <w:ind w:left="0" w:right="0" w:firstLine="480"/>
        <w:jc w:val="both"/>
        <w:rPr>
          <w:color w:val="auto"/>
          <w:sz w:val="21"/>
          <w:szCs w:val="21"/>
          <w:highlight w:val="none"/>
        </w:rPr>
      </w:pPr>
      <w:bookmarkStart w:id="19" w:name="bookmark72"/>
      <w:r>
        <w:rPr>
          <w:rFonts w:ascii="Times New Roman" w:hAnsi="Times New Roman" w:eastAsia="Times New Roman" w:cs="Times New Roman"/>
          <w:color w:val="auto"/>
          <w:spacing w:val="0"/>
          <w:w w:val="100"/>
          <w:position w:val="0"/>
          <w:sz w:val="21"/>
          <w:szCs w:val="21"/>
          <w:highlight w:val="none"/>
        </w:rPr>
        <w:t>2</w:t>
      </w:r>
      <w:bookmarkEnd w:id="19"/>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包装费、运费及相关费用已包含在合同总金额内。</w:t>
      </w:r>
    </w:p>
    <w:p>
      <w:pPr>
        <w:pStyle w:val="89"/>
        <w:keepNext w:val="0"/>
        <w:keepLines w:val="0"/>
        <w:widowControl w:val="0"/>
        <w:shd w:val="clear" w:color="auto" w:fill="auto"/>
        <w:tabs>
          <w:tab w:val="left" w:pos="867"/>
        </w:tabs>
        <w:bidi w:val="0"/>
        <w:spacing w:before="0" w:after="0" w:line="400" w:lineRule="exact"/>
        <w:ind w:left="0" w:right="0" w:firstLine="480"/>
        <w:jc w:val="both"/>
        <w:rPr>
          <w:color w:val="auto"/>
          <w:sz w:val="21"/>
          <w:szCs w:val="21"/>
          <w:highlight w:val="none"/>
        </w:rPr>
      </w:pPr>
      <w:bookmarkStart w:id="20" w:name="bookmark73"/>
      <w:r>
        <w:rPr>
          <w:rFonts w:ascii="Times New Roman" w:hAnsi="Times New Roman" w:eastAsia="Times New Roman" w:cs="Times New Roman"/>
          <w:color w:val="auto"/>
          <w:spacing w:val="0"/>
          <w:w w:val="100"/>
          <w:position w:val="0"/>
          <w:sz w:val="21"/>
          <w:szCs w:val="21"/>
          <w:highlight w:val="none"/>
        </w:rPr>
        <w:t>3</w:t>
      </w:r>
      <w:bookmarkEnd w:id="20"/>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根据财政部等三部门《关于印发</w:t>
      </w:r>
      <w:r>
        <w:rPr>
          <w:color w:val="auto"/>
          <w:spacing w:val="0"/>
          <w:w w:val="100"/>
          <w:position w:val="0"/>
          <w:sz w:val="21"/>
          <w:szCs w:val="21"/>
          <w:highlight w:val="none"/>
          <w:lang w:val="zh-CN" w:eastAsia="zh-CN" w:bidi="zh-CN"/>
        </w:rPr>
        <w:t>〈商</w:t>
      </w:r>
      <w:r>
        <w:rPr>
          <w:color w:val="auto"/>
          <w:spacing w:val="0"/>
          <w:w w:val="100"/>
          <w:position w:val="0"/>
          <w:sz w:val="21"/>
          <w:szCs w:val="21"/>
          <w:highlight w:val="none"/>
        </w:rPr>
        <w:t>品包装政府</w:t>
      </w:r>
      <w:r>
        <w:rPr>
          <w:rFonts w:hint="eastAsia"/>
          <w:color w:val="auto"/>
          <w:spacing w:val="0"/>
          <w:w w:val="100"/>
          <w:position w:val="0"/>
          <w:sz w:val="21"/>
          <w:szCs w:val="21"/>
          <w:highlight w:val="none"/>
          <w:lang w:eastAsia="zh-CN"/>
        </w:rPr>
        <w:t>采购</w:t>
      </w:r>
      <w:r>
        <w:rPr>
          <w:color w:val="auto"/>
          <w:spacing w:val="0"/>
          <w:w w:val="100"/>
          <w:position w:val="0"/>
          <w:sz w:val="21"/>
          <w:szCs w:val="21"/>
          <w:highlight w:val="none"/>
        </w:rPr>
        <w:t>需求标准（试行）＞、〈 快递包装政府</w:t>
      </w:r>
      <w:r>
        <w:rPr>
          <w:rFonts w:hint="eastAsia"/>
          <w:color w:val="auto"/>
          <w:spacing w:val="0"/>
          <w:w w:val="100"/>
          <w:position w:val="0"/>
          <w:sz w:val="21"/>
          <w:szCs w:val="21"/>
          <w:highlight w:val="none"/>
          <w:lang w:eastAsia="zh-CN"/>
        </w:rPr>
        <w:t>采购</w:t>
      </w:r>
      <w:r>
        <w:rPr>
          <w:color w:val="auto"/>
          <w:spacing w:val="0"/>
          <w:w w:val="100"/>
          <w:position w:val="0"/>
          <w:sz w:val="21"/>
          <w:szCs w:val="21"/>
          <w:highlight w:val="none"/>
        </w:rPr>
        <w:t>需求标准（试行）〉的通知》规定，对乙方提出的具体包装要求：</w:t>
      </w:r>
    </w:p>
    <w:p>
      <w:pPr>
        <w:pStyle w:val="89"/>
        <w:keepNext w:val="0"/>
        <w:keepLines w:val="0"/>
        <w:widowControl w:val="0"/>
        <w:shd w:val="clear" w:color="auto" w:fill="auto"/>
        <w:bidi w:val="0"/>
        <w:spacing w:before="0" w:after="140" w:line="400" w:lineRule="exact"/>
        <w:ind w:left="0" w:right="0" w:firstLine="460"/>
        <w:jc w:val="both"/>
        <w:rPr>
          <w:color w:val="auto"/>
          <w:sz w:val="21"/>
          <w:szCs w:val="21"/>
          <w:highlight w:val="none"/>
        </w:rPr>
      </w:pPr>
      <w:r>
        <w:rPr>
          <w:color w:val="auto"/>
          <w:spacing w:val="0"/>
          <w:w w:val="100"/>
          <w:position w:val="0"/>
          <w:sz w:val="21"/>
          <w:szCs w:val="21"/>
          <w:highlight w:val="none"/>
        </w:rPr>
        <w:t>第八条款项支付</w:t>
      </w:r>
    </w:p>
    <w:p>
      <w:pPr>
        <w:pStyle w:val="89"/>
        <w:keepNext w:val="0"/>
        <w:keepLines w:val="0"/>
        <w:widowControl w:val="0"/>
        <w:shd w:val="clear" w:color="auto" w:fill="auto"/>
        <w:tabs>
          <w:tab w:val="left" w:pos="842"/>
        </w:tabs>
        <w:bidi w:val="0"/>
        <w:spacing w:before="0" w:after="0"/>
        <w:ind w:left="0" w:right="0" w:firstLine="460"/>
        <w:jc w:val="both"/>
        <w:rPr>
          <w:color w:val="auto"/>
          <w:sz w:val="21"/>
          <w:szCs w:val="21"/>
          <w:highlight w:val="none"/>
        </w:rPr>
      </w:pPr>
      <w:bookmarkStart w:id="21" w:name="bookmark74"/>
      <w:r>
        <w:rPr>
          <w:rFonts w:ascii="Times New Roman" w:hAnsi="Times New Roman" w:eastAsia="Times New Roman" w:cs="Times New Roman"/>
          <w:color w:val="auto"/>
          <w:spacing w:val="0"/>
          <w:w w:val="100"/>
          <w:position w:val="0"/>
          <w:sz w:val="21"/>
          <w:szCs w:val="21"/>
          <w:highlight w:val="none"/>
        </w:rPr>
        <w:t>1</w:t>
      </w:r>
      <w:bookmarkEnd w:id="21"/>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服务成果交付甲方，经甲乙双方共同验收合格后由甲方负责办理支付手续。</w:t>
      </w:r>
    </w:p>
    <w:p>
      <w:pPr>
        <w:pStyle w:val="89"/>
        <w:keepNext w:val="0"/>
        <w:keepLines w:val="0"/>
        <w:widowControl w:val="0"/>
        <w:shd w:val="clear" w:color="auto" w:fill="auto"/>
        <w:tabs>
          <w:tab w:val="left" w:pos="392"/>
        </w:tabs>
        <w:bidi w:val="0"/>
        <w:spacing w:before="0" w:after="160"/>
        <w:ind w:left="0" w:right="0" w:firstLine="460"/>
        <w:jc w:val="both"/>
        <w:rPr>
          <w:color w:val="auto"/>
          <w:sz w:val="21"/>
          <w:szCs w:val="21"/>
          <w:highlight w:val="none"/>
        </w:rPr>
      </w:pPr>
      <w:bookmarkStart w:id="22" w:name="bookmark75"/>
      <w:r>
        <w:rPr>
          <w:rFonts w:ascii="Times New Roman" w:hAnsi="Times New Roman" w:eastAsia="Times New Roman" w:cs="Times New Roman"/>
          <w:color w:val="auto"/>
          <w:spacing w:val="0"/>
          <w:w w:val="100"/>
          <w:position w:val="0"/>
          <w:sz w:val="21"/>
          <w:szCs w:val="21"/>
          <w:highlight w:val="none"/>
        </w:rPr>
        <w:t>2</w:t>
      </w:r>
      <w:bookmarkEnd w:id="22"/>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允许并鼓励乙方提供电子发票，甲方自收到发票之日起</w:t>
      </w:r>
      <w:r>
        <w:rPr>
          <w:rFonts w:ascii="Times New Roman" w:hAnsi="Times New Roman" w:eastAsia="Times New Roman" w:cs="Times New Roman"/>
          <w:color w:val="auto"/>
          <w:spacing w:val="0"/>
          <w:w w:val="100"/>
          <w:position w:val="0"/>
          <w:sz w:val="21"/>
          <w:szCs w:val="21"/>
          <w:highlight w:val="none"/>
        </w:rPr>
        <w:t>2</w:t>
      </w:r>
      <w:r>
        <w:rPr>
          <w:color w:val="auto"/>
          <w:spacing w:val="0"/>
          <w:w w:val="100"/>
          <w:position w:val="0"/>
          <w:sz w:val="21"/>
          <w:szCs w:val="21"/>
          <w:highlight w:val="none"/>
        </w:rPr>
        <w:t>个工作日内支付资金，并不得附加未经约定的其他条件。</w:t>
      </w:r>
    </w:p>
    <w:p>
      <w:pPr>
        <w:pStyle w:val="89"/>
        <w:keepNext w:val="0"/>
        <w:keepLines w:val="0"/>
        <w:widowControl w:val="0"/>
        <w:shd w:val="clear" w:color="auto" w:fill="auto"/>
        <w:bidi w:val="0"/>
        <w:spacing w:before="0" w:after="0" w:line="382" w:lineRule="auto"/>
        <w:ind w:left="0" w:right="0" w:firstLine="480"/>
        <w:jc w:val="both"/>
        <w:rPr>
          <w:color w:val="auto"/>
          <w:sz w:val="21"/>
          <w:szCs w:val="21"/>
          <w:highlight w:val="none"/>
        </w:rPr>
      </w:pPr>
      <w:bookmarkStart w:id="23" w:name="bookmark76"/>
      <w:r>
        <w:rPr>
          <w:rFonts w:ascii="Times New Roman" w:hAnsi="Times New Roman" w:eastAsia="Times New Roman" w:cs="Times New Roman"/>
          <w:color w:val="auto"/>
          <w:spacing w:val="0"/>
          <w:w w:val="100"/>
          <w:position w:val="0"/>
          <w:sz w:val="21"/>
          <w:szCs w:val="21"/>
          <w:highlight w:val="none"/>
        </w:rPr>
        <w:t>3</w:t>
      </w:r>
      <w:bookmarkEnd w:id="23"/>
      <w:r>
        <w:rPr>
          <w:color w:val="auto"/>
          <w:spacing w:val="0"/>
          <w:w w:val="100"/>
          <w:position w:val="0"/>
          <w:sz w:val="21"/>
          <w:szCs w:val="21"/>
          <w:highlight w:val="none"/>
        </w:rPr>
        <w:t>、付款方式</w:t>
      </w:r>
    </w:p>
    <w:p>
      <w:pPr>
        <w:pStyle w:val="89"/>
        <w:keepNext w:val="0"/>
        <w:keepLines w:val="0"/>
        <w:widowControl w:val="0"/>
        <w:shd w:val="clear" w:color="auto" w:fill="auto"/>
        <w:tabs>
          <w:tab w:val="left" w:leader="dot" w:pos="2088"/>
        </w:tabs>
        <w:bidi w:val="0"/>
        <w:spacing w:before="0" w:after="0" w:line="401" w:lineRule="exact"/>
        <w:ind w:left="0" w:right="0" w:firstLine="480"/>
        <w:jc w:val="both"/>
        <w:rPr>
          <w:color w:val="auto"/>
          <w:sz w:val="21"/>
          <w:szCs w:val="21"/>
          <w:highlight w:val="none"/>
        </w:rPr>
      </w:pPr>
      <w:r>
        <w:rPr>
          <w:rFonts w:ascii="Times New Roman" w:hAnsi="Times New Roman" w:eastAsia="Times New Roman" w:cs="Times New Roman"/>
          <w:color w:val="auto"/>
          <w:spacing w:val="0"/>
          <w:w w:val="100"/>
          <w:position w:val="0"/>
          <w:sz w:val="21"/>
          <w:szCs w:val="21"/>
          <w:highlight w:val="none"/>
          <w:lang w:val="en-US" w:eastAsia="en-US" w:bidi="en-US"/>
        </w:rPr>
        <w:t>3.1</w:t>
      </w:r>
      <w:r>
        <w:rPr>
          <w:color w:val="auto"/>
          <w:spacing w:val="0"/>
          <w:w w:val="100"/>
          <w:position w:val="0"/>
          <w:sz w:val="21"/>
          <w:szCs w:val="21"/>
          <w:highlight w:val="none"/>
        </w:rPr>
        <w:t>预付款比例：</w:t>
      </w:r>
      <w:r>
        <w:rPr>
          <w:rFonts w:hint="eastAsia"/>
          <w:color w:val="auto"/>
          <w:spacing w:val="0"/>
          <w:w w:val="100"/>
          <w:position w:val="0"/>
          <w:sz w:val="21"/>
          <w:szCs w:val="21"/>
          <w:highlight w:val="none"/>
          <w:u w:val="single"/>
          <w:lang w:val="en-US" w:eastAsia="zh-CN"/>
        </w:rPr>
        <w:t xml:space="preserve">   </w:t>
      </w:r>
      <w:r>
        <w:rPr>
          <w:color w:val="auto"/>
          <w:spacing w:val="0"/>
          <w:w w:val="100"/>
          <w:position w:val="0"/>
          <w:sz w:val="21"/>
          <w:szCs w:val="21"/>
          <w:highlight w:val="none"/>
        </w:rPr>
        <w:t>％,于政府采购合同签订生效并具备实施条件后</w:t>
      </w:r>
      <w:r>
        <w:rPr>
          <w:rFonts w:ascii="Times New Roman" w:hAnsi="Times New Roman" w:eastAsia="Times New Roman" w:cs="Times New Roman"/>
          <w:color w:val="auto"/>
          <w:spacing w:val="0"/>
          <w:w w:val="100"/>
          <w:position w:val="0"/>
          <w:sz w:val="21"/>
          <w:szCs w:val="21"/>
          <w:highlight w:val="none"/>
        </w:rPr>
        <w:t>2</w:t>
      </w:r>
      <w:r>
        <w:rPr>
          <w:color w:val="auto"/>
          <w:spacing w:val="0"/>
          <w:w w:val="100"/>
          <w:position w:val="0"/>
          <w:sz w:val="21"/>
          <w:szCs w:val="21"/>
          <w:highlight w:val="none"/>
        </w:rPr>
        <w:t>个工作日内支付。</w:t>
      </w:r>
    </w:p>
    <w:p>
      <w:pPr>
        <w:pStyle w:val="89"/>
        <w:keepNext w:val="0"/>
        <w:keepLines w:val="0"/>
        <w:widowControl w:val="0"/>
        <w:shd w:val="clear" w:color="auto" w:fill="auto"/>
        <w:bidi w:val="0"/>
        <w:spacing w:before="0" w:after="0" w:line="401" w:lineRule="exact"/>
        <w:ind w:left="0" w:right="0" w:firstLine="480"/>
        <w:jc w:val="both"/>
        <w:rPr>
          <w:color w:val="auto"/>
          <w:sz w:val="21"/>
          <w:szCs w:val="21"/>
          <w:highlight w:val="none"/>
        </w:rPr>
      </w:pPr>
      <w:r>
        <w:rPr>
          <w:color w:val="auto"/>
          <w:spacing w:val="0"/>
          <w:w w:val="100"/>
          <w:position w:val="0"/>
          <w:sz w:val="21"/>
          <w:szCs w:val="21"/>
          <w:highlight w:val="none"/>
        </w:rPr>
        <w:t>第九条履约保证金</w:t>
      </w:r>
    </w:p>
    <w:p>
      <w:pPr>
        <w:pStyle w:val="89"/>
        <w:keepNext w:val="0"/>
        <w:keepLines w:val="0"/>
        <w:widowControl w:val="0"/>
        <w:shd w:val="clear" w:color="auto" w:fill="auto"/>
        <w:bidi w:val="0"/>
        <w:spacing w:before="0" w:after="0" w:line="401" w:lineRule="exact"/>
        <w:ind w:left="460" w:right="0" w:firstLine="20"/>
        <w:jc w:val="both"/>
        <w:rPr>
          <w:color w:val="auto"/>
          <w:spacing w:val="0"/>
          <w:w w:val="100"/>
          <w:position w:val="0"/>
          <w:sz w:val="21"/>
          <w:szCs w:val="21"/>
          <w:highlight w:val="none"/>
        </w:rPr>
      </w:pPr>
      <w:r>
        <w:rPr>
          <w:color w:val="auto"/>
          <w:spacing w:val="0"/>
          <w:w w:val="100"/>
          <w:position w:val="0"/>
          <w:sz w:val="21"/>
          <w:szCs w:val="21"/>
          <w:highlight w:val="none"/>
        </w:rPr>
        <w:t>根据许昌市优化政府采购营商环境要求，项目不收取履约保证金。</w:t>
      </w:r>
    </w:p>
    <w:p>
      <w:pPr>
        <w:pStyle w:val="89"/>
        <w:keepNext w:val="0"/>
        <w:keepLines w:val="0"/>
        <w:widowControl w:val="0"/>
        <w:shd w:val="clear" w:color="auto" w:fill="auto"/>
        <w:bidi w:val="0"/>
        <w:spacing w:before="0" w:after="0" w:line="401" w:lineRule="exact"/>
        <w:ind w:left="460" w:right="0" w:firstLine="20"/>
        <w:jc w:val="both"/>
        <w:rPr>
          <w:color w:val="auto"/>
          <w:sz w:val="21"/>
          <w:szCs w:val="21"/>
          <w:highlight w:val="none"/>
        </w:rPr>
      </w:pPr>
      <w:r>
        <w:rPr>
          <w:color w:val="auto"/>
          <w:spacing w:val="0"/>
          <w:w w:val="100"/>
          <w:position w:val="0"/>
          <w:sz w:val="21"/>
          <w:szCs w:val="21"/>
          <w:highlight w:val="none"/>
        </w:rPr>
        <w:t>第十条售后服务及承诺</w:t>
      </w:r>
    </w:p>
    <w:p>
      <w:pPr>
        <w:pStyle w:val="89"/>
        <w:keepNext w:val="0"/>
        <w:keepLines w:val="0"/>
        <w:widowControl w:val="0"/>
        <w:shd w:val="clear" w:color="auto" w:fill="auto"/>
        <w:tabs>
          <w:tab w:val="left" w:pos="843"/>
          <w:tab w:val="left" w:pos="6134"/>
        </w:tabs>
        <w:bidi w:val="0"/>
        <w:spacing w:before="0" w:after="0" w:line="401" w:lineRule="exact"/>
        <w:ind w:left="0" w:right="0" w:firstLine="480"/>
        <w:jc w:val="both"/>
        <w:rPr>
          <w:color w:val="auto"/>
          <w:sz w:val="21"/>
          <w:szCs w:val="21"/>
          <w:highlight w:val="none"/>
        </w:rPr>
      </w:pPr>
      <w:bookmarkStart w:id="24" w:name="bookmark77"/>
      <w:r>
        <w:rPr>
          <w:rFonts w:ascii="Times New Roman" w:hAnsi="Times New Roman" w:eastAsia="Times New Roman" w:cs="Times New Roman"/>
          <w:color w:val="auto"/>
          <w:spacing w:val="0"/>
          <w:w w:val="100"/>
          <w:position w:val="0"/>
          <w:sz w:val="21"/>
          <w:szCs w:val="21"/>
          <w:highlight w:val="none"/>
        </w:rPr>
        <w:t>1</w:t>
      </w:r>
      <w:bookmarkEnd w:id="24"/>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服务质量保证期限自提交服务验收合格之日起</w:t>
      </w:r>
      <w:r>
        <w:rPr>
          <w:color w:val="auto"/>
          <w:sz w:val="21"/>
          <w:szCs w:val="21"/>
          <w:highlight w:val="none"/>
          <w:u w:val="single"/>
        </w:rPr>
        <w:t xml:space="preserve"> </w:t>
      </w:r>
      <w:r>
        <w:rPr>
          <w:color w:val="auto"/>
          <w:sz w:val="21"/>
          <w:szCs w:val="21"/>
          <w:highlight w:val="none"/>
          <w:u w:val="single"/>
        </w:rPr>
        <w:tab/>
      </w:r>
      <w:r>
        <w:rPr>
          <w:color w:val="auto"/>
          <w:spacing w:val="0"/>
          <w:w w:val="100"/>
          <w:position w:val="0"/>
          <w:sz w:val="21"/>
          <w:szCs w:val="21"/>
          <w:highlight w:val="none"/>
        </w:rPr>
        <w:t>年，在质量保证期内， 乙方应对服务出现的问题负责处理并承担一切费用，并且赔偿甲方的损失。</w:t>
      </w:r>
    </w:p>
    <w:p>
      <w:pPr>
        <w:pStyle w:val="89"/>
        <w:keepNext w:val="0"/>
        <w:keepLines w:val="0"/>
        <w:widowControl w:val="0"/>
        <w:shd w:val="clear" w:color="auto" w:fill="auto"/>
        <w:tabs>
          <w:tab w:val="left" w:pos="867"/>
        </w:tabs>
        <w:bidi w:val="0"/>
        <w:spacing w:before="0" w:after="0" w:line="401" w:lineRule="exact"/>
        <w:ind w:left="0" w:right="0" w:firstLine="480"/>
        <w:jc w:val="both"/>
        <w:rPr>
          <w:color w:val="auto"/>
          <w:sz w:val="21"/>
          <w:szCs w:val="21"/>
          <w:highlight w:val="none"/>
        </w:rPr>
      </w:pPr>
      <w:bookmarkStart w:id="25" w:name="bookmark78"/>
      <w:r>
        <w:rPr>
          <w:rFonts w:ascii="Times New Roman" w:hAnsi="Times New Roman" w:eastAsia="Times New Roman" w:cs="Times New Roman"/>
          <w:color w:val="auto"/>
          <w:spacing w:val="0"/>
          <w:w w:val="100"/>
          <w:position w:val="0"/>
          <w:sz w:val="21"/>
          <w:szCs w:val="21"/>
          <w:highlight w:val="none"/>
        </w:rPr>
        <w:t>2</w:t>
      </w:r>
      <w:bookmarkEnd w:id="25"/>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乙方有完善的服务体系，有能力提供持续的、本地化售后服务。</w:t>
      </w:r>
    </w:p>
    <w:p>
      <w:pPr>
        <w:pStyle w:val="89"/>
        <w:keepNext w:val="0"/>
        <w:keepLines w:val="0"/>
        <w:widowControl w:val="0"/>
        <w:shd w:val="clear" w:color="auto" w:fill="auto"/>
        <w:tabs>
          <w:tab w:val="left" w:pos="862"/>
        </w:tabs>
        <w:bidi w:val="0"/>
        <w:spacing w:before="0" w:after="0" w:line="401" w:lineRule="exact"/>
        <w:ind w:left="0" w:right="0" w:firstLine="480"/>
        <w:jc w:val="both"/>
        <w:rPr>
          <w:color w:val="auto"/>
          <w:sz w:val="21"/>
          <w:szCs w:val="21"/>
          <w:highlight w:val="none"/>
        </w:rPr>
      </w:pPr>
      <w:bookmarkStart w:id="26" w:name="bookmark79"/>
      <w:r>
        <w:rPr>
          <w:rFonts w:ascii="Times New Roman" w:hAnsi="Times New Roman" w:eastAsia="Times New Roman" w:cs="Times New Roman"/>
          <w:color w:val="auto"/>
          <w:spacing w:val="0"/>
          <w:w w:val="100"/>
          <w:position w:val="0"/>
          <w:sz w:val="21"/>
          <w:szCs w:val="21"/>
          <w:highlight w:val="none"/>
        </w:rPr>
        <w:t>3</w:t>
      </w:r>
      <w:bookmarkEnd w:id="26"/>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乙方负责系统安装和调试以及操作人员培训，并制定详细的培训计划，使操作人员能独立进行管理、操作、维护和故障处理等工作，做好相关记录及技术文档收集整理，待验收后移交。</w:t>
      </w:r>
    </w:p>
    <w:p>
      <w:pPr>
        <w:pStyle w:val="89"/>
        <w:keepNext w:val="0"/>
        <w:keepLines w:val="0"/>
        <w:widowControl w:val="0"/>
        <w:shd w:val="clear" w:color="auto" w:fill="auto"/>
        <w:tabs>
          <w:tab w:val="left" w:pos="877"/>
        </w:tabs>
        <w:bidi w:val="0"/>
        <w:spacing w:before="0" w:after="0" w:line="401" w:lineRule="exact"/>
        <w:ind w:left="0" w:right="0" w:firstLine="480"/>
        <w:jc w:val="both"/>
        <w:rPr>
          <w:color w:val="auto"/>
          <w:sz w:val="21"/>
          <w:szCs w:val="21"/>
          <w:highlight w:val="none"/>
        </w:rPr>
      </w:pPr>
      <w:bookmarkStart w:id="27" w:name="bookmark80"/>
      <w:r>
        <w:rPr>
          <w:rFonts w:ascii="Times New Roman" w:hAnsi="Times New Roman" w:eastAsia="Times New Roman" w:cs="Times New Roman"/>
          <w:color w:val="auto"/>
          <w:spacing w:val="0"/>
          <w:w w:val="100"/>
          <w:position w:val="0"/>
          <w:sz w:val="21"/>
          <w:szCs w:val="21"/>
          <w:highlight w:val="none"/>
        </w:rPr>
        <w:t>4</w:t>
      </w:r>
      <w:bookmarkEnd w:id="27"/>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服务范围：负责招标文件所涉及到的所有服务。</w:t>
      </w:r>
    </w:p>
    <w:p>
      <w:pPr>
        <w:pStyle w:val="89"/>
        <w:keepNext w:val="0"/>
        <w:keepLines w:val="0"/>
        <w:widowControl w:val="0"/>
        <w:shd w:val="clear" w:color="auto" w:fill="auto"/>
        <w:bidi w:val="0"/>
        <w:spacing w:before="0" w:after="0" w:line="401" w:lineRule="exact"/>
        <w:ind w:left="0" w:right="0" w:firstLine="480"/>
        <w:jc w:val="both"/>
        <w:rPr>
          <w:color w:val="auto"/>
          <w:sz w:val="21"/>
          <w:szCs w:val="21"/>
          <w:highlight w:val="none"/>
        </w:rPr>
      </w:pPr>
      <w:r>
        <w:rPr>
          <w:color w:val="auto"/>
          <w:spacing w:val="0"/>
          <w:w w:val="100"/>
          <w:position w:val="0"/>
          <w:sz w:val="21"/>
          <w:szCs w:val="21"/>
          <w:highlight w:val="none"/>
        </w:rPr>
        <w:t>第十一条知识产权</w:t>
      </w:r>
    </w:p>
    <w:p>
      <w:pPr>
        <w:pStyle w:val="89"/>
        <w:keepNext w:val="0"/>
        <w:keepLines w:val="0"/>
        <w:widowControl w:val="0"/>
        <w:shd w:val="clear" w:color="auto" w:fill="auto"/>
        <w:tabs>
          <w:tab w:val="left" w:pos="862"/>
        </w:tabs>
        <w:bidi w:val="0"/>
        <w:spacing w:before="0" w:after="0" w:line="401" w:lineRule="exact"/>
        <w:ind w:left="0" w:right="0" w:firstLine="480"/>
        <w:jc w:val="both"/>
        <w:rPr>
          <w:color w:val="auto"/>
          <w:sz w:val="21"/>
          <w:szCs w:val="21"/>
          <w:highlight w:val="none"/>
        </w:rPr>
      </w:pPr>
      <w:bookmarkStart w:id="28" w:name="bookmark81"/>
      <w:r>
        <w:rPr>
          <w:rFonts w:ascii="Times New Roman" w:hAnsi="Times New Roman" w:eastAsia="Times New Roman" w:cs="Times New Roman"/>
          <w:color w:val="auto"/>
          <w:spacing w:val="0"/>
          <w:w w:val="100"/>
          <w:position w:val="0"/>
          <w:sz w:val="21"/>
          <w:szCs w:val="21"/>
          <w:highlight w:val="none"/>
        </w:rPr>
        <w:t>1</w:t>
      </w:r>
      <w:bookmarkEnd w:id="28"/>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乙方保证，甲方在享受服务或者服务的任何一部分时，免受第三方提出的侵犯其专利权、商标权或其他知识产权的起诉。如发生此类纠纷，由乙方承担一切责任；如因此给甲方造成损失的，乙方负责全额赔偿。</w:t>
      </w:r>
    </w:p>
    <w:p>
      <w:pPr>
        <w:pStyle w:val="89"/>
        <w:keepNext w:val="0"/>
        <w:keepLines w:val="0"/>
        <w:widowControl w:val="0"/>
        <w:shd w:val="clear" w:color="auto" w:fill="auto"/>
        <w:tabs>
          <w:tab w:val="left" w:pos="858"/>
          <w:tab w:val="left" w:leader="dot" w:pos="1848"/>
        </w:tabs>
        <w:bidi w:val="0"/>
        <w:spacing w:before="0" w:after="0" w:line="401" w:lineRule="exact"/>
        <w:ind w:left="0" w:right="0" w:firstLine="480"/>
        <w:jc w:val="both"/>
        <w:rPr>
          <w:color w:val="auto"/>
          <w:sz w:val="21"/>
          <w:szCs w:val="21"/>
          <w:highlight w:val="none"/>
        </w:rPr>
      </w:pPr>
      <w:bookmarkStart w:id="29" w:name="bookmark82"/>
      <w:r>
        <w:rPr>
          <w:rFonts w:ascii="Times New Roman" w:hAnsi="Times New Roman" w:eastAsia="Times New Roman" w:cs="Times New Roman"/>
          <w:color w:val="auto"/>
          <w:spacing w:val="0"/>
          <w:w w:val="100"/>
          <w:position w:val="0"/>
          <w:sz w:val="21"/>
          <w:szCs w:val="21"/>
          <w:highlight w:val="none"/>
        </w:rPr>
        <w:t>2</w:t>
      </w:r>
      <w:bookmarkEnd w:id="29"/>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乙方为执行本合同而提供的技术资料或者其他相关资料、软件等由甲方永久免费使用。</w:t>
      </w:r>
      <w:r>
        <w:rPr>
          <w:color w:val="auto"/>
          <w:spacing w:val="0"/>
          <w:w w:val="100"/>
          <w:position w:val="0"/>
          <w:sz w:val="21"/>
          <w:szCs w:val="21"/>
          <w:highlight w:val="none"/>
          <w:lang w:val="en-US" w:eastAsia="en-US" w:bidi="en-US"/>
        </w:rPr>
        <w:tab/>
      </w:r>
    </w:p>
    <w:p>
      <w:pPr>
        <w:pStyle w:val="89"/>
        <w:keepNext w:val="0"/>
        <w:keepLines w:val="0"/>
        <w:widowControl w:val="0"/>
        <w:shd w:val="clear" w:color="auto" w:fill="auto"/>
        <w:bidi w:val="0"/>
        <w:spacing w:before="0" w:after="160" w:line="400" w:lineRule="exact"/>
        <w:ind w:left="0" w:right="0" w:firstLine="480"/>
        <w:jc w:val="both"/>
        <w:rPr>
          <w:color w:val="auto"/>
          <w:sz w:val="21"/>
          <w:szCs w:val="21"/>
          <w:highlight w:val="none"/>
        </w:rPr>
      </w:pPr>
      <w:r>
        <w:rPr>
          <w:color w:val="auto"/>
          <w:spacing w:val="0"/>
          <w:w w:val="100"/>
          <w:position w:val="0"/>
          <w:sz w:val="21"/>
          <w:szCs w:val="21"/>
          <w:highlight w:val="none"/>
        </w:rPr>
        <w:t>第十二条甲方责任</w:t>
      </w:r>
    </w:p>
    <w:p>
      <w:pPr>
        <w:pStyle w:val="89"/>
        <w:keepNext w:val="0"/>
        <w:keepLines w:val="0"/>
        <w:widowControl w:val="0"/>
        <w:shd w:val="clear" w:color="auto" w:fill="auto"/>
        <w:tabs>
          <w:tab w:val="left" w:pos="853"/>
        </w:tabs>
        <w:bidi w:val="0"/>
        <w:spacing w:before="0" w:after="0"/>
        <w:ind w:left="0" w:right="0" w:firstLine="480"/>
        <w:jc w:val="both"/>
        <w:rPr>
          <w:color w:val="auto"/>
          <w:sz w:val="21"/>
          <w:szCs w:val="21"/>
          <w:highlight w:val="none"/>
        </w:rPr>
      </w:pPr>
      <w:bookmarkStart w:id="30" w:name="bookmark83"/>
      <w:r>
        <w:rPr>
          <w:rFonts w:ascii="Times New Roman" w:hAnsi="Times New Roman" w:eastAsia="Times New Roman" w:cs="Times New Roman"/>
          <w:color w:val="auto"/>
          <w:spacing w:val="0"/>
          <w:w w:val="100"/>
          <w:position w:val="0"/>
          <w:sz w:val="21"/>
          <w:szCs w:val="21"/>
          <w:highlight w:val="none"/>
        </w:rPr>
        <w:t>1</w:t>
      </w:r>
      <w:bookmarkEnd w:id="30"/>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及时办理付款手续。</w:t>
      </w:r>
    </w:p>
    <w:p>
      <w:pPr>
        <w:pStyle w:val="89"/>
        <w:keepNext w:val="0"/>
        <w:keepLines w:val="0"/>
        <w:widowControl w:val="0"/>
        <w:shd w:val="clear" w:color="auto" w:fill="auto"/>
        <w:tabs>
          <w:tab w:val="left" w:pos="872"/>
        </w:tabs>
        <w:bidi w:val="0"/>
        <w:spacing w:before="0" w:after="0" w:line="400" w:lineRule="exact"/>
        <w:ind w:left="0" w:right="0" w:firstLine="480"/>
        <w:jc w:val="both"/>
        <w:rPr>
          <w:color w:val="auto"/>
          <w:sz w:val="21"/>
          <w:szCs w:val="21"/>
          <w:highlight w:val="none"/>
        </w:rPr>
      </w:pPr>
      <w:bookmarkStart w:id="31" w:name="bookmark84"/>
      <w:r>
        <w:rPr>
          <w:rFonts w:ascii="Times New Roman" w:hAnsi="Times New Roman" w:eastAsia="Times New Roman" w:cs="Times New Roman"/>
          <w:color w:val="auto"/>
          <w:spacing w:val="0"/>
          <w:w w:val="100"/>
          <w:position w:val="0"/>
          <w:sz w:val="21"/>
          <w:szCs w:val="21"/>
          <w:highlight w:val="none"/>
        </w:rPr>
        <w:t>2</w:t>
      </w:r>
      <w:bookmarkEnd w:id="31"/>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负责提供工作场地，协助乙方办理有关事宜。</w:t>
      </w:r>
    </w:p>
    <w:p>
      <w:pPr>
        <w:pStyle w:val="89"/>
        <w:keepNext w:val="0"/>
        <w:keepLines w:val="0"/>
        <w:widowControl w:val="0"/>
        <w:shd w:val="clear" w:color="auto" w:fill="auto"/>
        <w:tabs>
          <w:tab w:val="left" w:pos="872"/>
        </w:tabs>
        <w:bidi w:val="0"/>
        <w:spacing w:before="0" w:after="0" w:line="400" w:lineRule="exact"/>
        <w:ind w:left="0" w:right="0" w:firstLine="480"/>
        <w:jc w:val="both"/>
        <w:rPr>
          <w:color w:val="auto"/>
          <w:sz w:val="21"/>
          <w:szCs w:val="21"/>
          <w:highlight w:val="none"/>
        </w:rPr>
      </w:pPr>
      <w:bookmarkStart w:id="32" w:name="bookmark85"/>
      <w:r>
        <w:rPr>
          <w:rFonts w:ascii="Times New Roman" w:hAnsi="Times New Roman" w:eastAsia="Times New Roman" w:cs="Times New Roman"/>
          <w:color w:val="auto"/>
          <w:spacing w:val="0"/>
          <w:w w:val="100"/>
          <w:position w:val="0"/>
          <w:sz w:val="21"/>
          <w:szCs w:val="21"/>
          <w:highlight w:val="none"/>
        </w:rPr>
        <w:t>3</w:t>
      </w:r>
      <w:bookmarkEnd w:id="32"/>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对合同条款及所知悉的乙方商业秘密负有保密义务。</w:t>
      </w:r>
    </w:p>
    <w:p>
      <w:pPr>
        <w:pStyle w:val="89"/>
        <w:keepNext w:val="0"/>
        <w:keepLines w:val="0"/>
        <w:widowControl w:val="0"/>
        <w:shd w:val="clear" w:color="auto" w:fill="auto"/>
        <w:bidi w:val="0"/>
        <w:spacing w:before="0" w:after="0" w:line="400" w:lineRule="exact"/>
        <w:ind w:left="0" w:right="0" w:firstLine="480"/>
        <w:jc w:val="both"/>
        <w:rPr>
          <w:color w:val="auto"/>
          <w:sz w:val="21"/>
          <w:szCs w:val="21"/>
          <w:highlight w:val="none"/>
        </w:rPr>
      </w:pPr>
      <w:r>
        <w:rPr>
          <w:color w:val="auto"/>
          <w:spacing w:val="0"/>
          <w:w w:val="100"/>
          <w:position w:val="0"/>
          <w:sz w:val="21"/>
          <w:szCs w:val="21"/>
          <w:highlight w:val="none"/>
        </w:rPr>
        <w:t>第十三条乙方责任</w:t>
      </w:r>
    </w:p>
    <w:p>
      <w:pPr>
        <w:pStyle w:val="89"/>
        <w:keepNext w:val="0"/>
        <w:keepLines w:val="0"/>
        <w:widowControl w:val="0"/>
        <w:shd w:val="clear" w:color="auto" w:fill="auto"/>
        <w:tabs>
          <w:tab w:val="left" w:pos="853"/>
        </w:tabs>
        <w:bidi w:val="0"/>
        <w:spacing w:before="0" w:after="0" w:line="400" w:lineRule="exact"/>
        <w:ind w:left="0" w:right="0" w:firstLine="480"/>
        <w:jc w:val="both"/>
        <w:rPr>
          <w:color w:val="auto"/>
          <w:sz w:val="21"/>
          <w:szCs w:val="21"/>
          <w:highlight w:val="none"/>
        </w:rPr>
      </w:pPr>
      <w:bookmarkStart w:id="33" w:name="bookmark86"/>
      <w:r>
        <w:rPr>
          <w:rFonts w:ascii="Times New Roman" w:hAnsi="Times New Roman" w:eastAsia="Times New Roman" w:cs="Times New Roman"/>
          <w:color w:val="auto"/>
          <w:spacing w:val="0"/>
          <w:w w:val="100"/>
          <w:position w:val="0"/>
          <w:sz w:val="21"/>
          <w:szCs w:val="21"/>
          <w:highlight w:val="none"/>
        </w:rPr>
        <w:t>1</w:t>
      </w:r>
      <w:bookmarkEnd w:id="33"/>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保证所提供服务为投标文件承诺服务，符合相关法律法规规定并且满足甲方的需求，保证其配套项目部件为全新的未使用的且符合相关的质量要求。</w:t>
      </w:r>
    </w:p>
    <w:p>
      <w:pPr>
        <w:pStyle w:val="89"/>
        <w:keepNext w:val="0"/>
        <w:keepLines w:val="0"/>
        <w:widowControl w:val="0"/>
        <w:shd w:val="clear" w:color="auto" w:fill="auto"/>
        <w:tabs>
          <w:tab w:val="left" w:pos="843"/>
        </w:tabs>
        <w:bidi w:val="0"/>
        <w:spacing w:before="0" w:after="0" w:line="400" w:lineRule="exact"/>
        <w:ind w:left="0" w:right="0" w:firstLine="480"/>
        <w:jc w:val="both"/>
        <w:rPr>
          <w:color w:val="auto"/>
          <w:sz w:val="21"/>
          <w:szCs w:val="21"/>
          <w:highlight w:val="none"/>
        </w:rPr>
      </w:pPr>
      <w:bookmarkStart w:id="34" w:name="bookmark87"/>
      <w:r>
        <w:rPr>
          <w:rFonts w:ascii="Times New Roman" w:hAnsi="Times New Roman" w:eastAsia="Times New Roman" w:cs="Times New Roman"/>
          <w:color w:val="auto"/>
          <w:spacing w:val="0"/>
          <w:w w:val="100"/>
          <w:position w:val="0"/>
          <w:sz w:val="21"/>
          <w:szCs w:val="21"/>
          <w:highlight w:val="none"/>
        </w:rPr>
        <w:t>2</w:t>
      </w:r>
      <w:bookmarkEnd w:id="34"/>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保证所提供服务的售后服务，严格依据投标文件及相关承诺，对服务以及与之配套的项目进行保修、维护等服务。</w:t>
      </w:r>
    </w:p>
    <w:p>
      <w:pPr>
        <w:pStyle w:val="89"/>
        <w:keepNext w:val="0"/>
        <w:keepLines w:val="0"/>
        <w:widowControl w:val="0"/>
        <w:shd w:val="clear" w:color="auto" w:fill="auto"/>
        <w:tabs>
          <w:tab w:val="left" w:pos="834"/>
          <w:tab w:val="left" w:leader="dot" w:pos="1814"/>
        </w:tabs>
        <w:bidi w:val="0"/>
        <w:spacing w:before="0" w:after="0" w:line="400" w:lineRule="exact"/>
        <w:ind w:left="0" w:right="0" w:firstLine="480"/>
        <w:jc w:val="both"/>
        <w:rPr>
          <w:color w:val="auto"/>
          <w:sz w:val="21"/>
          <w:szCs w:val="21"/>
          <w:highlight w:val="none"/>
        </w:rPr>
      </w:pPr>
      <w:bookmarkStart w:id="35" w:name="bookmark88"/>
      <w:r>
        <w:rPr>
          <w:rFonts w:ascii="Times New Roman" w:hAnsi="Times New Roman" w:eastAsia="Times New Roman" w:cs="Times New Roman"/>
          <w:color w:val="auto"/>
          <w:spacing w:val="0"/>
          <w:w w:val="100"/>
          <w:position w:val="0"/>
          <w:sz w:val="21"/>
          <w:szCs w:val="21"/>
          <w:highlight w:val="none"/>
        </w:rPr>
        <w:t>3</w:t>
      </w:r>
      <w:bookmarkEnd w:id="35"/>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保证其所供服务不存在侵犯第三方知识产权的行为，否则由此产生的损失由乙方承担。</w:t>
      </w:r>
      <w:r>
        <w:rPr>
          <w:color w:val="auto"/>
          <w:spacing w:val="0"/>
          <w:w w:val="100"/>
          <w:position w:val="0"/>
          <w:sz w:val="21"/>
          <w:szCs w:val="21"/>
          <w:highlight w:val="none"/>
          <w:lang w:val="en-US" w:eastAsia="en-US" w:bidi="en-US"/>
        </w:rPr>
        <w:tab/>
      </w:r>
    </w:p>
    <w:p>
      <w:pPr>
        <w:pStyle w:val="89"/>
        <w:keepNext w:val="0"/>
        <w:keepLines w:val="0"/>
        <w:widowControl w:val="0"/>
        <w:shd w:val="clear" w:color="auto" w:fill="auto"/>
        <w:bidi w:val="0"/>
        <w:spacing w:before="0" w:after="0" w:line="400" w:lineRule="exact"/>
        <w:ind w:left="0" w:right="0" w:firstLine="480"/>
        <w:jc w:val="both"/>
        <w:rPr>
          <w:color w:val="auto"/>
          <w:sz w:val="21"/>
          <w:szCs w:val="21"/>
          <w:highlight w:val="none"/>
        </w:rPr>
      </w:pPr>
      <w:r>
        <w:rPr>
          <w:color w:val="auto"/>
          <w:spacing w:val="0"/>
          <w:w w:val="100"/>
          <w:position w:val="0"/>
          <w:sz w:val="21"/>
          <w:szCs w:val="21"/>
          <w:highlight w:val="none"/>
        </w:rPr>
        <w:t>第十四条违约责任</w:t>
      </w:r>
    </w:p>
    <w:p>
      <w:pPr>
        <w:pStyle w:val="89"/>
        <w:keepNext w:val="0"/>
        <w:keepLines w:val="0"/>
        <w:widowControl w:val="0"/>
        <w:shd w:val="clear" w:color="auto" w:fill="auto"/>
        <w:bidi w:val="0"/>
        <w:spacing w:before="0" w:after="0" w:line="400" w:lineRule="exact"/>
        <w:ind w:left="0" w:right="0" w:firstLine="480"/>
        <w:jc w:val="both"/>
        <w:rPr>
          <w:color w:val="auto"/>
          <w:sz w:val="21"/>
          <w:szCs w:val="21"/>
          <w:highlight w:val="none"/>
        </w:rPr>
      </w:pPr>
      <w:bookmarkStart w:id="36" w:name="bookmark89"/>
      <w:r>
        <w:rPr>
          <w:rFonts w:ascii="Times New Roman" w:hAnsi="Times New Roman" w:eastAsia="Times New Roman" w:cs="Times New Roman"/>
          <w:color w:val="auto"/>
          <w:spacing w:val="0"/>
          <w:w w:val="100"/>
          <w:position w:val="0"/>
          <w:sz w:val="21"/>
          <w:szCs w:val="21"/>
          <w:highlight w:val="none"/>
        </w:rPr>
        <w:t>1</w:t>
      </w:r>
      <w:bookmarkEnd w:id="36"/>
      <w:r>
        <w:rPr>
          <w:color w:val="auto"/>
          <w:spacing w:val="0"/>
          <w:w w:val="100"/>
          <w:position w:val="0"/>
          <w:sz w:val="21"/>
          <w:szCs w:val="21"/>
          <w:highlight w:val="none"/>
        </w:rPr>
        <w:t>、乙方所供服务成果及与之配套项目等不符合合同约定标准，甲方有权拒收。 同时，乙方向甲方支付合同总金额</w:t>
      </w:r>
      <w:r>
        <w:rPr>
          <w:rFonts w:hint="eastAsia"/>
          <w:color w:val="auto"/>
          <w:spacing w:val="0"/>
          <w:w w:val="100"/>
          <w:position w:val="0"/>
          <w:sz w:val="21"/>
          <w:szCs w:val="21"/>
          <w:highlight w:val="none"/>
          <w:u w:val="single"/>
          <w:lang w:val="en-US" w:eastAsia="zh-CN"/>
        </w:rPr>
        <w:t xml:space="preserve">   </w:t>
      </w:r>
      <w:r>
        <w:rPr>
          <w:color w:val="auto"/>
          <w:spacing w:val="0"/>
          <w:w w:val="100"/>
          <w:position w:val="0"/>
          <w:sz w:val="21"/>
          <w:szCs w:val="21"/>
          <w:highlight w:val="none"/>
        </w:rPr>
        <w:t>%的违约金。</w:t>
      </w:r>
    </w:p>
    <w:p>
      <w:pPr>
        <w:pStyle w:val="89"/>
        <w:keepNext w:val="0"/>
        <w:keepLines w:val="0"/>
        <w:widowControl w:val="0"/>
        <w:shd w:val="clear" w:color="auto" w:fill="auto"/>
        <w:tabs>
          <w:tab w:val="left" w:pos="872"/>
        </w:tabs>
        <w:bidi w:val="0"/>
        <w:spacing w:before="0" w:after="0" w:line="400" w:lineRule="exact"/>
        <w:ind w:left="0" w:right="0" w:firstLine="480"/>
        <w:jc w:val="both"/>
        <w:rPr>
          <w:color w:val="auto"/>
          <w:sz w:val="21"/>
          <w:szCs w:val="21"/>
          <w:highlight w:val="none"/>
        </w:rPr>
      </w:pPr>
      <w:bookmarkStart w:id="37" w:name="bookmark90"/>
      <w:r>
        <w:rPr>
          <w:rFonts w:ascii="Times New Roman" w:hAnsi="Times New Roman" w:eastAsia="Times New Roman" w:cs="Times New Roman"/>
          <w:color w:val="auto"/>
          <w:spacing w:val="0"/>
          <w:w w:val="100"/>
          <w:position w:val="0"/>
          <w:sz w:val="21"/>
          <w:szCs w:val="21"/>
          <w:highlight w:val="none"/>
          <w:lang w:val="zh-CN" w:eastAsia="zh-CN" w:bidi="zh-CN"/>
        </w:rPr>
        <w:t>2</w:t>
      </w:r>
      <w:bookmarkEnd w:id="37"/>
      <w:r>
        <w:rPr>
          <w:color w:val="auto"/>
          <w:spacing w:val="0"/>
          <w:w w:val="100"/>
          <w:position w:val="0"/>
          <w:sz w:val="21"/>
          <w:szCs w:val="21"/>
          <w:highlight w:val="none"/>
          <w:lang w:val="zh-CN" w:eastAsia="zh-CN" w:bidi="zh-CN"/>
        </w:rPr>
        <w:t>、</w:t>
      </w:r>
      <w:r>
        <w:rPr>
          <w:color w:val="auto"/>
          <w:spacing w:val="0"/>
          <w:w w:val="100"/>
          <w:position w:val="0"/>
          <w:sz w:val="21"/>
          <w:szCs w:val="21"/>
          <w:highlight w:val="none"/>
          <w:lang w:val="zh-CN" w:eastAsia="zh-CN" w:bidi="zh-CN"/>
        </w:rPr>
        <w:tab/>
      </w:r>
      <w:r>
        <w:rPr>
          <w:color w:val="auto"/>
          <w:spacing w:val="0"/>
          <w:w w:val="100"/>
          <w:position w:val="0"/>
          <w:sz w:val="21"/>
          <w:szCs w:val="21"/>
          <w:highlight w:val="none"/>
        </w:rPr>
        <w:t>乙方不能交付服务成果时，乙方向甲方支付合同总金额_%的违约金。</w:t>
      </w:r>
    </w:p>
    <w:p>
      <w:pPr>
        <w:pStyle w:val="89"/>
        <w:keepNext w:val="0"/>
        <w:keepLines w:val="0"/>
        <w:widowControl w:val="0"/>
        <w:shd w:val="clear" w:color="auto" w:fill="auto"/>
        <w:tabs>
          <w:tab w:val="left" w:pos="872"/>
        </w:tabs>
        <w:bidi w:val="0"/>
        <w:spacing w:before="0" w:after="0" w:line="400" w:lineRule="exact"/>
        <w:ind w:left="0" w:right="0" w:firstLine="480"/>
        <w:jc w:val="both"/>
        <w:rPr>
          <w:color w:val="auto"/>
          <w:sz w:val="21"/>
          <w:szCs w:val="21"/>
          <w:highlight w:val="none"/>
        </w:rPr>
      </w:pPr>
      <w:bookmarkStart w:id="38" w:name="bookmark91"/>
      <w:r>
        <w:rPr>
          <w:rFonts w:ascii="Times New Roman" w:hAnsi="Times New Roman" w:eastAsia="Times New Roman" w:cs="Times New Roman"/>
          <w:color w:val="auto"/>
          <w:spacing w:val="0"/>
          <w:w w:val="100"/>
          <w:position w:val="0"/>
          <w:sz w:val="21"/>
          <w:szCs w:val="21"/>
          <w:highlight w:val="none"/>
        </w:rPr>
        <w:t>3</w:t>
      </w:r>
      <w:bookmarkEnd w:id="38"/>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乙方逾期交付服务成果时，每逾</w:t>
      </w:r>
      <w:r>
        <w:rPr>
          <w:color w:val="auto"/>
          <w:spacing w:val="0"/>
          <w:w w:val="100"/>
          <w:position w:val="0"/>
          <w:sz w:val="21"/>
          <w:szCs w:val="21"/>
          <w:highlight w:val="none"/>
          <w:lang w:val="zh-CN" w:eastAsia="zh-CN" w:bidi="zh-CN"/>
        </w:rPr>
        <w:t>—</w:t>
      </w:r>
      <w:r>
        <w:rPr>
          <w:color w:val="auto"/>
          <w:spacing w:val="0"/>
          <w:w w:val="100"/>
          <w:position w:val="0"/>
          <w:sz w:val="21"/>
          <w:szCs w:val="21"/>
          <w:highlight w:val="none"/>
        </w:rPr>
        <w:t>日乙方向甲方支付合同总金额</w:t>
      </w:r>
      <w:r>
        <w:rPr>
          <w:rFonts w:ascii="Times New Roman" w:hAnsi="Times New Roman" w:eastAsia="Times New Roman" w:cs="Times New Roman"/>
          <w:color w:val="auto"/>
          <w:spacing w:val="0"/>
          <w:w w:val="100"/>
          <w:position w:val="0"/>
          <w:sz w:val="21"/>
          <w:szCs w:val="21"/>
          <w:highlight w:val="none"/>
          <w:lang w:val="en-US" w:eastAsia="en-US" w:bidi="en-US"/>
        </w:rPr>
        <w:t>_%o</w:t>
      </w:r>
      <w:r>
        <w:rPr>
          <w:color w:val="auto"/>
          <w:spacing w:val="0"/>
          <w:w w:val="100"/>
          <w:position w:val="0"/>
          <w:sz w:val="21"/>
          <w:szCs w:val="21"/>
          <w:highlight w:val="none"/>
        </w:rPr>
        <w:t>的滞纳金。逾期交付超过</w:t>
      </w:r>
      <w:r>
        <w:rPr>
          <w:rFonts w:hint="eastAsia"/>
          <w:color w:val="auto"/>
          <w:spacing w:val="0"/>
          <w:w w:val="100"/>
          <w:position w:val="0"/>
          <w:sz w:val="21"/>
          <w:szCs w:val="21"/>
          <w:highlight w:val="none"/>
          <w:u w:val="single"/>
          <w:lang w:val="en-US" w:eastAsia="zh-CN"/>
        </w:rPr>
        <w:t xml:space="preserve">    </w:t>
      </w:r>
      <w:r>
        <w:rPr>
          <w:rFonts w:ascii="Times New Roman" w:hAnsi="Times New Roman" w:eastAsia="Times New Roman" w:cs="Times New Roman"/>
          <w:color w:val="auto"/>
          <w:spacing w:val="0"/>
          <w:w w:val="100"/>
          <w:position w:val="0"/>
          <w:sz w:val="21"/>
          <w:szCs w:val="21"/>
          <w:highlight w:val="none"/>
        </w:rPr>
        <w:t>,</w:t>
      </w:r>
      <w:r>
        <w:rPr>
          <w:color w:val="auto"/>
          <w:spacing w:val="0"/>
          <w:w w:val="100"/>
          <w:position w:val="0"/>
          <w:sz w:val="21"/>
          <w:szCs w:val="21"/>
          <w:highlight w:val="none"/>
        </w:rPr>
        <w:t>甲方有权决定是否继续履行合同，如甲方决定终止履行合同的，乙方向甲方支付合同总金额</w:t>
      </w:r>
      <w:r>
        <w:rPr>
          <w:rFonts w:hint="eastAsia"/>
          <w:color w:val="auto"/>
          <w:spacing w:val="0"/>
          <w:w w:val="100"/>
          <w:position w:val="0"/>
          <w:sz w:val="21"/>
          <w:szCs w:val="21"/>
          <w:highlight w:val="none"/>
          <w:u w:val="single"/>
          <w:lang w:val="en-US" w:eastAsia="zh-CN" w:bidi="zh-CN"/>
        </w:rPr>
        <w:t xml:space="preserve">   </w:t>
      </w:r>
      <w:r>
        <w:rPr>
          <w:color w:val="auto"/>
          <w:spacing w:val="0"/>
          <w:w w:val="100"/>
          <w:position w:val="0"/>
          <w:sz w:val="21"/>
          <w:szCs w:val="21"/>
          <w:highlight w:val="none"/>
        </w:rPr>
        <w:t>%的违约金，并且赔偿甲方因此遭受的损失。</w:t>
      </w:r>
    </w:p>
    <w:p>
      <w:pPr>
        <w:pStyle w:val="89"/>
        <w:keepNext w:val="0"/>
        <w:keepLines w:val="0"/>
        <w:widowControl w:val="0"/>
        <w:numPr>
          <w:ilvl w:val="0"/>
          <w:numId w:val="18"/>
        </w:numPr>
        <w:shd w:val="clear" w:color="auto" w:fill="auto"/>
        <w:tabs>
          <w:tab w:val="left" w:pos="867"/>
        </w:tabs>
        <w:bidi w:val="0"/>
        <w:spacing w:before="0" w:after="140" w:line="400" w:lineRule="exact"/>
        <w:ind w:left="0" w:right="0" w:firstLine="480"/>
        <w:jc w:val="both"/>
        <w:rPr>
          <w:color w:val="auto"/>
          <w:sz w:val="21"/>
          <w:szCs w:val="21"/>
          <w:highlight w:val="none"/>
        </w:rPr>
      </w:pPr>
      <w:bookmarkStart w:id="39" w:name="bookmark92"/>
      <w:bookmarkEnd w:id="39"/>
      <w:r>
        <w:rPr>
          <w:color w:val="auto"/>
          <w:spacing w:val="0"/>
          <w:w w:val="100"/>
          <w:position w:val="0"/>
          <w:sz w:val="21"/>
          <w:szCs w:val="21"/>
          <w:highlight w:val="none"/>
        </w:rPr>
        <w:t>甲方逾期退还履约保证金的违约责任：采购人延迟退还供应商缴纳的履约保证金的，应当支付逾期利息。双方对逾期利息的利率有约定的，约定利率不得低于合同订立时</w:t>
      </w:r>
      <w:r>
        <w:rPr>
          <w:color w:val="auto"/>
          <w:spacing w:val="0"/>
          <w:w w:val="100"/>
          <w:position w:val="0"/>
          <w:sz w:val="21"/>
          <w:szCs w:val="21"/>
          <w:highlight w:val="none"/>
          <w:lang w:val="zh-CN" w:eastAsia="zh-CN" w:bidi="zh-CN"/>
        </w:rPr>
        <w:t>—年期</w:t>
      </w:r>
      <w:r>
        <w:rPr>
          <w:color w:val="auto"/>
          <w:spacing w:val="0"/>
          <w:w w:val="100"/>
          <w:position w:val="0"/>
          <w:sz w:val="21"/>
          <w:szCs w:val="21"/>
          <w:highlight w:val="none"/>
        </w:rPr>
        <w:t>贷款市场报价利率；未作约定的，按照每日利率</w:t>
      </w:r>
      <w:r>
        <w:rPr>
          <w:rFonts w:hint="eastAsia"/>
          <w:color w:val="auto"/>
          <w:spacing w:val="0"/>
          <w:w w:val="100"/>
          <w:position w:val="0"/>
          <w:sz w:val="21"/>
          <w:szCs w:val="21"/>
          <w:highlight w:val="none"/>
          <w:u w:val="single"/>
          <w:lang w:val="en-US" w:eastAsia="zh-CN" w:bidi="zh-CN"/>
        </w:rPr>
        <w:t xml:space="preserve">    </w:t>
      </w:r>
      <w:r>
        <w:rPr>
          <w:color w:val="auto"/>
          <w:spacing w:val="0"/>
          <w:w w:val="100"/>
          <w:position w:val="0"/>
          <w:sz w:val="21"/>
          <w:szCs w:val="21"/>
          <w:highlight w:val="none"/>
        </w:rPr>
        <w:t>支付逾期利息。</w:t>
      </w:r>
    </w:p>
    <w:p>
      <w:pPr>
        <w:pStyle w:val="89"/>
        <w:keepNext w:val="0"/>
        <w:keepLines w:val="0"/>
        <w:widowControl w:val="0"/>
        <w:numPr>
          <w:ilvl w:val="0"/>
          <w:numId w:val="18"/>
        </w:numPr>
        <w:shd w:val="clear" w:color="auto" w:fill="auto"/>
        <w:tabs>
          <w:tab w:val="left" w:pos="843"/>
          <w:tab w:val="left" w:pos="5501"/>
        </w:tabs>
        <w:bidi w:val="0"/>
        <w:spacing w:before="0" w:after="0" w:line="382" w:lineRule="auto"/>
        <w:ind w:left="0" w:right="0" w:firstLine="480"/>
        <w:jc w:val="both"/>
        <w:rPr>
          <w:color w:val="auto"/>
          <w:sz w:val="21"/>
          <w:szCs w:val="21"/>
          <w:highlight w:val="none"/>
        </w:rPr>
      </w:pPr>
      <w:bookmarkStart w:id="40" w:name="bookmark93"/>
      <w:bookmarkEnd w:id="40"/>
      <w:r>
        <w:rPr>
          <w:color w:val="auto"/>
          <w:spacing w:val="0"/>
          <w:w w:val="100"/>
          <w:position w:val="0"/>
          <w:sz w:val="21"/>
          <w:szCs w:val="21"/>
          <w:highlight w:val="none"/>
        </w:rPr>
        <w:t>甲方逾期支付资金的违约责任：</w:t>
      </w:r>
      <w:r>
        <w:rPr>
          <w:color w:val="auto"/>
          <w:sz w:val="21"/>
          <w:szCs w:val="21"/>
          <w:highlight w:val="none"/>
          <w:u w:val="single"/>
        </w:rPr>
        <w:t xml:space="preserve"> </w:t>
      </w:r>
      <w:r>
        <w:rPr>
          <w:color w:val="auto"/>
          <w:sz w:val="21"/>
          <w:szCs w:val="21"/>
          <w:highlight w:val="none"/>
          <w:u w:val="single"/>
        </w:rPr>
        <w:tab/>
      </w:r>
      <w:r>
        <w:rPr>
          <w:color w:val="auto"/>
          <w:spacing w:val="0"/>
          <w:w w:val="100"/>
          <w:position w:val="0"/>
          <w:sz w:val="21"/>
          <w:szCs w:val="21"/>
          <w:highlight w:val="none"/>
        </w:rPr>
        <w:t>。</w:t>
      </w:r>
    </w:p>
    <w:p>
      <w:pPr>
        <w:pStyle w:val="89"/>
        <w:keepNext w:val="0"/>
        <w:keepLines w:val="0"/>
        <w:widowControl w:val="0"/>
        <w:numPr>
          <w:ilvl w:val="0"/>
          <w:numId w:val="18"/>
        </w:numPr>
        <w:shd w:val="clear" w:color="auto" w:fill="auto"/>
        <w:tabs>
          <w:tab w:val="left" w:pos="823"/>
          <w:tab w:val="left" w:pos="4301"/>
        </w:tabs>
        <w:bidi w:val="0"/>
        <w:spacing w:before="0" w:after="0" w:line="402" w:lineRule="exact"/>
        <w:ind w:left="0" w:right="0" w:firstLine="480"/>
        <w:jc w:val="both"/>
        <w:rPr>
          <w:color w:val="auto"/>
          <w:sz w:val="21"/>
          <w:szCs w:val="21"/>
          <w:highlight w:val="none"/>
        </w:rPr>
      </w:pPr>
      <w:bookmarkStart w:id="41" w:name="bookmark94"/>
      <w:bookmarkEnd w:id="41"/>
      <w:r>
        <w:rPr>
          <w:color w:val="auto"/>
          <w:spacing w:val="0"/>
          <w:w w:val="100"/>
          <w:position w:val="0"/>
          <w:sz w:val="21"/>
          <w:szCs w:val="21"/>
          <w:highlight w:val="none"/>
        </w:rPr>
        <w:t>因甲方原因导致变更、中止或者终止政府采购合同的，甲方对供应商受到的损失予以赔偿或者补偿：</w:t>
      </w:r>
      <w:r>
        <w:rPr>
          <w:color w:val="auto"/>
          <w:sz w:val="21"/>
          <w:szCs w:val="21"/>
          <w:highlight w:val="none"/>
          <w:u w:val="single"/>
        </w:rPr>
        <w:t xml:space="preserve"> </w:t>
      </w:r>
      <w:r>
        <w:rPr>
          <w:color w:val="auto"/>
          <w:sz w:val="21"/>
          <w:szCs w:val="21"/>
          <w:highlight w:val="none"/>
          <w:u w:val="single"/>
        </w:rPr>
        <w:tab/>
      </w:r>
      <w:r>
        <w:rPr>
          <w:i/>
          <w:iCs/>
          <w:color w:val="auto"/>
          <w:spacing w:val="0"/>
          <w:w w:val="100"/>
          <w:position w:val="0"/>
          <w:sz w:val="21"/>
          <w:szCs w:val="21"/>
          <w:highlight w:val="none"/>
        </w:rPr>
        <w:t>。</w:t>
      </w:r>
    </w:p>
    <w:p>
      <w:pPr>
        <w:pStyle w:val="89"/>
        <w:keepNext w:val="0"/>
        <w:keepLines w:val="0"/>
        <w:widowControl w:val="0"/>
        <w:shd w:val="clear" w:color="auto" w:fill="auto"/>
        <w:tabs>
          <w:tab w:val="left" w:pos="872"/>
          <w:tab w:val="left" w:leader="dot" w:pos="6302"/>
        </w:tabs>
        <w:bidi w:val="0"/>
        <w:spacing w:before="0" w:after="0" w:line="402" w:lineRule="exact"/>
        <w:ind w:left="0" w:right="0" w:firstLine="480"/>
        <w:jc w:val="both"/>
        <w:rPr>
          <w:color w:val="auto"/>
          <w:sz w:val="21"/>
          <w:szCs w:val="21"/>
          <w:highlight w:val="none"/>
        </w:rPr>
      </w:pPr>
      <w:bookmarkStart w:id="42" w:name="bookmark95"/>
      <w:r>
        <w:rPr>
          <w:rFonts w:ascii="Times New Roman" w:hAnsi="Times New Roman" w:eastAsia="Times New Roman" w:cs="Times New Roman"/>
          <w:color w:val="auto"/>
          <w:spacing w:val="0"/>
          <w:w w:val="100"/>
          <w:position w:val="0"/>
          <w:sz w:val="21"/>
          <w:szCs w:val="21"/>
          <w:highlight w:val="none"/>
        </w:rPr>
        <w:t>7</w:t>
      </w:r>
      <w:bookmarkEnd w:id="42"/>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因甲方过错而给乙方造成的损失，由甲方负担。</w:t>
      </w:r>
    </w:p>
    <w:p>
      <w:pPr>
        <w:pStyle w:val="89"/>
        <w:keepNext w:val="0"/>
        <w:keepLines w:val="0"/>
        <w:widowControl w:val="0"/>
        <w:shd w:val="clear" w:color="auto" w:fill="auto"/>
        <w:bidi w:val="0"/>
        <w:spacing w:before="0" w:after="0" w:line="402" w:lineRule="exact"/>
        <w:ind w:left="0" w:right="0" w:firstLine="480"/>
        <w:jc w:val="both"/>
        <w:rPr>
          <w:color w:val="auto"/>
          <w:sz w:val="21"/>
          <w:szCs w:val="21"/>
          <w:highlight w:val="none"/>
        </w:rPr>
      </w:pPr>
      <w:r>
        <w:rPr>
          <w:color w:val="auto"/>
          <w:spacing w:val="0"/>
          <w:w w:val="100"/>
          <w:position w:val="0"/>
          <w:sz w:val="21"/>
          <w:szCs w:val="21"/>
          <w:highlight w:val="none"/>
        </w:rPr>
        <w:t>第十五条不可抗力</w:t>
      </w:r>
    </w:p>
    <w:p>
      <w:pPr>
        <w:pStyle w:val="89"/>
        <w:keepNext w:val="0"/>
        <w:keepLines w:val="0"/>
        <w:widowControl w:val="0"/>
        <w:shd w:val="clear" w:color="auto" w:fill="auto"/>
        <w:bidi w:val="0"/>
        <w:spacing w:before="0" w:after="0" w:line="402" w:lineRule="exact"/>
        <w:ind w:left="0" w:right="0" w:firstLine="480"/>
        <w:jc w:val="both"/>
        <w:rPr>
          <w:color w:val="auto"/>
          <w:sz w:val="21"/>
          <w:szCs w:val="21"/>
          <w:highlight w:val="none"/>
        </w:rPr>
      </w:pPr>
      <w:r>
        <w:rPr>
          <w:color w:val="auto"/>
          <w:spacing w:val="0"/>
          <w:w w:val="100"/>
          <w:position w:val="0"/>
          <w:sz w:val="21"/>
          <w:szCs w:val="21"/>
          <w:highlight w:val="none"/>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pPr>
        <w:pStyle w:val="89"/>
        <w:keepNext w:val="0"/>
        <w:keepLines w:val="0"/>
        <w:widowControl w:val="0"/>
        <w:shd w:val="clear" w:color="auto" w:fill="auto"/>
        <w:bidi w:val="0"/>
        <w:spacing w:before="0" w:after="0" w:line="402" w:lineRule="exact"/>
        <w:ind w:left="0" w:right="0" w:firstLine="480"/>
        <w:jc w:val="both"/>
        <w:rPr>
          <w:color w:val="auto"/>
          <w:sz w:val="21"/>
          <w:szCs w:val="21"/>
          <w:highlight w:val="none"/>
        </w:rPr>
      </w:pPr>
      <w:r>
        <w:rPr>
          <w:color w:val="auto"/>
          <w:spacing w:val="0"/>
          <w:w w:val="100"/>
          <w:position w:val="0"/>
          <w:sz w:val="21"/>
          <w:szCs w:val="21"/>
          <w:highlight w:val="none"/>
        </w:rPr>
        <w:t>第十六条保密</w:t>
      </w:r>
    </w:p>
    <w:p>
      <w:pPr>
        <w:pStyle w:val="89"/>
        <w:keepNext w:val="0"/>
        <w:keepLines w:val="0"/>
        <w:widowControl w:val="0"/>
        <w:shd w:val="clear" w:color="auto" w:fill="auto"/>
        <w:bidi w:val="0"/>
        <w:spacing w:before="0" w:after="0" w:line="402" w:lineRule="exact"/>
        <w:ind w:left="0" w:right="0" w:firstLine="480"/>
        <w:jc w:val="both"/>
        <w:rPr>
          <w:color w:val="auto"/>
          <w:sz w:val="21"/>
          <w:szCs w:val="21"/>
          <w:highlight w:val="none"/>
        </w:rPr>
      </w:pPr>
      <w:r>
        <w:rPr>
          <w:color w:val="auto"/>
          <w:spacing w:val="0"/>
          <w:w w:val="100"/>
          <w:position w:val="0"/>
          <w:sz w:val="21"/>
          <w:szCs w:val="21"/>
          <w:highlight w:val="none"/>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pStyle w:val="89"/>
        <w:keepNext w:val="0"/>
        <w:keepLines w:val="0"/>
        <w:widowControl w:val="0"/>
        <w:shd w:val="clear" w:color="auto" w:fill="auto"/>
        <w:bidi w:val="0"/>
        <w:spacing w:before="0" w:after="0" w:line="402" w:lineRule="exact"/>
        <w:ind w:left="455" w:leftChars="198" w:right="0" w:hanging="39" w:hangingChars="19"/>
        <w:jc w:val="left"/>
        <w:rPr>
          <w:color w:val="auto"/>
          <w:spacing w:val="0"/>
          <w:w w:val="100"/>
          <w:position w:val="0"/>
          <w:sz w:val="21"/>
          <w:szCs w:val="21"/>
          <w:highlight w:val="none"/>
        </w:rPr>
      </w:pPr>
      <w:r>
        <w:rPr>
          <w:color w:val="auto"/>
          <w:spacing w:val="0"/>
          <w:w w:val="100"/>
          <w:position w:val="0"/>
          <w:sz w:val="21"/>
          <w:szCs w:val="21"/>
          <w:highlight w:val="none"/>
        </w:rPr>
        <w:t xml:space="preserve">乙方违反本合同所规定的保密义务，应按照本合同总金额的_%支付违约金。 </w:t>
      </w:r>
    </w:p>
    <w:p>
      <w:pPr>
        <w:pStyle w:val="89"/>
        <w:keepNext w:val="0"/>
        <w:keepLines w:val="0"/>
        <w:widowControl w:val="0"/>
        <w:shd w:val="clear" w:color="auto" w:fill="auto"/>
        <w:bidi w:val="0"/>
        <w:spacing w:before="0" w:after="0" w:line="402" w:lineRule="exact"/>
        <w:ind w:left="446" w:leftChars="94" w:right="0" w:hanging="249" w:hangingChars="119"/>
        <w:jc w:val="left"/>
        <w:rPr>
          <w:color w:val="auto"/>
          <w:sz w:val="21"/>
          <w:szCs w:val="21"/>
          <w:highlight w:val="none"/>
        </w:rPr>
      </w:pPr>
      <w:r>
        <w:rPr>
          <w:color w:val="auto"/>
          <w:spacing w:val="0"/>
          <w:w w:val="100"/>
          <w:position w:val="0"/>
          <w:sz w:val="21"/>
          <w:szCs w:val="21"/>
          <w:highlight w:val="none"/>
        </w:rPr>
        <w:t>第十七条争议解决</w:t>
      </w:r>
    </w:p>
    <w:p>
      <w:pPr>
        <w:pStyle w:val="89"/>
        <w:keepNext w:val="0"/>
        <w:keepLines w:val="0"/>
        <w:widowControl w:val="0"/>
        <w:shd w:val="clear" w:color="auto" w:fill="auto"/>
        <w:bidi w:val="0"/>
        <w:spacing w:before="0" w:after="0" w:line="402" w:lineRule="exact"/>
        <w:ind w:left="0" w:right="0" w:firstLine="480"/>
        <w:jc w:val="both"/>
        <w:rPr>
          <w:color w:val="auto"/>
          <w:sz w:val="21"/>
          <w:szCs w:val="21"/>
          <w:highlight w:val="none"/>
        </w:rPr>
      </w:pPr>
      <w:r>
        <w:rPr>
          <w:color w:val="auto"/>
          <w:spacing w:val="0"/>
          <w:w w:val="100"/>
          <w:position w:val="0"/>
          <w:sz w:val="21"/>
          <w:szCs w:val="21"/>
          <w:highlight w:val="none"/>
        </w:rPr>
        <w:t>甲乙双方在合同履行中发生争议，应通过协商解决。如协商不成，可以向合同签订地法院提起诉讼。</w:t>
      </w:r>
    </w:p>
    <w:p>
      <w:pPr>
        <w:pStyle w:val="89"/>
        <w:keepNext w:val="0"/>
        <w:keepLines w:val="0"/>
        <w:widowControl w:val="0"/>
        <w:shd w:val="clear" w:color="auto" w:fill="auto"/>
        <w:bidi w:val="0"/>
        <w:spacing w:before="0" w:after="0" w:line="402" w:lineRule="exact"/>
        <w:ind w:left="0" w:right="0" w:firstLine="480"/>
        <w:jc w:val="both"/>
        <w:rPr>
          <w:color w:val="auto"/>
          <w:sz w:val="21"/>
          <w:szCs w:val="21"/>
          <w:highlight w:val="none"/>
        </w:rPr>
      </w:pPr>
      <w:r>
        <w:rPr>
          <w:color w:val="auto"/>
          <w:spacing w:val="0"/>
          <w:w w:val="100"/>
          <w:position w:val="0"/>
          <w:sz w:val="21"/>
          <w:szCs w:val="21"/>
          <w:highlight w:val="none"/>
        </w:rPr>
        <w:t>第十八条合同生效及其他</w:t>
      </w:r>
    </w:p>
    <w:p>
      <w:pPr>
        <w:pStyle w:val="89"/>
        <w:keepNext w:val="0"/>
        <w:keepLines w:val="0"/>
        <w:widowControl w:val="0"/>
        <w:shd w:val="clear" w:color="auto" w:fill="auto"/>
        <w:tabs>
          <w:tab w:val="left" w:pos="862"/>
        </w:tabs>
        <w:bidi w:val="0"/>
        <w:spacing w:before="0" w:after="0" w:line="402" w:lineRule="exact"/>
        <w:ind w:left="0" w:right="0" w:firstLine="480"/>
        <w:jc w:val="both"/>
        <w:rPr>
          <w:color w:val="auto"/>
          <w:sz w:val="21"/>
          <w:szCs w:val="21"/>
          <w:highlight w:val="none"/>
        </w:rPr>
      </w:pPr>
      <w:bookmarkStart w:id="43" w:name="bookmark96"/>
      <w:r>
        <w:rPr>
          <w:rFonts w:ascii="Times New Roman" w:hAnsi="Times New Roman" w:eastAsia="Times New Roman" w:cs="Times New Roman"/>
          <w:color w:val="auto"/>
          <w:spacing w:val="0"/>
          <w:w w:val="100"/>
          <w:position w:val="0"/>
          <w:sz w:val="21"/>
          <w:szCs w:val="21"/>
          <w:highlight w:val="none"/>
        </w:rPr>
        <w:t>1</w:t>
      </w:r>
      <w:bookmarkEnd w:id="43"/>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除招标文件规定且甲方事先书面同意外，乙方不得部分或者全部转让、分包履行其应履行的合同项下的义务。</w:t>
      </w:r>
    </w:p>
    <w:p>
      <w:pPr>
        <w:pStyle w:val="89"/>
        <w:keepNext w:val="0"/>
        <w:keepLines w:val="0"/>
        <w:widowControl w:val="0"/>
        <w:shd w:val="clear" w:color="auto" w:fill="auto"/>
        <w:tabs>
          <w:tab w:val="left" w:pos="877"/>
        </w:tabs>
        <w:bidi w:val="0"/>
        <w:spacing w:before="0" w:after="0" w:line="402" w:lineRule="exact"/>
        <w:ind w:left="0" w:right="0" w:firstLine="480"/>
        <w:jc w:val="both"/>
        <w:rPr>
          <w:color w:val="auto"/>
          <w:sz w:val="21"/>
          <w:szCs w:val="21"/>
          <w:highlight w:val="none"/>
        </w:rPr>
      </w:pPr>
      <w:bookmarkStart w:id="44" w:name="bookmark97"/>
      <w:r>
        <w:rPr>
          <w:rFonts w:ascii="Times New Roman" w:hAnsi="Times New Roman" w:eastAsia="Times New Roman" w:cs="Times New Roman"/>
          <w:color w:val="auto"/>
          <w:spacing w:val="0"/>
          <w:w w:val="100"/>
          <w:position w:val="0"/>
          <w:sz w:val="21"/>
          <w:szCs w:val="21"/>
          <w:highlight w:val="none"/>
        </w:rPr>
        <w:t>2</w:t>
      </w:r>
      <w:bookmarkEnd w:id="44"/>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合同由甲、乙双方法定代表人（或者被授权代表）签字并加盖单位公章。</w:t>
      </w:r>
    </w:p>
    <w:p>
      <w:pPr>
        <w:pStyle w:val="89"/>
        <w:keepNext w:val="0"/>
        <w:keepLines w:val="0"/>
        <w:widowControl w:val="0"/>
        <w:shd w:val="clear" w:color="auto" w:fill="auto"/>
        <w:tabs>
          <w:tab w:val="left" w:pos="877"/>
          <w:tab w:val="left" w:leader="dot" w:pos="5578"/>
        </w:tabs>
        <w:bidi w:val="0"/>
        <w:spacing w:before="0" w:after="0" w:line="402" w:lineRule="exact"/>
        <w:ind w:left="0" w:right="0" w:firstLine="480"/>
        <w:jc w:val="both"/>
        <w:rPr>
          <w:color w:val="auto"/>
          <w:sz w:val="21"/>
          <w:szCs w:val="21"/>
          <w:highlight w:val="none"/>
        </w:rPr>
      </w:pPr>
      <w:bookmarkStart w:id="45" w:name="bookmark98"/>
      <w:r>
        <w:rPr>
          <w:rFonts w:ascii="Times New Roman" w:hAnsi="Times New Roman" w:eastAsia="Times New Roman" w:cs="Times New Roman"/>
          <w:color w:val="auto"/>
          <w:spacing w:val="0"/>
          <w:w w:val="100"/>
          <w:position w:val="0"/>
          <w:sz w:val="21"/>
          <w:szCs w:val="21"/>
          <w:highlight w:val="none"/>
        </w:rPr>
        <w:t>3</w:t>
      </w:r>
      <w:bookmarkEnd w:id="45"/>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本合同一式</w:t>
      </w:r>
      <w:r>
        <w:rPr>
          <w:color w:val="auto"/>
          <w:spacing w:val="0"/>
          <w:w w:val="100"/>
          <w:position w:val="0"/>
          <w:sz w:val="21"/>
          <w:szCs w:val="21"/>
          <w:highlight w:val="none"/>
          <w:lang w:val="zh-CN" w:eastAsia="zh-CN" w:bidi="zh-CN"/>
        </w:rPr>
        <w:t>—份，</w:t>
      </w:r>
      <w:r>
        <w:rPr>
          <w:color w:val="auto"/>
          <w:spacing w:val="0"/>
          <w:w w:val="100"/>
          <w:position w:val="0"/>
          <w:sz w:val="21"/>
          <w:szCs w:val="21"/>
          <w:highlight w:val="none"/>
        </w:rPr>
        <w:t>甲方</w:t>
      </w:r>
      <w:r>
        <w:rPr>
          <w:color w:val="auto"/>
          <w:spacing w:val="0"/>
          <w:w w:val="100"/>
          <w:position w:val="0"/>
          <w:sz w:val="21"/>
          <w:szCs w:val="21"/>
          <w:highlight w:val="none"/>
          <w:lang w:val="zh-CN" w:eastAsia="zh-CN" w:bidi="zh-CN"/>
        </w:rPr>
        <w:t>—份，</w:t>
      </w:r>
      <w:r>
        <w:rPr>
          <w:color w:val="auto"/>
          <w:spacing w:val="0"/>
          <w:w w:val="100"/>
          <w:position w:val="0"/>
          <w:sz w:val="21"/>
          <w:szCs w:val="21"/>
          <w:highlight w:val="none"/>
        </w:rPr>
        <w:t>乙方</w:t>
      </w:r>
      <w:r>
        <w:rPr>
          <w:color w:val="auto"/>
          <w:spacing w:val="0"/>
          <w:w w:val="100"/>
          <w:position w:val="0"/>
          <w:sz w:val="21"/>
          <w:szCs w:val="21"/>
          <w:highlight w:val="none"/>
          <w:lang w:val="zh-CN" w:eastAsia="zh-CN" w:bidi="zh-CN"/>
        </w:rPr>
        <w:t>—份。</w:t>
      </w:r>
    </w:p>
    <w:p>
      <w:pPr>
        <w:pStyle w:val="89"/>
        <w:keepNext w:val="0"/>
        <w:keepLines w:val="0"/>
        <w:widowControl w:val="0"/>
        <w:shd w:val="clear" w:color="auto" w:fill="auto"/>
        <w:bidi w:val="0"/>
        <w:spacing w:before="0" w:after="0" w:line="402" w:lineRule="exact"/>
        <w:ind w:left="0" w:right="0" w:firstLine="480"/>
        <w:jc w:val="both"/>
        <w:rPr>
          <w:color w:val="auto"/>
          <w:sz w:val="21"/>
          <w:szCs w:val="21"/>
          <w:highlight w:val="none"/>
        </w:rPr>
      </w:pPr>
      <w:r>
        <w:rPr>
          <w:color w:val="auto"/>
          <w:spacing w:val="0"/>
          <w:w w:val="100"/>
          <w:position w:val="0"/>
          <w:sz w:val="21"/>
          <w:szCs w:val="21"/>
          <w:highlight w:val="none"/>
        </w:rPr>
        <w:t>第十九条服务期限</w:t>
      </w:r>
    </w:p>
    <w:p>
      <w:pPr>
        <w:pStyle w:val="89"/>
        <w:keepNext w:val="0"/>
        <w:keepLines w:val="0"/>
        <w:widowControl w:val="0"/>
        <w:shd w:val="clear" w:color="auto" w:fill="auto"/>
        <w:bidi w:val="0"/>
        <w:spacing w:before="0" w:after="0" w:line="402" w:lineRule="exact"/>
        <w:ind w:left="0" w:right="0" w:firstLine="480"/>
        <w:jc w:val="both"/>
        <w:rPr>
          <w:color w:val="auto"/>
          <w:sz w:val="21"/>
          <w:szCs w:val="21"/>
          <w:highlight w:val="none"/>
        </w:rPr>
        <w:sectPr>
          <w:footerReference r:id="rId5" w:type="default"/>
          <w:footerReference r:id="rId6" w:type="even"/>
          <w:footnotePr>
            <w:numFmt w:val="decimal"/>
          </w:footnotePr>
          <w:type w:val="continuous"/>
          <w:pgSz w:w="11900" w:h="16840"/>
          <w:pgMar w:top="1559" w:right="1680" w:bottom="1358" w:left="1709" w:header="1131" w:footer="1111" w:gutter="0"/>
          <w:pgNumType w:fmt="decimal"/>
          <w:cols w:space="720" w:num="1"/>
          <w:rtlGutter w:val="0"/>
          <w:docGrid w:linePitch="360" w:charSpace="0"/>
        </w:sectPr>
      </w:pPr>
      <w:r>
        <w:rPr>
          <w:color w:val="auto"/>
          <w:spacing w:val="0"/>
          <w:w w:val="100"/>
          <w:position w:val="0"/>
          <w:sz w:val="21"/>
          <w:szCs w:val="21"/>
          <w:highlight w:val="none"/>
        </w:rPr>
        <w:t>本合同服务期限为</w:t>
      </w:r>
      <w:r>
        <w:rPr>
          <w:rFonts w:hint="eastAsia"/>
          <w:color w:val="auto"/>
          <w:spacing w:val="0"/>
          <w:w w:val="100"/>
          <w:position w:val="0"/>
          <w:sz w:val="21"/>
          <w:szCs w:val="21"/>
          <w:highlight w:val="none"/>
          <w:u w:val="single"/>
          <w:lang w:val="en-US" w:eastAsia="zh-CN" w:bidi="zh-CN"/>
        </w:rPr>
        <w:t xml:space="preserve">   </w:t>
      </w:r>
      <w:r>
        <w:rPr>
          <w:color w:val="auto"/>
          <w:spacing w:val="0"/>
          <w:w w:val="100"/>
          <w:position w:val="0"/>
          <w:sz w:val="21"/>
          <w:szCs w:val="21"/>
          <w:highlight w:val="none"/>
          <w:lang w:val="zh-CN" w:eastAsia="zh-CN" w:bidi="zh-CN"/>
        </w:rPr>
        <w:t>年；</w:t>
      </w:r>
      <w:r>
        <w:rPr>
          <w:color w:val="auto"/>
          <w:spacing w:val="0"/>
          <w:w w:val="100"/>
          <w:position w:val="0"/>
          <w:sz w:val="21"/>
          <w:szCs w:val="21"/>
          <w:highlight w:val="none"/>
        </w:rPr>
        <w:t>服务期限自</w:t>
      </w:r>
      <w:r>
        <w:rPr>
          <w:rFonts w:hint="eastAsia"/>
          <w:color w:val="auto"/>
          <w:spacing w:val="0"/>
          <w:w w:val="100"/>
          <w:position w:val="0"/>
          <w:sz w:val="21"/>
          <w:szCs w:val="21"/>
          <w:highlight w:val="none"/>
          <w:u w:val="single"/>
          <w:lang w:val="en-US" w:eastAsia="zh-CN" w:bidi="zh-CN"/>
        </w:rPr>
        <w:t xml:space="preserve">  </w:t>
      </w:r>
      <w:r>
        <w:rPr>
          <w:color w:val="auto"/>
          <w:spacing w:val="0"/>
          <w:w w:val="100"/>
          <w:position w:val="0"/>
          <w:sz w:val="21"/>
          <w:szCs w:val="21"/>
          <w:highlight w:val="none"/>
        </w:rPr>
        <w:t>年</w:t>
      </w:r>
      <w:r>
        <w:rPr>
          <w:rFonts w:hint="eastAsia"/>
          <w:color w:val="auto"/>
          <w:spacing w:val="0"/>
          <w:w w:val="100"/>
          <w:position w:val="0"/>
          <w:sz w:val="21"/>
          <w:szCs w:val="21"/>
          <w:highlight w:val="none"/>
          <w:u w:val="single"/>
          <w:lang w:val="en-US" w:eastAsia="zh-CN" w:bidi="zh-CN"/>
        </w:rPr>
        <w:t xml:space="preserve">  </w:t>
      </w:r>
      <w:r>
        <w:rPr>
          <w:color w:val="auto"/>
          <w:spacing w:val="0"/>
          <w:w w:val="100"/>
          <w:position w:val="0"/>
          <w:sz w:val="21"/>
          <w:szCs w:val="21"/>
          <w:highlight w:val="none"/>
        </w:rPr>
        <w:t>月</w:t>
      </w:r>
      <w:r>
        <w:rPr>
          <w:rFonts w:hint="eastAsia"/>
          <w:color w:val="auto"/>
          <w:spacing w:val="0"/>
          <w:w w:val="100"/>
          <w:position w:val="0"/>
          <w:sz w:val="21"/>
          <w:szCs w:val="21"/>
          <w:highlight w:val="none"/>
          <w:u w:val="single"/>
          <w:lang w:val="en-US" w:eastAsia="zh-CN" w:bidi="zh-CN"/>
        </w:rPr>
        <w:t xml:space="preserve">  </w:t>
      </w:r>
      <w:r>
        <w:rPr>
          <w:color w:val="auto"/>
          <w:spacing w:val="0"/>
          <w:w w:val="100"/>
          <w:position w:val="0"/>
          <w:sz w:val="21"/>
          <w:szCs w:val="21"/>
          <w:highlight w:val="none"/>
        </w:rPr>
        <w:t>日起至</w:t>
      </w:r>
      <w:r>
        <w:rPr>
          <w:rFonts w:hint="eastAsia"/>
          <w:color w:val="auto"/>
          <w:spacing w:val="0"/>
          <w:w w:val="100"/>
          <w:position w:val="0"/>
          <w:sz w:val="21"/>
          <w:szCs w:val="21"/>
          <w:highlight w:val="none"/>
          <w:u w:val="single"/>
          <w:lang w:val="en-US" w:eastAsia="zh-CN" w:bidi="zh-CN"/>
        </w:rPr>
        <w:t xml:space="preserve">  </w:t>
      </w:r>
      <w:r>
        <w:rPr>
          <w:color w:val="auto"/>
          <w:spacing w:val="0"/>
          <w:w w:val="100"/>
          <w:position w:val="0"/>
          <w:sz w:val="21"/>
          <w:szCs w:val="21"/>
          <w:highlight w:val="none"/>
        </w:rPr>
        <w:t>年</w:t>
      </w:r>
      <w:r>
        <w:rPr>
          <w:rFonts w:hint="eastAsia"/>
          <w:color w:val="auto"/>
          <w:spacing w:val="0"/>
          <w:w w:val="100"/>
          <w:position w:val="0"/>
          <w:sz w:val="21"/>
          <w:szCs w:val="21"/>
          <w:highlight w:val="none"/>
          <w:u w:val="single"/>
          <w:lang w:val="en-US" w:eastAsia="zh-CN" w:bidi="zh-CN"/>
        </w:rPr>
        <w:t xml:space="preserve">  </w:t>
      </w:r>
      <w:r>
        <w:rPr>
          <w:color w:val="auto"/>
          <w:spacing w:val="0"/>
          <w:w w:val="100"/>
          <w:position w:val="0"/>
          <w:sz w:val="21"/>
          <w:szCs w:val="21"/>
          <w:highlight w:val="none"/>
        </w:rPr>
        <w:t>月</w:t>
      </w:r>
      <w:r>
        <w:rPr>
          <w:rFonts w:hint="eastAsia"/>
          <w:color w:val="auto"/>
          <w:spacing w:val="0"/>
          <w:w w:val="100"/>
          <w:position w:val="0"/>
          <w:sz w:val="21"/>
          <w:szCs w:val="21"/>
          <w:highlight w:val="none"/>
          <w:u w:val="single"/>
          <w:lang w:val="en-US" w:eastAsia="zh-CN" w:bidi="zh-CN"/>
        </w:rPr>
        <w:t xml:space="preserve">  </w:t>
      </w:r>
      <w:r>
        <w:rPr>
          <w:color w:val="auto"/>
          <w:spacing w:val="0"/>
          <w:w w:val="100"/>
          <w:position w:val="0"/>
          <w:sz w:val="21"/>
          <w:szCs w:val="21"/>
          <w:highlight w:val="none"/>
        </w:rPr>
        <w:t>日止。本合同期限届满，如需续签，根据《政府采购目录》有关规定，经财政部门批准，双方可以根据法律及各项规定另行签订书面合同。</w:t>
      </w:r>
    </w:p>
    <w:p>
      <w:pPr>
        <w:pStyle w:val="89"/>
        <w:keepNext w:val="0"/>
        <w:keepLines w:val="0"/>
        <w:widowControl w:val="0"/>
        <w:shd w:val="clear" w:color="auto" w:fill="auto"/>
        <w:bidi w:val="0"/>
        <w:spacing w:before="0" w:after="0" w:line="399" w:lineRule="exact"/>
        <w:ind w:left="0" w:right="0" w:firstLine="460"/>
        <w:jc w:val="both"/>
        <w:rPr>
          <w:color w:val="auto"/>
          <w:sz w:val="21"/>
          <w:szCs w:val="21"/>
          <w:highlight w:val="none"/>
        </w:rPr>
      </w:pPr>
      <w:r>
        <w:rPr>
          <w:color w:val="auto"/>
          <w:spacing w:val="0"/>
          <w:w w:val="100"/>
          <w:position w:val="0"/>
          <w:sz w:val="21"/>
          <w:szCs w:val="21"/>
          <w:highlight w:val="none"/>
        </w:rPr>
        <w:t>第二十条政府采购合同融资</w:t>
      </w:r>
    </w:p>
    <w:p>
      <w:pPr>
        <w:pStyle w:val="89"/>
        <w:keepNext w:val="0"/>
        <w:keepLines w:val="0"/>
        <w:widowControl w:val="0"/>
        <w:numPr>
          <w:ilvl w:val="0"/>
          <w:numId w:val="19"/>
        </w:numPr>
        <w:shd w:val="clear" w:color="auto" w:fill="auto"/>
        <w:tabs>
          <w:tab w:val="left" w:pos="791"/>
        </w:tabs>
        <w:bidi w:val="0"/>
        <w:spacing w:before="0" w:after="0" w:line="399" w:lineRule="exact"/>
        <w:ind w:left="0" w:right="0" w:firstLine="460"/>
        <w:jc w:val="both"/>
        <w:rPr>
          <w:color w:val="auto"/>
          <w:sz w:val="21"/>
          <w:szCs w:val="21"/>
          <w:highlight w:val="none"/>
        </w:rPr>
      </w:pPr>
      <w:bookmarkStart w:id="46" w:name="bookmark99"/>
      <w:bookmarkEnd w:id="46"/>
      <w:r>
        <w:rPr>
          <w:color w:val="auto"/>
          <w:spacing w:val="0"/>
          <w:w w:val="100"/>
          <w:position w:val="0"/>
          <w:sz w:val="21"/>
          <w:szCs w:val="21"/>
          <w:highlight w:val="none"/>
        </w:rPr>
        <w:t>政府采购合同签订前开展融资业务的。中标（成交）供应商持政府采购中标（成交）通知书提前与金融机构进行合同融资商洽，双方达成融资意向后，中标（成交）供应商与</w:t>
      </w:r>
      <w:r>
        <w:rPr>
          <w:rFonts w:hint="eastAsia"/>
          <w:color w:val="auto"/>
          <w:spacing w:val="0"/>
          <w:w w:val="100"/>
          <w:position w:val="0"/>
          <w:sz w:val="21"/>
          <w:szCs w:val="21"/>
          <w:highlight w:val="none"/>
          <w:lang w:eastAsia="zh-CN"/>
        </w:rPr>
        <w:t>采购</w:t>
      </w:r>
      <w:r>
        <w:rPr>
          <w:color w:val="auto"/>
          <w:spacing w:val="0"/>
          <w:w w:val="100"/>
          <w:position w:val="0"/>
          <w:sz w:val="21"/>
          <w:szCs w:val="21"/>
          <w:highlight w:val="none"/>
        </w:rPr>
        <w:t>人签订政府</w:t>
      </w:r>
      <w:r>
        <w:rPr>
          <w:rFonts w:hint="eastAsia"/>
          <w:color w:val="auto"/>
          <w:spacing w:val="0"/>
          <w:w w:val="100"/>
          <w:position w:val="0"/>
          <w:sz w:val="21"/>
          <w:szCs w:val="21"/>
          <w:highlight w:val="none"/>
          <w:lang w:eastAsia="zh-CN"/>
        </w:rPr>
        <w:t>采购</w:t>
      </w:r>
      <w:r>
        <w:rPr>
          <w:color w:val="auto"/>
          <w:spacing w:val="0"/>
          <w:w w:val="100"/>
          <w:position w:val="0"/>
          <w:sz w:val="21"/>
          <w:szCs w:val="21"/>
          <w:highlight w:val="none"/>
        </w:rPr>
        <w:t>合同，合同中供应商的银行账户要与合同融资的回款账户一致。中标（成交）供应商和贷款金融机构要及时将政府采购合同作为融资质押的信息告知</w:t>
      </w:r>
      <w:r>
        <w:rPr>
          <w:rFonts w:hint="eastAsia"/>
          <w:color w:val="auto"/>
          <w:spacing w:val="0"/>
          <w:w w:val="100"/>
          <w:position w:val="0"/>
          <w:sz w:val="21"/>
          <w:szCs w:val="21"/>
          <w:highlight w:val="none"/>
          <w:lang w:eastAsia="zh-CN"/>
        </w:rPr>
        <w:t>采购</w:t>
      </w:r>
      <w:r>
        <w:rPr>
          <w:color w:val="auto"/>
          <w:spacing w:val="0"/>
          <w:w w:val="100"/>
          <w:position w:val="0"/>
          <w:sz w:val="21"/>
          <w:szCs w:val="21"/>
          <w:highlight w:val="none"/>
        </w:rPr>
        <w:t>人。采购人要从严加强合同付款账户管理，未经贷款银行同意，不随意更改合同付款账户。</w:t>
      </w:r>
    </w:p>
    <w:p>
      <w:pPr>
        <w:pStyle w:val="89"/>
        <w:keepNext w:val="0"/>
        <w:keepLines w:val="0"/>
        <w:widowControl w:val="0"/>
        <w:numPr>
          <w:ilvl w:val="0"/>
          <w:numId w:val="19"/>
        </w:numPr>
        <w:shd w:val="clear" w:color="auto" w:fill="auto"/>
        <w:tabs>
          <w:tab w:val="left" w:pos="800"/>
        </w:tabs>
        <w:bidi w:val="0"/>
        <w:spacing w:before="0" w:after="0" w:line="399" w:lineRule="exact"/>
        <w:ind w:left="0" w:right="0" w:firstLine="460"/>
        <w:jc w:val="both"/>
        <w:rPr>
          <w:color w:val="auto"/>
          <w:sz w:val="21"/>
          <w:szCs w:val="21"/>
          <w:highlight w:val="none"/>
        </w:rPr>
      </w:pPr>
      <w:bookmarkStart w:id="47" w:name="bookmark100"/>
      <w:bookmarkEnd w:id="47"/>
      <w:r>
        <w:rPr>
          <w:color w:val="auto"/>
          <w:spacing w:val="0"/>
          <w:w w:val="100"/>
          <w:position w:val="0"/>
          <w:sz w:val="21"/>
          <w:szCs w:val="21"/>
          <w:highlight w:val="none"/>
        </w:rPr>
        <w:t>政府</w:t>
      </w:r>
      <w:r>
        <w:rPr>
          <w:rFonts w:hint="eastAsia"/>
          <w:color w:val="auto"/>
          <w:spacing w:val="0"/>
          <w:w w:val="100"/>
          <w:position w:val="0"/>
          <w:sz w:val="21"/>
          <w:szCs w:val="21"/>
          <w:highlight w:val="none"/>
          <w:lang w:eastAsia="zh-CN"/>
        </w:rPr>
        <w:t>采购</w:t>
      </w:r>
      <w:r>
        <w:rPr>
          <w:color w:val="auto"/>
          <w:spacing w:val="0"/>
          <w:w w:val="100"/>
          <w:position w:val="0"/>
          <w:sz w:val="21"/>
          <w:szCs w:val="21"/>
          <w:highlight w:val="none"/>
        </w:rPr>
        <w:t>合同签订后开展融资的账户管理。在合同履约期间，中标（成交） 供应商持已签订的政府</w:t>
      </w:r>
      <w:r>
        <w:rPr>
          <w:rFonts w:hint="eastAsia"/>
          <w:color w:val="auto"/>
          <w:spacing w:val="0"/>
          <w:w w:val="100"/>
          <w:position w:val="0"/>
          <w:sz w:val="21"/>
          <w:szCs w:val="21"/>
          <w:highlight w:val="none"/>
          <w:lang w:eastAsia="zh-CN"/>
        </w:rPr>
        <w:t>采购</w:t>
      </w:r>
      <w:r>
        <w:rPr>
          <w:color w:val="auto"/>
          <w:spacing w:val="0"/>
          <w:w w:val="100"/>
          <w:position w:val="0"/>
          <w:sz w:val="21"/>
          <w:szCs w:val="21"/>
          <w:highlight w:val="none"/>
        </w:rPr>
        <w:t>合同向金融机构申请合同融资，可能出现政府采购合同中供应商收款的银行账户与拟贷款银行回款账户不一致的情形。为支持供应商通过政府</w:t>
      </w:r>
      <w:r>
        <w:rPr>
          <w:rFonts w:hint="eastAsia"/>
          <w:color w:val="auto"/>
          <w:spacing w:val="0"/>
          <w:w w:val="100"/>
          <w:position w:val="0"/>
          <w:sz w:val="21"/>
          <w:szCs w:val="21"/>
          <w:highlight w:val="none"/>
          <w:lang w:eastAsia="zh-CN"/>
        </w:rPr>
        <w:t>采购</w:t>
      </w:r>
      <w:r>
        <w:rPr>
          <w:color w:val="auto"/>
          <w:spacing w:val="0"/>
          <w:w w:val="100"/>
          <w:position w:val="0"/>
          <w:sz w:val="21"/>
          <w:szCs w:val="21"/>
          <w:highlight w:val="none"/>
        </w:rPr>
        <w:t>合同成功获得银行贷款，采购人应积极协助供应商及时变更政府</w:t>
      </w:r>
      <w:r>
        <w:rPr>
          <w:rFonts w:hint="eastAsia"/>
          <w:color w:val="auto"/>
          <w:spacing w:val="0"/>
          <w:w w:val="100"/>
          <w:position w:val="0"/>
          <w:sz w:val="21"/>
          <w:szCs w:val="21"/>
          <w:highlight w:val="none"/>
          <w:lang w:eastAsia="zh-CN"/>
        </w:rPr>
        <w:t>采</w:t>
      </w:r>
      <w:r>
        <w:rPr>
          <w:color w:val="auto"/>
          <w:spacing w:val="0"/>
          <w:w w:val="100"/>
          <w:position w:val="0"/>
          <w:sz w:val="21"/>
          <w:szCs w:val="21"/>
          <w:highlight w:val="none"/>
        </w:rPr>
        <w:t>购合同中的供应商收款银行账户，保障供应商收款的银行账户与拟贷款银行回款账户一致。</w:t>
      </w:r>
    </w:p>
    <w:p>
      <w:pPr>
        <w:pStyle w:val="89"/>
        <w:keepNext w:val="0"/>
        <w:keepLines w:val="0"/>
        <w:widowControl w:val="0"/>
        <w:numPr>
          <w:ilvl w:val="0"/>
          <w:numId w:val="19"/>
        </w:numPr>
        <w:shd w:val="clear" w:color="auto" w:fill="auto"/>
        <w:tabs>
          <w:tab w:val="left" w:pos="800"/>
        </w:tabs>
        <w:bidi w:val="0"/>
        <w:spacing w:before="0" w:after="0" w:line="399" w:lineRule="exact"/>
        <w:ind w:left="0" w:right="0" w:firstLine="460"/>
        <w:jc w:val="both"/>
        <w:rPr>
          <w:color w:val="auto"/>
          <w:sz w:val="21"/>
          <w:szCs w:val="21"/>
          <w:highlight w:val="none"/>
        </w:rPr>
      </w:pPr>
      <w:bookmarkStart w:id="48" w:name="bookmark101"/>
      <w:bookmarkEnd w:id="48"/>
      <w:r>
        <w:rPr>
          <w:color w:val="auto"/>
          <w:spacing w:val="0"/>
          <w:w w:val="100"/>
          <w:position w:val="0"/>
          <w:sz w:val="21"/>
          <w:szCs w:val="21"/>
          <w:highlight w:val="none"/>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pStyle w:val="89"/>
        <w:keepNext w:val="0"/>
        <w:keepLines w:val="0"/>
        <w:widowControl w:val="0"/>
        <w:shd w:val="clear" w:color="auto" w:fill="auto"/>
        <w:bidi w:val="0"/>
        <w:spacing w:before="0" w:after="0" w:line="399" w:lineRule="exact"/>
        <w:ind w:left="0" w:right="0" w:firstLine="460"/>
        <w:jc w:val="both"/>
        <w:rPr>
          <w:color w:val="auto"/>
          <w:sz w:val="21"/>
          <w:szCs w:val="21"/>
          <w:highlight w:val="none"/>
        </w:rPr>
      </w:pPr>
      <w:r>
        <w:rPr>
          <w:color w:val="auto"/>
          <w:spacing w:val="0"/>
          <w:w w:val="100"/>
          <w:position w:val="0"/>
          <w:sz w:val="21"/>
          <w:szCs w:val="21"/>
          <w:highlight w:val="none"/>
        </w:rPr>
        <w:t>第二十一条下列文件为本合同不可分割部分</w:t>
      </w:r>
    </w:p>
    <w:p>
      <w:pPr>
        <w:pStyle w:val="89"/>
        <w:keepNext w:val="0"/>
        <w:keepLines w:val="0"/>
        <w:widowControl w:val="0"/>
        <w:shd w:val="clear" w:color="auto" w:fill="auto"/>
        <w:tabs>
          <w:tab w:val="left" w:pos="814"/>
        </w:tabs>
        <w:bidi w:val="0"/>
        <w:spacing w:before="0" w:after="120" w:line="399" w:lineRule="exact"/>
        <w:ind w:left="0" w:right="0" w:firstLine="460"/>
        <w:jc w:val="both"/>
        <w:rPr>
          <w:color w:val="auto"/>
          <w:sz w:val="21"/>
          <w:szCs w:val="21"/>
          <w:highlight w:val="none"/>
        </w:rPr>
      </w:pPr>
      <w:bookmarkStart w:id="49" w:name="bookmark102"/>
      <w:r>
        <w:rPr>
          <w:rFonts w:ascii="Times New Roman" w:hAnsi="Times New Roman" w:eastAsia="Times New Roman" w:cs="Times New Roman"/>
          <w:color w:val="auto"/>
          <w:spacing w:val="0"/>
          <w:w w:val="100"/>
          <w:position w:val="0"/>
          <w:sz w:val="21"/>
          <w:szCs w:val="21"/>
          <w:highlight w:val="none"/>
        </w:rPr>
        <w:t>1</w:t>
      </w:r>
      <w:bookmarkEnd w:id="49"/>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政府</w:t>
      </w:r>
      <w:r>
        <w:rPr>
          <w:rFonts w:hint="eastAsia"/>
          <w:color w:val="auto"/>
          <w:spacing w:val="0"/>
          <w:w w:val="100"/>
          <w:position w:val="0"/>
          <w:sz w:val="21"/>
          <w:szCs w:val="21"/>
          <w:highlight w:val="none"/>
          <w:lang w:eastAsia="zh-CN"/>
        </w:rPr>
        <w:t>采购</w:t>
      </w:r>
      <w:r>
        <w:rPr>
          <w:color w:val="auto"/>
          <w:spacing w:val="0"/>
          <w:w w:val="100"/>
          <w:position w:val="0"/>
          <w:sz w:val="21"/>
          <w:szCs w:val="21"/>
          <w:highlight w:val="none"/>
        </w:rPr>
        <w:t>招标文件（包括澄清、修改）；</w:t>
      </w:r>
    </w:p>
    <w:p>
      <w:pPr>
        <w:pStyle w:val="89"/>
        <w:keepNext w:val="0"/>
        <w:keepLines w:val="0"/>
        <w:widowControl w:val="0"/>
        <w:shd w:val="clear" w:color="auto" w:fill="auto"/>
        <w:tabs>
          <w:tab w:val="left" w:pos="828"/>
        </w:tabs>
        <w:bidi w:val="0"/>
        <w:spacing w:before="0" w:after="0"/>
        <w:ind w:left="0" w:right="0" w:firstLine="460"/>
        <w:jc w:val="both"/>
        <w:rPr>
          <w:color w:val="auto"/>
          <w:sz w:val="21"/>
          <w:szCs w:val="21"/>
          <w:highlight w:val="none"/>
        </w:rPr>
      </w:pPr>
      <w:bookmarkStart w:id="50" w:name="bookmark103"/>
      <w:r>
        <w:rPr>
          <w:rFonts w:ascii="Times New Roman" w:hAnsi="Times New Roman" w:eastAsia="Times New Roman" w:cs="Times New Roman"/>
          <w:color w:val="auto"/>
          <w:spacing w:val="0"/>
          <w:w w:val="100"/>
          <w:position w:val="0"/>
          <w:sz w:val="21"/>
          <w:szCs w:val="21"/>
          <w:highlight w:val="none"/>
        </w:rPr>
        <w:t>2</w:t>
      </w:r>
      <w:bookmarkEnd w:id="50"/>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乙方投标文件；</w:t>
      </w:r>
    </w:p>
    <w:p>
      <w:pPr>
        <w:pStyle w:val="89"/>
        <w:keepNext w:val="0"/>
        <w:keepLines w:val="0"/>
        <w:widowControl w:val="0"/>
        <w:shd w:val="clear" w:color="auto" w:fill="auto"/>
        <w:tabs>
          <w:tab w:val="left" w:pos="828"/>
        </w:tabs>
        <w:bidi w:val="0"/>
        <w:spacing w:before="0" w:after="0" w:line="399" w:lineRule="exact"/>
        <w:ind w:left="0" w:right="0" w:firstLine="460"/>
        <w:jc w:val="both"/>
        <w:rPr>
          <w:color w:val="auto"/>
          <w:sz w:val="21"/>
          <w:szCs w:val="21"/>
          <w:highlight w:val="none"/>
        </w:rPr>
      </w:pPr>
      <w:bookmarkStart w:id="51" w:name="bookmark104"/>
      <w:r>
        <w:rPr>
          <w:rFonts w:ascii="Times New Roman" w:hAnsi="Times New Roman" w:eastAsia="Times New Roman" w:cs="Times New Roman"/>
          <w:color w:val="auto"/>
          <w:spacing w:val="0"/>
          <w:w w:val="100"/>
          <w:position w:val="0"/>
          <w:sz w:val="21"/>
          <w:szCs w:val="21"/>
          <w:highlight w:val="none"/>
        </w:rPr>
        <w:t>3</w:t>
      </w:r>
      <w:bookmarkEnd w:id="51"/>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中标（成交）通知书；</w:t>
      </w:r>
    </w:p>
    <w:p>
      <w:pPr>
        <w:pStyle w:val="89"/>
        <w:keepNext w:val="0"/>
        <w:keepLines w:val="0"/>
        <w:widowControl w:val="0"/>
        <w:shd w:val="clear" w:color="auto" w:fill="auto"/>
        <w:tabs>
          <w:tab w:val="left" w:pos="833"/>
        </w:tabs>
        <w:bidi w:val="0"/>
        <w:spacing w:before="0" w:after="0" w:line="399" w:lineRule="exact"/>
        <w:ind w:left="0" w:right="0" w:firstLine="460"/>
        <w:jc w:val="both"/>
        <w:rPr>
          <w:color w:val="auto"/>
          <w:sz w:val="21"/>
          <w:szCs w:val="21"/>
          <w:highlight w:val="none"/>
        </w:rPr>
      </w:pPr>
      <w:bookmarkStart w:id="52" w:name="bookmark105"/>
      <w:r>
        <w:rPr>
          <w:rFonts w:ascii="Times New Roman" w:hAnsi="Times New Roman" w:eastAsia="Times New Roman" w:cs="Times New Roman"/>
          <w:color w:val="auto"/>
          <w:spacing w:val="0"/>
          <w:w w:val="100"/>
          <w:position w:val="0"/>
          <w:sz w:val="21"/>
          <w:szCs w:val="21"/>
          <w:highlight w:val="none"/>
        </w:rPr>
        <w:t>4</w:t>
      </w:r>
      <w:bookmarkEnd w:id="52"/>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中标人在评标过程中做出的有关澄清、说明、承诺或者补正文件；</w:t>
      </w:r>
    </w:p>
    <w:p>
      <w:pPr>
        <w:pStyle w:val="89"/>
        <w:keepNext w:val="0"/>
        <w:keepLines w:val="0"/>
        <w:widowControl w:val="0"/>
        <w:shd w:val="clear" w:color="auto" w:fill="auto"/>
        <w:tabs>
          <w:tab w:val="left" w:pos="833"/>
        </w:tabs>
        <w:bidi w:val="0"/>
        <w:spacing w:before="0" w:after="0" w:line="399" w:lineRule="exact"/>
        <w:ind w:left="0" w:right="0" w:firstLine="460"/>
        <w:jc w:val="both"/>
        <w:rPr>
          <w:color w:val="auto"/>
          <w:sz w:val="21"/>
          <w:szCs w:val="21"/>
          <w:highlight w:val="none"/>
        </w:rPr>
        <w:sectPr>
          <w:footerReference r:id="rId7" w:type="default"/>
          <w:footerReference r:id="rId8" w:type="even"/>
          <w:footnotePr>
            <w:numFmt w:val="decimal"/>
          </w:footnotePr>
          <w:type w:val="continuous"/>
          <w:pgSz w:w="11900" w:h="16840"/>
          <w:pgMar w:top="1559" w:right="1680" w:bottom="1358" w:left="1709" w:header="1131" w:footer="1128" w:gutter="0"/>
          <w:pgNumType w:fmt="decimal"/>
          <w:cols w:space="720" w:num="1"/>
          <w:rtlGutter w:val="0"/>
          <w:docGrid w:linePitch="360" w:charSpace="0"/>
        </w:sectPr>
      </w:pPr>
      <w:bookmarkStart w:id="53" w:name="bookmark106"/>
      <w:r>
        <w:rPr>
          <w:rFonts w:ascii="Times New Roman" w:hAnsi="Times New Roman" w:eastAsia="Times New Roman" w:cs="Times New Roman"/>
          <w:color w:val="auto"/>
          <w:spacing w:val="0"/>
          <w:w w:val="100"/>
          <w:position w:val="0"/>
          <w:sz w:val="21"/>
          <w:szCs w:val="21"/>
          <w:highlight w:val="none"/>
        </w:rPr>
        <w:t>5</w:t>
      </w:r>
      <w:bookmarkEnd w:id="53"/>
      <w:r>
        <w:rPr>
          <w:color w:val="auto"/>
          <w:spacing w:val="0"/>
          <w:w w:val="100"/>
          <w:position w:val="0"/>
          <w:sz w:val="21"/>
          <w:szCs w:val="21"/>
          <w:highlight w:val="none"/>
        </w:rPr>
        <w:t>、</w:t>
      </w:r>
      <w:r>
        <w:rPr>
          <w:color w:val="auto"/>
          <w:spacing w:val="0"/>
          <w:w w:val="100"/>
          <w:position w:val="0"/>
          <w:sz w:val="21"/>
          <w:szCs w:val="21"/>
          <w:highlight w:val="none"/>
        </w:rPr>
        <w:tab/>
      </w:r>
      <w:r>
        <w:rPr>
          <w:color w:val="auto"/>
          <w:spacing w:val="0"/>
          <w:w w:val="100"/>
          <w:position w:val="0"/>
          <w:sz w:val="21"/>
          <w:szCs w:val="21"/>
          <w:highlight w:val="none"/>
        </w:rPr>
        <w:t>政府</w:t>
      </w:r>
      <w:r>
        <w:rPr>
          <w:rFonts w:hint="eastAsia"/>
          <w:color w:val="auto"/>
          <w:spacing w:val="0"/>
          <w:w w:val="100"/>
          <w:position w:val="0"/>
          <w:sz w:val="21"/>
          <w:szCs w:val="21"/>
          <w:highlight w:val="none"/>
          <w:lang w:eastAsia="zh-CN"/>
        </w:rPr>
        <w:t>采购</w:t>
      </w:r>
      <w:r>
        <w:rPr>
          <w:color w:val="auto"/>
          <w:spacing w:val="0"/>
          <w:w w:val="100"/>
          <w:position w:val="0"/>
          <w:sz w:val="21"/>
          <w:szCs w:val="21"/>
          <w:highlight w:val="none"/>
        </w:rPr>
        <w:t>委托协议书。</w:t>
      </w:r>
    </w:p>
    <w:p>
      <w:pPr>
        <w:widowControl w:val="0"/>
        <w:spacing w:before="75" w:after="75" w:line="240" w:lineRule="exact"/>
        <w:rPr>
          <w:color w:val="auto"/>
          <w:sz w:val="21"/>
          <w:szCs w:val="21"/>
          <w:highlight w:val="none"/>
        </w:rPr>
      </w:pPr>
    </w:p>
    <w:p>
      <w:pPr>
        <w:widowControl w:val="0"/>
        <w:spacing w:line="1" w:lineRule="exact"/>
        <w:rPr>
          <w:color w:val="auto"/>
          <w:sz w:val="21"/>
          <w:szCs w:val="21"/>
          <w:highlight w:val="none"/>
        </w:rPr>
        <w:sectPr>
          <w:footnotePr>
            <w:numFmt w:val="decimal"/>
          </w:footnotePr>
          <w:type w:val="continuous"/>
          <w:pgSz w:w="11900" w:h="16840"/>
          <w:pgMar w:top="1734" w:right="0" w:bottom="1734" w:left="0" w:header="0" w:footer="3" w:gutter="0"/>
          <w:pgNumType w:fmt="decimal"/>
          <w:cols w:space="720" w:num="1"/>
          <w:rtlGutter w:val="0"/>
          <w:docGrid w:linePitch="360" w:charSpace="0"/>
        </w:sectPr>
      </w:pPr>
    </w:p>
    <w:p>
      <w:pPr>
        <w:pStyle w:val="89"/>
        <w:keepNext w:val="0"/>
        <w:keepLines w:val="0"/>
        <w:widowControl w:val="0"/>
        <w:shd w:val="clear" w:color="auto" w:fill="auto"/>
        <w:bidi w:val="0"/>
        <w:spacing w:before="0" w:after="140" w:line="240" w:lineRule="auto"/>
        <w:ind w:left="0" w:right="0" w:firstLine="0"/>
        <w:jc w:val="left"/>
        <w:rPr>
          <w:color w:val="auto"/>
          <w:sz w:val="21"/>
          <w:szCs w:val="21"/>
          <w:highlight w:val="none"/>
        </w:rPr>
      </w:pPr>
      <w:r>
        <w:rPr>
          <w:color w:val="auto"/>
          <w:spacing w:val="0"/>
          <w:w w:val="100"/>
          <w:position w:val="0"/>
          <w:sz w:val="21"/>
          <w:szCs w:val="21"/>
          <w:highlight w:val="none"/>
        </w:rPr>
        <w:t>甲 方：</w:t>
      </w:r>
    </w:p>
    <w:p>
      <w:pPr>
        <w:pStyle w:val="89"/>
        <w:keepNext w:val="0"/>
        <w:keepLines w:val="0"/>
        <w:widowControl w:val="0"/>
        <w:shd w:val="clear" w:color="auto" w:fill="auto"/>
        <w:bidi w:val="0"/>
        <w:spacing w:before="0" w:after="140" w:line="240" w:lineRule="auto"/>
        <w:ind w:left="0" w:right="0" w:firstLine="0"/>
        <w:jc w:val="left"/>
        <w:rPr>
          <w:color w:val="auto"/>
          <w:sz w:val="21"/>
          <w:szCs w:val="21"/>
          <w:highlight w:val="none"/>
        </w:rPr>
      </w:pPr>
      <w:r>
        <w:rPr>
          <w:color w:val="auto"/>
          <w:spacing w:val="0"/>
          <w:w w:val="100"/>
          <w:position w:val="0"/>
          <w:sz w:val="21"/>
          <w:szCs w:val="21"/>
          <w:highlight w:val="none"/>
        </w:rPr>
        <w:t>单位名称（公章）：</w:t>
      </w:r>
    </w:p>
    <w:p>
      <w:pPr>
        <w:pStyle w:val="89"/>
        <w:keepNext w:val="0"/>
        <w:keepLines w:val="0"/>
        <w:widowControl w:val="0"/>
        <w:shd w:val="clear" w:color="auto" w:fill="auto"/>
        <w:bidi w:val="0"/>
        <w:spacing w:before="0" w:after="140" w:line="240" w:lineRule="auto"/>
        <w:ind w:left="0" w:right="0" w:firstLine="0"/>
        <w:jc w:val="left"/>
        <w:rPr>
          <w:color w:val="auto"/>
          <w:sz w:val="21"/>
          <w:szCs w:val="21"/>
          <w:highlight w:val="none"/>
        </w:rPr>
      </w:pPr>
      <w:r>
        <w:rPr>
          <w:color w:val="auto"/>
          <w:spacing w:val="0"/>
          <w:w w:val="100"/>
          <w:position w:val="0"/>
          <w:sz w:val="21"/>
          <w:szCs w:val="21"/>
          <w:highlight w:val="none"/>
        </w:rPr>
        <w:t>法定代表人（被授权代表）签字:</w:t>
      </w:r>
    </w:p>
    <w:p>
      <w:pPr>
        <w:pStyle w:val="89"/>
        <w:keepNext w:val="0"/>
        <w:keepLines w:val="0"/>
        <w:widowControl w:val="0"/>
        <w:shd w:val="clear" w:color="auto" w:fill="auto"/>
        <w:bidi w:val="0"/>
        <w:spacing w:before="0" w:after="540" w:line="240" w:lineRule="auto"/>
        <w:ind w:left="0" w:right="0" w:firstLine="0"/>
        <w:jc w:val="left"/>
        <w:rPr>
          <w:color w:val="auto"/>
          <w:sz w:val="21"/>
          <w:szCs w:val="21"/>
          <w:highlight w:val="none"/>
        </w:rPr>
      </w:pPr>
      <w:r>
        <w:rPr>
          <w:color w:val="auto"/>
          <w:spacing w:val="0"/>
          <w:w w:val="100"/>
          <w:position w:val="0"/>
          <w:sz w:val="21"/>
          <w:szCs w:val="21"/>
          <w:highlight w:val="none"/>
        </w:rPr>
        <w:t>电 话：</w:t>
      </w:r>
    </w:p>
    <w:p>
      <w:pPr>
        <w:pStyle w:val="89"/>
        <w:keepNext w:val="0"/>
        <w:keepLines w:val="0"/>
        <w:widowControl w:val="0"/>
        <w:shd w:val="clear" w:color="auto" w:fill="auto"/>
        <w:bidi w:val="0"/>
        <w:spacing w:before="0" w:after="140" w:line="240" w:lineRule="auto"/>
        <w:ind w:left="0" w:right="0" w:firstLine="0"/>
        <w:jc w:val="left"/>
        <w:rPr>
          <w:color w:val="auto"/>
          <w:sz w:val="21"/>
          <w:szCs w:val="21"/>
          <w:highlight w:val="none"/>
        </w:rPr>
      </w:pPr>
      <w:r>
        <w:rPr>
          <w:color w:val="auto"/>
          <w:spacing w:val="0"/>
          <w:w w:val="100"/>
          <w:position w:val="0"/>
          <w:sz w:val="21"/>
          <w:szCs w:val="21"/>
          <w:highlight w:val="none"/>
        </w:rPr>
        <w:t>年 月 日</w:t>
      </w:r>
    </w:p>
    <w:p>
      <w:pPr>
        <w:pStyle w:val="89"/>
        <w:keepNext w:val="0"/>
        <w:keepLines w:val="0"/>
        <w:widowControl w:val="0"/>
        <w:shd w:val="clear" w:color="auto" w:fill="auto"/>
        <w:bidi w:val="0"/>
        <w:spacing w:before="0" w:after="140" w:line="240" w:lineRule="auto"/>
        <w:ind w:left="0" w:right="0" w:firstLine="0"/>
        <w:jc w:val="left"/>
        <w:rPr>
          <w:color w:val="auto"/>
          <w:sz w:val="21"/>
          <w:szCs w:val="21"/>
          <w:highlight w:val="none"/>
        </w:rPr>
      </w:pPr>
      <w:r>
        <w:rPr>
          <w:color w:val="auto"/>
          <w:spacing w:val="0"/>
          <w:w w:val="100"/>
          <w:position w:val="0"/>
          <w:sz w:val="21"/>
          <w:szCs w:val="21"/>
          <w:highlight w:val="none"/>
        </w:rPr>
        <w:t>乙 方：</w:t>
      </w:r>
    </w:p>
    <w:p>
      <w:pPr>
        <w:pStyle w:val="89"/>
        <w:keepNext w:val="0"/>
        <w:keepLines w:val="0"/>
        <w:widowControl w:val="0"/>
        <w:shd w:val="clear" w:color="auto" w:fill="auto"/>
        <w:bidi w:val="0"/>
        <w:spacing w:before="0" w:after="140" w:line="240" w:lineRule="auto"/>
        <w:ind w:left="0" w:right="0" w:firstLine="0"/>
        <w:jc w:val="left"/>
        <w:rPr>
          <w:color w:val="auto"/>
          <w:sz w:val="21"/>
          <w:szCs w:val="21"/>
          <w:highlight w:val="none"/>
        </w:rPr>
      </w:pPr>
      <w:r>
        <w:rPr>
          <w:color w:val="auto"/>
          <w:spacing w:val="0"/>
          <w:w w:val="100"/>
          <w:position w:val="0"/>
          <w:sz w:val="21"/>
          <w:szCs w:val="21"/>
          <w:highlight w:val="none"/>
        </w:rPr>
        <w:t>单位名称（公章）：</w:t>
      </w:r>
    </w:p>
    <w:p>
      <w:pPr>
        <w:pStyle w:val="89"/>
        <w:keepNext w:val="0"/>
        <w:keepLines w:val="0"/>
        <w:widowControl w:val="0"/>
        <w:shd w:val="clear" w:color="auto" w:fill="auto"/>
        <w:bidi w:val="0"/>
        <w:spacing w:before="0" w:after="140" w:line="240" w:lineRule="auto"/>
        <w:ind w:left="0" w:right="0" w:firstLine="0"/>
        <w:jc w:val="left"/>
        <w:rPr>
          <w:color w:val="auto"/>
          <w:sz w:val="21"/>
          <w:szCs w:val="21"/>
          <w:highlight w:val="none"/>
        </w:rPr>
      </w:pPr>
      <w:r>
        <w:rPr>
          <w:color w:val="auto"/>
          <w:spacing w:val="0"/>
          <w:w w:val="100"/>
          <w:position w:val="0"/>
          <w:sz w:val="21"/>
          <w:szCs w:val="21"/>
          <w:highlight w:val="none"/>
        </w:rPr>
        <w:t>法定代表人（被授权代表）签字:</w:t>
      </w:r>
    </w:p>
    <w:p>
      <w:pPr>
        <w:pStyle w:val="89"/>
        <w:keepNext w:val="0"/>
        <w:keepLines w:val="0"/>
        <w:widowControl w:val="0"/>
        <w:shd w:val="clear" w:color="auto" w:fill="auto"/>
        <w:bidi w:val="0"/>
        <w:spacing w:before="0" w:after="540" w:line="240" w:lineRule="auto"/>
        <w:ind w:left="0" w:right="0" w:firstLine="0"/>
        <w:jc w:val="left"/>
        <w:rPr>
          <w:color w:val="auto"/>
          <w:sz w:val="21"/>
          <w:szCs w:val="21"/>
          <w:highlight w:val="none"/>
        </w:rPr>
      </w:pPr>
      <w:r>
        <w:rPr>
          <w:color w:val="auto"/>
          <w:spacing w:val="0"/>
          <w:w w:val="100"/>
          <w:position w:val="0"/>
          <w:sz w:val="21"/>
          <w:szCs w:val="21"/>
          <w:highlight w:val="none"/>
        </w:rPr>
        <w:t>电 话：</w:t>
      </w:r>
    </w:p>
    <w:p>
      <w:pPr>
        <w:pStyle w:val="89"/>
        <w:keepNext w:val="0"/>
        <w:keepLines w:val="0"/>
        <w:widowControl w:val="0"/>
        <w:shd w:val="clear" w:color="auto" w:fill="auto"/>
        <w:bidi w:val="0"/>
        <w:spacing w:before="0" w:after="140" w:line="240" w:lineRule="auto"/>
        <w:ind w:left="0" w:right="0" w:firstLine="0"/>
        <w:jc w:val="left"/>
        <w:rPr>
          <w:rFonts w:hint="eastAsia" w:eastAsia="宋体"/>
          <w:color w:val="auto"/>
          <w:sz w:val="21"/>
          <w:szCs w:val="21"/>
          <w:highlight w:val="none"/>
          <w:lang w:eastAsia="zh-CN"/>
        </w:rPr>
        <w:sectPr>
          <w:footnotePr>
            <w:numFmt w:val="decimal"/>
          </w:footnotePr>
          <w:type w:val="continuous"/>
          <w:pgSz w:w="11900" w:h="16840"/>
          <w:pgMar w:top="1734" w:right="1791" w:bottom="1734" w:left="2189" w:header="0" w:footer="3" w:gutter="0"/>
          <w:pgNumType w:fmt="decimal"/>
          <w:cols w:space="1171" w:num="2"/>
          <w:rtlGutter w:val="0"/>
          <w:docGrid w:linePitch="360" w:charSpace="0"/>
        </w:sectPr>
      </w:pPr>
      <w:r>
        <w:rPr>
          <w:color w:val="auto"/>
          <w:spacing w:val="0"/>
          <w:w w:val="100"/>
          <w:position w:val="0"/>
          <w:sz w:val="21"/>
          <w:szCs w:val="21"/>
          <w:highlight w:val="none"/>
        </w:rPr>
        <w:t>年 月</w:t>
      </w:r>
      <w:r>
        <w:rPr>
          <w:rFonts w:hint="eastAsia"/>
          <w:color w:val="auto"/>
          <w:spacing w:val="0"/>
          <w:w w:val="100"/>
          <w:position w:val="0"/>
          <w:sz w:val="21"/>
          <w:szCs w:val="21"/>
          <w:highlight w:val="none"/>
          <w:lang w:val="en-US" w:eastAsia="zh-CN"/>
        </w:rPr>
        <w:t xml:space="preserve"> </w:t>
      </w:r>
      <w:r>
        <w:rPr>
          <w:rFonts w:hint="eastAsia"/>
          <w:color w:val="auto"/>
          <w:spacing w:val="0"/>
          <w:w w:val="100"/>
          <w:position w:val="0"/>
          <w:sz w:val="21"/>
          <w:szCs w:val="21"/>
          <w:highlight w:val="none"/>
          <w:lang w:eastAsia="zh-CN"/>
        </w:rPr>
        <w:t>日</w:t>
      </w:r>
    </w:p>
    <w:p>
      <w:pPr>
        <w:pStyle w:val="18"/>
        <w:spacing w:line="360" w:lineRule="auto"/>
        <w:contextualSpacing/>
        <w:rPr>
          <w:rFonts w:cs="宋体" w:asciiTheme="majorEastAsia" w:hAnsiTheme="majorEastAsia" w:eastAsiaTheme="majorEastAsia"/>
          <w:b/>
          <w:color w:val="auto"/>
          <w:kern w:val="0"/>
          <w:sz w:val="36"/>
          <w:szCs w:val="36"/>
          <w:highlight w:val="none"/>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第八章投标文件有关格式</w:t>
      </w:r>
    </w:p>
    <w:p>
      <w:pP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pStyle w:val="28"/>
        <w:rPr>
          <w:color w:val="auto"/>
          <w:highlight w:val="none"/>
          <w:lang w:val="zh-CN"/>
        </w:rPr>
      </w:pPr>
    </w:p>
    <w:p>
      <w:pPr>
        <w:pStyle w:val="29"/>
        <w:rPr>
          <w:color w:val="auto"/>
          <w:highlight w:val="none"/>
          <w:lang w:val="zh-CN"/>
        </w:rPr>
      </w:pPr>
    </w:p>
    <w:p>
      <w:pPr>
        <w:rPr>
          <w:color w:val="auto"/>
          <w:highlight w:val="none"/>
          <w:lang w:val="zh-CN"/>
        </w:rPr>
      </w:pPr>
    </w:p>
    <w:p>
      <w:pPr>
        <w:pStyle w:val="2"/>
        <w:rPr>
          <w:color w:val="auto"/>
          <w:highlight w:val="none"/>
          <w:lang w:val="zh-CN"/>
        </w:rPr>
      </w:pPr>
    </w:p>
    <w:p>
      <w:pPr>
        <w:pStyle w:val="25"/>
        <w:rPr>
          <w:color w:val="auto"/>
          <w:highlight w:val="none"/>
          <w:lang w:val="zh-CN"/>
        </w:rPr>
      </w:pPr>
    </w:p>
    <w:p>
      <w:pPr>
        <w:pStyle w:val="25"/>
        <w:rPr>
          <w:color w:val="auto"/>
          <w:highlight w:val="none"/>
          <w:lang w:val="zh-CN"/>
        </w:rPr>
      </w:pPr>
    </w:p>
    <w:p>
      <w:pPr>
        <w:pStyle w:val="25"/>
        <w:rPr>
          <w:color w:val="auto"/>
          <w:highlight w:val="none"/>
          <w:lang w:val="zh-CN"/>
        </w:rPr>
      </w:pPr>
    </w:p>
    <w:p>
      <w:pPr>
        <w:pStyle w:val="25"/>
        <w:rPr>
          <w:color w:val="auto"/>
          <w:highlight w:val="none"/>
          <w:lang w:val="zh-CN"/>
        </w:rPr>
      </w:pPr>
    </w:p>
    <w:p>
      <w:pPr>
        <w:pStyle w:val="25"/>
        <w:rPr>
          <w:color w:val="auto"/>
          <w:highlight w:val="none"/>
          <w:lang w:val="zh-CN"/>
        </w:rPr>
      </w:pPr>
    </w:p>
    <w:p>
      <w:pPr>
        <w:pStyle w:val="25"/>
        <w:rPr>
          <w:color w:val="auto"/>
          <w:highlight w:val="none"/>
          <w:lang w:val="zh-CN"/>
        </w:rPr>
      </w:pPr>
    </w:p>
    <w:p>
      <w:pPr>
        <w:pStyle w:val="25"/>
        <w:rPr>
          <w:color w:val="auto"/>
          <w:highlight w:val="none"/>
          <w:lang w:val="zh-CN"/>
        </w:rPr>
      </w:pPr>
    </w:p>
    <w:p>
      <w:pPr>
        <w:pStyle w:val="25"/>
        <w:rPr>
          <w:color w:val="auto"/>
          <w:highlight w:val="none"/>
          <w:lang w:val="zh-CN"/>
        </w:rPr>
      </w:pPr>
    </w:p>
    <w:p>
      <w:pPr>
        <w:pStyle w:val="25"/>
        <w:rPr>
          <w:color w:val="auto"/>
          <w:highlight w:val="none"/>
          <w:lang w:val="zh-CN"/>
        </w:rPr>
      </w:pPr>
    </w:p>
    <w:p>
      <w:pPr>
        <w:pStyle w:val="25"/>
        <w:rPr>
          <w:color w:val="auto"/>
          <w:highlight w:val="none"/>
          <w:lang w:val="zh-CN"/>
        </w:rPr>
      </w:pPr>
    </w:p>
    <w:p>
      <w:pPr>
        <w:pStyle w:val="68"/>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3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3751"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559"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投标人应答</w:t>
            </w:r>
          </w:p>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560"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投标文件中所在页码</w:t>
            </w:r>
          </w:p>
        </w:tc>
        <w:tc>
          <w:tcPr>
            <w:tcW w:w="2018"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投标人应答索引表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3751" w:type="dxa"/>
            <w:vAlign w:val="center"/>
          </w:tcPr>
          <w:p>
            <w:pPr>
              <w:pStyle w:val="18"/>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开标一览表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投标函</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3751" w:type="dxa"/>
            <w:vAlign w:val="center"/>
          </w:tcPr>
          <w:p>
            <w:pPr>
              <w:pStyle w:val="18"/>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3751" w:type="dxa"/>
            <w:vAlign w:val="center"/>
          </w:tcPr>
          <w:p>
            <w:pPr>
              <w:pStyle w:val="18"/>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投标承诺函</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禹州市政府采购供应商信用承诺函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8</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9</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10</w:t>
            </w:r>
          </w:p>
        </w:tc>
        <w:tc>
          <w:tcPr>
            <w:tcW w:w="3751" w:type="dxa"/>
            <w:vAlign w:val="center"/>
          </w:tcPr>
          <w:p>
            <w:pPr>
              <w:pStyle w:val="18"/>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投标人未为本项目提供整体设计、规范编制或者项目管理、监理、检测等服务承诺函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eastAsiaTheme="minorEastAsia"/>
                <w:color w:val="auto"/>
                <w:kern w:val="2"/>
                <w:sz w:val="21"/>
                <w:szCs w:val="21"/>
                <w:highlight w:val="none"/>
                <w:lang w:val="zh-CN" w:eastAsia="zh-CN" w:bidi="ar-SA"/>
              </w:rPr>
            </w:pPr>
            <w:r>
              <w:rPr>
                <w:rFonts w:hint="eastAsia" w:ascii="宋体" w:hAnsi="宋体" w:cs="微软雅黑"/>
                <w:color w:val="auto"/>
                <w:szCs w:val="21"/>
                <w:highlight w:val="none"/>
              </w:rPr>
              <w:t>11</w:t>
            </w:r>
          </w:p>
        </w:tc>
        <w:tc>
          <w:tcPr>
            <w:tcW w:w="3751" w:type="dxa"/>
            <w:vAlign w:val="center"/>
          </w:tcPr>
          <w:p>
            <w:pPr>
              <w:pStyle w:val="18"/>
              <w:kinsoku w:val="0"/>
              <w:overflowPunct w:val="0"/>
              <w:autoSpaceDE w:val="0"/>
              <w:autoSpaceDN w:val="0"/>
              <w:spacing w:line="320" w:lineRule="exact"/>
              <w:rPr>
                <w:rFonts w:hint="eastAsia" w:cs="仿宋_GB2312" w:asciiTheme="minorEastAsia" w:hAnsiTheme="minorEastAsia"/>
                <w:color w:val="auto"/>
                <w:sz w:val="21"/>
                <w:szCs w:val="21"/>
                <w:highlight w:val="none"/>
                <w:lang w:val="zh-CN"/>
              </w:rPr>
            </w:pPr>
            <w:r>
              <w:rPr>
                <w:rFonts w:hint="eastAsia" w:cs="仿宋_GB2312" w:asciiTheme="minorEastAsia" w:hAnsiTheme="minorEastAsia"/>
                <w:color w:val="auto"/>
                <w:sz w:val="21"/>
                <w:szCs w:val="21"/>
                <w:highlight w:val="none"/>
                <w:lang w:val="zh-CN"/>
              </w:rPr>
              <w:t>分项报价表</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12</w:t>
            </w:r>
          </w:p>
        </w:tc>
        <w:tc>
          <w:tcPr>
            <w:tcW w:w="3751" w:type="dxa"/>
            <w:vAlign w:val="center"/>
          </w:tcPr>
          <w:p>
            <w:pPr>
              <w:pStyle w:val="18"/>
              <w:kinsoku w:val="0"/>
              <w:overflowPunct w:val="0"/>
              <w:autoSpaceDE w:val="0"/>
              <w:autoSpaceDN w:val="0"/>
              <w:spacing w:line="320" w:lineRule="exact"/>
              <w:rPr>
                <w:rFonts w:hAnsi="宋体" w:eastAsia="宋体" w:cs="微软雅黑" w:asciiTheme="minorHAnsi"/>
                <w:bCs/>
                <w:color w:val="auto"/>
                <w:kern w:val="0"/>
                <w:sz w:val="21"/>
                <w:szCs w:val="21"/>
                <w:highlight w:val="none"/>
                <w:lang w:val="en-US" w:eastAsia="zh-CN" w:bidi="ar-SA"/>
              </w:rPr>
            </w:pPr>
            <w:r>
              <w:rPr>
                <w:rFonts w:hint="eastAsia" w:hAnsi="宋体" w:cs="微软雅黑"/>
                <w:bCs/>
                <w:color w:val="auto"/>
                <w:kern w:val="0"/>
                <w:sz w:val="21"/>
                <w:szCs w:val="21"/>
                <w:highlight w:val="none"/>
              </w:rPr>
              <w:t>技术方案（实施方案）</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13</w:t>
            </w:r>
          </w:p>
        </w:tc>
        <w:tc>
          <w:tcPr>
            <w:tcW w:w="3751" w:type="dxa"/>
            <w:vAlign w:val="center"/>
          </w:tcPr>
          <w:p>
            <w:pPr>
              <w:pStyle w:val="18"/>
              <w:kinsoku w:val="0"/>
              <w:overflowPunct w:val="0"/>
              <w:autoSpaceDE w:val="0"/>
              <w:autoSpaceDN w:val="0"/>
              <w:spacing w:line="320" w:lineRule="exact"/>
              <w:rPr>
                <w:rFonts w:hint="eastAsia" w:hAnsi="宋体" w:eastAsia="宋体" w:cs="微软雅黑" w:asciiTheme="minorHAnsi"/>
                <w:bCs/>
                <w:color w:val="auto"/>
                <w:kern w:val="0"/>
                <w:sz w:val="21"/>
                <w:szCs w:val="21"/>
                <w:highlight w:val="none"/>
                <w:lang w:val="en-US" w:eastAsia="zh-CN" w:bidi="ar-SA"/>
              </w:rPr>
            </w:pPr>
            <w:r>
              <w:rPr>
                <w:rFonts w:hint="eastAsia" w:hAnsi="宋体" w:cs="微软雅黑"/>
                <w:bCs/>
                <w:color w:val="auto"/>
                <w:kern w:val="0"/>
                <w:sz w:val="21"/>
                <w:szCs w:val="21"/>
                <w:highlight w:val="none"/>
              </w:rPr>
              <w:t>售后服务</w:t>
            </w:r>
            <w:r>
              <w:rPr>
                <w:rFonts w:hint="eastAsia" w:hAnsi="宋体" w:cs="微软雅黑"/>
                <w:bCs/>
                <w:color w:val="auto"/>
                <w:kern w:val="0"/>
                <w:sz w:val="21"/>
                <w:szCs w:val="21"/>
                <w:highlight w:val="none"/>
                <w:lang w:eastAsia="zh-CN"/>
              </w:rPr>
              <w:t>承诺</w:t>
            </w:r>
          </w:p>
        </w:tc>
        <w:tc>
          <w:tcPr>
            <w:tcW w:w="1559" w:type="dxa"/>
            <w:vAlign w:val="center"/>
          </w:tcPr>
          <w:p>
            <w:pPr>
              <w:jc w:val="center"/>
              <w:rPr>
                <w:color w:val="auto"/>
                <w:szCs w:val="21"/>
                <w:highlight w:val="none"/>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highlight w:val="none"/>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14</w:t>
            </w:r>
          </w:p>
        </w:tc>
        <w:tc>
          <w:tcPr>
            <w:tcW w:w="3751" w:type="dxa"/>
            <w:vAlign w:val="center"/>
          </w:tcPr>
          <w:p>
            <w:pPr>
              <w:pStyle w:val="18"/>
              <w:kinsoku w:val="0"/>
              <w:overflowPunct w:val="0"/>
              <w:autoSpaceDE w:val="0"/>
              <w:autoSpaceDN w:val="0"/>
              <w:spacing w:line="320" w:lineRule="exact"/>
              <w:rPr>
                <w:rFonts w:hint="eastAsia" w:hAnsi="宋体" w:eastAsia="宋体" w:cs="微软雅黑" w:asciiTheme="minorHAnsi"/>
                <w:bCs/>
                <w:color w:val="auto"/>
                <w:kern w:val="0"/>
                <w:sz w:val="21"/>
                <w:szCs w:val="21"/>
                <w:highlight w:val="none"/>
                <w:lang w:val="en-US" w:eastAsia="zh-CN" w:bidi="ar-SA"/>
              </w:rPr>
            </w:pPr>
            <w:r>
              <w:rPr>
                <w:rFonts w:hint="eastAsia" w:hAnsi="宋体" w:cs="微软雅黑"/>
                <w:bCs/>
                <w:color w:val="auto"/>
                <w:kern w:val="0"/>
                <w:sz w:val="21"/>
                <w:szCs w:val="21"/>
                <w:highlight w:val="none"/>
              </w:rPr>
              <w:t>业绩情况表</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15</w:t>
            </w:r>
          </w:p>
        </w:tc>
        <w:tc>
          <w:tcPr>
            <w:tcW w:w="3751" w:type="dxa"/>
            <w:vAlign w:val="center"/>
          </w:tcPr>
          <w:p>
            <w:pPr>
              <w:pStyle w:val="18"/>
              <w:kinsoku w:val="0"/>
              <w:overflowPunct w:val="0"/>
              <w:autoSpaceDE w:val="0"/>
              <w:autoSpaceDN w:val="0"/>
              <w:spacing w:line="320" w:lineRule="exact"/>
              <w:rPr>
                <w:rFonts w:hAnsi="宋体" w:eastAsia="宋体" w:cs="微软雅黑" w:asciiTheme="minorHAnsi"/>
                <w:bCs/>
                <w:color w:val="auto"/>
                <w:kern w:val="0"/>
                <w:sz w:val="21"/>
                <w:szCs w:val="21"/>
                <w:highlight w:val="none"/>
                <w:lang w:val="en-US" w:eastAsia="zh-CN" w:bidi="ar-SA"/>
              </w:rPr>
            </w:pPr>
            <w:r>
              <w:rPr>
                <w:rFonts w:hint="eastAsia" w:hAnsi="宋体" w:cs="微软雅黑"/>
                <w:bCs/>
                <w:color w:val="auto"/>
                <w:kern w:val="0"/>
                <w:sz w:val="21"/>
                <w:szCs w:val="21"/>
                <w:highlight w:val="none"/>
              </w:rPr>
              <w:t>政府强制采购节能产品品目清单情况</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16</w:t>
            </w:r>
          </w:p>
        </w:tc>
        <w:tc>
          <w:tcPr>
            <w:tcW w:w="3751" w:type="dxa"/>
            <w:vAlign w:val="center"/>
          </w:tcPr>
          <w:p>
            <w:pPr>
              <w:pStyle w:val="18"/>
              <w:kinsoku w:val="0"/>
              <w:overflowPunct w:val="0"/>
              <w:autoSpaceDE w:val="0"/>
              <w:autoSpaceDN w:val="0"/>
              <w:spacing w:line="320" w:lineRule="exact"/>
              <w:rPr>
                <w:rFonts w:hAnsi="宋体" w:eastAsia="宋体" w:cs="微软雅黑" w:asciiTheme="minorHAnsi"/>
                <w:bCs/>
                <w:color w:val="auto"/>
                <w:kern w:val="0"/>
                <w:sz w:val="21"/>
                <w:szCs w:val="21"/>
                <w:highlight w:val="none"/>
                <w:lang w:val="en-US" w:eastAsia="zh-CN" w:bidi="ar-SA"/>
              </w:rPr>
            </w:pPr>
            <w:r>
              <w:rPr>
                <w:rFonts w:hint="eastAsia" w:hAnsi="宋体" w:cs="微软雅黑"/>
                <w:bCs/>
                <w:color w:val="auto"/>
                <w:kern w:val="0"/>
                <w:sz w:val="21"/>
                <w:szCs w:val="21"/>
                <w:highlight w:val="none"/>
              </w:rPr>
              <w:t>中小企业声明函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rPr>
              <w:t>17</w:t>
            </w:r>
          </w:p>
        </w:tc>
        <w:tc>
          <w:tcPr>
            <w:tcW w:w="3751" w:type="dxa"/>
            <w:vAlign w:val="center"/>
          </w:tcPr>
          <w:p>
            <w:pPr>
              <w:pStyle w:val="18"/>
              <w:kinsoku w:val="0"/>
              <w:overflowPunct w:val="0"/>
              <w:autoSpaceDE w:val="0"/>
              <w:autoSpaceDN w:val="0"/>
              <w:spacing w:line="320" w:lineRule="exact"/>
              <w:rPr>
                <w:rFonts w:hAnsi="宋体" w:eastAsia="宋体" w:cs="微软雅黑" w:asciiTheme="minorHAnsi"/>
                <w:bCs/>
                <w:color w:val="auto"/>
                <w:kern w:val="0"/>
                <w:sz w:val="21"/>
                <w:szCs w:val="21"/>
                <w:highlight w:val="none"/>
                <w:lang w:val="en-US" w:eastAsia="zh-CN" w:bidi="ar-SA"/>
              </w:rPr>
            </w:pPr>
            <w:r>
              <w:rPr>
                <w:rFonts w:hint="eastAsia" w:cs="仿宋_GB2312" w:asciiTheme="minorEastAsia" w:hAnsiTheme="minorEastAsia" w:eastAsiaTheme="minorEastAsia"/>
                <w:color w:val="auto"/>
                <w:sz w:val="21"/>
                <w:szCs w:val="21"/>
                <w:highlight w:val="none"/>
                <w:lang w:val="zh-CN"/>
              </w:rPr>
              <w:t>残疾人福利性单位声明函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color w:val="auto"/>
                <w:kern w:val="2"/>
                <w:sz w:val="21"/>
                <w:szCs w:val="21"/>
                <w:highlight w:val="none"/>
                <w:lang w:val="en-US" w:eastAsia="zh-CN" w:bidi="ar-SA"/>
              </w:rPr>
            </w:pPr>
            <w:r>
              <w:rPr>
                <w:rFonts w:hint="eastAsia" w:ascii="宋体" w:hAnsi="宋体" w:cs="微软雅黑"/>
                <w:color w:val="auto"/>
                <w:szCs w:val="21"/>
                <w:highlight w:val="none"/>
                <w:lang w:val="en-US" w:eastAsia="zh-CN"/>
              </w:rPr>
              <w:t>18</w:t>
            </w:r>
          </w:p>
        </w:tc>
        <w:tc>
          <w:tcPr>
            <w:tcW w:w="3751" w:type="dxa"/>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color w:val="auto"/>
                <w:szCs w:val="21"/>
                <w:highlight w:val="none"/>
                <w:lang w:val="en-US" w:eastAsia="zh-CN"/>
              </w:rPr>
            </w:pPr>
            <w:r>
              <w:rPr>
                <w:rFonts w:hint="eastAsia" w:ascii="宋体" w:hAnsi="宋体" w:cs="微软雅黑"/>
                <w:color w:val="auto"/>
                <w:szCs w:val="21"/>
                <w:highlight w:val="none"/>
                <w:lang w:val="en-US" w:eastAsia="zh-CN"/>
              </w:rPr>
              <w:t>19</w:t>
            </w:r>
          </w:p>
        </w:tc>
        <w:tc>
          <w:tcPr>
            <w:tcW w:w="3751" w:type="dxa"/>
            <w:tcBorders>
              <w:bottom w:val="single" w:color="auto" w:sz="4" w:space="0"/>
            </w:tcBorders>
            <w:vAlign w:val="center"/>
          </w:tcPr>
          <w:p>
            <w:pPr>
              <w:pStyle w:val="18"/>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559" w:type="dxa"/>
            <w:vAlign w:val="center"/>
          </w:tcPr>
          <w:p>
            <w:pPr>
              <w:pStyle w:val="18"/>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bl>
    <w:p>
      <w:pPr>
        <w:pStyle w:val="18"/>
        <w:spacing w:line="360" w:lineRule="auto"/>
        <w:rPr>
          <w:rFonts w:asciiTheme="majorEastAsia" w:hAnsiTheme="majorEastAsia" w:eastAsiaTheme="majorEastAsia"/>
          <w:b/>
          <w:snapToGrid w:val="0"/>
          <w:color w:val="auto"/>
          <w:kern w:val="0"/>
          <w:sz w:val="28"/>
          <w:szCs w:val="28"/>
          <w:highlight w:val="none"/>
        </w:rPr>
      </w:pPr>
    </w:p>
    <w:p>
      <w:pPr>
        <w:pStyle w:val="18"/>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二、开标一览表</w:t>
      </w:r>
    </w:p>
    <w:p>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autoSpaceDE w:val="0"/>
        <w:autoSpaceDN w:val="0"/>
        <w:adjustRightInd w:val="0"/>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 xml:space="preserve">项目名称：                                             </w:t>
      </w:r>
      <w:r>
        <w:rPr>
          <w:rFonts w:hint="eastAsia" w:asciiTheme="minorEastAsia" w:hAnsiTheme="minorEastAsia"/>
          <w:color w:val="auto"/>
          <w:szCs w:val="21"/>
          <w:highlight w:val="none"/>
          <w:lang w:eastAsia="zh-CN"/>
        </w:rPr>
        <w:t>单位：元</w:t>
      </w:r>
    </w:p>
    <w:tbl>
      <w:tblPr>
        <w:tblStyle w:val="30"/>
        <w:tblW w:w="9356" w:type="dxa"/>
        <w:tblInd w:w="-292" w:type="dxa"/>
        <w:tblLayout w:type="fixed"/>
        <w:tblCellMar>
          <w:top w:w="0" w:type="dxa"/>
          <w:left w:w="108" w:type="dxa"/>
          <w:bottom w:w="0" w:type="dxa"/>
          <w:right w:w="108" w:type="dxa"/>
        </w:tblCellMar>
      </w:tblPr>
      <w:tblGrid>
        <w:gridCol w:w="851"/>
        <w:gridCol w:w="2268"/>
        <w:gridCol w:w="2694"/>
        <w:gridCol w:w="1984"/>
        <w:gridCol w:w="1559"/>
      </w:tblGrid>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标段</w:t>
            </w:r>
          </w:p>
        </w:tc>
        <w:tc>
          <w:tcPr>
            <w:tcW w:w="22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项目名称</w:t>
            </w:r>
          </w:p>
        </w:tc>
        <w:tc>
          <w:tcPr>
            <w:tcW w:w="269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lang w:eastAsia="zh-CN"/>
              </w:rPr>
              <w:t>报价</w:t>
            </w:r>
          </w:p>
        </w:tc>
        <w:tc>
          <w:tcPr>
            <w:tcW w:w="1984" w:type="dxa"/>
            <w:tcBorders>
              <w:top w:val="single" w:color="auto" w:sz="6" w:space="0"/>
              <w:left w:val="single" w:color="auto" w:sz="4" w:space="0"/>
              <w:bottom w:val="single" w:color="auto" w:sz="6" w:space="0"/>
              <w:right w:val="single" w:color="auto" w:sz="4"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highlight w:val="none"/>
              </w:rPr>
            </w:pPr>
            <w:bookmarkStart w:id="54" w:name="_GoBack"/>
            <w:r>
              <w:rPr>
                <w:rFonts w:hint="eastAsia" w:asciiTheme="minorEastAsia" w:hAnsiTheme="minorEastAsia"/>
                <w:b/>
                <w:color w:val="auto"/>
                <w:szCs w:val="21"/>
                <w:highlight w:val="none"/>
              </w:rPr>
              <w:t>合同履行期限</w:t>
            </w:r>
            <w:bookmarkEnd w:id="54"/>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备注</w:t>
            </w:r>
          </w:p>
        </w:tc>
      </w:tr>
      <w:tr>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highlight w:val="none"/>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highlight w:val="none"/>
              </w:rPr>
            </w:pPr>
          </w:p>
        </w:tc>
        <w:tc>
          <w:tcPr>
            <w:tcW w:w="2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lang w:eastAsia="zh-CN"/>
              </w:rPr>
              <w:t>大写：</w:t>
            </w:r>
            <w:r>
              <w:rPr>
                <w:rFonts w:hint="eastAsia" w:asciiTheme="minorEastAsia" w:hAnsiTheme="minorEastAsia"/>
                <w:color w:val="auto"/>
                <w:szCs w:val="21"/>
                <w:highlight w:val="none"/>
                <w:lang w:val="en-US" w:eastAsia="zh-CN"/>
              </w:rPr>
              <w:t xml:space="preserve">          </w:t>
            </w:r>
            <w:r>
              <w:rPr>
                <w:rFonts w:hint="eastAsia" w:asciiTheme="minorEastAsia" w:hAnsiTheme="minorEastAsia"/>
                <w:color w:val="auto"/>
                <w:szCs w:val="21"/>
                <w:highlight w:val="none"/>
                <w:lang w:eastAsia="zh-CN"/>
              </w:rPr>
              <w:t>小写：</w:t>
            </w:r>
          </w:p>
        </w:tc>
        <w:tc>
          <w:tcPr>
            <w:tcW w:w="1984"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rPr>
                <w:rFonts w:asciiTheme="minorEastAsia" w:hAnsiTheme="minorEastAsia"/>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color w:val="auto"/>
                <w:szCs w:val="21"/>
                <w:highlight w:val="none"/>
              </w:rPr>
            </w:pPr>
          </w:p>
        </w:tc>
      </w:tr>
    </w:tbl>
    <w:p>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投标人名称：</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（公章）：</w:t>
      </w:r>
    </w:p>
    <w:p>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投标人法定代表人（或授权代表）签字：</w:t>
      </w:r>
    </w:p>
    <w:p>
      <w:pPr>
        <w:autoSpaceDE w:val="0"/>
        <w:autoSpaceDN w:val="0"/>
        <w:adjustRightIn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日期：</w:t>
      </w: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pStyle w:val="28"/>
        <w:ind w:firstLine="340"/>
        <w:rPr>
          <w:color w:val="auto"/>
          <w:highlight w:val="none"/>
          <w:lang w:val="zh-CN"/>
        </w:rPr>
      </w:pPr>
    </w:p>
    <w:p>
      <w:pPr>
        <w:pStyle w:val="29"/>
        <w:rPr>
          <w:color w:val="auto"/>
          <w:highlight w:val="none"/>
          <w:lang w:val="zh-CN"/>
        </w:rPr>
      </w:pPr>
    </w:p>
    <w:p>
      <w:pPr>
        <w:pStyle w:val="29"/>
        <w:ind w:firstLine="480"/>
        <w:rPr>
          <w:color w:val="auto"/>
          <w:highlight w:val="none"/>
          <w:lang w:val="zh-CN"/>
        </w:rPr>
      </w:pPr>
    </w:p>
    <w:p>
      <w:pPr>
        <w:rPr>
          <w:color w:val="auto"/>
          <w:highlight w:val="none"/>
          <w:lang w:val="zh-CN"/>
        </w:rPr>
      </w:pPr>
    </w:p>
    <w:p>
      <w:pPr>
        <w:pStyle w:val="2"/>
        <w:rPr>
          <w:color w:val="auto"/>
          <w:highlight w:val="none"/>
          <w:lang w:val="zh-CN"/>
        </w:rPr>
      </w:pPr>
    </w:p>
    <w:p>
      <w:pPr>
        <w:autoSpaceDE w:val="0"/>
        <w:autoSpaceDN w:val="0"/>
        <w:adjustRightInd w:val="0"/>
        <w:spacing w:line="360" w:lineRule="auto"/>
        <w:rPr>
          <w:rFonts w:cs="黑体" w:asciiTheme="minorEastAsia" w:hAnsiTheme="minorEastAsia"/>
          <w:b/>
          <w:bCs/>
          <w:color w:val="auto"/>
          <w:sz w:val="44"/>
          <w:szCs w:val="44"/>
          <w:highlight w:val="none"/>
          <w:lang w:val="zh-CN"/>
        </w:rPr>
      </w:pPr>
    </w:p>
    <w:p>
      <w:pPr>
        <w:pStyle w:val="38"/>
        <w:rPr>
          <w:color w:val="auto"/>
          <w:highlight w:val="none"/>
          <w:lang w:val="zh-CN"/>
        </w:rPr>
      </w:pPr>
    </w:p>
    <w:p>
      <w:pPr>
        <w:pStyle w:val="38"/>
        <w:rPr>
          <w:color w:val="auto"/>
          <w:highlight w:val="none"/>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highlight w:val="none"/>
        </w:rPr>
      </w:pPr>
      <w:r>
        <w:rPr>
          <w:rFonts w:hint="eastAsia" w:cs="黑体" w:asciiTheme="minorEastAsia" w:hAnsiTheme="minorEastAsia"/>
          <w:b/>
          <w:bCs/>
          <w:color w:val="auto"/>
          <w:sz w:val="28"/>
          <w:szCs w:val="28"/>
          <w:highlight w:val="none"/>
          <w:lang w:val="zh-CN"/>
        </w:rPr>
        <w:t>三、资格审查相关材料</w:t>
      </w:r>
    </w:p>
    <w:p>
      <w:pPr>
        <w:pStyle w:val="18"/>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投 标 函</w:t>
      </w:r>
    </w:p>
    <w:p>
      <w:pPr>
        <w:pStyle w:val="18"/>
        <w:adjustRightInd w:val="0"/>
        <w:snapToGrid w:val="0"/>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致：</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（采购人）</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根据贵方</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（项目名称</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招标编号）采购的招标公告及投标邀请，</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（姓名和职务）被正式授权并代表投标人</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（投标人名称、地址）提交。</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我方确认收到贵方提供的</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（项目名称</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招标编号）招标文件的全部内容。</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我方已完全明白招标文件的所有条款要求，并申明如下：</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一、按招标文件提供的全部货物与相关服务详见《开标一览表》。</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三、我方明白并同意，在规定的开标日之后，投标有效期之内撤销投标的，则我方承担违背投标承诺的责任追究。</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四、我方同意按照贵方可能提出的要求而提供与投标有关的任何其它数据、信息或资料。</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五、我方理解贵方不一定接受最低投标价或任何贵方可能收到的投标。</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六、我方如果中标，将保证履行招标文件及其澄清、修改文件（如果有）中的全部责任和义务，按质、按量、按期完成《项目需求》及《合同书》中的全部任务。</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七、我方在此保证所提交的所有文件和全部说明是真实的和正确的。</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八、我方投标报价已包含应向知识产权所有权人支付的所有相关税费，并保证采购人在中国使用我方提供的货物时，如有第三方提出侵犯其知识产权主张的，责任由我方承担。 </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九、我方具备《政府采购法》第二十二条规定的条件；承诺如下：</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 我方已依法缴纳了各项税费及社会保险费用，如有需要，可随时向采购人提供近三个月内的相关缴费证明，以便核查。</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 我方已依法建立健全的财务会计制度，如有需要，可随时向采购人提供相关证明材料，以便核查。</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 参加政府采购活动前三年内，在经营活动中没有重大违法记录。</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 符合法律、行政法规规定的其他条件。</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以上内容如有虚假或与事实不符的，评审委员会可将我方做无效投标处理，我方愿意承担相应的法律责任。</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十一、我方对在本函及投标文件中所作的所有承诺承担法律责任。</w:t>
      </w:r>
    </w:p>
    <w:p>
      <w:pPr>
        <w:pStyle w:val="18"/>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十二、若我方中标，愿意按</w:t>
      </w:r>
      <w:r>
        <w:rPr>
          <w:rFonts w:hint="eastAsia" w:asciiTheme="minorEastAsia" w:hAnsiTheme="minorEastAsia" w:eastAsiaTheme="minorEastAsia"/>
          <w:color w:val="auto"/>
          <w:sz w:val="21"/>
          <w:szCs w:val="21"/>
          <w:highlight w:val="none"/>
          <w:lang w:eastAsia="zh-CN"/>
        </w:rPr>
        <w:t>豫招协</w:t>
      </w:r>
      <w:r>
        <w:rPr>
          <w:rFonts w:hint="eastAsia" w:asciiTheme="minorEastAsia" w:hAnsiTheme="minorEastAsia" w:eastAsiaTheme="minorEastAsia"/>
          <w:color w:val="auto"/>
          <w:sz w:val="21"/>
          <w:szCs w:val="21"/>
          <w:highlight w:val="none"/>
        </w:rPr>
        <w:t>〔20</w:t>
      </w:r>
      <w:r>
        <w:rPr>
          <w:rFonts w:hint="eastAsia" w:asciiTheme="minorEastAsia" w:hAnsiTheme="minorEastAsia" w:eastAsiaTheme="minorEastAsia"/>
          <w:color w:val="auto"/>
          <w:sz w:val="21"/>
          <w:szCs w:val="21"/>
          <w:highlight w:val="none"/>
          <w:lang w:val="en-US" w:eastAsia="zh-CN"/>
        </w:rPr>
        <w:t>23</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002</w:t>
      </w:r>
      <w:r>
        <w:rPr>
          <w:rFonts w:hint="eastAsia" w:asciiTheme="minorEastAsia" w:hAnsiTheme="minorEastAsia" w:eastAsiaTheme="minorEastAsia"/>
          <w:color w:val="auto"/>
          <w:sz w:val="21"/>
          <w:szCs w:val="21"/>
          <w:highlight w:val="none"/>
        </w:rPr>
        <w:t>规定向代理机构支付招标代理服务费。</w:t>
      </w:r>
    </w:p>
    <w:p>
      <w:pPr>
        <w:pStyle w:val="18"/>
        <w:adjustRightInd w:val="0"/>
        <w:snapToGrid w:val="0"/>
        <w:spacing w:line="360" w:lineRule="auto"/>
        <w:rPr>
          <w:rFonts w:asciiTheme="minorEastAsia" w:hAnsiTheme="minorEastAsia" w:eastAsiaTheme="minorEastAsia"/>
          <w:color w:val="auto"/>
          <w:sz w:val="21"/>
          <w:szCs w:val="21"/>
          <w:highlight w:val="none"/>
        </w:rPr>
      </w:pPr>
    </w:p>
    <w:p>
      <w:pPr>
        <w:pStyle w:val="18"/>
        <w:adjustRightInd w:val="0"/>
        <w:snapToGrid w:val="0"/>
        <w:spacing w:line="360" w:lineRule="auto"/>
        <w:rPr>
          <w:rFonts w:asciiTheme="minorEastAsia" w:hAnsiTheme="minorEastAsia" w:eastAsiaTheme="minorEastAsia"/>
          <w:color w:val="auto"/>
          <w:sz w:val="21"/>
          <w:szCs w:val="21"/>
          <w:highlight w:val="none"/>
        </w:rPr>
      </w:pP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所有与本招标有关的一切正式往来请寄：</w:t>
      </w: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地    址：.  邮政编码：.</w:t>
      </w: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电    话：.  传    真：.</w:t>
      </w:r>
    </w:p>
    <w:p>
      <w:pPr>
        <w:adjustRightInd w:val="0"/>
        <w:snapToGrid w:val="0"/>
        <w:spacing w:line="360" w:lineRule="auto"/>
        <w:rPr>
          <w:rFonts w:asciiTheme="minorEastAsia" w:hAnsiTheme="minorEastAsia"/>
          <w:color w:val="auto"/>
          <w:szCs w:val="21"/>
          <w:highlight w:val="none"/>
          <w:u w:val="single"/>
        </w:rPr>
      </w:pPr>
      <w:r>
        <w:rPr>
          <w:rFonts w:hint="eastAsia" w:asciiTheme="minorEastAsia" w:hAnsiTheme="minorEastAsia"/>
          <w:color w:val="auto"/>
          <w:szCs w:val="21"/>
          <w:highlight w:val="none"/>
        </w:rPr>
        <w:t>投标人代表姓名：.  职    务：.</w:t>
      </w: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投标人法定代表人（或法定代表人授权代表）签字或盖章：</w:t>
      </w:r>
    </w:p>
    <w:p>
      <w:pPr>
        <w:adjustRightInd w:val="0"/>
        <w:snapToGrid w:val="0"/>
        <w:spacing w:line="360" w:lineRule="auto"/>
        <w:rPr>
          <w:rFonts w:asciiTheme="minorEastAsia" w:hAnsiTheme="minorEastAsia"/>
          <w:color w:val="auto"/>
          <w:szCs w:val="21"/>
          <w:highlight w:val="none"/>
        </w:rPr>
      </w:pPr>
      <w:r>
        <w:rPr>
          <w:rFonts w:hint="eastAsia" w:asciiTheme="minorEastAsia" w:hAnsiTheme="minorEastAsia"/>
          <w:color w:val="auto"/>
          <w:szCs w:val="21"/>
          <w:highlight w:val="none"/>
        </w:rPr>
        <w:t>投标人名称（盖章）：</w:t>
      </w:r>
    </w:p>
    <w:p>
      <w:pPr>
        <w:adjustRightInd w:val="0"/>
        <w:snapToGrid w:val="0"/>
        <w:spacing w:line="360" w:lineRule="auto"/>
        <w:rPr>
          <w:rFonts w:cs="宋体" w:asciiTheme="minorEastAsia" w:hAnsiTheme="minorEastAsia"/>
          <w:color w:val="auto"/>
          <w:szCs w:val="21"/>
          <w:highlight w:val="none"/>
          <w:u w:val="single"/>
        </w:rPr>
      </w:pPr>
    </w:p>
    <w:p>
      <w:pPr>
        <w:adjustRightInd w:val="0"/>
        <w:snapToGrid w:val="0"/>
        <w:spacing w:line="360" w:lineRule="auto"/>
        <w:rPr>
          <w:rFonts w:cs="宋体" w:asciiTheme="minorEastAsia" w:hAnsiTheme="minorEastAsia"/>
          <w:color w:val="auto"/>
          <w:szCs w:val="21"/>
          <w:highlight w:val="none"/>
          <w:u w:val="single"/>
        </w:rPr>
      </w:pPr>
    </w:p>
    <w:p>
      <w:pPr>
        <w:adjustRightInd w:val="0"/>
        <w:snapToGrid w:val="0"/>
        <w:spacing w:line="360" w:lineRule="auto"/>
        <w:rPr>
          <w:rFonts w:cs="宋体" w:asciiTheme="minorEastAsia" w:hAnsiTheme="minorEastAsia"/>
          <w:color w:val="auto"/>
          <w:szCs w:val="21"/>
          <w:highlight w:val="none"/>
          <w:u w:val="single"/>
        </w:rPr>
      </w:pPr>
    </w:p>
    <w:p>
      <w:pPr>
        <w:spacing w:line="480" w:lineRule="exact"/>
        <w:jc w:val="center"/>
        <w:rPr>
          <w:rFonts w:asciiTheme="majorEastAsia" w:hAnsiTheme="majorEastAsia" w:eastAsiaTheme="majorEastAsia"/>
          <w:b/>
          <w:bCs/>
          <w:color w:val="auto"/>
          <w:sz w:val="24"/>
          <w:szCs w:val="24"/>
          <w:highlight w:val="none"/>
        </w:rPr>
      </w:pPr>
    </w:p>
    <w:p>
      <w:pPr>
        <w:pStyle w:val="29"/>
        <w:ind w:firstLine="480"/>
        <w:rPr>
          <w:rFonts w:hint="eastAsia"/>
          <w:color w:val="auto"/>
          <w:highlight w:val="none"/>
        </w:rPr>
      </w:pPr>
    </w:p>
    <w:p>
      <w:pPr>
        <w:rPr>
          <w:rFonts w:hint="eastAsia"/>
          <w:color w:val="auto"/>
          <w:highlight w:val="none"/>
        </w:rPr>
      </w:pPr>
    </w:p>
    <w:p>
      <w:pPr>
        <w:pStyle w:val="28"/>
        <w:ind w:firstLine="340"/>
        <w:rPr>
          <w:rFonts w:hint="eastAsia"/>
          <w:color w:val="auto"/>
          <w:highlight w:val="none"/>
        </w:rPr>
      </w:pPr>
    </w:p>
    <w:p>
      <w:pPr>
        <w:pStyle w:val="29"/>
        <w:rPr>
          <w:rFonts w:hint="eastAsia"/>
          <w:color w:val="auto"/>
          <w:highlight w:val="none"/>
        </w:rPr>
      </w:pPr>
    </w:p>
    <w:p>
      <w:pPr>
        <w:rPr>
          <w:rFonts w:hint="eastAsia"/>
          <w:color w:val="auto"/>
          <w:highlight w:val="none"/>
        </w:rPr>
      </w:pPr>
    </w:p>
    <w:p>
      <w:pPr>
        <w:pStyle w:val="29"/>
        <w:rPr>
          <w:rFonts w:hint="eastAsia"/>
          <w:color w:val="auto"/>
          <w:highlight w:val="none"/>
        </w:rPr>
      </w:pPr>
    </w:p>
    <w:p>
      <w:pPr>
        <w:pStyle w:val="28"/>
        <w:ind w:left="0" w:leftChars="0" w:firstLine="0" w:firstLineChars="0"/>
        <w:rPr>
          <w:color w:val="auto"/>
          <w:highlight w:val="none"/>
        </w:rPr>
      </w:pPr>
    </w:p>
    <w:p>
      <w:pPr>
        <w:spacing w:line="480" w:lineRule="exact"/>
        <w:jc w:val="center"/>
        <w:rPr>
          <w:rFonts w:ascii="宋体" w:hAnsi="宋体"/>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pPr>
        <w:pStyle w:val="60"/>
        <w:spacing w:line="480" w:lineRule="auto"/>
        <w:ind w:firstLine="472" w:firstLineChars="225"/>
        <w:jc w:val="left"/>
        <w:rPr>
          <w:rFonts w:asciiTheme="minorEastAsia" w:hAnsiTheme="minorEastAsia"/>
          <w:color w:val="auto"/>
          <w:sz w:val="21"/>
          <w:szCs w:val="21"/>
          <w:highlight w:val="none"/>
          <w:u w:val="singl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pPr>
        <w:pStyle w:val="60"/>
        <w:spacing w:line="480" w:lineRule="auto"/>
        <w:ind w:firstLine="472" w:firstLineChars="225"/>
        <w:jc w:val="left"/>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地址：</w:t>
      </w:r>
    </w:p>
    <w:p>
      <w:pPr>
        <w:pStyle w:val="60"/>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w:t>
      </w:r>
    </w:p>
    <w:p>
      <w:pPr>
        <w:pStyle w:val="60"/>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本人系</w:t>
      </w:r>
      <w:r>
        <w:rPr>
          <w:rFonts w:hint="eastAsia" w:asciiTheme="minorEastAsia" w:hAnsiTheme="minorEastAsia"/>
          <w:i/>
          <w:snapToGrid w:val="0"/>
          <w:color w:val="auto"/>
          <w:sz w:val="21"/>
          <w:szCs w:val="21"/>
          <w:highlight w:val="none"/>
          <w:u w:val="single"/>
        </w:rPr>
        <w:t>投</w:t>
      </w:r>
      <w:r>
        <w:rPr>
          <w:rFonts w:asciiTheme="minorEastAsia" w:hAnsiTheme="minorEastAsia"/>
          <w:i/>
          <w:snapToGrid w:val="0"/>
          <w:color w:val="auto"/>
          <w:sz w:val="21"/>
          <w:szCs w:val="21"/>
          <w:highlight w:val="none"/>
          <w:u w:val="single"/>
        </w:rPr>
        <w:t>标</w:t>
      </w:r>
      <w:r>
        <w:rPr>
          <w:rFonts w:hint="eastAsia" w:asciiTheme="minorEastAsia" w:hAnsiTheme="minorEastAsia"/>
          <w:i/>
          <w:snapToGrid w:val="0"/>
          <w:color w:val="auto"/>
          <w:sz w:val="21"/>
          <w:szCs w:val="21"/>
          <w:highlight w:val="none"/>
          <w:u w:val="single"/>
        </w:rPr>
        <w:t>人名</w:t>
      </w:r>
      <w:r>
        <w:rPr>
          <w:rFonts w:asciiTheme="minorEastAsia" w:hAnsiTheme="minorEastAsia"/>
          <w:i/>
          <w:snapToGrid w:val="0"/>
          <w:color w:val="auto"/>
          <w:sz w:val="21"/>
          <w:szCs w:val="21"/>
          <w:highlight w:val="none"/>
          <w:u w:val="single"/>
        </w:rPr>
        <w:t>称</w:t>
      </w:r>
      <w:r>
        <w:rPr>
          <w:rFonts w:hint="eastAsia" w:asciiTheme="minorEastAsia" w:hAnsiTheme="minorEastAsia"/>
          <w:color w:val="auto"/>
          <w:sz w:val="21"/>
          <w:szCs w:val="21"/>
          <w:highlight w:val="none"/>
        </w:rPr>
        <w:t>的法定代表人（单位负责人）。就</w:t>
      </w:r>
      <w:r>
        <w:rPr>
          <w:rFonts w:asciiTheme="minorEastAsia" w:hAnsiTheme="minorEastAsia"/>
          <w:color w:val="auto"/>
          <w:sz w:val="21"/>
          <w:szCs w:val="21"/>
          <w:highlight w:val="none"/>
        </w:rPr>
        <w:t>参</w:t>
      </w:r>
      <w:r>
        <w:rPr>
          <w:rFonts w:hint="eastAsia" w:asciiTheme="minorEastAsia" w:hAnsiTheme="minorEastAsia"/>
          <w:color w:val="auto"/>
          <w:sz w:val="21"/>
          <w:szCs w:val="21"/>
          <w:highlight w:val="none"/>
        </w:rPr>
        <w:t>加贵方招</w:t>
      </w:r>
      <w:r>
        <w:rPr>
          <w:rFonts w:asciiTheme="minorEastAsia" w:hAnsiTheme="minorEastAsia"/>
          <w:color w:val="auto"/>
          <w:sz w:val="21"/>
          <w:szCs w:val="21"/>
          <w:highlight w:val="none"/>
        </w:rPr>
        <w:t>标编号为</w:t>
      </w:r>
      <w:r>
        <w:rPr>
          <w:rFonts w:asciiTheme="minorEastAsia" w:hAnsiTheme="minorEastAsia"/>
          <w:i/>
          <w:color w:val="auto"/>
          <w:sz w:val="21"/>
          <w:szCs w:val="21"/>
          <w:highlight w:val="none"/>
          <w:u w:val="single"/>
        </w:rPr>
        <w:t>项目编号</w:t>
      </w:r>
      <w:r>
        <w:rPr>
          <w:rFonts w:hint="eastAsia" w:asciiTheme="minorEastAsia" w:hAnsiTheme="minorEastAsia"/>
          <w:color w:val="auto"/>
          <w:sz w:val="21"/>
          <w:szCs w:val="21"/>
          <w:highlight w:val="none"/>
        </w:rPr>
        <w:t>的</w:t>
      </w:r>
      <w:r>
        <w:rPr>
          <w:rFonts w:asciiTheme="minorEastAsia" w:hAnsiTheme="minorEastAsia"/>
          <w:i/>
          <w:color w:val="auto"/>
          <w:sz w:val="21"/>
          <w:szCs w:val="21"/>
          <w:highlight w:val="none"/>
          <w:u w:val="single"/>
        </w:rPr>
        <w:t>项目</w:t>
      </w:r>
      <w:r>
        <w:rPr>
          <w:rFonts w:hint="eastAsia" w:asciiTheme="minorEastAsia" w:hAnsiTheme="minorEastAsia"/>
          <w:i/>
          <w:color w:val="auto"/>
          <w:sz w:val="21"/>
          <w:szCs w:val="21"/>
          <w:highlight w:val="none"/>
          <w:u w:val="single"/>
        </w:rPr>
        <w:t>名</w:t>
      </w:r>
      <w:r>
        <w:rPr>
          <w:rFonts w:asciiTheme="minorEastAsia" w:hAnsiTheme="minorEastAsia"/>
          <w:i/>
          <w:color w:val="auto"/>
          <w:sz w:val="21"/>
          <w:szCs w:val="21"/>
          <w:highlight w:val="none"/>
          <w:u w:val="single"/>
        </w:rPr>
        <w:t>称</w:t>
      </w:r>
      <w:r>
        <w:rPr>
          <w:rFonts w:hint="eastAsia" w:asciiTheme="minorEastAsia" w:hAnsiTheme="minorEastAsia"/>
          <w:color w:val="auto"/>
          <w:sz w:val="21"/>
          <w:szCs w:val="21"/>
          <w:highlight w:val="none"/>
        </w:rPr>
        <w:t>公</w:t>
      </w:r>
      <w:r>
        <w:rPr>
          <w:rFonts w:asciiTheme="minorEastAsia" w:hAnsiTheme="minorEastAsia"/>
          <w:color w:val="auto"/>
          <w:sz w:val="21"/>
          <w:szCs w:val="21"/>
          <w:highlight w:val="none"/>
        </w:rPr>
        <w:t>开</w:t>
      </w:r>
      <w:r>
        <w:rPr>
          <w:rFonts w:hint="eastAsia" w:asciiTheme="minorEastAsia" w:hAnsiTheme="minorEastAsia"/>
          <w:color w:val="auto"/>
          <w:sz w:val="21"/>
          <w:szCs w:val="21"/>
          <w:highlight w:val="none"/>
        </w:rPr>
        <w:t>招</w:t>
      </w:r>
      <w:r>
        <w:rPr>
          <w:rFonts w:asciiTheme="minorEastAsia" w:hAnsiTheme="minorEastAsia"/>
          <w:color w:val="auto"/>
          <w:sz w:val="21"/>
          <w:szCs w:val="21"/>
          <w:highlight w:val="none"/>
        </w:rPr>
        <w:t>标项目</w:t>
      </w:r>
      <w:r>
        <w:rPr>
          <w:rFonts w:hint="eastAsia" w:asciiTheme="minorEastAsia" w:hAnsiTheme="minorEastAsia"/>
          <w:color w:val="auto"/>
          <w:sz w:val="21"/>
          <w:szCs w:val="21"/>
          <w:highlight w:val="none"/>
        </w:rPr>
        <w:t>的投</w:t>
      </w:r>
      <w:r>
        <w:rPr>
          <w:rFonts w:asciiTheme="minorEastAsia" w:hAnsiTheme="minorEastAsia"/>
          <w:color w:val="auto"/>
          <w:sz w:val="21"/>
          <w:szCs w:val="21"/>
          <w:highlight w:val="none"/>
        </w:rPr>
        <w:t>标报价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的投</w:t>
      </w:r>
      <w:r>
        <w:rPr>
          <w:rFonts w:asciiTheme="minorEastAsia" w:hAnsiTheme="minorEastAsia"/>
          <w:color w:val="auto"/>
          <w:sz w:val="21"/>
          <w:szCs w:val="21"/>
          <w:highlight w:val="none"/>
        </w:rPr>
        <w:t>标</w:t>
      </w:r>
      <w:r>
        <w:rPr>
          <w:rFonts w:hint="eastAsia" w:asciiTheme="minorEastAsia" w:hAnsiTheme="minorEastAsia"/>
          <w:color w:val="auto"/>
          <w:sz w:val="21"/>
          <w:szCs w:val="21"/>
          <w:highlight w:val="none"/>
        </w:rPr>
        <w:t>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pPr>
        <w:pStyle w:val="60"/>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pPr>
        <w:pStyle w:val="60"/>
        <w:spacing w:line="480" w:lineRule="auto"/>
        <w:ind w:firstLine="472" w:firstLineChars="225"/>
        <w:jc w:val="left"/>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法定代表人（单位负责人）联系电话（手机）：</w:t>
      </w:r>
    </w:p>
    <w:p>
      <w:pPr>
        <w:pStyle w:val="60"/>
        <w:spacing w:line="480" w:lineRule="auto"/>
        <w:ind w:firstLine="472" w:firstLineChars="225"/>
        <w:jc w:val="left"/>
        <w:rPr>
          <w:rFonts w:asciiTheme="minorEastAsia" w:hAnsiTheme="minorEastAsia"/>
          <w:color w:val="auto"/>
          <w:sz w:val="21"/>
          <w:szCs w:val="21"/>
          <w:highlight w:val="none"/>
        </w:rPr>
      </w:pPr>
    </w:p>
    <w:p>
      <w:pPr>
        <w:pStyle w:val="60"/>
        <w:spacing w:line="480" w:lineRule="auto"/>
        <w:ind w:firstLine="472" w:firstLineChars="225"/>
        <w:jc w:val="left"/>
        <w:rPr>
          <w:rFonts w:asciiTheme="minorEastAsia" w:hAnsiTheme="minorEastAsia"/>
          <w:color w:val="auto"/>
          <w:sz w:val="21"/>
          <w:szCs w:val="21"/>
          <w:highlight w:val="none"/>
        </w:rPr>
      </w:pPr>
    </w:p>
    <w:p>
      <w:pPr>
        <w:pStyle w:val="60"/>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证复</w:t>
      </w:r>
      <w:r>
        <w:rPr>
          <w:rFonts w:hint="eastAsia" w:asciiTheme="minorEastAsia" w:hAnsiTheme="minorEastAsia"/>
          <w:bCs/>
          <w:color w:val="auto"/>
          <w:sz w:val="21"/>
          <w:szCs w:val="21"/>
          <w:highlight w:val="none"/>
        </w:rPr>
        <w:t>印件，需清晰反映身份证有效期限】</w:t>
      </w:r>
    </w:p>
    <w:p>
      <w:pPr>
        <w:pStyle w:val="60"/>
        <w:spacing w:line="480" w:lineRule="auto"/>
        <w:ind w:left="-538" w:leftChars="-256" w:firstLine="539" w:firstLineChars="257"/>
        <w:jc w:val="center"/>
        <w:rPr>
          <w:rFonts w:asciiTheme="minorEastAsia" w:hAnsiTheme="minorEastAsia"/>
          <w:bCs/>
          <w:color w:val="auto"/>
          <w:sz w:val="21"/>
          <w:szCs w:val="21"/>
          <w:highlight w:val="none"/>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投标人名称（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pStyle w:val="63"/>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pPr>
        <w:pStyle w:val="62"/>
        <w:spacing w:line="480" w:lineRule="auto"/>
        <w:rPr>
          <w:rFonts w:cs="Arial" w:asciiTheme="minorEastAsia" w:hAnsiTheme="minorEastAsia"/>
          <w:color w:val="auto"/>
          <w:sz w:val="21"/>
          <w:szCs w:val="21"/>
          <w:highlight w:val="none"/>
        </w:rPr>
      </w:pPr>
    </w:p>
    <w:p>
      <w:pPr>
        <w:rPr>
          <w:color w:val="auto"/>
          <w:szCs w:val="21"/>
          <w:highlight w:val="none"/>
        </w:rPr>
      </w:pPr>
    </w:p>
    <w:p>
      <w:pPr>
        <w:spacing w:line="320" w:lineRule="exact"/>
        <w:ind w:firstLine="420" w:firstLineChars="200"/>
        <w:rPr>
          <w:rFonts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加本招</w:t>
      </w:r>
      <w:r>
        <w:rPr>
          <w:rFonts w:asciiTheme="minorEastAsia" w:hAnsiTheme="minorEastAsia"/>
          <w:bCs/>
          <w:color w:val="auto"/>
          <w:kern w:val="12"/>
          <w:szCs w:val="21"/>
          <w:highlight w:val="none"/>
        </w:rPr>
        <w:t>标项目</w:t>
      </w:r>
      <w:r>
        <w:rPr>
          <w:rFonts w:hint="eastAsia" w:asciiTheme="minorEastAsia" w:hAnsiTheme="minorEastAsia"/>
          <w:bCs/>
          <w:color w:val="auto"/>
          <w:kern w:val="12"/>
          <w:szCs w:val="21"/>
          <w:highlight w:val="none"/>
        </w:rPr>
        <w:t>投</w:t>
      </w:r>
      <w:r>
        <w:rPr>
          <w:rFonts w:asciiTheme="minorEastAsia" w:hAnsiTheme="minorEastAsia"/>
          <w:bCs/>
          <w:color w:val="auto"/>
          <w:kern w:val="12"/>
          <w:szCs w:val="21"/>
          <w:highlight w:val="none"/>
        </w:rPr>
        <w:t>标</w:t>
      </w:r>
      <w:r>
        <w:rPr>
          <w:rFonts w:hint="eastAsia" w:asciiTheme="minorEastAsia" w:hAnsiTheme="minorEastAsia"/>
          <w:bCs/>
          <w:color w:val="auto"/>
          <w:kern w:val="12"/>
          <w:szCs w:val="21"/>
          <w:highlight w:val="none"/>
        </w:rPr>
        <w:t>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pPr>
        <w:pStyle w:val="28"/>
        <w:ind w:left="0" w:leftChars="0" w:firstLine="0" w:firstLineChars="0"/>
        <w:rPr>
          <w:color w:val="auto"/>
          <w:highlight w:val="none"/>
        </w:rPr>
      </w:pPr>
    </w:p>
    <w:p>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pacing w:line="480" w:lineRule="exact"/>
        <w:jc w:val="center"/>
        <w:rPr>
          <w:rFonts w:ascii="宋体" w:hAnsi="宋体"/>
          <w:b/>
          <w:bCs/>
          <w:color w:val="auto"/>
          <w:sz w:val="36"/>
          <w:szCs w:val="36"/>
          <w:highlight w:val="none"/>
        </w:rPr>
      </w:pP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法人姓名</w:t>
      </w:r>
      <w:r>
        <w:rPr>
          <w:rFonts w:hint="eastAsia" w:cs="Arial" w:asciiTheme="minorEastAsia" w:hAnsiTheme="minorEastAsia"/>
          <w:color w:val="auto"/>
          <w:szCs w:val="21"/>
          <w:highlight w:val="none"/>
        </w:rPr>
        <w:t>系</w:t>
      </w:r>
      <w:r>
        <w:rPr>
          <w:rFonts w:hint="eastAsia" w:cs="Arial" w:asciiTheme="minorEastAsia" w:hAnsiTheme="minorEastAsia"/>
          <w:color w:val="auto"/>
          <w:szCs w:val="21"/>
          <w:highlight w:val="none"/>
          <w:u w:val="single"/>
        </w:rPr>
        <w:t>　</w:t>
      </w:r>
      <w:r>
        <w:rPr>
          <w:rFonts w:hint="eastAsia" w:asciiTheme="minorEastAsia" w:hAnsiTheme="minorEastAsia"/>
          <w:i/>
          <w:snapToGrid w:val="0"/>
          <w:color w:val="auto"/>
          <w:szCs w:val="21"/>
          <w:highlight w:val="none"/>
          <w:u w:val="single"/>
        </w:rPr>
        <w:t xml:space="preserve">投标人名称  </w:t>
      </w:r>
      <w:r>
        <w:rPr>
          <w:rFonts w:hint="eastAsia" w:cs="Arial" w:asciiTheme="minorEastAsia" w:hAnsiTheme="minorEastAsia"/>
          <w:color w:val="auto"/>
          <w:szCs w:val="21"/>
          <w:highlight w:val="none"/>
        </w:rPr>
        <w:t>的法定代表人（单位负责人），现委托</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姓名，职务</w:t>
      </w:r>
      <w:r>
        <w:rPr>
          <w:rFonts w:hint="eastAsia" w:cs="Arial" w:asciiTheme="minorEastAsia" w:hAnsiTheme="minorEastAsia"/>
          <w:color w:val="auto"/>
          <w:szCs w:val="21"/>
          <w:highlight w:val="none"/>
        </w:rPr>
        <w:t>以我方的名义参加贵方</w:t>
      </w:r>
      <w:r>
        <w:rPr>
          <w:rFonts w:asciiTheme="minorEastAsia" w:hAnsiTheme="minorEastAsia"/>
          <w:i/>
          <w:color w:val="auto"/>
          <w:szCs w:val="21"/>
          <w:highlight w:val="none"/>
          <w:u w:val="single"/>
        </w:rPr>
        <w:t>项目编号</w:t>
      </w:r>
      <w:r>
        <w:rPr>
          <w:rFonts w:hint="eastAsia" w:asciiTheme="minorEastAsia" w:hAnsiTheme="minorEastAsia"/>
          <w:color w:val="auto"/>
          <w:szCs w:val="21"/>
          <w:highlight w:val="none"/>
        </w:rPr>
        <w:t>的</w:t>
      </w:r>
      <w:r>
        <w:rPr>
          <w:rFonts w:asciiTheme="minorEastAsia" w:hAnsiTheme="minorEastAsia"/>
          <w:i/>
          <w:color w:val="auto"/>
          <w:szCs w:val="21"/>
          <w:highlight w:val="none"/>
          <w:u w:val="single"/>
        </w:rPr>
        <w:t>项目</w:t>
      </w:r>
      <w:r>
        <w:rPr>
          <w:rFonts w:hint="eastAsia" w:asciiTheme="minorEastAsia" w:hAnsiTheme="minorEastAsia"/>
          <w:i/>
          <w:color w:val="auto"/>
          <w:szCs w:val="21"/>
          <w:highlight w:val="none"/>
          <w:u w:val="single"/>
        </w:rPr>
        <w:t>名</w:t>
      </w:r>
      <w:r>
        <w:rPr>
          <w:rFonts w:asciiTheme="minorEastAsia" w:hAnsiTheme="minorEastAsia"/>
          <w:i/>
          <w:color w:val="auto"/>
          <w:szCs w:val="21"/>
          <w:highlight w:val="none"/>
          <w:u w:val="single"/>
        </w:rPr>
        <w:t>称</w:t>
      </w:r>
      <w:r>
        <w:rPr>
          <w:rFonts w:hint="eastAsia" w:asciiTheme="minorEastAsia" w:hAnsiTheme="minorEastAsia"/>
          <w:i/>
          <w:color w:val="auto"/>
          <w:szCs w:val="21"/>
          <w:highlight w:val="none"/>
          <w:u w:val="single"/>
          <w:lang w:val="en-US" w:eastAsia="zh-CN"/>
        </w:rPr>
        <w:t xml:space="preserve"> </w:t>
      </w:r>
      <w:r>
        <w:rPr>
          <w:rFonts w:hint="eastAsia" w:cs="Arial" w:asciiTheme="minorEastAsia" w:hAnsiTheme="minorEastAsia"/>
          <w:color w:val="auto"/>
          <w:szCs w:val="21"/>
          <w:highlight w:val="none"/>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pPr>
        <w:spacing w:line="480" w:lineRule="auto"/>
        <w:ind w:firstLine="420" w:firstLineChars="200"/>
        <w:rPr>
          <w:rFonts w:asciiTheme="minorEastAsia" w:hAnsiTheme="minorEastAsia"/>
          <w:color w:val="auto"/>
          <w:szCs w:val="21"/>
          <w:highlight w:val="none"/>
        </w:rPr>
      </w:pPr>
      <w:r>
        <w:rPr>
          <w:rFonts w:hint="eastAsia" w:cs="宋体" w:asciiTheme="minorEastAsia" w:hAnsiTheme="minorEastAsia"/>
          <w:color w:val="auto"/>
          <w:szCs w:val="21"/>
          <w:highlight w:val="none"/>
        </w:rPr>
        <w:t>投标人</w:t>
      </w:r>
      <w:r>
        <w:rPr>
          <w:rFonts w:hint="eastAsia" w:asciiTheme="minorEastAsia" w:hAnsiTheme="minorEastAsia"/>
          <w:color w:val="auto"/>
          <w:szCs w:val="21"/>
          <w:highlight w:val="none"/>
        </w:rPr>
        <w:t xml:space="preserve">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（加盖单位公章）</w:t>
      </w:r>
    </w:p>
    <w:p>
      <w:pP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 （签名或加盖名章）</w:t>
      </w:r>
    </w:p>
    <w:p>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  （</w:t>
      </w:r>
      <w:r>
        <w:rPr>
          <w:rFonts w:hint="eastAsia" w:cs="Arial" w:asciiTheme="minorEastAsia" w:hAnsiTheme="minorEastAsia"/>
          <w:color w:val="auto"/>
          <w:szCs w:val="21"/>
          <w:highlight w:val="none"/>
        </w:rPr>
        <w:t>签名或加盖名章</w:t>
      </w:r>
      <w:r>
        <w:rPr>
          <w:rFonts w:hint="eastAsia" w:asciiTheme="minorEastAsia" w:hAnsiTheme="minorEastAsia"/>
          <w:color w:val="auto"/>
          <w:szCs w:val="21"/>
          <w:highlight w:val="none"/>
        </w:rPr>
        <w:t>）</w:t>
      </w:r>
    </w:p>
    <w:p>
      <w:pPr>
        <w:spacing w:line="480" w:lineRule="auto"/>
        <w:ind w:firstLine="420" w:firstLineChars="200"/>
        <w:rPr>
          <w:rFonts w:asciiTheme="minorEastAsia" w:hAnsiTheme="minorEastAsia"/>
          <w:color w:val="auto"/>
          <w:szCs w:val="21"/>
          <w:highlight w:val="none"/>
          <w:u w:val="singl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p>
    <w:tbl>
      <w:tblPr>
        <w:tblStyle w:val="30"/>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c>
          <w:tcPr>
            <w:tcW w:w="4473"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c>
          <w:tcPr>
            <w:tcW w:w="4480"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r>
    </w:tbl>
    <w:p>
      <w:pPr>
        <w:widowControl/>
        <w:spacing w:before="100" w:beforeAutospacing="1" w:after="100" w:afterAutospacing="1" w:line="360" w:lineRule="auto"/>
        <w:jc w:val="center"/>
        <w:rPr>
          <w:rFonts w:ascii="宋体" w:hAnsi="宋体"/>
          <w:b/>
          <w:bCs/>
          <w:color w:val="auto"/>
          <w:sz w:val="24"/>
          <w:szCs w:val="24"/>
          <w:highlight w:val="none"/>
        </w:rPr>
      </w:pPr>
    </w:p>
    <w:p>
      <w:pPr>
        <w:spacing w:line="480" w:lineRule="exact"/>
        <w:jc w:val="center"/>
        <w:rPr>
          <w:rFonts w:cs="Arial" w:asciiTheme="minorEastAsia" w:hAnsiTheme="minorEastAsia"/>
          <w:color w:val="auto"/>
          <w:szCs w:val="21"/>
          <w:highlight w:val="none"/>
        </w:rPr>
      </w:pPr>
      <w:r>
        <w:rPr>
          <w:rFonts w:hint="eastAsia" w:ascii="宋体" w:hAnsi="宋体"/>
          <w:b/>
          <w:bCs/>
          <w:color w:val="auto"/>
          <w:sz w:val="24"/>
          <w:szCs w:val="24"/>
          <w:highlight w:val="none"/>
        </w:rPr>
        <w:t>3.4 禹州市政府采购供应商信用承诺函</w:t>
      </w:r>
    </w:p>
    <w:p>
      <w:pPr>
        <w:adjustRightInd w:val="0"/>
        <w:spacing w:line="360" w:lineRule="auto"/>
        <w:ind w:firstLine="441" w:firstLineChars="210"/>
        <w:contextualSpacing/>
        <w:rPr>
          <w:rFonts w:cs="Arial" w:asciiTheme="minorEastAsia" w:hAnsiTheme="minorEastAsia"/>
          <w:color w:val="auto"/>
          <w:szCs w:val="21"/>
          <w:highlight w:val="none"/>
        </w:rPr>
      </w:pP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致  (采购人或采购代理机构):</w:t>
      </w:r>
    </w:p>
    <w:p>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单位名称(自然人姓名):                       </w:t>
      </w:r>
    </w:p>
    <w:p>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统一社会信用代码(身份证号码)                  </w:t>
      </w:r>
    </w:p>
    <w:p>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法定代表人(负责人) :                        </w:t>
      </w:r>
    </w:p>
    <w:p>
      <w:pPr>
        <w:adjustRightInd w:val="0"/>
        <w:spacing w:line="360" w:lineRule="auto"/>
        <w:ind w:left="420" w:leftChars="200" w:firstLine="18" w:firstLineChars="9"/>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 联系地址和电话:                               </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为维护公平、公正、公开的政府采购市场秩序,树立诚实守信的政府采购供应商形象,我单位(本人)自愿作出以下承诺:</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w:t>
      </w:r>
      <w:r>
        <w:rPr>
          <w:rFonts w:hint="eastAsia" w:cs="Arial" w:asciiTheme="minorEastAsia" w:hAnsiTheme="minorEastAsia"/>
          <w:color w:val="auto"/>
          <w:szCs w:val="21"/>
          <w:highlight w:val="none"/>
          <w:lang w:eastAsia="zh-CN"/>
        </w:rPr>
        <w:t>购</w:t>
      </w:r>
      <w:r>
        <w:rPr>
          <w:rFonts w:hint="eastAsia" w:cs="Arial" w:asciiTheme="minorEastAsia" w:hAnsiTheme="minorEastAsia"/>
          <w:color w:val="auto"/>
          <w:szCs w:val="21"/>
          <w:highlight w:val="none"/>
        </w:rPr>
        <w:t>法》第二十二条规定和采购文件、本承诺书的条件:</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(一)具有独立承担民事责任的能力;</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(二)具有良好的商业信誉和健全的财务会计制度;</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(三)具有履行合同所必需的设备和专业技术能力;</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(四)有依法缴纳税收和社会保障资金的良好记录;</w:t>
      </w:r>
    </w:p>
    <w:p>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(五)参加政府采购活动前三年内,在经营活动中没有重大违法记录;</w:t>
      </w:r>
    </w:p>
    <w:p>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(六)未被列入经营异常名录或者严重违法失信名单、信被执行人,重大税收违法</w:t>
      </w:r>
      <w:r>
        <w:rPr>
          <w:rFonts w:hint="eastAsia" w:cs="Arial" w:asciiTheme="minorEastAsia" w:hAnsiTheme="minorEastAsia"/>
          <w:color w:val="auto"/>
          <w:szCs w:val="21"/>
          <w:highlight w:val="none"/>
          <w:lang w:eastAsia="zh-CN"/>
        </w:rPr>
        <w:t>失信主体</w:t>
      </w:r>
      <w:r>
        <w:rPr>
          <w:rFonts w:hint="eastAsia" w:cs="Arial" w:asciiTheme="minorEastAsia" w:hAnsiTheme="minorEastAsia"/>
          <w:color w:val="auto"/>
          <w:szCs w:val="21"/>
          <w:highlight w:val="none"/>
        </w:rPr>
        <w:t>名单、政府采购严重违法失信行为记录名单;</w:t>
      </w:r>
    </w:p>
    <w:p>
      <w:pPr>
        <w:adjustRightInd w:val="0"/>
        <w:spacing w:line="360" w:lineRule="auto"/>
        <w:ind w:firstLine="420" w:firstLineChars="20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(七)未被相关监管部门作出行政处罚且尚在处罚有效期的;</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(八)未曾作出虚假采购承诺;</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(九)符合法律、行政法规规定的其他条件。</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 规定,处以采购金额千分之五以上千分之十以下的罚款,列入 不良行为记录名单,在一至三年内禁止参加政府采购活动, 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rPr>
        <w:t>投标人</w:t>
      </w:r>
      <w:r>
        <w:rPr>
          <w:rFonts w:cs="宋体" w:asciiTheme="minorEastAsia" w:hAnsiTheme="minorEastAsia"/>
          <w:color w:val="auto"/>
          <w:szCs w:val="21"/>
          <w:highlight w:val="none"/>
          <w:lang w:val="zh-CN"/>
        </w:rPr>
        <w:t>（电子章）:</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法定代表人、负责人、本人、或授权代表（签字或电子印章）:</w:t>
      </w:r>
    </w:p>
    <w:p>
      <w:pPr>
        <w:widowControl/>
        <w:spacing w:before="100" w:beforeAutospacing="1" w:after="100" w:afterAutospacing="1" w:line="360" w:lineRule="auto"/>
        <w:ind w:firstLine="525" w:firstLineChars="250"/>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日期:     年  月  日</w:t>
      </w:r>
    </w:p>
    <w:p>
      <w:pPr>
        <w:pStyle w:val="28"/>
        <w:ind w:firstLine="340"/>
        <w:rPr>
          <w:rFonts w:cs="Arial" w:asciiTheme="minorEastAsia" w:hAnsiTheme="minorEastAsia"/>
          <w:color w:val="auto"/>
          <w:szCs w:val="21"/>
          <w:highlight w:val="none"/>
        </w:rPr>
      </w:pPr>
    </w:p>
    <w:p>
      <w:pPr>
        <w:ind w:firstLine="420" w:firstLineChars="200"/>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投标</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招标</w:t>
      </w:r>
      <w:r>
        <w:rPr>
          <w:rFonts w:ascii="仿宋" w:hAnsi="仿宋" w:eastAsia="仿宋" w:cs="华文仿宋"/>
          <w:color w:val="auto"/>
          <w:szCs w:val="21"/>
          <w:highlight w:val="none"/>
        </w:rPr>
        <w:t>文件要求，按无效投标处理。</w:t>
      </w:r>
    </w:p>
    <w:p>
      <w:pPr>
        <w:ind w:firstLine="420" w:firstLineChars="200"/>
        <w:rPr>
          <w:rFonts w:cs="宋体" w:asciiTheme="minorEastAsia" w:hAnsiTheme="minorEastAsia"/>
          <w:color w:val="auto"/>
          <w:sz w:val="24"/>
          <w:szCs w:val="24"/>
          <w:highlight w:val="none"/>
          <w:lang w:val="zh-CN"/>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pPr>
        <w:pStyle w:val="29"/>
        <w:ind w:firstLine="480"/>
        <w:rPr>
          <w:color w:val="auto"/>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pStyle w:val="2"/>
        <w:rPr>
          <w:color w:val="auto"/>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spacing w:beforeLines="50" w:afterLines="50" w:line="360" w:lineRule="auto"/>
        <w:ind w:right="420" w:firstLine="5486" w:firstLineChars="2286"/>
        <w:rPr>
          <w:rFonts w:cs="宋体" w:asciiTheme="minorEastAsia" w:hAnsiTheme="minorEastAsia"/>
          <w:color w:val="auto"/>
          <w:sz w:val="24"/>
          <w:szCs w:val="24"/>
          <w:highlight w:val="none"/>
          <w:lang w:val="zh-CN"/>
        </w:rPr>
      </w:pPr>
    </w:p>
    <w:p>
      <w:pPr>
        <w:pStyle w:val="28"/>
        <w:ind w:firstLine="340"/>
        <w:rPr>
          <w:color w:val="auto"/>
          <w:highlight w:val="none"/>
          <w:lang w:val="zh-CN"/>
        </w:rPr>
      </w:pPr>
    </w:p>
    <w:p>
      <w:pPr>
        <w:pStyle w:val="28"/>
        <w:ind w:firstLine="0" w:firstLineChars="0"/>
        <w:rPr>
          <w:color w:val="auto"/>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投标承诺函</w:t>
      </w:r>
    </w:p>
    <w:p>
      <w:pPr>
        <w:autoSpaceDE w:val="0"/>
        <w:autoSpaceDN w:val="0"/>
        <w:snapToGrid w:val="0"/>
        <w:spacing w:line="360" w:lineRule="auto"/>
        <w:jc w:val="center"/>
        <w:rPr>
          <w:rFonts w:ascii="宋体" w:hAnsi="宋体"/>
          <w:b/>
          <w:bCs/>
          <w:color w:val="auto"/>
          <w:sz w:val="24"/>
          <w:szCs w:val="24"/>
          <w:highlight w:val="none"/>
        </w:rPr>
      </w:pPr>
    </w:p>
    <w:p>
      <w:pPr>
        <w:spacing w:beforeLines="50" w:afterLines="50"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本企业郑重承诺：</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cs="宋体" w:asciiTheme="minorEastAsia" w:hAnsiTheme="minorEastAsia"/>
          <w:color w:val="auto"/>
          <w:szCs w:val="21"/>
          <w:highlight w:val="none"/>
          <w:u w:val="single"/>
          <w:lang w:val="zh-CN"/>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lang w:val="zh-CN"/>
        </w:rPr>
        <w:t xml:space="preserve">      </w:t>
      </w:r>
      <w:r>
        <w:rPr>
          <w:rFonts w:hint="eastAsia" w:cs="宋体" w:asciiTheme="minorEastAsia" w:hAnsiTheme="minorEastAsia"/>
          <w:color w:val="auto"/>
          <w:szCs w:val="21"/>
          <w:highlight w:val="none"/>
          <w:lang w:val="zh-CN"/>
        </w:rPr>
        <w:t>（招标编号、项目名称）的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投标</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五、法律法规及本招标文件规定的其他严重违法行为。</w:t>
      </w:r>
    </w:p>
    <w:p>
      <w:pPr>
        <w:rPr>
          <w:color w:val="auto"/>
          <w:sz w:val="28"/>
          <w:szCs w:val="28"/>
          <w:highlight w:val="none"/>
          <w:u w:val="single"/>
        </w:rPr>
      </w:pPr>
    </w:p>
    <w:p>
      <w:pPr>
        <w:rPr>
          <w:color w:val="auto"/>
          <w:sz w:val="28"/>
          <w:szCs w:val="28"/>
          <w:highlight w:val="none"/>
          <w:u w:val="single"/>
        </w:rPr>
      </w:pPr>
    </w:p>
    <w:p>
      <w:pP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投标人名称（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pP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日期：      年    月    日</w:t>
      </w:r>
    </w:p>
    <w:p>
      <w:pPr>
        <w:autoSpaceDE w:val="0"/>
        <w:autoSpaceDN w:val="0"/>
        <w:adjustRightInd w:val="0"/>
        <w:spacing w:line="360" w:lineRule="auto"/>
        <w:jc w:val="center"/>
        <w:rPr>
          <w:rFonts w:ascii="宋体" w:cs="宋体"/>
          <w:color w:val="auto"/>
          <w:szCs w:val="21"/>
          <w:highlight w:val="none"/>
          <w:lang w:val="zh-CN"/>
        </w:rPr>
      </w:pPr>
    </w:p>
    <w:p>
      <w:pPr>
        <w:pStyle w:val="2"/>
        <w:rPr>
          <w:color w:val="auto"/>
          <w:highlight w:val="none"/>
          <w:lang w:val="zh-CN"/>
        </w:rPr>
      </w:pPr>
    </w:p>
    <w:p>
      <w:pPr>
        <w:autoSpaceDE w:val="0"/>
        <w:autoSpaceDN w:val="0"/>
        <w:adjustRightInd w:val="0"/>
        <w:spacing w:line="360" w:lineRule="auto"/>
        <w:jc w:val="center"/>
        <w:rPr>
          <w:rFonts w:hint="eastAsia" w:cs="宋体" w:asciiTheme="minorEastAsia" w:hAnsiTheme="minorEastAsia"/>
          <w:color w:val="auto"/>
          <w:sz w:val="24"/>
          <w:szCs w:val="24"/>
          <w:highlight w:val="none"/>
          <w:lang w:val="zh-CN"/>
        </w:rPr>
      </w:pPr>
    </w:p>
    <w:p>
      <w:pPr>
        <w:pStyle w:val="28"/>
        <w:ind w:firstLine="340"/>
        <w:rPr>
          <w:rFonts w:hint="eastAsia"/>
          <w:color w:val="auto"/>
          <w:highlight w:val="none"/>
          <w:lang w:val="zh-CN"/>
        </w:rPr>
      </w:pPr>
    </w:p>
    <w:p>
      <w:pPr>
        <w:pStyle w:val="29"/>
        <w:ind w:firstLine="480"/>
        <w:rPr>
          <w:rFonts w:hint="eastAsia"/>
          <w:color w:val="auto"/>
          <w:highlight w:val="none"/>
          <w:lang w:val="zh-CN"/>
        </w:rPr>
      </w:pPr>
    </w:p>
    <w:p>
      <w:pPr>
        <w:rPr>
          <w:rFonts w:hint="eastAsia"/>
          <w:color w:val="auto"/>
          <w:highlight w:val="none"/>
          <w:lang w:val="zh-CN"/>
        </w:rPr>
      </w:pPr>
    </w:p>
    <w:p>
      <w:pPr>
        <w:pStyle w:val="28"/>
        <w:ind w:firstLine="340"/>
        <w:rPr>
          <w:rFonts w:hint="eastAsia"/>
          <w:color w:val="auto"/>
          <w:highlight w:val="none"/>
          <w:lang w:val="zh-CN"/>
        </w:rPr>
      </w:pPr>
    </w:p>
    <w:p>
      <w:pPr>
        <w:pStyle w:val="29"/>
        <w:ind w:firstLine="480"/>
        <w:rPr>
          <w:rFonts w:hint="eastAsia"/>
          <w:color w:val="auto"/>
          <w:highlight w:val="none"/>
          <w:lang w:val="zh-CN"/>
        </w:rPr>
      </w:pPr>
    </w:p>
    <w:p>
      <w:pPr>
        <w:rPr>
          <w:color w:val="auto"/>
          <w:highlight w:val="none"/>
          <w:lang w:val="zh-CN"/>
        </w:rPr>
      </w:pPr>
    </w:p>
    <w:p>
      <w:pPr>
        <w:autoSpaceDE w:val="0"/>
        <w:autoSpaceDN w:val="0"/>
        <w:adjustRightInd w:val="0"/>
        <w:spacing w:line="360" w:lineRule="auto"/>
        <w:jc w:val="center"/>
        <w:outlineLvl w:val="0"/>
        <w:rPr>
          <w:rFonts w:ascii="宋体" w:hAnsi="宋体" w:eastAsia="宋体" w:cs="Times New Roman"/>
          <w:b/>
          <w:bCs/>
          <w:color w:val="auto"/>
          <w:sz w:val="24"/>
          <w:szCs w:val="24"/>
          <w:highlight w:val="none"/>
        </w:rPr>
      </w:pPr>
      <w:r>
        <w:rPr>
          <w:rFonts w:hint="eastAsia" w:ascii="宋体" w:hAnsi="宋体" w:eastAsia="宋体"/>
          <w:b/>
          <w:bCs/>
          <w:color w:val="auto"/>
          <w:sz w:val="24"/>
          <w:szCs w:val="24"/>
          <w:highlight w:val="none"/>
        </w:rPr>
        <w:t>3.6</w:t>
      </w:r>
      <w:r>
        <w:rPr>
          <w:rFonts w:hint="eastAsia" w:ascii="宋体" w:hAnsi="宋体" w:eastAsia="宋体"/>
          <w:b/>
          <w:bCs/>
          <w:color w:val="auto"/>
          <w:sz w:val="24"/>
          <w:szCs w:val="24"/>
          <w:highlight w:val="none"/>
          <w:lang w:val="en-US" w:eastAsia="zh-CN"/>
        </w:rPr>
        <w:t xml:space="preserve"> </w:t>
      </w:r>
      <w:r>
        <w:rPr>
          <w:rFonts w:ascii="宋体" w:hAnsi="宋体" w:eastAsia="宋体" w:cs="Times New Roman"/>
          <w:b/>
          <w:bCs/>
          <w:color w:val="auto"/>
          <w:sz w:val="24"/>
          <w:szCs w:val="24"/>
          <w:highlight w:val="none"/>
        </w:rPr>
        <w:t>中小企业声明函</w:t>
      </w:r>
    </w:p>
    <w:p>
      <w:pPr>
        <w:spacing w:line="360" w:lineRule="auto"/>
        <w:jc w:val="center"/>
        <w:rPr>
          <w:rFonts w:ascii="宋体" w:hAnsi="宋体" w:eastAsia="宋体" w:cs="Times New Roman"/>
          <w:b/>
          <w:bCs/>
          <w:color w:val="auto"/>
          <w:szCs w:val="21"/>
          <w:highlight w:val="none"/>
        </w:rPr>
      </w:pPr>
    </w:p>
    <w:p>
      <w:pPr>
        <w:widowControl/>
        <w:shd w:val="clear" w:color="auto"/>
        <w:spacing w:before="100" w:beforeAutospacing="1" w:after="100" w:afterAutospacing="1" w:line="435" w:lineRule="atLeast"/>
        <w:ind w:firstLine="420" w:firstLineChars="20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本公司（联合体）郑重声明，根据《政府采购促进中小企业发展管理办法》（财库﹝2020﹞46 号）的规定，本公司（联合体）参加</w:t>
      </w:r>
      <w:r>
        <w:rPr>
          <w:rFonts w:hint="eastAsia" w:ascii="宋体" w:hAnsi="宋体" w:eastAsia="宋体" w:cs="Arial"/>
          <w:color w:val="auto"/>
          <w:kern w:val="0"/>
          <w:szCs w:val="21"/>
          <w:highlight w:val="none"/>
          <w:u w:val="single"/>
        </w:rPr>
        <w:t>    （单位名称）</w:t>
      </w:r>
      <w:r>
        <w:rPr>
          <w:rFonts w:hint="eastAsia" w:ascii="宋体" w:hAnsi="宋体" w:eastAsia="宋体" w:cs="Arial"/>
          <w:color w:val="auto"/>
          <w:kern w:val="0"/>
          <w:szCs w:val="21"/>
          <w:highlight w:val="none"/>
        </w:rPr>
        <w:t>的</w:t>
      </w:r>
      <w:r>
        <w:rPr>
          <w:rFonts w:hint="eastAsia" w:ascii="宋体" w:hAnsi="宋体" w:eastAsia="宋体" w:cs="Arial"/>
          <w:color w:val="auto"/>
          <w:kern w:val="0"/>
          <w:szCs w:val="21"/>
          <w:highlight w:val="none"/>
          <w:u w:val="single"/>
          <w:lang w:val="en-US" w:eastAsia="zh-CN"/>
        </w:rPr>
        <w:t xml:space="preserve">      </w:t>
      </w:r>
      <w:r>
        <w:rPr>
          <w:rFonts w:hint="eastAsia" w:ascii="宋体" w:hAnsi="宋体" w:eastAsia="宋体" w:cs="Arial"/>
          <w:color w:val="auto"/>
          <w:kern w:val="0"/>
          <w:szCs w:val="21"/>
          <w:highlight w:val="none"/>
        </w:rPr>
        <w:t>（项目名称</w:t>
      </w:r>
      <w:r>
        <w:rPr>
          <w:rFonts w:hint="eastAsia" w:ascii="宋体" w:hAnsi="宋体" w:eastAsia="宋体" w:cs="Arial"/>
          <w:color w:val="auto"/>
          <w:kern w:val="0"/>
          <w:szCs w:val="21"/>
          <w:highlight w:val="none"/>
          <w:lang w:val="en-US" w:eastAsia="zh-CN"/>
        </w:rPr>
        <w:t xml:space="preserve"> </w:t>
      </w:r>
      <w:r>
        <w:rPr>
          <w:rFonts w:hint="eastAsia" w:ascii="宋体" w:hAnsi="宋体" w:eastAsia="宋体" w:cs="Arial"/>
          <w:color w:val="auto"/>
          <w:kern w:val="0"/>
          <w:szCs w:val="21"/>
          <w:highlight w:val="none"/>
        </w:rPr>
        <w:t>）采购活动，服务全部由符合政策要求的中小企业承接。相关企业（含联合体中的中小企业、签订分包意向协议的中小企业）的具体情况如下：</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u w:val="single"/>
        </w:rPr>
        <w:t>1.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；承建（承接）企业为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2.</w:t>
      </w:r>
      <w:r>
        <w:rPr>
          <w:rFonts w:hint="eastAsia" w:ascii="宋体" w:hAnsi="宋体" w:eastAsia="宋体" w:cs="Arial"/>
          <w:color w:val="auto"/>
          <w:kern w:val="0"/>
          <w:szCs w:val="21"/>
          <w:highlight w:val="none"/>
          <w:u w:val="single"/>
        </w:rPr>
        <w:t>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行业；制造商为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pPr>
        <w:spacing w:line="360" w:lineRule="auto"/>
        <w:ind w:firstLine="707" w:firstLineChars="337"/>
        <w:jc w:val="left"/>
        <w:rPr>
          <w:color w:val="auto"/>
          <w:highlight w:val="none"/>
        </w:rPr>
      </w:pPr>
      <w:r>
        <w:rPr>
          <w:color w:val="auto"/>
          <w:highlight w:val="none"/>
        </w:rPr>
        <w:t xml:space="preserve">…… </w:t>
      </w:r>
    </w:p>
    <w:p>
      <w:pPr>
        <w:spacing w:line="360" w:lineRule="auto"/>
        <w:ind w:firstLine="420" w:firstLineChars="200"/>
        <w:jc w:val="left"/>
        <w:rPr>
          <w:color w:val="auto"/>
          <w:highlight w:val="none"/>
        </w:rPr>
      </w:pPr>
      <w:r>
        <w:rPr>
          <w:color w:val="auto"/>
          <w:highlight w:val="none"/>
        </w:rPr>
        <w:t>以上企业，不属于大企业的分支机构，不存在控股股东为大企业的情形，也不存在与大企业的负责人为同一人的情形。</w:t>
      </w:r>
    </w:p>
    <w:p>
      <w:pPr>
        <w:spacing w:line="360" w:lineRule="auto"/>
        <w:ind w:firstLine="420" w:firstLineChars="200"/>
        <w:jc w:val="left"/>
        <w:rPr>
          <w:color w:val="auto"/>
          <w:highlight w:val="none"/>
        </w:rPr>
      </w:pPr>
      <w:r>
        <w:rPr>
          <w:color w:val="auto"/>
          <w:highlight w:val="none"/>
        </w:rPr>
        <w:t>本企业对上述声明内容的真实性负责。如有虚假，将依法承担相应责任。</w:t>
      </w:r>
    </w:p>
    <w:p>
      <w:pPr>
        <w:spacing w:line="360" w:lineRule="auto"/>
        <w:jc w:val="left"/>
        <w:rPr>
          <w:color w:val="auto"/>
          <w:highlight w:val="none"/>
        </w:rPr>
      </w:pPr>
    </w:p>
    <w:p>
      <w:pPr>
        <w:spacing w:line="480" w:lineRule="auto"/>
        <w:ind w:firstLine="5957" w:firstLineChars="2837"/>
        <w:jc w:val="left"/>
        <w:rPr>
          <w:color w:val="auto"/>
          <w:highlight w:val="none"/>
        </w:rPr>
      </w:pPr>
      <w:r>
        <w:rPr>
          <w:color w:val="auto"/>
          <w:highlight w:val="none"/>
        </w:rPr>
        <w:t>企业名称（盖章）：</w:t>
      </w:r>
    </w:p>
    <w:p>
      <w:pPr>
        <w:spacing w:line="480" w:lineRule="auto"/>
        <w:ind w:firstLine="5957" w:firstLineChars="2837"/>
        <w:jc w:val="left"/>
        <w:rPr>
          <w:rFonts w:cs="Arial" w:asciiTheme="minorEastAsia" w:hAnsiTheme="minorEastAsia"/>
          <w:color w:val="auto"/>
          <w:szCs w:val="21"/>
          <w:highlight w:val="none"/>
        </w:rPr>
      </w:pPr>
      <w:r>
        <w:rPr>
          <w:color w:val="auto"/>
          <w:highlight w:val="none"/>
        </w:rPr>
        <w:t>日期：</w:t>
      </w:r>
    </w:p>
    <w:p>
      <w:pPr>
        <w:widowControl/>
        <w:spacing w:before="100" w:beforeAutospacing="1" w:after="100" w:afterAutospacing="1" w:line="360" w:lineRule="auto"/>
        <w:contextualSpacing/>
        <w:jc w:val="left"/>
        <w:rPr>
          <w:rFonts w:ascii="宋体" w:hAnsi="宋体"/>
          <w:color w:val="auto"/>
          <w:szCs w:val="21"/>
          <w:highlight w:val="none"/>
        </w:rPr>
      </w:pPr>
      <w:r>
        <w:rPr>
          <w:rFonts w:hint="eastAsia" w:ascii="宋体" w:hAnsi="宋体"/>
          <w:color w:val="auto"/>
          <w:szCs w:val="21"/>
          <w:highlight w:val="none"/>
        </w:rPr>
        <w:t>说明：</w:t>
      </w:r>
    </w:p>
    <w:p>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1、</w:t>
      </w:r>
      <w:r>
        <w:rPr>
          <w:color w:val="auto"/>
          <w:highlight w:val="none"/>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2、</w:t>
      </w:r>
      <w:r>
        <w:rPr>
          <w:rFonts w:ascii="宋体" w:hAnsi="宋体" w:cs="Arial"/>
          <w:color w:val="auto"/>
          <w:kern w:val="0"/>
          <w:szCs w:val="21"/>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szCs w:val="21"/>
          <w:highlight w:val="none"/>
        </w:rPr>
        <w:t>策。</w:t>
      </w:r>
    </w:p>
    <w:p>
      <w:pPr>
        <w:pStyle w:val="28"/>
        <w:ind w:left="0" w:leftChars="0" w:firstLine="0" w:firstLineChars="0"/>
        <w:rPr>
          <w:color w:val="auto"/>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3.7 残疾人福利性单位声明函</w:t>
      </w:r>
    </w:p>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w:t>
      </w:r>
      <w:r>
        <w:rPr>
          <w:rFonts w:hint="eastAsia" w:ascii="宋体" w:hAnsi="宋体"/>
          <w:color w:val="auto"/>
          <w:szCs w:val="21"/>
          <w:highlight w:val="none"/>
          <w:lang w:eastAsia="zh-CN"/>
        </w:rPr>
        <w:t>（</w:t>
      </w:r>
      <w:r>
        <w:rPr>
          <w:rFonts w:hint="eastAsia" w:ascii="宋体" w:hAnsi="宋体"/>
          <w:color w:val="auto"/>
          <w:szCs w:val="21"/>
          <w:highlight w:val="none"/>
        </w:rPr>
        <w:t>为</w:t>
      </w:r>
      <w:r>
        <w:rPr>
          <w:rFonts w:hint="eastAsia" w:ascii="宋体" w:hAnsi="宋体"/>
          <w:color w:val="auto"/>
          <w:szCs w:val="21"/>
          <w:highlight w:val="none"/>
        </w:rPr>
        <w:sym w:font="Wingdings 2" w:char="00A3"/>
      </w:r>
      <w:r>
        <w:rPr>
          <w:rFonts w:hint="eastAsia" w:ascii="宋体" w:hAnsi="宋体"/>
          <w:color w:val="auto"/>
          <w:szCs w:val="21"/>
          <w:highlight w:val="none"/>
          <w:lang w:eastAsia="zh-CN"/>
        </w:rPr>
        <w:t>不为</w:t>
      </w:r>
      <w:r>
        <w:rPr>
          <w:rFonts w:hint="eastAsia" w:ascii="宋体" w:hAnsi="宋体"/>
          <w:color w:val="auto"/>
          <w:szCs w:val="21"/>
          <w:highlight w:val="none"/>
          <w:lang w:eastAsia="zh-CN"/>
        </w:rPr>
        <w:sym w:font="Wingdings 2" w:char="00A3"/>
      </w:r>
      <w:r>
        <w:rPr>
          <w:rFonts w:hint="eastAsia" w:ascii="宋体" w:hAnsi="宋体"/>
          <w:color w:val="auto"/>
          <w:szCs w:val="21"/>
          <w:highlight w:val="none"/>
          <w:lang w:eastAsia="zh-CN"/>
        </w:rPr>
        <w:t>）</w:t>
      </w:r>
      <w:r>
        <w:rPr>
          <w:rFonts w:hint="eastAsia" w:ascii="宋体" w:hAnsi="宋体"/>
          <w:color w:val="auto"/>
          <w:szCs w:val="21"/>
          <w:highlight w:val="none"/>
        </w:rPr>
        <w:t>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firstLine="4410" w:firstLineChars="2100"/>
        <w:contextualSpacing/>
        <w:rPr>
          <w:rFonts w:ascii="宋体" w:hAnsi="宋体"/>
          <w:color w:val="auto"/>
          <w:szCs w:val="21"/>
          <w:highlight w:val="none"/>
        </w:rPr>
      </w:pPr>
      <w:r>
        <w:rPr>
          <w:rFonts w:hint="eastAsia" w:cs="宋体" w:asciiTheme="minorEastAsia" w:hAnsiTheme="minorEastAsia"/>
          <w:color w:val="auto"/>
          <w:szCs w:val="21"/>
          <w:highlight w:val="none"/>
          <w:lang w:val="zh-CN"/>
        </w:rPr>
        <w:t>投标人名称（盖章）：</w:t>
      </w:r>
    </w:p>
    <w:p>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日期：   </w:t>
      </w:r>
      <w:r>
        <w:rPr>
          <w:rFonts w:hint="eastAsia" w:cs="宋体" w:asciiTheme="minorEastAsia" w:hAnsiTheme="minorEastAsia"/>
          <w:color w:val="auto"/>
          <w:szCs w:val="21"/>
          <w:highlight w:val="none"/>
        </w:rPr>
        <w:t>年    月    日</w:t>
      </w:r>
    </w:p>
    <w:p>
      <w:pPr>
        <w:autoSpaceDE w:val="0"/>
        <w:autoSpaceDN w:val="0"/>
        <w:adjustRightInd w:val="0"/>
        <w:spacing w:line="360" w:lineRule="auto"/>
        <w:jc w:val="center"/>
        <w:rPr>
          <w:rFonts w:cs="宋体" w:asciiTheme="minorEastAsia" w:hAnsiTheme="minorEastAsia"/>
          <w:color w:val="auto"/>
          <w:sz w:val="24"/>
          <w:szCs w:val="24"/>
          <w:highlight w:val="none"/>
        </w:rPr>
      </w:pPr>
    </w:p>
    <w:p>
      <w:pPr>
        <w:pStyle w:val="2"/>
        <w:rPr>
          <w:rFonts w:ascii="宋体" w:cs="宋体"/>
          <w:color w:val="auto"/>
          <w:sz w:val="24"/>
          <w:highlight w:val="none"/>
          <w:lang w:val="zh-CN"/>
        </w:rPr>
      </w:pPr>
    </w:p>
    <w:p>
      <w:pPr>
        <w:pStyle w:val="3"/>
        <w:rPr>
          <w:color w:val="auto"/>
          <w:highlight w:val="none"/>
          <w:lang w:val="zh-CN"/>
        </w:rPr>
      </w:pPr>
    </w:p>
    <w:p>
      <w:pPr>
        <w:pStyle w:val="2"/>
        <w:rPr>
          <w:rFonts w:ascii="宋体" w:cs="宋体"/>
          <w:color w:val="auto"/>
          <w:sz w:val="24"/>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3.8其他资格证书或材料 </w:t>
      </w:r>
    </w:p>
    <w:p>
      <w:pPr>
        <w:autoSpaceDE w:val="0"/>
        <w:autoSpaceDN w:val="0"/>
        <w:adjustRightInd w:val="0"/>
        <w:spacing w:line="360" w:lineRule="auto"/>
        <w:rPr>
          <w:rFonts w:cs="黑体" w:asciiTheme="minorEastAsia" w:hAnsiTheme="minorEastAsia"/>
          <w:b/>
          <w:bCs/>
          <w:color w:val="auto"/>
          <w:sz w:val="28"/>
          <w:szCs w:val="28"/>
          <w:highlight w:val="none"/>
          <w:lang w:val="zh-CN"/>
        </w:rPr>
      </w:pPr>
    </w:p>
    <w:p>
      <w:pPr>
        <w:pStyle w:val="2"/>
        <w:rPr>
          <w:rFonts w:hint="eastAsia"/>
          <w:color w:val="auto"/>
          <w:highlight w:val="none"/>
          <w:lang w:val="zh-CN"/>
        </w:rPr>
      </w:pPr>
    </w:p>
    <w:p>
      <w:pPr>
        <w:pStyle w:val="25"/>
        <w:rPr>
          <w:rFonts w:hint="eastAsia"/>
          <w:color w:val="auto"/>
          <w:highlight w:val="none"/>
          <w:lang w:val="zh-CN"/>
        </w:rPr>
      </w:pPr>
    </w:p>
    <w:p>
      <w:pPr>
        <w:pStyle w:val="25"/>
        <w:rPr>
          <w:rFonts w:hint="eastAsia"/>
          <w:color w:val="auto"/>
          <w:highlight w:val="none"/>
          <w:lang w:val="zh-CN"/>
        </w:rPr>
      </w:pPr>
    </w:p>
    <w:p>
      <w:pPr>
        <w:pStyle w:val="25"/>
        <w:rPr>
          <w:color w:val="auto"/>
          <w:highlight w:val="none"/>
          <w:lang w:val="zh-CN"/>
        </w:rPr>
      </w:pPr>
    </w:p>
    <w:p>
      <w:pPr>
        <w:pStyle w:val="25"/>
        <w:rPr>
          <w:color w:val="auto"/>
          <w:highlight w:val="none"/>
          <w:lang w:val="zh-CN"/>
        </w:rPr>
      </w:pPr>
    </w:p>
    <w:p>
      <w:pPr>
        <w:autoSpaceDE w:val="0"/>
        <w:autoSpaceDN w:val="0"/>
        <w:adjustRightInd w:val="0"/>
        <w:spacing w:line="360" w:lineRule="auto"/>
        <w:jc w:val="center"/>
        <w:rPr>
          <w:rFonts w:hAnsi="宋体" w:eastAsia="宋体"/>
          <w:b/>
          <w:snapToGrid w:val="0"/>
          <w:color w:val="auto"/>
          <w:kern w:val="0"/>
          <w:sz w:val="36"/>
          <w:szCs w:val="36"/>
          <w:highlight w:val="none"/>
        </w:rPr>
      </w:pPr>
      <w:r>
        <w:rPr>
          <w:rFonts w:hint="eastAsia" w:cs="黑体" w:asciiTheme="minorEastAsia" w:hAnsiTheme="minorEastAsia"/>
          <w:b/>
          <w:bCs/>
          <w:color w:val="auto"/>
          <w:sz w:val="28"/>
          <w:szCs w:val="28"/>
          <w:highlight w:val="none"/>
          <w:lang w:val="zh-CN"/>
        </w:rPr>
        <w:t>四、符合性审查相关材料</w:t>
      </w:r>
    </w:p>
    <w:p>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4.1分项报价表</w:t>
      </w:r>
    </w:p>
    <w:p>
      <w:pPr>
        <w:spacing w:line="480" w:lineRule="exact"/>
        <w:jc w:val="center"/>
        <w:rPr>
          <w:rFonts w:ascii="宋体" w:hAnsi="宋体"/>
          <w:b/>
          <w:bCs/>
          <w:color w:val="auto"/>
          <w:sz w:val="24"/>
          <w:szCs w:val="24"/>
          <w:highlight w:val="none"/>
        </w:rPr>
      </w:pPr>
    </w:p>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pPr>
        <w:spacing w:line="360" w:lineRule="auto"/>
        <w:ind w:firstLine="4410" w:firstLineChars="2100"/>
        <w:contextualSpacing/>
        <w:rPr>
          <w:rFonts w:hint="eastAsia" w:cs="宋体" w:asciiTheme="minorEastAsia" w:hAnsiTheme="minorEastAsia"/>
          <w:color w:val="auto"/>
          <w:szCs w:val="21"/>
          <w:highlight w:val="none"/>
          <w:lang w:val="zh-CN"/>
        </w:rPr>
      </w:pPr>
    </w:p>
    <w:p>
      <w:pPr>
        <w:spacing w:line="360" w:lineRule="auto"/>
        <w:ind w:firstLine="4410" w:firstLineChars="2100"/>
        <w:contextualSpacing/>
        <w:rPr>
          <w:rFonts w:hint="eastAsia" w:cs="宋体" w:asciiTheme="minorEastAsia" w:hAnsiTheme="minorEastAsia"/>
          <w:color w:val="auto"/>
          <w:szCs w:val="21"/>
          <w:highlight w:val="none"/>
          <w:lang w:val="zh-CN"/>
        </w:rPr>
      </w:pPr>
    </w:p>
    <w:p>
      <w:pPr>
        <w:spacing w:line="360" w:lineRule="auto"/>
        <w:ind w:firstLine="4410" w:firstLineChars="2100"/>
        <w:contextualSpacing/>
        <w:rPr>
          <w:rFonts w:hint="eastAsia" w:cs="宋体" w:asciiTheme="minorEastAsia" w:hAnsiTheme="minorEastAsia"/>
          <w:color w:val="auto"/>
          <w:szCs w:val="21"/>
          <w:highlight w:val="none"/>
          <w:lang w:val="zh-CN"/>
        </w:rPr>
      </w:pPr>
    </w:p>
    <w:p>
      <w:pPr>
        <w:spacing w:line="360" w:lineRule="auto"/>
        <w:ind w:firstLine="4410" w:firstLineChars="2100"/>
        <w:contextualSpacing/>
        <w:rPr>
          <w:rFonts w:ascii="宋体" w:hAnsi="宋体"/>
          <w:color w:val="auto"/>
          <w:szCs w:val="21"/>
          <w:highlight w:val="none"/>
        </w:rPr>
      </w:pPr>
      <w:r>
        <w:rPr>
          <w:rFonts w:hint="eastAsia" w:cs="宋体" w:asciiTheme="minorEastAsia" w:hAnsiTheme="minorEastAsia"/>
          <w:color w:val="auto"/>
          <w:szCs w:val="21"/>
          <w:highlight w:val="none"/>
          <w:lang w:val="zh-CN"/>
        </w:rPr>
        <w:t>投标人名称（盖章）：</w:t>
      </w:r>
    </w:p>
    <w:p>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日期：   </w:t>
      </w:r>
      <w:r>
        <w:rPr>
          <w:rFonts w:hint="eastAsia" w:cs="宋体" w:asciiTheme="minorEastAsia" w:hAnsiTheme="minorEastAsia"/>
          <w:color w:val="auto"/>
          <w:szCs w:val="21"/>
          <w:highlight w:val="none"/>
        </w:rPr>
        <w:t>年    月    日</w:t>
      </w:r>
    </w:p>
    <w:p>
      <w:pPr>
        <w:autoSpaceDE w:val="0"/>
        <w:autoSpaceDN w:val="0"/>
        <w:adjustRightInd w:val="0"/>
        <w:spacing w:line="480" w:lineRule="auto"/>
        <w:rPr>
          <w:rFonts w:cs="宋体" w:asciiTheme="minorEastAsia" w:hAnsiTheme="minorEastAsia"/>
          <w:color w:val="auto"/>
          <w:sz w:val="24"/>
          <w:szCs w:val="24"/>
          <w:highlight w:val="none"/>
        </w:rPr>
      </w:pPr>
    </w:p>
    <w:p>
      <w:pPr>
        <w:pStyle w:val="2"/>
        <w:rPr>
          <w:color w:val="auto"/>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技术方案（实施方案）</w:t>
      </w:r>
    </w:p>
    <w:p>
      <w:pPr>
        <w:snapToGrid w:val="0"/>
        <w:spacing w:line="360" w:lineRule="auto"/>
        <w:jc w:val="center"/>
        <w:rPr>
          <w:rFonts w:hAnsi="宋体" w:eastAsia="宋体"/>
          <w:b/>
          <w:snapToGrid w:val="0"/>
          <w:color w:val="auto"/>
          <w:kern w:val="0"/>
          <w:sz w:val="36"/>
          <w:szCs w:val="36"/>
          <w:highlight w:val="none"/>
        </w:rPr>
      </w:pPr>
    </w:p>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（投标人根据招标文件要求自行编制）</w:t>
      </w:r>
    </w:p>
    <w:p>
      <w:pPr>
        <w:pStyle w:val="29"/>
        <w:ind w:left="0" w:leftChars="0" w:firstLine="0" w:firstLineChars="0"/>
        <w:rPr>
          <w:rFonts w:hint="eastAsia"/>
          <w:color w:val="auto"/>
          <w:highlight w:val="none"/>
          <w:lang w:val="zh-CN"/>
        </w:rPr>
      </w:pPr>
    </w:p>
    <w:p>
      <w:pPr>
        <w:rPr>
          <w:rFonts w:hint="eastAsia"/>
          <w:color w:val="auto"/>
          <w:highlight w:val="none"/>
          <w:lang w:val="zh-CN"/>
        </w:rPr>
      </w:pPr>
    </w:p>
    <w:p>
      <w:pPr>
        <w:pStyle w:val="28"/>
        <w:ind w:firstLine="340"/>
        <w:rPr>
          <w:rFonts w:hint="eastAsia"/>
          <w:color w:val="auto"/>
          <w:highlight w:val="none"/>
          <w:lang w:val="zh-CN"/>
        </w:rPr>
      </w:pPr>
    </w:p>
    <w:p>
      <w:pPr>
        <w:pStyle w:val="29"/>
        <w:ind w:firstLine="480"/>
        <w:rPr>
          <w:rFonts w:hint="eastAsia"/>
          <w:color w:val="auto"/>
          <w:highlight w:val="none"/>
          <w:lang w:val="zh-CN"/>
        </w:rPr>
      </w:pPr>
    </w:p>
    <w:p>
      <w:pPr>
        <w:rPr>
          <w:rFonts w:hint="eastAsia"/>
          <w:color w:val="auto"/>
          <w:highlight w:val="none"/>
          <w:lang w:val="zh-CN"/>
        </w:rPr>
      </w:pPr>
    </w:p>
    <w:p>
      <w:pPr>
        <w:pStyle w:val="28"/>
        <w:ind w:firstLine="340"/>
        <w:rPr>
          <w:rFonts w:hint="eastAsia"/>
          <w:color w:val="auto"/>
          <w:highlight w:val="none"/>
          <w:lang w:val="zh-CN"/>
        </w:rPr>
      </w:pPr>
    </w:p>
    <w:p>
      <w:pPr>
        <w:pStyle w:val="29"/>
        <w:ind w:firstLine="480"/>
        <w:rPr>
          <w:rFonts w:hint="eastAsia"/>
          <w:color w:val="auto"/>
          <w:highlight w:val="none"/>
          <w:lang w:val="zh-CN"/>
        </w:rPr>
      </w:pPr>
    </w:p>
    <w:p>
      <w:pPr>
        <w:rPr>
          <w:rFonts w:hint="eastAsia"/>
          <w:color w:val="auto"/>
          <w:highlight w:val="none"/>
          <w:lang w:val="zh-CN"/>
        </w:rPr>
      </w:pPr>
    </w:p>
    <w:p>
      <w:pPr>
        <w:pStyle w:val="28"/>
        <w:ind w:left="0" w:leftChars="0" w:firstLine="0" w:firstLineChars="0"/>
        <w:rPr>
          <w:rFonts w:hint="eastAsia"/>
          <w:color w:val="auto"/>
          <w:highlight w:val="none"/>
          <w:lang w:val="zh-CN"/>
        </w:rPr>
      </w:pPr>
    </w:p>
    <w:p>
      <w:pPr>
        <w:pStyle w:val="29"/>
        <w:ind w:firstLine="480"/>
        <w:rPr>
          <w:rFonts w:hint="eastAsia"/>
          <w:color w:val="auto"/>
          <w:highlight w:val="none"/>
          <w:lang w:val="zh-CN"/>
        </w:rPr>
      </w:pPr>
    </w:p>
    <w:p>
      <w:pPr>
        <w:pStyle w:val="29"/>
        <w:ind w:left="0" w:leftChars="0" w:firstLine="0" w:firstLineChars="0"/>
        <w:rPr>
          <w:color w:val="auto"/>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 xml:space="preserve"> 业绩情况表</w:t>
      </w:r>
    </w:p>
    <w:p>
      <w:pPr>
        <w:autoSpaceDE w:val="0"/>
        <w:autoSpaceDN w:val="0"/>
        <w:adjustRightInd w:val="0"/>
        <w:spacing w:line="360" w:lineRule="auto"/>
        <w:jc w:val="center"/>
        <w:outlineLvl w:val="0"/>
        <w:rPr>
          <w:rFonts w:ascii="宋体" w:hAnsi="宋体"/>
          <w:b/>
          <w:bCs/>
          <w:color w:val="auto"/>
          <w:sz w:val="28"/>
          <w:szCs w:val="28"/>
          <w:highlight w:val="none"/>
        </w:rPr>
      </w:pPr>
    </w:p>
    <w:p>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napToGrid w:val="0"/>
        <w:spacing w:line="360" w:lineRule="auto"/>
        <w:rPr>
          <w:rFonts w:hAnsi="宋体" w:eastAsia="宋体"/>
          <w:b/>
          <w:snapToGrid w:val="0"/>
          <w:color w:val="auto"/>
          <w:kern w:val="0"/>
          <w:szCs w:val="21"/>
          <w:highlight w:val="none"/>
        </w:rPr>
      </w:pPr>
      <w:r>
        <w:rPr>
          <w:rFonts w:hint="eastAsia" w:asciiTheme="minorEastAsia" w:hAnsiTheme="minorEastAsia"/>
          <w:color w:val="auto"/>
          <w:szCs w:val="21"/>
          <w:highlight w:val="none"/>
        </w:rPr>
        <w:t xml:space="preserve">项目名称：   </w:t>
      </w: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1"/>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vAlign w:val="center"/>
          </w:tcPr>
          <w:p>
            <w:pPr>
              <w:pStyle w:val="11"/>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vAlign w:val="center"/>
          </w:tcPr>
          <w:p>
            <w:pPr>
              <w:pStyle w:val="11"/>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auto"/>
            <w:vAlign w:val="center"/>
          </w:tcPr>
          <w:p>
            <w:pPr>
              <w:pStyle w:val="11"/>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11"/>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vAlign w:val="center"/>
          </w:tcPr>
          <w:p>
            <w:pPr>
              <w:pStyle w:val="11"/>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pPr>
              <w:pStyle w:val="11"/>
              <w:spacing w:line="360" w:lineRule="auto"/>
              <w:rPr>
                <w:rFonts w:ascii="宋体" w:hAnsi="宋体" w:eastAsia="宋体" w:cs="Times New Roman"/>
                <w:color w:val="auto"/>
                <w:sz w:val="21"/>
                <w:szCs w:val="21"/>
                <w:highlight w:val="none"/>
              </w:rPr>
            </w:pPr>
          </w:p>
        </w:tc>
        <w:tc>
          <w:tcPr>
            <w:tcW w:w="3579" w:type="dxa"/>
            <w:vAlign w:val="center"/>
          </w:tcPr>
          <w:p>
            <w:pPr>
              <w:pStyle w:val="11"/>
              <w:spacing w:line="360" w:lineRule="auto"/>
              <w:rPr>
                <w:rFonts w:ascii="宋体" w:hAnsi="宋体" w:eastAsia="宋体" w:cs="Times New Roman"/>
                <w:color w:val="auto"/>
                <w:sz w:val="21"/>
                <w:szCs w:val="21"/>
                <w:highlight w:val="none"/>
              </w:rPr>
            </w:pPr>
          </w:p>
        </w:tc>
        <w:tc>
          <w:tcPr>
            <w:tcW w:w="1440" w:type="dxa"/>
            <w:vAlign w:val="center"/>
          </w:tcPr>
          <w:p>
            <w:pPr>
              <w:pStyle w:val="11"/>
              <w:spacing w:line="360" w:lineRule="auto"/>
              <w:rPr>
                <w:rFonts w:ascii="宋体" w:hAnsi="宋体" w:eastAsia="宋体" w:cs="Times New Roman"/>
                <w:color w:val="auto"/>
                <w:sz w:val="21"/>
                <w:szCs w:val="21"/>
                <w:highlight w:val="none"/>
              </w:rPr>
            </w:pPr>
          </w:p>
        </w:tc>
        <w:tc>
          <w:tcPr>
            <w:tcW w:w="1706" w:type="dxa"/>
            <w:vAlign w:val="center"/>
          </w:tcPr>
          <w:p>
            <w:pPr>
              <w:pStyle w:val="11"/>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pPr>
              <w:pStyle w:val="11"/>
              <w:spacing w:line="360" w:lineRule="auto"/>
              <w:rPr>
                <w:rFonts w:ascii="宋体" w:hAnsi="宋体" w:eastAsia="宋体" w:cs="Times New Roman"/>
                <w:color w:val="auto"/>
                <w:sz w:val="21"/>
                <w:szCs w:val="21"/>
                <w:highlight w:val="none"/>
              </w:rPr>
            </w:pPr>
          </w:p>
        </w:tc>
        <w:tc>
          <w:tcPr>
            <w:tcW w:w="3579" w:type="dxa"/>
            <w:vAlign w:val="center"/>
          </w:tcPr>
          <w:p>
            <w:pPr>
              <w:pStyle w:val="11"/>
              <w:spacing w:line="360" w:lineRule="auto"/>
              <w:rPr>
                <w:rFonts w:ascii="宋体" w:hAnsi="宋体" w:eastAsia="宋体" w:cs="Times New Roman"/>
                <w:color w:val="auto"/>
                <w:sz w:val="21"/>
                <w:szCs w:val="21"/>
                <w:highlight w:val="none"/>
              </w:rPr>
            </w:pPr>
          </w:p>
        </w:tc>
        <w:tc>
          <w:tcPr>
            <w:tcW w:w="1440" w:type="dxa"/>
            <w:vAlign w:val="center"/>
          </w:tcPr>
          <w:p>
            <w:pPr>
              <w:pStyle w:val="11"/>
              <w:spacing w:line="360" w:lineRule="auto"/>
              <w:rPr>
                <w:rFonts w:ascii="宋体" w:hAnsi="宋体" w:eastAsia="宋体" w:cs="Times New Roman"/>
                <w:color w:val="auto"/>
                <w:sz w:val="21"/>
                <w:szCs w:val="21"/>
                <w:highlight w:val="none"/>
              </w:rPr>
            </w:pPr>
          </w:p>
        </w:tc>
        <w:tc>
          <w:tcPr>
            <w:tcW w:w="1706" w:type="dxa"/>
            <w:vAlign w:val="center"/>
          </w:tcPr>
          <w:p>
            <w:pPr>
              <w:pStyle w:val="11"/>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vAlign w:val="center"/>
          </w:tcPr>
          <w:p>
            <w:pPr>
              <w:pStyle w:val="11"/>
              <w:spacing w:line="360" w:lineRule="auto"/>
              <w:rPr>
                <w:rFonts w:ascii="宋体" w:hAnsi="宋体" w:eastAsia="宋体" w:cs="Times New Roman"/>
                <w:color w:val="auto"/>
                <w:sz w:val="21"/>
                <w:szCs w:val="21"/>
                <w:highlight w:val="none"/>
              </w:rPr>
            </w:pPr>
          </w:p>
        </w:tc>
        <w:tc>
          <w:tcPr>
            <w:tcW w:w="3579" w:type="dxa"/>
            <w:vAlign w:val="center"/>
          </w:tcPr>
          <w:p>
            <w:pPr>
              <w:pStyle w:val="11"/>
              <w:spacing w:line="360" w:lineRule="auto"/>
              <w:rPr>
                <w:rFonts w:ascii="宋体" w:hAnsi="宋体" w:eastAsia="宋体" w:cs="Times New Roman"/>
                <w:color w:val="auto"/>
                <w:sz w:val="21"/>
                <w:szCs w:val="21"/>
                <w:highlight w:val="none"/>
              </w:rPr>
            </w:pPr>
          </w:p>
        </w:tc>
        <w:tc>
          <w:tcPr>
            <w:tcW w:w="1440" w:type="dxa"/>
            <w:vAlign w:val="center"/>
          </w:tcPr>
          <w:p>
            <w:pPr>
              <w:pStyle w:val="11"/>
              <w:spacing w:line="360" w:lineRule="auto"/>
              <w:rPr>
                <w:rFonts w:ascii="宋体" w:hAnsi="宋体" w:eastAsia="宋体" w:cs="Times New Roman"/>
                <w:color w:val="auto"/>
                <w:sz w:val="21"/>
                <w:szCs w:val="21"/>
                <w:highlight w:val="none"/>
              </w:rPr>
            </w:pPr>
          </w:p>
        </w:tc>
        <w:tc>
          <w:tcPr>
            <w:tcW w:w="1706" w:type="dxa"/>
            <w:vAlign w:val="center"/>
          </w:tcPr>
          <w:p>
            <w:pPr>
              <w:pStyle w:val="11"/>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vAlign w:val="center"/>
          </w:tcPr>
          <w:p>
            <w:pPr>
              <w:rPr>
                <w:rFonts w:ascii="宋体"/>
                <w:color w:val="auto"/>
                <w:szCs w:val="21"/>
                <w:highlight w:val="none"/>
              </w:rPr>
            </w:pPr>
          </w:p>
        </w:tc>
        <w:tc>
          <w:tcPr>
            <w:tcW w:w="3579" w:type="dxa"/>
            <w:vAlign w:val="center"/>
          </w:tcPr>
          <w:p>
            <w:pPr>
              <w:rPr>
                <w:rFonts w:ascii="宋体"/>
                <w:color w:val="auto"/>
                <w:szCs w:val="21"/>
                <w:highlight w:val="none"/>
              </w:rPr>
            </w:pPr>
          </w:p>
        </w:tc>
        <w:tc>
          <w:tcPr>
            <w:tcW w:w="1440" w:type="dxa"/>
            <w:vAlign w:val="center"/>
          </w:tcPr>
          <w:p>
            <w:pPr>
              <w:rPr>
                <w:rFonts w:ascii="宋体"/>
                <w:color w:val="auto"/>
                <w:szCs w:val="21"/>
                <w:highlight w:val="none"/>
              </w:rPr>
            </w:pPr>
          </w:p>
        </w:tc>
        <w:tc>
          <w:tcPr>
            <w:tcW w:w="1706"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pPr>
              <w:rPr>
                <w:rFonts w:ascii="宋体"/>
                <w:color w:val="auto"/>
                <w:szCs w:val="21"/>
                <w:highlight w:val="none"/>
              </w:rPr>
            </w:pPr>
          </w:p>
        </w:tc>
        <w:tc>
          <w:tcPr>
            <w:tcW w:w="3579" w:type="dxa"/>
            <w:vAlign w:val="center"/>
          </w:tcPr>
          <w:p>
            <w:pPr>
              <w:rPr>
                <w:rFonts w:ascii="宋体"/>
                <w:color w:val="auto"/>
                <w:szCs w:val="21"/>
                <w:highlight w:val="none"/>
              </w:rPr>
            </w:pPr>
          </w:p>
        </w:tc>
        <w:tc>
          <w:tcPr>
            <w:tcW w:w="1440" w:type="dxa"/>
            <w:vAlign w:val="center"/>
          </w:tcPr>
          <w:p>
            <w:pPr>
              <w:rPr>
                <w:rFonts w:ascii="宋体"/>
                <w:color w:val="auto"/>
                <w:szCs w:val="21"/>
                <w:highlight w:val="none"/>
              </w:rPr>
            </w:pPr>
          </w:p>
        </w:tc>
        <w:tc>
          <w:tcPr>
            <w:tcW w:w="1706" w:type="dxa"/>
            <w:vAlign w:val="center"/>
          </w:tcPr>
          <w:p>
            <w:pPr>
              <w:rPr>
                <w:rFonts w:ascii="宋体"/>
                <w:color w:val="auto"/>
                <w:szCs w:val="21"/>
                <w:highlight w:val="none"/>
              </w:rPr>
            </w:pPr>
          </w:p>
        </w:tc>
      </w:tr>
    </w:tbl>
    <w:p>
      <w:pPr>
        <w:autoSpaceDE w:val="0"/>
        <w:autoSpaceDN w:val="0"/>
        <w:adjustRightInd w:val="0"/>
        <w:spacing w:line="480" w:lineRule="auto"/>
        <w:rPr>
          <w:rFonts w:cs="宋体" w:asciiTheme="minorEastAsia" w:hAnsiTheme="minorEastAsia"/>
          <w:color w:val="auto"/>
          <w:szCs w:val="21"/>
          <w:highlight w:val="none"/>
          <w:lang w:val="zh-CN"/>
        </w:rPr>
      </w:pPr>
    </w:p>
    <w:p>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投标人名称（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p>
    <w:p>
      <w:pPr>
        <w:autoSpaceDE w:val="0"/>
        <w:autoSpaceDN w:val="0"/>
        <w:adjustRightInd w:val="0"/>
        <w:spacing w:line="480" w:lineRule="auto"/>
        <w:rPr>
          <w:rFonts w:cs="宋体" w:asciiTheme="minorEastAsia" w:hAnsiTheme="minorEastAsia"/>
          <w:color w:val="auto"/>
          <w:sz w:val="24"/>
          <w:szCs w:val="24"/>
          <w:highlight w:val="none"/>
          <w:lang w:val="zh-CN"/>
        </w:rPr>
      </w:pPr>
    </w:p>
    <w:p>
      <w:pPr>
        <w:pStyle w:val="2"/>
        <w:rPr>
          <w:color w:val="auto"/>
          <w:highlight w:val="none"/>
          <w:lang w:val="zh-CN"/>
        </w:rPr>
      </w:pPr>
    </w:p>
    <w:p>
      <w:pPr>
        <w:autoSpaceDE w:val="0"/>
        <w:autoSpaceDN w:val="0"/>
        <w:adjustRightInd w:val="0"/>
        <w:spacing w:line="360" w:lineRule="auto"/>
        <w:jc w:val="center"/>
        <w:outlineLvl w:val="0"/>
        <w:rPr>
          <w:rFonts w:hint="eastAsia" w:ascii="宋体" w:hAnsi="宋体" w:eastAsiaTheme="minorEastAsia"/>
          <w:b/>
          <w:bCs/>
          <w:color w:val="auto"/>
          <w:sz w:val="36"/>
          <w:szCs w:val="36"/>
          <w:highlight w:val="none"/>
          <w:lang w:eastAsia="zh-CN"/>
        </w:rPr>
      </w:pPr>
      <w:r>
        <w:rPr>
          <w:rFonts w:hint="eastAsia" w:ascii="宋体" w:hAnsi="宋体"/>
          <w:b/>
          <w:bCs/>
          <w:color w:val="auto"/>
          <w:sz w:val="24"/>
          <w:szCs w:val="24"/>
          <w:highlight w:val="none"/>
        </w:rPr>
        <w:t>4.</w:t>
      </w: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售后服务方案</w:t>
      </w:r>
      <w:r>
        <w:rPr>
          <w:rFonts w:hint="eastAsia" w:ascii="宋体" w:hAnsi="宋体"/>
          <w:b/>
          <w:bCs/>
          <w:color w:val="auto"/>
          <w:sz w:val="24"/>
          <w:szCs w:val="24"/>
          <w:highlight w:val="none"/>
          <w:lang w:eastAsia="zh-CN"/>
        </w:rPr>
        <w:t>（售后服务承诺）</w:t>
      </w:r>
    </w:p>
    <w:p>
      <w:pPr>
        <w:autoSpaceDE w:val="0"/>
        <w:autoSpaceDN w:val="0"/>
        <w:adjustRightInd w:val="0"/>
        <w:spacing w:line="360" w:lineRule="auto"/>
        <w:jc w:val="center"/>
        <w:rPr>
          <w:rFonts w:ascii="宋体" w:hAnsi="宋体"/>
          <w:b/>
          <w:bCs/>
          <w:color w:val="auto"/>
          <w:sz w:val="24"/>
          <w:szCs w:val="24"/>
          <w:highlight w:val="none"/>
        </w:rPr>
      </w:pPr>
      <w:r>
        <w:rPr>
          <w:rFonts w:hint="eastAsia" w:cs="宋体" w:asciiTheme="minorEastAsia" w:hAnsiTheme="minorEastAsia"/>
          <w:color w:val="auto"/>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auto"/>
          <w:sz w:val="24"/>
          <w:szCs w:val="24"/>
          <w:highlight w:val="none"/>
        </w:rPr>
      </w:pPr>
    </w:p>
    <w:p>
      <w:pPr>
        <w:pStyle w:val="2"/>
        <w:rPr>
          <w:color w:val="auto"/>
          <w:highlight w:val="none"/>
        </w:rPr>
      </w:pPr>
    </w:p>
    <w:p>
      <w:pPr>
        <w:pStyle w:val="29"/>
        <w:ind w:firstLine="480"/>
        <w:rPr>
          <w:color w:val="auto"/>
          <w:highlight w:val="none"/>
        </w:rPr>
      </w:pPr>
    </w:p>
    <w:p>
      <w:pPr>
        <w:rPr>
          <w:color w:val="auto"/>
          <w:highlight w:val="none"/>
        </w:rPr>
      </w:pPr>
    </w:p>
    <w:p>
      <w:pPr>
        <w:autoSpaceDE w:val="0"/>
        <w:autoSpaceDN w:val="0"/>
        <w:adjustRightInd w:val="0"/>
        <w:spacing w:line="360" w:lineRule="auto"/>
        <w:rPr>
          <w:rFonts w:cs="黑体" w:asciiTheme="minorEastAsia" w:hAnsiTheme="minorEastAsia"/>
          <w:b/>
          <w:bCs/>
          <w:color w:val="auto"/>
          <w:sz w:val="44"/>
          <w:szCs w:val="44"/>
          <w:highlight w:val="none"/>
          <w:lang w:val="zh-CN"/>
        </w:rPr>
      </w:pPr>
    </w:p>
    <w:p>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pPr>
        <w:rPr>
          <w:color w:val="auto"/>
          <w:highlight w:val="none"/>
        </w:rPr>
      </w:pPr>
    </w:p>
    <w:p>
      <w:pPr>
        <w:rPr>
          <w:color w:val="auto"/>
          <w:highlight w:val="none"/>
        </w:rPr>
      </w:pPr>
    </w:p>
    <w:p>
      <w:pPr>
        <w:rPr>
          <w:color w:val="auto"/>
          <w:highlight w:val="none"/>
        </w:rPr>
      </w:pPr>
    </w:p>
    <w:p>
      <w:pPr>
        <w:spacing w:line="360" w:lineRule="auto"/>
        <w:jc w:val="center"/>
        <w:rPr>
          <w:rFonts w:ascii="宋体" w:hAnsi="宋体"/>
          <w:b/>
          <w:bCs/>
          <w:color w:val="auto"/>
          <w:szCs w:val="21"/>
          <w:highlight w:val="none"/>
        </w:rPr>
      </w:pPr>
      <w:r>
        <w:rPr>
          <w:rFonts w:ascii="宋体" w:hAnsi="宋体"/>
          <w:b/>
          <w:bCs/>
          <w:color w:val="auto"/>
          <w:szCs w:val="21"/>
          <w:highlight w:val="none"/>
        </w:rPr>
        <w:t>除</w:t>
      </w:r>
      <w:r>
        <w:rPr>
          <w:rFonts w:hint="eastAsia" w:ascii="宋体" w:hAnsi="宋体"/>
          <w:b/>
          <w:bCs/>
          <w:color w:val="auto"/>
          <w:szCs w:val="21"/>
          <w:highlight w:val="none"/>
        </w:rPr>
        <w:t>采购</w:t>
      </w:r>
      <w:r>
        <w:rPr>
          <w:rFonts w:ascii="宋体" w:hAnsi="宋体"/>
          <w:b/>
          <w:bCs/>
          <w:color w:val="auto"/>
          <w:szCs w:val="21"/>
          <w:highlight w:val="none"/>
        </w:rPr>
        <w:t>文件另有规定外，</w:t>
      </w:r>
      <w:r>
        <w:rPr>
          <w:rFonts w:hint="eastAsia" w:ascii="宋体" w:hAnsi="宋体"/>
          <w:b/>
          <w:bCs/>
          <w:color w:val="auto"/>
          <w:szCs w:val="21"/>
          <w:highlight w:val="none"/>
        </w:rPr>
        <w:t>投标人</w:t>
      </w:r>
      <w:r>
        <w:rPr>
          <w:rFonts w:ascii="宋体" w:hAnsi="宋体"/>
          <w:b/>
          <w:bCs/>
          <w:color w:val="auto"/>
          <w:szCs w:val="21"/>
          <w:highlight w:val="none"/>
        </w:rPr>
        <w:t>认为需要提交的其他证明材料或资料加盖</w:t>
      </w:r>
      <w:r>
        <w:rPr>
          <w:rFonts w:hint="eastAsia" w:ascii="宋体" w:hAnsi="宋体"/>
          <w:b/>
          <w:bCs/>
          <w:color w:val="auto"/>
          <w:szCs w:val="21"/>
          <w:highlight w:val="none"/>
        </w:rPr>
        <w:t>投标人</w:t>
      </w:r>
      <w:r>
        <w:rPr>
          <w:rFonts w:ascii="宋体" w:hAnsi="宋体"/>
          <w:b/>
          <w:bCs/>
          <w:color w:val="auto"/>
          <w:szCs w:val="21"/>
          <w:highlight w:val="none"/>
        </w:rPr>
        <w:t>公章后应在此项下提交。</w:t>
      </w:r>
    </w:p>
    <w:p>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footerReference r:id="rId9" w:type="default"/>
      <w:pgSz w:w="11906" w:h="16838"/>
      <w:pgMar w:top="2098" w:right="1474" w:bottom="1928" w:left="1588" w:header="851" w:footer="992" w:gutter="0"/>
      <w:pgNumType w:start="4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452"/>
      <w:rPr>
        <w:rStyle w:val="102"/>
        <w:rFonts w:eastAsia="Calibri"/>
        <w:sz w:val="18"/>
        <w:szCs w:val="18"/>
      </w:rPr>
    </w:pPr>
    <w:r>
      <w:rPr>
        <w:sz w:val="18"/>
      </w:rPr>
      <w:pict>
        <v:shape id="_x0000_s3081" o:spid="_x0000_s308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41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4" o:spid="_x0000_s3077"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path/>
          <v:fill on="f" focussize="0,0"/>
          <v:stroke on="f"/>
          <v:imagedata o:title=""/>
          <o:lock v:ext="edit" aspectratio="f"/>
          <v:textbox inset="0mm,0mm,0mm,0mm" style="mso-fit-shape-to-text:t;">
            <w:txbxContent>
              <w:p>
                <w:pPr>
                  <w:pStyle w:val="9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w:pict>
        <v:shape id="_x0000_s3078" o:spid="_x0000_s307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44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pict>
        <v:shape id="Shape 28" o:spid="_x0000_s3079" o:spt="202" type="#_x0000_t202" style="position:absolute;left:0pt;margin-left:288.5pt;margin-top:793.65pt;height:6pt;width:18pt;mso-position-horizontal-relative:page;mso-position-vertical-relative:page;mso-wrap-style:none;z-index:-251657216;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path/>
          <v:fill on="f" focussize="0,0"/>
          <v:stroke on="f"/>
          <v:imagedata o:title=""/>
          <o:lock v:ext="edit" aspectratio="f"/>
          <v:textbox inset="0mm,0mm,0mm,0mm" style="mso-fit-shape-to-text:t;">
            <w:txbxContent>
              <w:p>
                <w:pPr>
                  <w:pStyle w:val="9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21"/>
                </w:pPr>
                <w:r>
                  <w:fldChar w:fldCharType="begin"/>
                </w:r>
                <w:r>
                  <w:instrText xml:space="preserve"> PAGE  \* MERGEFORMAT </w:instrText>
                </w:r>
                <w:r>
                  <w:fldChar w:fldCharType="separate"/>
                </w:r>
                <w:r>
                  <w:t>68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A6886026"/>
    <w:multiLevelType w:val="singleLevel"/>
    <w:tmpl w:val="A6886026"/>
    <w:lvl w:ilvl="0" w:tentative="0">
      <w:start w:val="1"/>
      <w:numFmt w:val="decimal"/>
      <w:suff w:val="nothing"/>
      <w:lvlText w:val="%1、"/>
      <w:lvlJc w:val="left"/>
    </w:lvl>
  </w:abstractNum>
  <w:abstractNum w:abstractNumId="3">
    <w:nsid w:val="C80AD064"/>
    <w:multiLevelType w:val="singleLevel"/>
    <w:tmpl w:val="C80AD064"/>
    <w:lvl w:ilvl="0" w:tentative="0">
      <w:start w:val="2"/>
      <w:numFmt w:val="chineseCounting"/>
      <w:suff w:val="space"/>
      <w:lvlText w:val="第%1章"/>
      <w:lvlJc w:val="left"/>
      <w:rPr>
        <w:rFonts w:hint="eastAsia"/>
      </w:rPr>
    </w:lvl>
  </w:abstractNum>
  <w:abstractNum w:abstractNumId="4">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5">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6">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0000014"/>
    <w:multiLevelType w:val="multilevel"/>
    <w:tmpl w:val="00000014"/>
    <w:lvl w:ilvl="0" w:tentative="0">
      <w:start w:val="1"/>
      <w:numFmt w:val="decimal"/>
      <w:pStyle w:val="6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DEDDF1C"/>
    <w:multiLevelType w:val="singleLevel"/>
    <w:tmpl w:val="0DEDDF1C"/>
    <w:lvl w:ilvl="0" w:tentative="0">
      <w:start w:val="1"/>
      <w:numFmt w:val="chineseCounting"/>
      <w:suff w:val="nothing"/>
      <w:lvlText w:val="%1、"/>
      <w:lvlJc w:val="left"/>
      <w:rPr>
        <w:rFonts w:hint="eastAsia"/>
      </w:rPr>
    </w:lvl>
  </w:abstractNum>
  <w:abstractNum w:abstractNumId="9">
    <w:nsid w:val="1CBABA70"/>
    <w:multiLevelType w:val="singleLevel"/>
    <w:tmpl w:val="1CBABA70"/>
    <w:lvl w:ilvl="0" w:tentative="0">
      <w:start w:val="1"/>
      <w:numFmt w:val="decimal"/>
      <w:suff w:val="nothing"/>
      <w:lvlText w:val="%1、"/>
      <w:lvlJc w:val="left"/>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2130065"/>
    <w:multiLevelType w:val="singleLevel"/>
    <w:tmpl w:val="22130065"/>
    <w:lvl w:ilvl="0" w:tentative="0">
      <w:start w:val="6"/>
      <w:numFmt w:val="decimal"/>
      <w:suff w:val="nothing"/>
      <w:lvlText w:val="%1、"/>
      <w:lvlJc w:val="left"/>
    </w:lvl>
  </w:abstractNum>
  <w:abstractNum w:abstractNumId="12">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3">
    <w:nsid w:val="3D55D76B"/>
    <w:multiLevelType w:val="singleLevel"/>
    <w:tmpl w:val="3D55D76B"/>
    <w:lvl w:ilvl="0" w:tentative="0">
      <w:start w:val="1"/>
      <w:numFmt w:val="decimal"/>
      <w:suff w:val="space"/>
      <w:lvlText w:val="(%1)"/>
      <w:lvlJc w:val="left"/>
    </w:lvl>
  </w:abstractNum>
  <w:abstractNum w:abstractNumId="14">
    <w:nsid w:val="59F817E8"/>
    <w:multiLevelType w:val="singleLevel"/>
    <w:tmpl w:val="59F817E8"/>
    <w:lvl w:ilvl="0" w:tentative="0">
      <w:start w:val="1"/>
      <w:numFmt w:val="chineseCounting"/>
      <w:pStyle w:val="68"/>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94C8743"/>
    <w:multiLevelType w:val="singleLevel"/>
    <w:tmpl w:val="794C8743"/>
    <w:lvl w:ilvl="0" w:tentative="0">
      <w:start w:val="1"/>
      <w:numFmt w:val="decimal"/>
      <w:suff w:val="nothing"/>
      <w:lvlText w:val="%1、"/>
      <w:lvlJc w:val="left"/>
    </w:lvl>
  </w:abstractNum>
  <w:abstractNum w:abstractNumId="17">
    <w:nsid w:val="7C330781"/>
    <w:multiLevelType w:val="singleLevel"/>
    <w:tmpl w:val="7C330781"/>
    <w:lvl w:ilvl="0" w:tentative="0">
      <w:start w:val="1"/>
      <w:numFmt w:val="decimal"/>
      <w:suff w:val="nothing"/>
      <w:lvlText w:val="（%1）"/>
      <w:lvlJc w:val="left"/>
    </w:lvl>
  </w:abstractNum>
  <w:abstractNum w:abstractNumId="18">
    <w:nsid w:val="7C330782"/>
    <w:multiLevelType w:val="singleLevel"/>
    <w:tmpl w:val="7C330782"/>
    <w:lvl w:ilvl="0" w:tentative="0">
      <w:start w:val="1"/>
      <w:numFmt w:val="decimal"/>
      <w:suff w:val="nothing"/>
      <w:lvlText w:val="（%1）"/>
      <w:lvlJc w:val="left"/>
    </w:lvl>
  </w:abstractNum>
  <w:num w:numId="1">
    <w:abstractNumId w:val="6"/>
  </w:num>
  <w:num w:numId="2">
    <w:abstractNumId w:val="7"/>
  </w:num>
  <w:num w:numId="3">
    <w:abstractNumId w:val="14"/>
  </w:num>
  <w:num w:numId="4">
    <w:abstractNumId w:val="11"/>
  </w:num>
  <w:num w:numId="5">
    <w:abstractNumId w:val="3"/>
  </w:num>
  <w:num w:numId="6">
    <w:abstractNumId w:val="8"/>
  </w:num>
  <w:num w:numId="7">
    <w:abstractNumId w:val="17"/>
  </w:num>
  <w:num w:numId="8">
    <w:abstractNumId w:val="18"/>
  </w:num>
  <w:num w:numId="9">
    <w:abstractNumId w:val="16"/>
  </w:num>
  <w:num w:numId="10">
    <w:abstractNumId w:val="2"/>
  </w:num>
  <w:num w:numId="11">
    <w:abstractNumId w:val="10"/>
  </w:num>
  <w:num w:numId="12">
    <w:abstractNumId w:val="15"/>
  </w:num>
  <w:num w:numId="13">
    <w:abstractNumId w:val="1"/>
  </w:num>
  <w:num w:numId="14">
    <w:abstractNumId w:val="0"/>
  </w:num>
  <w:num w:numId="15">
    <w:abstractNumId w:val="13"/>
  </w:num>
  <w:num w:numId="16">
    <w:abstractNumId w:val="9"/>
  </w:num>
  <w:num w:numId="17">
    <w:abstractNumId w:val="12"/>
  </w:num>
  <w:num w:numId="18">
    <w:abstractNumId w:val="5"/>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昌丰元咨询管理有限公司:连丹丹">
    <w15:presenceInfo w15:providerId="None" w15:userId="许昌丰元咨询管理有限公司:连丹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 w:name="KSO_WPS_MARK_KEY" w:val="8fe70a09-05ed-496a-98bb-0ea9301eb51a"/>
  </w:docVars>
  <w:rsids>
    <w:rsidRoot w:val="00D51569"/>
    <w:rsid w:val="00005C90"/>
    <w:rsid w:val="00005E30"/>
    <w:rsid w:val="000069EC"/>
    <w:rsid w:val="00007470"/>
    <w:rsid w:val="000112AC"/>
    <w:rsid w:val="0001195E"/>
    <w:rsid w:val="00013211"/>
    <w:rsid w:val="0001598A"/>
    <w:rsid w:val="000173D4"/>
    <w:rsid w:val="000227BF"/>
    <w:rsid w:val="00025F3F"/>
    <w:rsid w:val="00030B34"/>
    <w:rsid w:val="00031CF4"/>
    <w:rsid w:val="000418F9"/>
    <w:rsid w:val="00046E42"/>
    <w:rsid w:val="000516FF"/>
    <w:rsid w:val="000537EC"/>
    <w:rsid w:val="0005401D"/>
    <w:rsid w:val="00055572"/>
    <w:rsid w:val="0007027E"/>
    <w:rsid w:val="00072339"/>
    <w:rsid w:val="000800D2"/>
    <w:rsid w:val="00080389"/>
    <w:rsid w:val="00083387"/>
    <w:rsid w:val="0008414A"/>
    <w:rsid w:val="00091C9C"/>
    <w:rsid w:val="00095387"/>
    <w:rsid w:val="00096224"/>
    <w:rsid w:val="0009640F"/>
    <w:rsid w:val="000A02BB"/>
    <w:rsid w:val="000A73BC"/>
    <w:rsid w:val="000A77FF"/>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3912"/>
    <w:rsid w:val="00113BAE"/>
    <w:rsid w:val="001145D4"/>
    <w:rsid w:val="001223EF"/>
    <w:rsid w:val="001236A3"/>
    <w:rsid w:val="00126895"/>
    <w:rsid w:val="001415B4"/>
    <w:rsid w:val="00152541"/>
    <w:rsid w:val="00154EA8"/>
    <w:rsid w:val="0016405F"/>
    <w:rsid w:val="00165E49"/>
    <w:rsid w:val="00165F8E"/>
    <w:rsid w:val="0016779A"/>
    <w:rsid w:val="00167F93"/>
    <w:rsid w:val="00170DCF"/>
    <w:rsid w:val="0017129C"/>
    <w:rsid w:val="0017154C"/>
    <w:rsid w:val="00172E64"/>
    <w:rsid w:val="001749D2"/>
    <w:rsid w:val="00174C63"/>
    <w:rsid w:val="00175281"/>
    <w:rsid w:val="0017584B"/>
    <w:rsid w:val="00177319"/>
    <w:rsid w:val="00177379"/>
    <w:rsid w:val="00181C6A"/>
    <w:rsid w:val="00183B7D"/>
    <w:rsid w:val="00191A00"/>
    <w:rsid w:val="00193679"/>
    <w:rsid w:val="001957E3"/>
    <w:rsid w:val="0019757C"/>
    <w:rsid w:val="001A2714"/>
    <w:rsid w:val="001A2E65"/>
    <w:rsid w:val="001B0DF5"/>
    <w:rsid w:val="001C0A13"/>
    <w:rsid w:val="001C26CD"/>
    <w:rsid w:val="001C2B6A"/>
    <w:rsid w:val="001C761E"/>
    <w:rsid w:val="001D06FF"/>
    <w:rsid w:val="001D1CBB"/>
    <w:rsid w:val="001D33AD"/>
    <w:rsid w:val="001D33DA"/>
    <w:rsid w:val="001D4C00"/>
    <w:rsid w:val="001D5BB5"/>
    <w:rsid w:val="001D64E5"/>
    <w:rsid w:val="001E1078"/>
    <w:rsid w:val="001E25D9"/>
    <w:rsid w:val="001E592F"/>
    <w:rsid w:val="001F0899"/>
    <w:rsid w:val="001F641A"/>
    <w:rsid w:val="001F7199"/>
    <w:rsid w:val="00203824"/>
    <w:rsid w:val="00205009"/>
    <w:rsid w:val="002078AE"/>
    <w:rsid w:val="00207FEB"/>
    <w:rsid w:val="00210B90"/>
    <w:rsid w:val="00213F11"/>
    <w:rsid w:val="00214892"/>
    <w:rsid w:val="0022454A"/>
    <w:rsid w:val="00224D01"/>
    <w:rsid w:val="00227A97"/>
    <w:rsid w:val="00227BF9"/>
    <w:rsid w:val="00231307"/>
    <w:rsid w:val="00231C22"/>
    <w:rsid w:val="00234627"/>
    <w:rsid w:val="0024040D"/>
    <w:rsid w:val="002426C4"/>
    <w:rsid w:val="002436B4"/>
    <w:rsid w:val="00246A17"/>
    <w:rsid w:val="00252623"/>
    <w:rsid w:val="002532B5"/>
    <w:rsid w:val="00255732"/>
    <w:rsid w:val="002615C0"/>
    <w:rsid w:val="002659C7"/>
    <w:rsid w:val="00266F45"/>
    <w:rsid w:val="00267EE6"/>
    <w:rsid w:val="002709BD"/>
    <w:rsid w:val="002732E0"/>
    <w:rsid w:val="002847E1"/>
    <w:rsid w:val="00286CD2"/>
    <w:rsid w:val="002871DE"/>
    <w:rsid w:val="002872FE"/>
    <w:rsid w:val="0029125D"/>
    <w:rsid w:val="0029513F"/>
    <w:rsid w:val="002A2748"/>
    <w:rsid w:val="002A625E"/>
    <w:rsid w:val="002A62EC"/>
    <w:rsid w:val="002A66C8"/>
    <w:rsid w:val="002A6AA6"/>
    <w:rsid w:val="002B1CC1"/>
    <w:rsid w:val="002B2DE9"/>
    <w:rsid w:val="002B63D8"/>
    <w:rsid w:val="002C0F73"/>
    <w:rsid w:val="002C3B0D"/>
    <w:rsid w:val="002C6520"/>
    <w:rsid w:val="002D082A"/>
    <w:rsid w:val="002D1053"/>
    <w:rsid w:val="002D38B2"/>
    <w:rsid w:val="002D6A6C"/>
    <w:rsid w:val="002E0D3B"/>
    <w:rsid w:val="002E18BD"/>
    <w:rsid w:val="002E3D0E"/>
    <w:rsid w:val="002E5209"/>
    <w:rsid w:val="002E6378"/>
    <w:rsid w:val="002E7DF3"/>
    <w:rsid w:val="002F11CE"/>
    <w:rsid w:val="002F1E2E"/>
    <w:rsid w:val="002F23BC"/>
    <w:rsid w:val="002F2D13"/>
    <w:rsid w:val="002F3BDA"/>
    <w:rsid w:val="002F4580"/>
    <w:rsid w:val="003011BE"/>
    <w:rsid w:val="00303F10"/>
    <w:rsid w:val="0030443F"/>
    <w:rsid w:val="00307D84"/>
    <w:rsid w:val="0031002E"/>
    <w:rsid w:val="003158D3"/>
    <w:rsid w:val="00315CA6"/>
    <w:rsid w:val="003169BF"/>
    <w:rsid w:val="00321D34"/>
    <w:rsid w:val="0032516C"/>
    <w:rsid w:val="003269A1"/>
    <w:rsid w:val="00326A7C"/>
    <w:rsid w:val="0032784A"/>
    <w:rsid w:val="00330D3D"/>
    <w:rsid w:val="0033421C"/>
    <w:rsid w:val="003347F9"/>
    <w:rsid w:val="00335BCD"/>
    <w:rsid w:val="00336F5A"/>
    <w:rsid w:val="003378D1"/>
    <w:rsid w:val="00342AB1"/>
    <w:rsid w:val="00346BEF"/>
    <w:rsid w:val="003518EF"/>
    <w:rsid w:val="0037221E"/>
    <w:rsid w:val="003737C5"/>
    <w:rsid w:val="00375F23"/>
    <w:rsid w:val="003812AE"/>
    <w:rsid w:val="00381A4A"/>
    <w:rsid w:val="00382E5B"/>
    <w:rsid w:val="00386F17"/>
    <w:rsid w:val="003929E8"/>
    <w:rsid w:val="003A05BE"/>
    <w:rsid w:val="003A1280"/>
    <w:rsid w:val="003B103B"/>
    <w:rsid w:val="003B1D5B"/>
    <w:rsid w:val="003B34F7"/>
    <w:rsid w:val="003C0C24"/>
    <w:rsid w:val="003C481F"/>
    <w:rsid w:val="003C6D19"/>
    <w:rsid w:val="003D193F"/>
    <w:rsid w:val="003D2645"/>
    <w:rsid w:val="003D2DF6"/>
    <w:rsid w:val="003D4E8A"/>
    <w:rsid w:val="003E5ADF"/>
    <w:rsid w:val="003E7C66"/>
    <w:rsid w:val="003F2406"/>
    <w:rsid w:val="00410B19"/>
    <w:rsid w:val="004157FF"/>
    <w:rsid w:val="00416591"/>
    <w:rsid w:val="00433C5A"/>
    <w:rsid w:val="00435E0B"/>
    <w:rsid w:val="00440D16"/>
    <w:rsid w:val="0044232F"/>
    <w:rsid w:val="00444482"/>
    <w:rsid w:val="004464C2"/>
    <w:rsid w:val="0044739E"/>
    <w:rsid w:val="00460A24"/>
    <w:rsid w:val="00463754"/>
    <w:rsid w:val="00464D64"/>
    <w:rsid w:val="00467153"/>
    <w:rsid w:val="0047231A"/>
    <w:rsid w:val="0047378F"/>
    <w:rsid w:val="00480C9E"/>
    <w:rsid w:val="00482B1A"/>
    <w:rsid w:val="00484F80"/>
    <w:rsid w:val="00485967"/>
    <w:rsid w:val="0048691A"/>
    <w:rsid w:val="004941B6"/>
    <w:rsid w:val="00496BD4"/>
    <w:rsid w:val="0049794D"/>
    <w:rsid w:val="004A0DA0"/>
    <w:rsid w:val="004A698D"/>
    <w:rsid w:val="004A713D"/>
    <w:rsid w:val="004B2601"/>
    <w:rsid w:val="004B61CF"/>
    <w:rsid w:val="004B620B"/>
    <w:rsid w:val="004B6F24"/>
    <w:rsid w:val="004C1117"/>
    <w:rsid w:val="004C2A4D"/>
    <w:rsid w:val="004C62F8"/>
    <w:rsid w:val="004C6547"/>
    <w:rsid w:val="004D0712"/>
    <w:rsid w:val="004D3082"/>
    <w:rsid w:val="004D7BED"/>
    <w:rsid w:val="004E0DFB"/>
    <w:rsid w:val="004E3EAA"/>
    <w:rsid w:val="004E450C"/>
    <w:rsid w:val="004E547A"/>
    <w:rsid w:val="004E5E79"/>
    <w:rsid w:val="004F0E0A"/>
    <w:rsid w:val="004F1683"/>
    <w:rsid w:val="004F5E7A"/>
    <w:rsid w:val="00501F13"/>
    <w:rsid w:val="00506193"/>
    <w:rsid w:val="00520164"/>
    <w:rsid w:val="005222C3"/>
    <w:rsid w:val="005254AD"/>
    <w:rsid w:val="00527604"/>
    <w:rsid w:val="00532D1B"/>
    <w:rsid w:val="00535B8D"/>
    <w:rsid w:val="00536CF1"/>
    <w:rsid w:val="00536DD2"/>
    <w:rsid w:val="005411DE"/>
    <w:rsid w:val="00546251"/>
    <w:rsid w:val="0055332A"/>
    <w:rsid w:val="00555EDE"/>
    <w:rsid w:val="00560B27"/>
    <w:rsid w:val="00570E6D"/>
    <w:rsid w:val="005711DE"/>
    <w:rsid w:val="00573241"/>
    <w:rsid w:val="00575C9D"/>
    <w:rsid w:val="005779B2"/>
    <w:rsid w:val="00581F58"/>
    <w:rsid w:val="00586CD2"/>
    <w:rsid w:val="005940FF"/>
    <w:rsid w:val="00596914"/>
    <w:rsid w:val="005A33DA"/>
    <w:rsid w:val="005A4357"/>
    <w:rsid w:val="005A49BE"/>
    <w:rsid w:val="005A5CA7"/>
    <w:rsid w:val="005A7E7E"/>
    <w:rsid w:val="005B1144"/>
    <w:rsid w:val="005B1214"/>
    <w:rsid w:val="005B14F6"/>
    <w:rsid w:val="005B180E"/>
    <w:rsid w:val="005B4048"/>
    <w:rsid w:val="005C09F8"/>
    <w:rsid w:val="005D00D7"/>
    <w:rsid w:val="005D1319"/>
    <w:rsid w:val="005D1597"/>
    <w:rsid w:val="005D4EBE"/>
    <w:rsid w:val="005D51C3"/>
    <w:rsid w:val="005D6674"/>
    <w:rsid w:val="005E25C0"/>
    <w:rsid w:val="005F375D"/>
    <w:rsid w:val="00600324"/>
    <w:rsid w:val="00605FD5"/>
    <w:rsid w:val="00614999"/>
    <w:rsid w:val="00622142"/>
    <w:rsid w:val="00630932"/>
    <w:rsid w:val="00631795"/>
    <w:rsid w:val="00636AAD"/>
    <w:rsid w:val="00637A19"/>
    <w:rsid w:val="0064175E"/>
    <w:rsid w:val="00641E35"/>
    <w:rsid w:val="00644025"/>
    <w:rsid w:val="00651710"/>
    <w:rsid w:val="00652F79"/>
    <w:rsid w:val="006533B0"/>
    <w:rsid w:val="00654154"/>
    <w:rsid w:val="006560E7"/>
    <w:rsid w:val="0065614C"/>
    <w:rsid w:val="006616D3"/>
    <w:rsid w:val="0066238D"/>
    <w:rsid w:val="00662ECB"/>
    <w:rsid w:val="0066706E"/>
    <w:rsid w:val="0066795B"/>
    <w:rsid w:val="00667D06"/>
    <w:rsid w:val="0067327E"/>
    <w:rsid w:val="00675A3C"/>
    <w:rsid w:val="006778F4"/>
    <w:rsid w:val="00685277"/>
    <w:rsid w:val="00686222"/>
    <w:rsid w:val="0069574E"/>
    <w:rsid w:val="00695B12"/>
    <w:rsid w:val="006A1483"/>
    <w:rsid w:val="006A4520"/>
    <w:rsid w:val="006A4956"/>
    <w:rsid w:val="006A6187"/>
    <w:rsid w:val="006A6E3E"/>
    <w:rsid w:val="006A70CE"/>
    <w:rsid w:val="006B1419"/>
    <w:rsid w:val="006B25F5"/>
    <w:rsid w:val="006B34C4"/>
    <w:rsid w:val="006B5F07"/>
    <w:rsid w:val="006C3AAD"/>
    <w:rsid w:val="006D0369"/>
    <w:rsid w:val="006D2D95"/>
    <w:rsid w:val="006D6E86"/>
    <w:rsid w:val="006D71B0"/>
    <w:rsid w:val="006D71DF"/>
    <w:rsid w:val="006D7408"/>
    <w:rsid w:val="006E21C6"/>
    <w:rsid w:val="006F0344"/>
    <w:rsid w:val="006F1019"/>
    <w:rsid w:val="006F15D2"/>
    <w:rsid w:val="006F7C4F"/>
    <w:rsid w:val="00714D78"/>
    <w:rsid w:val="00724498"/>
    <w:rsid w:val="007257C6"/>
    <w:rsid w:val="007303E5"/>
    <w:rsid w:val="00732D5E"/>
    <w:rsid w:val="00751E93"/>
    <w:rsid w:val="00752DA3"/>
    <w:rsid w:val="00763734"/>
    <w:rsid w:val="00763CD2"/>
    <w:rsid w:val="0076522A"/>
    <w:rsid w:val="00770503"/>
    <w:rsid w:val="007707E3"/>
    <w:rsid w:val="00772353"/>
    <w:rsid w:val="00772CF9"/>
    <w:rsid w:val="0077399E"/>
    <w:rsid w:val="0078009F"/>
    <w:rsid w:val="0078097A"/>
    <w:rsid w:val="0078321F"/>
    <w:rsid w:val="00783715"/>
    <w:rsid w:val="007873DE"/>
    <w:rsid w:val="0078798E"/>
    <w:rsid w:val="00791B7A"/>
    <w:rsid w:val="00796020"/>
    <w:rsid w:val="007A1051"/>
    <w:rsid w:val="007C0625"/>
    <w:rsid w:val="007C74CE"/>
    <w:rsid w:val="007E5B97"/>
    <w:rsid w:val="007E6BFA"/>
    <w:rsid w:val="007E6FAA"/>
    <w:rsid w:val="007F042C"/>
    <w:rsid w:val="007F216A"/>
    <w:rsid w:val="007F4688"/>
    <w:rsid w:val="00801CB9"/>
    <w:rsid w:val="008024FF"/>
    <w:rsid w:val="00806A4E"/>
    <w:rsid w:val="00810ED7"/>
    <w:rsid w:val="00813D6C"/>
    <w:rsid w:val="00814BC6"/>
    <w:rsid w:val="00815958"/>
    <w:rsid w:val="0081674C"/>
    <w:rsid w:val="008167A4"/>
    <w:rsid w:val="008169E7"/>
    <w:rsid w:val="0081722A"/>
    <w:rsid w:val="008235E7"/>
    <w:rsid w:val="00824331"/>
    <w:rsid w:val="00826634"/>
    <w:rsid w:val="008268B3"/>
    <w:rsid w:val="0082696D"/>
    <w:rsid w:val="008305FE"/>
    <w:rsid w:val="00833A9C"/>
    <w:rsid w:val="008358AC"/>
    <w:rsid w:val="00841FEE"/>
    <w:rsid w:val="00845294"/>
    <w:rsid w:val="00845E76"/>
    <w:rsid w:val="00846366"/>
    <w:rsid w:val="00847EB4"/>
    <w:rsid w:val="00853FF4"/>
    <w:rsid w:val="0085561E"/>
    <w:rsid w:val="0085589E"/>
    <w:rsid w:val="00867743"/>
    <w:rsid w:val="0087084F"/>
    <w:rsid w:val="00870A90"/>
    <w:rsid w:val="00870F5F"/>
    <w:rsid w:val="0087132C"/>
    <w:rsid w:val="008814AB"/>
    <w:rsid w:val="00883016"/>
    <w:rsid w:val="00887377"/>
    <w:rsid w:val="00890942"/>
    <w:rsid w:val="00894F27"/>
    <w:rsid w:val="008953C5"/>
    <w:rsid w:val="008A6416"/>
    <w:rsid w:val="008B110D"/>
    <w:rsid w:val="008B4F98"/>
    <w:rsid w:val="008B618F"/>
    <w:rsid w:val="008B6DDF"/>
    <w:rsid w:val="008C5F18"/>
    <w:rsid w:val="008C64CC"/>
    <w:rsid w:val="008D05C1"/>
    <w:rsid w:val="008D2E1A"/>
    <w:rsid w:val="008E16F1"/>
    <w:rsid w:val="008E70B6"/>
    <w:rsid w:val="008E7FBF"/>
    <w:rsid w:val="008F2C11"/>
    <w:rsid w:val="008F4729"/>
    <w:rsid w:val="008F52FA"/>
    <w:rsid w:val="008F67AC"/>
    <w:rsid w:val="008F7EDB"/>
    <w:rsid w:val="00900F1C"/>
    <w:rsid w:val="00902999"/>
    <w:rsid w:val="00906200"/>
    <w:rsid w:val="00910752"/>
    <w:rsid w:val="00914A10"/>
    <w:rsid w:val="00915766"/>
    <w:rsid w:val="0091778B"/>
    <w:rsid w:val="00922C0B"/>
    <w:rsid w:val="00923781"/>
    <w:rsid w:val="00927C89"/>
    <w:rsid w:val="0093043A"/>
    <w:rsid w:val="009316AE"/>
    <w:rsid w:val="00934868"/>
    <w:rsid w:val="0093555D"/>
    <w:rsid w:val="009378B5"/>
    <w:rsid w:val="009420C2"/>
    <w:rsid w:val="00946F0D"/>
    <w:rsid w:val="00951D5E"/>
    <w:rsid w:val="00955972"/>
    <w:rsid w:val="009564F5"/>
    <w:rsid w:val="0096341B"/>
    <w:rsid w:val="00965EE4"/>
    <w:rsid w:val="009703B2"/>
    <w:rsid w:val="00971959"/>
    <w:rsid w:val="00971CF1"/>
    <w:rsid w:val="00971DF8"/>
    <w:rsid w:val="009748D7"/>
    <w:rsid w:val="009757E6"/>
    <w:rsid w:val="00982496"/>
    <w:rsid w:val="00983B30"/>
    <w:rsid w:val="00983ECB"/>
    <w:rsid w:val="009853BF"/>
    <w:rsid w:val="0098663F"/>
    <w:rsid w:val="00987ACF"/>
    <w:rsid w:val="00992A2E"/>
    <w:rsid w:val="00992AB2"/>
    <w:rsid w:val="0099755A"/>
    <w:rsid w:val="009A0424"/>
    <w:rsid w:val="009A0C4B"/>
    <w:rsid w:val="009A0D67"/>
    <w:rsid w:val="009A10C2"/>
    <w:rsid w:val="009A31BA"/>
    <w:rsid w:val="009A3E46"/>
    <w:rsid w:val="009A42A9"/>
    <w:rsid w:val="009A42AD"/>
    <w:rsid w:val="009B2566"/>
    <w:rsid w:val="009B77DF"/>
    <w:rsid w:val="009C12AB"/>
    <w:rsid w:val="009C20C0"/>
    <w:rsid w:val="009C29B9"/>
    <w:rsid w:val="009D0218"/>
    <w:rsid w:val="009D173B"/>
    <w:rsid w:val="009D63BC"/>
    <w:rsid w:val="009E2A41"/>
    <w:rsid w:val="009F14D6"/>
    <w:rsid w:val="009F3688"/>
    <w:rsid w:val="009F6417"/>
    <w:rsid w:val="00A00764"/>
    <w:rsid w:val="00A02881"/>
    <w:rsid w:val="00A02A30"/>
    <w:rsid w:val="00A04DD5"/>
    <w:rsid w:val="00A10F0B"/>
    <w:rsid w:val="00A1438F"/>
    <w:rsid w:val="00A145C2"/>
    <w:rsid w:val="00A153DA"/>
    <w:rsid w:val="00A21CF5"/>
    <w:rsid w:val="00A2333F"/>
    <w:rsid w:val="00A256F1"/>
    <w:rsid w:val="00A306ED"/>
    <w:rsid w:val="00A31F71"/>
    <w:rsid w:val="00A366FE"/>
    <w:rsid w:val="00A37751"/>
    <w:rsid w:val="00A44BD3"/>
    <w:rsid w:val="00A46EDA"/>
    <w:rsid w:val="00A52E66"/>
    <w:rsid w:val="00A541CC"/>
    <w:rsid w:val="00A54462"/>
    <w:rsid w:val="00A60670"/>
    <w:rsid w:val="00A62928"/>
    <w:rsid w:val="00A641CD"/>
    <w:rsid w:val="00A706A0"/>
    <w:rsid w:val="00A74B92"/>
    <w:rsid w:val="00A74F81"/>
    <w:rsid w:val="00A94D7E"/>
    <w:rsid w:val="00A95697"/>
    <w:rsid w:val="00A95C8D"/>
    <w:rsid w:val="00A95EA0"/>
    <w:rsid w:val="00A96F5A"/>
    <w:rsid w:val="00AA0B3A"/>
    <w:rsid w:val="00AA23BA"/>
    <w:rsid w:val="00AA6F4A"/>
    <w:rsid w:val="00AB2C35"/>
    <w:rsid w:val="00AB37ED"/>
    <w:rsid w:val="00AC081D"/>
    <w:rsid w:val="00AC199B"/>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073B1"/>
    <w:rsid w:val="00B12972"/>
    <w:rsid w:val="00B14A86"/>
    <w:rsid w:val="00B17A0C"/>
    <w:rsid w:val="00B22360"/>
    <w:rsid w:val="00B22DAC"/>
    <w:rsid w:val="00B26927"/>
    <w:rsid w:val="00B351F8"/>
    <w:rsid w:val="00B3576D"/>
    <w:rsid w:val="00B3585D"/>
    <w:rsid w:val="00B35F15"/>
    <w:rsid w:val="00B3774D"/>
    <w:rsid w:val="00B44C64"/>
    <w:rsid w:val="00B51CBD"/>
    <w:rsid w:val="00B52793"/>
    <w:rsid w:val="00B5412E"/>
    <w:rsid w:val="00B6230B"/>
    <w:rsid w:val="00B62649"/>
    <w:rsid w:val="00B62715"/>
    <w:rsid w:val="00B62AAB"/>
    <w:rsid w:val="00B72ABF"/>
    <w:rsid w:val="00B7472A"/>
    <w:rsid w:val="00B75D93"/>
    <w:rsid w:val="00B77621"/>
    <w:rsid w:val="00B80BDE"/>
    <w:rsid w:val="00B81DDB"/>
    <w:rsid w:val="00B83570"/>
    <w:rsid w:val="00B87403"/>
    <w:rsid w:val="00B94DFB"/>
    <w:rsid w:val="00BA6F2D"/>
    <w:rsid w:val="00BA703E"/>
    <w:rsid w:val="00BB0837"/>
    <w:rsid w:val="00BB0BAC"/>
    <w:rsid w:val="00BB1626"/>
    <w:rsid w:val="00BB60EF"/>
    <w:rsid w:val="00BB6478"/>
    <w:rsid w:val="00BB6D0A"/>
    <w:rsid w:val="00BC0807"/>
    <w:rsid w:val="00BC2D95"/>
    <w:rsid w:val="00BC348F"/>
    <w:rsid w:val="00BC6C68"/>
    <w:rsid w:val="00BD35E0"/>
    <w:rsid w:val="00BD6CE9"/>
    <w:rsid w:val="00BE0803"/>
    <w:rsid w:val="00BF6206"/>
    <w:rsid w:val="00BF6B3B"/>
    <w:rsid w:val="00C02173"/>
    <w:rsid w:val="00C130C0"/>
    <w:rsid w:val="00C13A29"/>
    <w:rsid w:val="00C14BFB"/>
    <w:rsid w:val="00C21F92"/>
    <w:rsid w:val="00C22A94"/>
    <w:rsid w:val="00C24F01"/>
    <w:rsid w:val="00C25F2B"/>
    <w:rsid w:val="00C27457"/>
    <w:rsid w:val="00C32265"/>
    <w:rsid w:val="00C32DA0"/>
    <w:rsid w:val="00C336E6"/>
    <w:rsid w:val="00C354AE"/>
    <w:rsid w:val="00C3589C"/>
    <w:rsid w:val="00C36EE4"/>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5B9"/>
    <w:rsid w:val="00C80C5C"/>
    <w:rsid w:val="00C83353"/>
    <w:rsid w:val="00C8359A"/>
    <w:rsid w:val="00C84321"/>
    <w:rsid w:val="00C86C87"/>
    <w:rsid w:val="00C87D15"/>
    <w:rsid w:val="00C936C4"/>
    <w:rsid w:val="00C968BF"/>
    <w:rsid w:val="00CA32D6"/>
    <w:rsid w:val="00CA3DC9"/>
    <w:rsid w:val="00CB501F"/>
    <w:rsid w:val="00CC1F2F"/>
    <w:rsid w:val="00CD0441"/>
    <w:rsid w:val="00CD4AA2"/>
    <w:rsid w:val="00CD4B44"/>
    <w:rsid w:val="00CE67CF"/>
    <w:rsid w:val="00CF1B6F"/>
    <w:rsid w:val="00CF35E8"/>
    <w:rsid w:val="00D02114"/>
    <w:rsid w:val="00D03A94"/>
    <w:rsid w:val="00D04863"/>
    <w:rsid w:val="00D16DEC"/>
    <w:rsid w:val="00D17F85"/>
    <w:rsid w:val="00D23C5E"/>
    <w:rsid w:val="00D26CF5"/>
    <w:rsid w:val="00D26DE5"/>
    <w:rsid w:val="00D30AC2"/>
    <w:rsid w:val="00D30CA6"/>
    <w:rsid w:val="00D31AF4"/>
    <w:rsid w:val="00D33197"/>
    <w:rsid w:val="00D36DAD"/>
    <w:rsid w:val="00D47B48"/>
    <w:rsid w:val="00D51569"/>
    <w:rsid w:val="00D51C46"/>
    <w:rsid w:val="00D62770"/>
    <w:rsid w:val="00D70A72"/>
    <w:rsid w:val="00D72640"/>
    <w:rsid w:val="00D75B1F"/>
    <w:rsid w:val="00D75FD1"/>
    <w:rsid w:val="00D82300"/>
    <w:rsid w:val="00D82E65"/>
    <w:rsid w:val="00D858ED"/>
    <w:rsid w:val="00D955CB"/>
    <w:rsid w:val="00D9624A"/>
    <w:rsid w:val="00D97209"/>
    <w:rsid w:val="00DA2DBB"/>
    <w:rsid w:val="00DB0E94"/>
    <w:rsid w:val="00DB1009"/>
    <w:rsid w:val="00DB123B"/>
    <w:rsid w:val="00DB2864"/>
    <w:rsid w:val="00DB3D3C"/>
    <w:rsid w:val="00DB6873"/>
    <w:rsid w:val="00DC1A17"/>
    <w:rsid w:val="00DC2D6F"/>
    <w:rsid w:val="00DD3761"/>
    <w:rsid w:val="00DD3EB1"/>
    <w:rsid w:val="00DD5E68"/>
    <w:rsid w:val="00DE086E"/>
    <w:rsid w:val="00DE1199"/>
    <w:rsid w:val="00DE518C"/>
    <w:rsid w:val="00DE5717"/>
    <w:rsid w:val="00DE62B8"/>
    <w:rsid w:val="00DE7EB2"/>
    <w:rsid w:val="00E05B7E"/>
    <w:rsid w:val="00E07755"/>
    <w:rsid w:val="00E13097"/>
    <w:rsid w:val="00E218F5"/>
    <w:rsid w:val="00E225D8"/>
    <w:rsid w:val="00E243DC"/>
    <w:rsid w:val="00E33652"/>
    <w:rsid w:val="00E410FF"/>
    <w:rsid w:val="00E45DDF"/>
    <w:rsid w:val="00E508B7"/>
    <w:rsid w:val="00E52555"/>
    <w:rsid w:val="00E52CC2"/>
    <w:rsid w:val="00E5529D"/>
    <w:rsid w:val="00E60588"/>
    <w:rsid w:val="00E635CF"/>
    <w:rsid w:val="00E7064E"/>
    <w:rsid w:val="00E73C1D"/>
    <w:rsid w:val="00E76282"/>
    <w:rsid w:val="00E770B1"/>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F0243"/>
    <w:rsid w:val="00EF6001"/>
    <w:rsid w:val="00F02D15"/>
    <w:rsid w:val="00F03E1C"/>
    <w:rsid w:val="00F16292"/>
    <w:rsid w:val="00F22485"/>
    <w:rsid w:val="00F25F89"/>
    <w:rsid w:val="00F2770F"/>
    <w:rsid w:val="00F305DE"/>
    <w:rsid w:val="00F31E10"/>
    <w:rsid w:val="00F363B0"/>
    <w:rsid w:val="00F3723A"/>
    <w:rsid w:val="00F37ED1"/>
    <w:rsid w:val="00F42763"/>
    <w:rsid w:val="00F44C16"/>
    <w:rsid w:val="00F45E08"/>
    <w:rsid w:val="00F475D5"/>
    <w:rsid w:val="00F509A1"/>
    <w:rsid w:val="00F52781"/>
    <w:rsid w:val="00F55770"/>
    <w:rsid w:val="00F64361"/>
    <w:rsid w:val="00F64A3F"/>
    <w:rsid w:val="00F67C47"/>
    <w:rsid w:val="00F718E3"/>
    <w:rsid w:val="00F77BE2"/>
    <w:rsid w:val="00F80181"/>
    <w:rsid w:val="00F80C67"/>
    <w:rsid w:val="00F82BA2"/>
    <w:rsid w:val="00F90580"/>
    <w:rsid w:val="00FA44E8"/>
    <w:rsid w:val="00FA6EDD"/>
    <w:rsid w:val="00FB0A39"/>
    <w:rsid w:val="00FB2E22"/>
    <w:rsid w:val="00FB5348"/>
    <w:rsid w:val="00FB5796"/>
    <w:rsid w:val="00FB6F1A"/>
    <w:rsid w:val="00FC04EC"/>
    <w:rsid w:val="00FC302B"/>
    <w:rsid w:val="00FC5DCD"/>
    <w:rsid w:val="00FE0C3D"/>
    <w:rsid w:val="00FE5AD6"/>
    <w:rsid w:val="00FF04A6"/>
    <w:rsid w:val="01032CB0"/>
    <w:rsid w:val="01352CEB"/>
    <w:rsid w:val="014C6B51"/>
    <w:rsid w:val="01C16070"/>
    <w:rsid w:val="01C90F19"/>
    <w:rsid w:val="01CD2E9D"/>
    <w:rsid w:val="01FA65AD"/>
    <w:rsid w:val="020F6BF8"/>
    <w:rsid w:val="02627A03"/>
    <w:rsid w:val="02883A4A"/>
    <w:rsid w:val="02987B74"/>
    <w:rsid w:val="02B70804"/>
    <w:rsid w:val="02BA46C4"/>
    <w:rsid w:val="02DA63DE"/>
    <w:rsid w:val="02DB7CB9"/>
    <w:rsid w:val="03451AAA"/>
    <w:rsid w:val="034A5312"/>
    <w:rsid w:val="035D5A48"/>
    <w:rsid w:val="03660C58"/>
    <w:rsid w:val="037A2DDB"/>
    <w:rsid w:val="037F368D"/>
    <w:rsid w:val="03810BC8"/>
    <w:rsid w:val="03B01C9E"/>
    <w:rsid w:val="03E45005"/>
    <w:rsid w:val="03E96876"/>
    <w:rsid w:val="03FF6280"/>
    <w:rsid w:val="04522EB1"/>
    <w:rsid w:val="04610B65"/>
    <w:rsid w:val="046B4941"/>
    <w:rsid w:val="04D74B21"/>
    <w:rsid w:val="05104E18"/>
    <w:rsid w:val="053828F1"/>
    <w:rsid w:val="0545527A"/>
    <w:rsid w:val="0560706F"/>
    <w:rsid w:val="05617CFD"/>
    <w:rsid w:val="062B4947"/>
    <w:rsid w:val="0669568A"/>
    <w:rsid w:val="068648B3"/>
    <w:rsid w:val="069F204B"/>
    <w:rsid w:val="06C6248C"/>
    <w:rsid w:val="06CC61D3"/>
    <w:rsid w:val="070E46A7"/>
    <w:rsid w:val="07733ED3"/>
    <w:rsid w:val="077A10F3"/>
    <w:rsid w:val="07810AD9"/>
    <w:rsid w:val="079A26F9"/>
    <w:rsid w:val="07B05960"/>
    <w:rsid w:val="07BC752A"/>
    <w:rsid w:val="07CC279A"/>
    <w:rsid w:val="07D761FC"/>
    <w:rsid w:val="07DB6498"/>
    <w:rsid w:val="07E86197"/>
    <w:rsid w:val="08083865"/>
    <w:rsid w:val="08852C67"/>
    <w:rsid w:val="08A92ADB"/>
    <w:rsid w:val="08BD0334"/>
    <w:rsid w:val="08DC157E"/>
    <w:rsid w:val="093D1475"/>
    <w:rsid w:val="094C36CE"/>
    <w:rsid w:val="09713C5D"/>
    <w:rsid w:val="09AA3568"/>
    <w:rsid w:val="09AB11AC"/>
    <w:rsid w:val="0A07465F"/>
    <w:rsid w:val="0A081459"/>
    <w:rsid w:val="0A635F4B"/>
    <w:rsid w:val="0A650C83"/>
    <w:rsid w:val="0A973EE9"/>
    <w:rsid w:val="0AD16BED"/>
    <w:rsid w:val="0AD87F40"/>
    <w:rsid w:val="0B505A69"/>
    <w:rsid w:val="0B534700"/>
    <w:rsid w:val="0B662F05"/>
    <w:rsid w:val="0BD04822"/>
    <w:rsid w:val="0C28640C"/>
    <w:rsid w:val="0C3633F3"/>
    <w:rsid w:val="0C5D5081"/>
    <w:rsid w:val="0C6D5860"/>
    <w:rsid w:val="0C7B02EA"/>
    <w:rsid w:val="0C7E6A8E"/>
    <w:rsid w:val="0C856AAC"/>
    <w:rsid w:val="0CA856BF"/>
    <w:rsid w:val="0CB17349"/>
    <w:rsid w:val="0CD914B5"/>
    <w:rsid w:val="0D2F7FD6"/>
    <w:rsid w:val="0D773E61"/>
    <w:rsid w:val="0D780511"/>
    <w:rsid w:val="0D882289"/>
    <w:rsid w:val="0D887163"/>
    <w:rsid w:val="0DB97859"/>
    <w:rsid w:val="0DD64262"/>
    <w:rsid w:val="0DDA1988"/>
    <w:rsid w:val="0DEC6932"/>
    <w:rsid w:val="0E1836F5"/>
    <w:rsid w:val="0E1B7FD7"/>
    <w:rsid w:val="0E305CD7"/>
    <w:rsid w:val="0E317062"/>
    <w:rsid w:val="0E5B405D"/>
    <w:rsid w:val="0E745939"/>
    <w:rsid w:val="0E8042DE"/>
    <w:rsid w:val="0EA97878"/>
    <w:rsid w:val="0ECF2B6F"/>
    <w:rsid w:val="0EE97B8E"/>
    <w:rsid w:val="0F0F0F63"/>
    <w:rsid w:val="0F32366B"/>
    <w:rsid w:val="0F6E0750"/>
    <w:rsid w:val="0F833B5D"/>
    <w:rsid w:val="0FBF0F10"/>
    <w:rsid w:val="0FEB546A"/>
    <w:rsid w:val="0FEC3293"/>
    <w:rsid w:val="0FF85550"/>
    <w:rsid w:val="1001144E"/>
    <w:rsid w:val="10187F49"/>
    <w:rsid w:val="10291372"/>
    <w:rsid w:val="103A2D2B"/>
    <w:rsid w:val="105D1DBB"/>
    <w:rsid w:val="107931DF"/>
    <w:rsid w:val="109160DD"/>
    <w:rsid w:val="10D96FA4"/>
    <w:rsid w:val="11685955"/>
    <w:rsid w:val="11937599"/>
    <w:rsid w:val="11BA38CE"/>
    <w:rsid w:val="11CD3114"/>
    <w:rsid w:val="120841D8"/>
    <w:rsid w:val="122E6D2D"/>
    <w:rsid w:val="123B4FDC"/>
    <w:rsid w:val="124156C4"/>
    <w:rsid w:val="124235BD"/>
    <w:rsid w:val="1292638E"/>
    <w:rsid w:val="12AB5973"/>
    <w:rsid w:val="12B75DF4"/>
    <w:rsid w:val="12CA0B0F"/>
    <w:rsid w:val="13046389"/>
    <w:rsid w:val="13201BEB"/>
    <w:rsid w:val="13255454"/>
    <w:rsid w:val="13363F94"/>
    <w:rsid w:val="13706DBD"/>
    <w:rsid w:val="13D660DB"/>
    <w:rsid w:val="143A0FC9"/>
    <w:rsid w:val="14627FE2"/>
    <w:rsid w:val="148166BA"/>
    <w:rsid w:val="14992F53"/>
    <w:rsid w:val="14A97C4A"/>
    <w:rsid w:val="14BD0BCC"/>
    <w:rsid w:val="14D561AF"/>
    <w:rsid w:val="14FC1368"/>
    <w:rsid w:val="15046A4F"/>
    <w:rsid w:val="15257DA7"/>
    <w:rsid w:val="1527196A"/>
    <w:rsid w:val="15285CB1"/>
    <w:rsid w:val="15407A60"/>
    <w:rsid w:val="159A2A9E"/>
    <w:rsid w:val="15A841E2"/>
    <w:rsid w:val="15CE1DD3"/>
    <w:rsid w:val="160434BC"/>
    <w:rsid w:val="163F2CAE"/>
    <w:rsid w:val="167C182F"/>
    <w:rsid w:val="16B56AEF"/>
    <w:rsid w:val="16DE1BA1"/>
    <w:rsid w:val="16E15B36"/>
    <w:rsid w:val="17057A2A"/>
    <w:rsid w:val="172D7CCE"/>
    <w:rsid w:val="175B58E8"/>
    <w:rsid w:val="178A3129"/>
    <w:rsid w:val="17985E27"/>
    <w:rsid w:val="17AC6144"/>
    <w:rsid w:val="17B30CC5"/>
    <w:rsid w:val="17B8106A"/>
    <w:rsid w:val="17CF257F"/>
    <w:rsid w:val="17F77804"/>
    <w:rsid w:val="180C12F3"/>
    <w:rsid w:val="183103F7"/>
    <w:rsid w:val="18DE6304"/>
    <w:rsid w:val="18E41ED8"/>
    <w:rsid w:val="18E65685"/>
    <w:rsid w:val="18F953B8"/>
    <w:rsid w:val="19102702"/>
    <w:rsid w:val="19A41AAE"/>
    <w:rsid w:val="1A021C2E"/>
    <w:rsid w:val="1A1324AA"/>
    <w:rsid w:val="1A183821"/>
    <w:rsid w:val="1A1F735F"/>
    <w:rsid w:val="1A737B8C"/>
    <w:rsid w:val="1AF70FC5"/>
    <w:rsid w:val="1B302BE8"/>
    <w:rsid w:val="1B311E44"/>
    <w:rsid w:val="1B4A1EFB"/>
    <w:rsid w:val="1BF400B9"/>
    <w:rsid w:val="1BFD3750"/>
    <w:rsid w:val="1C7A243A"/>
    <w:rsid w:val="1C9D5143"/>
    <w:rsid w:val="1CA05B4B"/>
    <w:rsid w:val="1CB57848"/>
    <w:rsid w:val="1D005039"/>
    <w:rsid w:val="1D230C56"/>
    <w:rsid w:val="1D2908C1"/>
    <w:rsid w:val="1D3D2567"/>
    <w:rsid w:val="1D4209B0"/>
    <w:rsid w:val="1DB041F5"/>
    <w:rsid w:val="1DD71A40"/>
    <w:rsid w:val="1DD957B9"/>
    <w:rsid w:val="1DE81558"/>
    <w:rsid w:val="1DE978C4"/>
    <w:rsid w:val="1E4A2212"/>
    <w:rsid w:val="1E635082"/>
    <w:rsid w:val="1E7874CB"/>
    <w:rsid w:val="1E86502B"/>
    <w:rsid w:val="1E876FC3"/>
    <w:rsid w:val="1ED33FB6"/>
    <w:rsid w:val="1ED878F4"/>
    <w:rsid w:val="1F0A02A8"/>
    <w:rsid w:val="1F334282"/>
    <w:rsid w:val="1F494278"/>
    <w:rsid w:val="1FAC462E"/>
    <w:rsid w:val="1FD61FB0"/>
    <w:rsid w:val="1FE65558"/>
    <w:rsid w:val="207709E4"/>
    <w:rsid w:val="20AF4712"/>
    <w:rsid w:val="20E53C20"/>
    <w:rsid w:val="20EA55E7"/>
    <w:rsid w:val="20FA1CCE"/>
    <w:rsid w:val="210963B5"/>
    <w:rsid w:val="216E26D1"/>
    <w:rsid w:val="2198698A"/>
    <w:rsid w:val="21AD6D40"/>
    <w:rsid w:val="21BF15BD"/>
    <w:rsid w:val="21CF534E"/>
    <w:rsid w:val="21DB7273"/>
    <w:rsid w:val="22560C5B"/>
    <w:rsid w:val="225F4AB8"/>
    <w:rsid w:val="22A42708"/>
    <w:rsid w:val="22D36EAB"/>
    <w:rsid w:val="230D0531"/>
    <w:rsid w:val="235651B5"/>
    <w:rsid w:val="23765646"/>
    <w:rsid w:val="238147AE"/>
    <w:rsid w:val="238242BD"/>
    <w:rsid w:val="23CD191B"/>
    <w:rsid w:val="243C084F"/>
    <w:rsid w:val="24506BB2"/>
    <w:rsid w:val="2470714F"/>
    <w:rsid w:val="24947709"/>
    <w:rsid w:val="24E915BF"/>
    <w:rsid w:val="255F4A9B"/>
    <w:rsid w:val="25693F9A"/>
    <w:rsid w:val="25880798"/>
    <w:rsid w:val="25A42208"/>
    <w:rsid w:val="25AB3597"/>
    <w:rsid w:val="25E1345C"/>
    <w:rsid w:val="260F621B"/>
    <w:rsid w:val="26235823"/>
    <w:rsid w:val="263B734F"/>
    <w:rsid w:val="26442526"/>
    <w:rsid w:val="26543C2E"/>
    <w:rsid w:val="265D3E18"/>
    <w:rsid w:val="269353D2"/>
    <w:rsid w:val="26A40624"/>
    <w:rsid w:val="26AE7F5A"/>
    <w:rsid w:val="26FF20C4"/>
    <w:rsid w:val="270F7B55"/>
    <w:rsid w:val="27457A1B"/>
    <w:rsid w:val="274C3FCA"/>
    <w:rsid w:val="2750205B"/>
    <w:rsid w:val="277334B8"/>
    <w:rsid w:val="27821D05"/>
    <w:rsid w:val="27984DD3"/>
    <w:rsid w:val="279B2315"/>
    <w:rsid w:val="27A37FBA"/>
    <w:rsid w:val="27D2250A"/>
    <w:rsid w:val="27FE20B7"/>
    <w:rsid w:val="281A4A03"/>
    <w:rsid w:val="28212744"/>
    <w:rsid w:val="282B09BF"/>
    <w:rsid w:val="284941DC"/>
    <w:rsid w:val="286345FC"/>
    <w:rsid w:val="28BC446B"/>
    <w:rsid w:val="291122AA"/>
    <w:rsid w:val="291476A5"/>
    <w:rsid w:val="292F703A"/>
    <w:rsid w:val="293F6AC5"/>
    <w:rsid w:val="295B52D4"/>
    <w:rsid w:val="299D1B7F"/>
    <w:rsid w:val="299F1664"/>
    <w:rsid w:val="29A03F34"/>
    <w:rsid w:val="29D01E7C"/>
    <w:rsid w:val="29DF0256"/>
    <w:rsid w:val="29F54480"/>
    <w:rsid w:val="2A126E9B"/>
    <w:rsid w:val="2A3D2C2B"/>
    <w:rsid w:val="2A4D10C0"/>
    <w:rsid w:val="2A876D21"/>
    <w:rsid w:val="2A905CE8"/>
    <w:rsid w:val="2A9B65A1"/>
    <w:rsid w:val="2AA71F8F"/>
    <w:rsid w:val="2B071285"/>
    <w:rsid w:val="2B146082"/>
    <w:rsid w:val="2B195446"/>
    <w:rsid w:val="2B3B25A7"/>
    <w:rsid w:val="2B431031"/>
    <w:rsid w:val="2B71330F"/>
    <w:rsid w:val="2B844FB6"/>
    <w:rsid w:val="2B9C71DF"/>
    <w:rsid w:val="2B9D755D"/>
    <w:rsid w:val="2BAD17F5"/>
    <w:rsid w:val="2BC74EA2"/>
    <w:rsid w:val="2BCA6741"/>
    <w:rsid w:val="2BE71E7D"/>
    <w:rsid w:val="2C7566AC"/>
    <w:rsid w:val="2C8578C5"/>
    <w:rsid w:val="2D123A9F"/>
    <w:rsid w:val="2D124F89"/>
    <w:rsid w:val="2D2877B9"/>
    <w:rsid w:val="2D2C3753"/>
    <w:rsid w:val="2D3C391E"/>
    <w:rsid w:val="2D4B0CF7"/>
    <w:rsid w:val="2D9F12C1"/>
    <w:rsid w:val="2DA91BDB"/>
    <w:rsid w:val="2DAA05D8"/>
    <w:rsid w:val="2DDF4725"/>
    <w:rsid w:val="2E330B3F"/>
    <w:rsid w:val="2E331215"/>
    <w:rsid w:val="2E6D79D2"/>
    <w:rsid w:val="2EBA26F8"/>
    <w:rsid w:val="2EC36428"/>
    <w:rsid w:val="2EDE558F"/>
    <w:rsid w:val="2EFF2BA5"/>
    <w:rsid w:val="2F106B71"/>
    <w:rsid w:val="2F1F0B51"/>
    <w:rsid w:val="2F33533C"/>
    <w:rsid w:val="2F5E78CC"/>
    <w:rsid w:val="2F6A673D"/>
    <w:rsid w:val="2FA21EAE"/>
    <w:rsid w:val="2FA533D6"/>
    <w:rsid w:val="2FBD0A96"/>
    <w:rsid w:val="2FCE0D44"/>
    <w:rsid w:val="2FDF7099"/>
    <w:rsid w:val="300F20AC"/>
    <w:rsid w:val="301A7EDF"/>
    <w:rsid w:val="30292DEB"/>
    <w:rsid w:val="307668EC"/>
    <w:rsid w:val="30980BBB"/>
    <w:rsid w:val="30A11B2E"/>
    <w:rsid w:val="30B90E12"/>
    <w:rsid w:val="30D47455"/>
    <w:rsid w:val="30D61886"/>
    <w:rsid w:val="30E3452C"/>
    <w:rsid w:val="31306024"/>
    <w:rsid w:val="31454C16"/>
    <w:rsid w:val="314F1BC2"/>
    <w:rsid w:val="31682C84"/>
    <w:rsid w:val="317C1828"/>
    <w:rsid w:val="318D040C"/>
    <w:rsid w:val="31B347D4"/>
    <w:rsid w:val="31DE5183"/>
    <w:rsid w:val="31F46CAC"/>
    <w:rsid w:val="31FB3AF8"/>
    <w:rsid w:val="323048E9"/>
    <w:rsid w:val="32414D27"/>
    <w:rsid w:val="32493792"/>
    <w:rsid w:val="326276D3"/>
    <w:rsid w:val="32874C35"/>
    <w:rsid w:val="32C91500"/>
    <w:rsid w:val="32DC5400"/>
    <w:rsid w:val="32F00761"/>
    <w:rsid w:val="334C3C6E"/>
    <w:rsid w:val="337C1C26"/>
    <w:rsid w:val="33C543BD"/>
    <w:rsid w:val="33E55BB9"/>
    <w:rsid w:val="34011EE2"/>
    <w:rsid w:val="34031BE8"/>
    <w:rsid w:val="34050C5E"/>
    <w:rsid w:val="345E036E"/>
    <w:rsid w:val="346E1993"/>
    <w:rsid w:val="348A4B70"/>
    <w:rsid w:val="349120A4"/>
    <w:rsid w:val="34AE374B"/>
    <w:rsid w:val="34B90BA2"/>
    <w:rsid w:val="34E940DB"/>
    <w:rsid w:val="34F90010"/>
    <w:rsid w:val="35081201"/>
    <w:rsid w:val="35204D7F"/>
    <w:rsid w:val="354258EB"/>
    <w:rsid w:val="3553798F"/>
    <w:rsid w:val="357F2070"/>
    <w:rsid w:val="35AD3EF5"/>
    <w:rsid w:val="35B01F13"/>
    <w:rsid w:val="35B07A97"/>
    <w:rsid w:val="35B53B02"/>
    <w:rsid w:val="366758E3"/>
    <w:rsid w:val="368C2F70"/>
    <w:rsid w:val="36975214"/>
    <w:rsid w:val="36F80606"/>
    <w:rsid w:val="37064C28"/>
    <w:rsid w:val="370E607B"/>
    <w:rsid w:val="371619FA"/>
    <w:rsid w:val="373C5526"/>
    <w:rsid w:val="377F4883"/>
    <w:rsid w:val="37842204"/>
    <w:rsid w:val="37BE35FD"/>
    <w:rsid w:val="37D268C3"/>
    <w:rsid w:val="37D95464"/>
    <w:rsid w:val="383F16EE"/>
    <w:rsid w:val="384004B6"/>
    <w:rsid w:val="384A0EEA"/>
    <w:rsid w:val="386D59C9"/>
    <w:rsid w:val="38B53DE8"/>
    <w:rsid w:val="38BB18EB"/>
    <w:rsid w:val="38C4052C"/>
    <w:rsid w:val="38EC05E0"/>
    <w:rsid w:val="38FB43DD"/>
    <w:rsid w:val="39514A69"/>
    <w:rsid w:val="395A4CE6"/>
    <w:rsid w:val="396C7089"/>
    <w:rsid w:val="397C551E"/>
    <w:rsid w:val="39A5464D"/>
    <w:rsid w:val="39E60BE9"/>
    <w:rsid w:val="39F318FC"/>
    <w:rsid w:val="3A6D130B"/>
    <w:rsid w:val="3A814CE7"/>
    <w:rsid w:val="3A8E2FD1"/>
    <w:rsid w:val="3AB0548E"/>
    <w:rsid w:val="3B4A0C97"/>
    <w:rsid w:val="3B7B756F"/>
    <w:rsid w:val="3B8C371F"/>
    <w:rsid w:val="3B932274"/>
    <w:rsid w:val="3BC87466"/>
    <w:rsid w:val="3C047A4D"/>
    <w:rsid w:val="3C330E39"/>
    <w:rsid w:val="3C5F6349"/>
    <w:rsid w:val="3CC316B6"/>
    <w:rsid w:val="3D491BBB"/>
    <w:rsid w:val="3DAF7400"/>
    <w:rsid w:val="3DC47494"/>
    <w:rsid w:val="3DE40001"/>
    <w:rsid w:val="3E421737"/>
    <w:rsid w:val="3E801498"/>
    <w:rsid w:val="3ED4389D"/>
    <w:rsid w:val="3EE37DED"/>
    <w:rsid w:val="3EFB0E15"/>
    <w:rsid w:val="3F1C33C6"/>
    <w:rsid w:val="3F416569"/>
    <w:rsid w:val="3F444DCC"/>
    <w:rsid w:val="3F5900B0"/>
    <w:rsid w:val="3F6A0E3E"/>
    <w:rsid w:val="3F7C37F0"/>
    <w:rsid w:val="3F90288C"/>
    <w:rsid w:val="3FDA5E5F"/>
    <w:rsid w:val="3FF52B85"/>
    <w:rsid w:val="401235A2"/>
    <w:rsid w:val="40305DE9"/>
    <w:rsid w:val="405B2F81"/>
    <w:rsid w:val="40677565"/>
    <w:rsid w:val="409018AF"/>
    <w:rsid w:val="40C5633D"/>
    <w:rsid w:val="40CD3ADB"/>
    <w:rsid w:val="40D907A9"/>
    <w:rsid w:val="40FC6F44"/>
    <w:rsid w:val="41016D9A"/>
    <w:rsid w:val="4125649B"/>
    <w:rsid w:val="41365678"/>
    <w:rsid w:val="417325FA"/>
    <w:rsid w:val="41807B75"/>
    <w:rsid w:val="41973319"/>
    <w:rsid w:val="41AA4BF2"/>
    <w:rsid w:val="41BE41FA"/>
    <w:rsid w:val="41C55586"/>
    <w:rsid w:val="41C55588"/>
    <w:rsid w:val="41E424CB"/>
    <w:rsid w:val="41F0088E"/>
    <w:rsid w:val="42060270"/>
    <w:rsid w:val="420C765B"/>
    <w:rsid w:val="42164036"/>
    <w:rsid w:val="42224789"/>
    <w:rsid w:val="422E75D1"/>
    <w:rsid w:val="42745016"/>
    <w:rsid w:val="42815953"/>
    <w:rsid w:val="429A6A15"/>
    <w:rsid w:val="42B14BEA"/>
    <w:rsid w:val="42F52E10"/>
    <w:rsid w:val="432A2540"/>
    <w:rsid w:val="433441F5"/>
    <w:rsid w:val="434A2E43"/>
    <w:rsid w:val="43A40672"/>
    <w:rsid w:val="43AC6A00"/>
    <w:rsid w:val="43B84D02"/>
    <w:rsid w:val="43CA157C"/>
    <w:rsid w:val="43EE526A"/>
    <w:rsid w:val="443413B8"/>
    <w:rsid w:val="444E5D09"/>
    <w:rsid w:val="44767046"/>
    <w:rsid w:val="4485565B"/>
    <w:rsid w:val="44D65450"/>
    <w:rsid w:val="44D81A76"/>
    <w:rsid w:val="4513605A"/>
    <w:rsid w:val="454D157F"/>
    <w:rsid w:val="45975B03"/>
    <w:rsid w:val="45B03EB7"/>
    <w:rsid w:val="45B97A0D"/>
    <w:rsid w:val="45BC3925"/>
    <w:rsid w:val="45CA7611"/>
    <w:rsid w:val="45EC1356"/>
    <w:rsid w:val="462C3956"/>
    <w:rsid w:val="462D194E"/>
    <w:rsid w:val="466B58D9"/>
    <w:rsid w:val="46C3522C"/>
    <w:rsid w:val="46D44674"/>
    <w:rsid w:val="46DD36B0"/>
    <w:rsid w:val="46EE3897"/>
    <w:rsid w:val="470440CB"/>
    <w:rsid w:val="472D73FF"/>
    <w:rsid w:val="47443E67"/>
    <w:rsid w:val="47530513"/>
    <w:rsid w:val="479E48B1"/>
    <w:rsid w:val="47C22C96"/>
    <w:rsid w:val="481102EC"/>
    <w:rsid w:val="483B47F6"/>
    <w:rsid w:val="4844455D"/>
    <w:rsid w:val="48561B05"/>
    <w:rsid w:val="485D2A1D"/>
    <w:rsid w:val="48735DEA"/>
    <w:rsid w:val="487815A6"/>
    <w:rsid w:val="48C65BBD"/>
    <w:rsid w:val="48D401DB"/>
    <w:rsid w:val="48E43864"/>
    <w:rsid w:val="48FF4C06"/>
    <w:rsid w:val="492E3337"/>
    <w:rsid w:val="49AC1650"/>
    <w:rsid w:val="4A2F37DA"/>
    <w:rsid w:val="4A6022F2"/>
    <w:rsid w:val="4A801B89"/>
    <w:rsid w:val="4A8B215B"/>
    <w:rsid w:val="4A965D14"/>
    <w:rsid w:val="4AB31D2A"/>
    <w:rsid w:val="4AC66295"/>
    <w:rsid w:val="4AC96256"/>
    <w:rsid w:val="4AE616BF"/>
    <w:rsid w:val="4AFD5D93"/>
    <w:rsid w:val="4B1F21AD"/>
    <w:rsid w:val="4B3612A5"/>
    <w:rsid w:val="4B6416C5"/>
    <w:rsid w:val="4BA80997"/>
    <w:rsid w:val="4BEC6B31"/>
    <w:rsid w:val="4C0271FE"/>
    <w:rsid w:val="4C480FC0"/>
    <w:rsid w:val="4CAA30EC"/>
    <w:rsid w:val="4CC62D22"/>
    <w:rsid w:val="4CC64636"/>
    <w:rsid w:val="4CDC4199"/>
    <w:rsid w:val="4CE70AA9"/>
    <w:rsid w:val="4D0F1E57"/>
    <w:rsid w:val="4D1F6494"/>
    <w:rsid w:val="4D6F2CBC"/>
    <w:rsid w:val="4D7F0662"/>
    <w:rsid w:val="4D942922"/>
    <w:rsid w:val="4D962288"/>
    <w:rsid w:val="4E772AA9"/>
    <w:rsid w:val="4E8161A0"/>
    <w:rsid w:val="4EA0023D"/>
    <w:rsid w:val="4EA154C1"/>
    <w:rsid w:val="4EC04089"/>
    <w:rsid w:val="4F56149D"/>
    <w:rsid w:val="4F613985"/>
    <w:rsid w:val="4F822D0B"/>
    <w:rsid w:val="4FFD135F"/>
    <w:rsid w:val="500D6A78"/>
    <w:rsid w:val="501D372F"/>
    <w:rsid w:val="501E5271"/>
    <w:rsid w:val="50562F56"/>
    <w:rsid w:val="505A77E4"/>
    <w:rsid w:val="505F79DB"/>
    <w:rsid w:val="507B4249"/>
    <w:rsid w:val="507D6D29"/>
    <w:rsid w:val="50895C9C"/>
    <w:rsid w:val="50A55003"/>
    <w:rsid w:val="50AA2368"/>
    <w:rsid w:val="50B4234B"/>
    <w:rsid w:val="50C8299F"/>
    <w:rsid w:val="50EF0631"/>
    <w:rsid w:val="510B1CEC"/>
    <w:rsid w:val="512E46A0"/>
    <w:rsid w:val="514F3B23"/>
    <w:rsid w:val="516C0583"/>
    <w:rsid w:val="51752B27"/>
    <w:rsid w:val="51BA28A2"/>
    <w:rsid w:val="51DC2BA6"/>
    <w:rsid w:val="51E63A25"/>
    <w:rsid w:val="51FA74D0"/>
    <w:rsid w:val="52181704"/>
    <w:rsid w:val="524E4E27"/>
    <w:rsid w:val="5271432D"/>
    <w:rsid w:val="52895E25"/>
    <w:rsid w:val="52CB49C9"/>
    <w:rsid w:val="52E16E11"/>
    <w:rsid w:val="52E85F28"/>
    <w:rsid w:val="53526B93"/>
    <w:rsid w:val="53672256"/>
    <w:rsid w:val="537961D3"/>
    <w:rsid w:val="539114A7"/>
    <w:rsid w:val="53966D85"/>
    <w:rsid w:val="53AE131D"/>
    <w:rsid w:val="53B607BB"/>
    <w:rsid w:val="5402441A"/>
    <w:rsid w:val="540D4963"/>
    <w:rsid w:val="541B38DD"/>
    <w:rsid w:val="543A3BB4"/>
    <w:rsid w:val="547D39E4"/>
    <w:rsid w:val="548D1853"/>
    <w:rsid w:val="548F677C"/>
    <w:rsid w:val="54BE2A37"/>
    <w:rsid w:val="54CB09CC"/>
    <w:rsid w:val="54D46A7D"/>
    <w:rsid w:val="54D82313"/>
    <w:rsid w:val="551663CF"/>
    <w:rsid w:val="55266A8D"/>
    <w:rsid w:val="55333061"/>
    <w:rsid w:val="55383A98"/>
    <w:rsid w:val="554271C4"/>
    <w:rsid w:val="55664CBF"/>
    <w:rsid w:val="55680542"/>
    <w:rsid w:val="55765394"/>
    <w:rsid w:val="55857916"/>
    <w:rsid w:val="559346D9"/>
    <w:rsid w:val="55CD5ACF"/>
    <w:rsid w:val="55E7676A"/>
    <w:rsid w:val="55F2324D"/>
    <w:rsid w:val="56304F01"/>
    <w:rsid w:val="563D4E84"/>
    <w:rsid w:val="564725B8"/>
    <w:rsid w:val="56667E72"/>
    <w:rsid w:val="56717635"/>
    <w:rsid w:val="568421D1"/>
    <w:rsid w:val="56BB3A79"/>
    <w:rsid w:val="56CB687C"/>
    <w:rsid w:val="56F928BE"/>
    <w:rsid w:val="575813E7"/>
    <w:rsid w:val="576B2D7A"/>
    <w:rsid w:val="57771BE3"/>
    <w:rsid w:val="57923D07"/>
    <w:rsid w:val="580B0EAB"/>
    <w:rsid w:val="5829793B"/>
    <w:rsid w:val="583A29FB"/>
    <w:rsid w:val="584119B5"/>
    <w:rsid w:val="58CC166E"/>
    <w:rsid w:val="591E5852"/>
    <w:rsid w:val="5927426C"/>
    <w:rsid w:val="59352B9C"/>
    <w:rsid w:val="593B4656"/>
    <w:rsid w:val="59481412"/>
    <w:rsid w:val="59562C77"/>
    <w:rsid w:val="595C45CC"/>
    <w:rsid w:val="595D7221"/>
    <w:rsid w:val="597617D2"/>
    <w:rsid w:val="597948E4"/>
    <w:rsid w:val="597F1F2A"/>
    <w:rsid w:val="5987789B"/>
    <w:rsid w:val="59BC4FED"/>
    <w:rsid w:val="59CF2FF0"/>
    <w:rsid w:val="5A2562BC"/>
    <w:rsid w:val="5A291356"/>
    <w:rsid w:val="5A4D7DAF"/>
    <w:rsid w:val="5A70032F"/>
    <w:rsid w:val="5A744D96"/>
    <w:rsid w:val="5AB43A17"/>
    <w:rsid w:val="5ACE5056"/>
    <w:rsid w:val="5ACE63A1"/>
    <w:rsid w:val="5AED1980"/>
    <w:rsid w:val="5B4D2EC1"/>
    <w:rsid w:val="5B501B3A"/>
    <w:rsid w:val="5B571F8E"/>
    <w:rsid w:val="5B99781D"/>
    <w:rsid w:val="5BC00E43"/>
    <w:rsid w:val="5BC50747"/>
    <w:rsid w:val="5BDF5215"/>
    <w:rsid w:val="5BF3746A"/>
    <w:rsid w:val="5BFE19F8"/>
    <w:rsid w:val="5C423F4D"/>
    <w:rsid w:val="5C4F17D1"/>
    <w:rsid w:val="5C7165E1"/>
    <w:rsid w:val="5C871960"/>
    <w:rsid w:val="5C9D73D6"/>
    <w:rsid w:val="5CB73713"/>
    <w:rsid w:val="5CBE2543"/>
    <w:rsid w:val="5CC13ECF"/>
    <w:rsid w:val="5D0463D2"/>
    <w:rsid w:val="5D0E5901"/>
    <w:rsid w:val="5D403922"/>
    <w:rsid w:val="5D417657"/>
    <w:rsid w:val="5D720CED"/>
    <w:rsid w:val="5D777C27"/>
    <w:rsid w:val="5DA27EEB"/>
    <w:rsid w:val="5DB43C38"/>
    <w:rsid w:val="5DB53F06"/>
    <w:rsid w:val="5DB8605A"/>
    <w:rsid w:val="5DFB2CE6"/>
    <w:rsid w:val="5E263880"/>
    <w:rsid w:val="5E2A537C"/>
    <w:rsid w:val="5E2E1BF7"/>
    <w:rsid w:val="5E4D1784"/>
    <w:rsid w:val="5E9129FF"/>
    <w:rsid w:val="5EAA0B3D"/>
    <w:rsid w:val="5EB8561F"/>
    <w:rsid w:val="5ED05841"/>
    <w:rsid w:val="5ED32FCA"/>
    <w:rsid w:val="5EDB47BE"/>
    <w:rsid w:val="5EEE62D3"/>
    <w:rsid w:val="5F0B6E44"/>
    <w:rsid w:val="5F155949"/>
    <w:rsid w:val="5F426E42"/>
    <w:rsid w:val="5F4F1DBC"/>
    <w:rsid w:val="5F50072F"/>
    <w:rsid w:val="5FA447DA"/>
    <w:rsid w:val="5FAD4C7C"/>
    <w:rsid w:val="5FCA2E7D"/>
    <w:rsid w:val="5FEE7A27"/>
    <w:rsid w:val="5FF67529"/>
    <w:rsid w:val="5FF7504F"/>
    <w:rsid w:val="5FFE40C5"/>
    <w:rsid w:val="603E4A2C"/>
    <w:rsid w:val="60422732"/>
    <w:rsid w:val="604574AE"/>
    <w:rsid w:val="60755A9B"/>
    <w:rsid w:val="61065C21"/>
    <w:rsid w:val="615D3495"/>
    <w:rsid w:val="61606F07"/>
    <w:rsid w:val="61832F32"/>
    <w:rsid w:val="61BC1D0D"/>
    <w:rsid w:val="61BF22B1"/>
    <w:rsid w:val="61E03DC5"/>
    <w:rsid w:val="61E96DB8"/>
    <w:rsid w:val="61F77588"/>
    <w:rsid w:val="62051CA5"/>
    <w:rsid w:val="62121232"/>
    <w:rsid w:val="621A5025"/>
    <w:rsid w:val="623405FC"/>
    <w:rsid w:val="62D1322E"/>
    <w:rsid w:val="62F769CC"/>
    <w:rsid w:val="630737FB"/>
    <w:rsid w:val="6331783B"/>
    <w:rsid w:val="63367FF0"/>
    <w:rsid w:val="635A5D45"/>
    <w:rsid w:val="63D532B0"/>
    <w:rsid w:val="63EF4F8A"/>
    <w:rsid w:val="63FA25AE"/>
    <w:rsid w:val="643248A8"/>
    <w:rsid w:val="64422EE1"/>
    <w:rsid w:val="64426580"/>
    <w:rsid w:val="644F0FB6"/>
    <w:rsid w:val="64601415"/>
    <w:rsid w:val="64660DE2"/>
    <w:rsid w:val="64670975"/>
    <w:rsid w:val="64995609"/>
    <w:rsid w:val="64A5151D"/>
    <w:rsid w:val="64AE3D29"/>
    <w:rsid w:val="64BA7ECF"/>
    <w:rsid w:val="64D05306"/>
    <w:rsid w:val="65181BD5"/>
    <w:rsid w:val="65804A46"/>
    <w:rsid w:val="65C47781"/>
    <w:rsid w:val="65E648F1"/>
    <w:rsid w:val="660051BA"/>
    <w:rsid w:val="661577FC"/>
    <w:rsid w:val="665054B9"/>
    <w:rsid w:val="66A36C22"/>
    <w:rsid w:val="66D40875"/>
    <w:rsid w:val="66D9725C"/>
    <w:rsid w:val="66ED7B69"/>
    <w:rsid w:val="676C7569"/>
    <w:rsid w:val="67992784"/>
    <w:rsid w:val="67B24074"/>
    <w:rsid w:val="682A7219"/>
    <w:rsid w:val="68A5554E"/>
    <w:rsid w:val="68AC32D7"/>
    <w:rsid w:val="68B50CC9"/>
    <w:rsid w:val="68E402E6"/>
    <w:rsid w:val="68F260D2"/>
    <w:rsid w:val="690E39BB"/>
    <w:rsid w:val="695A4FEC"/>
    <w:rsid w:val="69FF3DA6"/>
    <w:rsid w:val="6A5F216E"/>
    <w:rsid w:val="6AA36162"/>
    <w:rsid w:val="6AE37143"/>
    <w:rsid w:val="6AF40B09"/>
    <w:rsid w:val="6B13267C"/>
    <w:rsid w:val="6B160FA9"/>
    <w:rsid w:val="6B4B624F"/>
    <w:rsid w:val="6B5B6CFE"/>
    <w:rsid w:val="6B945283"/>
    <w:rsid w:val="6B9C3DDF"/>
    <w:rsid w:val="6C070C5C"/>
    <w:rsid w:val="6C4050F1"/>
    <w:rsid w:val="6C6E29DA"/>
    <w:rsid w:val="6C9E0DB3"/>
    <w:rsid w:val="6CB54907"/>
    <w:rsid w:val="6CF90658"/>
    <w:rsid w:val="6D082649"/>
    <w:rsid w:val="6D8C5028"/>
    <w:rsid w:val="6DA7180D"/>
    <w:rsid w:val="6DC43DA1"/>
    <w:rsid w:val="6DD449ED"/>
    <w:rsid w:val="6DFC778C"/>
    <w:rsid w:val="6E1F620B"/>
    <w:rsid w:val="6E260E3F"/>
    <w:rsid w:val="6E276D90"/>
    <w:rsid w:val="6E292877"/>
    <w:rsid w:val="6E386F5E"/>
    <w:rsid w:val="6E781A51"/>
    <w:rsid w:val="6ED22F0F"/>
    <w:rsid w:val="6ED63281"/>
    <w:rsid w:val="6F2431DF"/>
    <w:rsid w:val="6F516A80"/>
    <w:rsid w:val="6F605F58"/>
    <w:rsid w:val="6F7A525E"/>
    <w:rsid w:val="6F7D546A"/>
    <w:rsid w:val="6F8E6C1A"/>
    <w:rsid w:val="6FB71DDC"/>
    <w:rsid w:val="70412229"/>
    <w:rsid w:val="70A46938"/>
    <w:rsid w:val="711909E1"/>
    <w:rsid w:val="711C5DC8"/>
    <w:rsid w:val="71284FD1"/>
    <w:rsid w:val="71584F26"/>
    <w:rsid w:val="71813699"/>
    <w:rsid w:val="71940794"/>
    <w:rsid w:val="71E010FD"/>
    <w:rsid w:val="72037883"/>
    <w:rsid w:val="721C6DB2"/>
    <w:rsid w:val="721E7239"/>
    <w:rsid w:val="725310CC"/>
    <w:rsid w:val="72541E8D"/>
    <w:rsid w:val="72563E57"/>
    <w:rsid w:val="725F3E95"/>
    <w:rsid w:val="72827E86"/>
    <w:rsid w:val="72867401"/>
    <w:rsid w:val="72885C0F"/>
    <w:rsid w:val="728F706D"/>
    <w:rsid w:val="72996FB8"/>
    <w:rsid w:val="72A5093A"/>
    <w:rsid w:val="72A51592"/>
    <w:rsid w:val="72BC2E84"/>
    <w:rsid w:val="72C708B1"/>
    <w:rsid w:val="72E13807"/>
    <w:rsid w:val="72F718BE"/>
    <w:rsid w:val="730B275B"/>
    <w:rsid w:val="732763F5"/>
    <w:rsid w:val="733F6699"/>
    <w:rsid w:val="7366631C"/>
    <w:rsid w:val="73831A30"/>
    <w:rsid w:val="739B64E9"/>
    <w:rsid w:val="73AD3F4B"/>
    <w:rsid w:val="73B3673E"/>
    <w:rsid w:val="73C82B32"/>
    <w:rsid w:val="73E212B8"/>
    <w:rsid w:val="741E1EA8"/>
    <w:rsid w:val="7443665D"/>
    <w:rsid w:val="744B676F"/>
    <w:rsid w:val="74716D26"/>
    <w:rsid w:val="748A0524"/>
    <w:rsid w:val="748B051E"/>
    <w:rsid w:val="74CD7E40"/>
    <w:rsid w:val="74DC3800"/>
    <w:rsid w:val="74F82FA3"/>
    <w:rsid w:val="75096F5F"/>
    <w:rsid w:val="75327901"/>
    <w:rsid w:val="75651015"/>
    <w:rsid w:val="756923C9"/>
    <w:rsid w:val="75C80BC8"/>
    <w:rsid w:val="75DE488F"/>
    <w:rsid w:val="75E31EA6"/>
    <w:rsid w:val="75E579CC"/>
    <w:rsid w:val="75F01C92"/>
    <w:rsid w:val="76281A9E"/>
    <w:rsid w:val="764C2CEE"/>
    <w:rsid w:val="76612994"/>
    <w:rsid w:val="768A068B"/>
    <w:rsid w:val="76A855A8"/>
    <w:rsid w:val="76D421E8"/>
    <w:rsid w:val="76FD6F97"/>
    <w:rsid w:val="77145783"/>
    <w:rsid w:val="771D4F43"/>
    <w:rsid w:val="774F13C6"/>
    <w:rsid w:val="77985E5E"/>
    <w:rsid w:val="77A77766"/>
    <w:rsid w:val="77BF424C"/>
    <w:rsid w:val="77C3470A"/>
    <w:rsid w:val="78620798"/>
    <w:rsid w:val="789467A1"/>
    <w:rsid w:val="78B43685"/>
    <w:rsid w:val="78CC4E73"/>
    <w:rsid w:val="78CF789F"/>
    <w:rsid w:val="78E21FA1"/>
    <w:rsid w:val="78EF290F"/>
    <w:rsid w:val="790B487C"/>
    <w:rsid w:val="791D56CF"/>
    <w:rsid w:val="79254583"/>
    <w:rsid w:val="794C7D62"/>
    <w:rsid w:val="797A042B"/>
    <w:rsid w:val="797D5CF8"/>
    <w:rsid w:val="7984574E"/>
    <w:rsid w:val="79A25E1B"/>
    <w:rsid w:val="79CE0777"/>
    <w:rsid w:val="79D13BE6"/>
    <w:rsid w:val="7A097A01"/>
    <w:rsid w:val="7A2605B3"/>
    <w:rsid w:val="7A4E3666"/>
    <w:rsid w:val="7A5C53A7"/>
    <w:rsid w:val="7A897603"/>
    <w:rsid w:val="7AC05D23"/>
    <w:rsid w:val="7ACB0265"/>
    <w:rsid w:val="7ACF0C29"/>
    <w:rsid w:val="7B276391"/>
    <w:rsid w:val="7B4D2C6C"/>
    <w:rsid w:val="7B937ECA"/>
    <w:rsid w:val="7BA61FA1"/>
    <w:rsid w:val="7BB92E7D"/>
    <w:rsid w:val="7BBB62EC"/>
    <w:rsid w:val="7BD209F2"/>
    <w:rsid w:val="7BE95D3C"/>
    <w:rsid w:val="7C433F8A"/>
    <w:rsid w:val="7C5331B5"/>
    <w:rsid w:val="7C63789C"/>
    <w:rsid w:val="7C7B758C"/>
    <w:rsid w:val="7D1D3EEF"/>
    <w:rsid w:val="7D1F0C5F"/>
    <w:rsid w:val="7D56683F"/>
    <w:rsid w:val="7D67516A"/>
    <w:rsid w:val="7DA36220"/>
    <w:rsid w:val="7DBF0DE0"/>
    <w:rsid w:val="7DDD542C"/>
    <w:rsid w:val="7DE66169"/>
    <w:rsid w:val="7DF5150A"/>
    <w:rsid w:val="7DF6029C"/>
    <w:rsid w:val="7E47731B"/>
    <w:rsid w:val="7E4F463C"/>
    <w:rsid w:val="7E50049E"/>
    <w:rsid w:val="7E526CD3"/>
    <w:rsid w:val="7E645B88"/>
    <w:rsid w:val="7E696CC0"/>
    <w:rsid w:val="7E76666C"/>
    <w:rsid w:val="7EAD12A3"/>
    <w:rsid w:val="7EB22415"/>
    <w:rsid w:val="7EB937A4"/>
    <w:rsid w:val="7EDC56E4"/>
    <w:rsid w:val="7EEE3685"/>
    <w:rsid w:val="7F075501"/>
    <w:rsid w:val="7F3B4C8F"/>
    <w:rsid w:val="7F444EDD"/>
    <w:rsid w:val="7F527AE0"/>
    <w:rsid w:val="7F5923A2"/>
    <w:rsid w:val="7F9B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4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4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4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5"/>
    <w:unhideWhenUsed/>
    <w:qFormat/>
    <w:uiPriority w:val="1"/>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Normal Indent"/>
    <w:basedOn w:val="1"/>
    <w:next w:val="10"/>
    <w:qFormat/>
    <w:uiPriority w:val="0"/>
    <w:pPr>
      <w:ind w:firstLine="425"/>
    </w:pPr>
    <w:rPr>
      <w:rFonts w:ascii="Times New Roman" w:hAnsi="Times New Roman" w:eastAsia="宋体" w:cs="Times New Roman"/>
      <w:szCs w:val="20"/>
    </w:rPr>
  </w:style>
  <w:style w:type="paragraph" w:customStyle="1" w:styleId="10">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1">
    <w:name w:val="caption"/>
    <w:basedOn w:val="1"/>
    <w:next w:val="1"/>
    <w:qFormat/>
    <w:uiPriority w:val="0"/>
    <w:rPr>
      <w:rFonts w:ascii="Arial" w:hAnsi="Arial" w:eastAsia="黑体" w:cs="Arial"/>
      <w:sz w:val="20"/>
      <w:szCs w:val="20"/>
    </w:rPr>
  </w:style>
  <w:style w:type="paragraph" w:styleId="12">
    <w:name w:val="annotation text"/>
    <w:basedOn w:val="1"/>
    <w:link w:val="74"/>
    <w:semiHidden/>
    <w:qFormat/>
    <w:uiPriority w:val="0"/>
    <w:pPr>
      <w:jc w:val="left"/>
    </w:pPr>
    <w:rPr>
      <w:rFonts w:ascii="Times New Roman" w:hAnsi="Times New Roman" w:eastAsia="宋体" w:cs="Times New Roman"/>
      <w:kern w:val="0"/>
      <w:sz w:val="20"/>
      <w:szCs w:val="24"/>
    </w:rPr>
  </w:style>
  <w:style w:type="paragraph" w:styleId="13">
    <w:name w:val="Body Text 3"/>
    <w:basedOn w:val="1"/>
    <w:link w:val="44"/>
    <w:qFormat/>
    <w:uiPriority w:val="0"/>
    <w:rPr>
      <w:rFonts w:ascii="Times New Roman" w:hAnsi="Times New Roman" w:eastAsia="宋体" w:cs="Times New Roman"/>
      <w:color w:val="FF0000"/>
      <w:sz w:val="24"/>
      <w:szCs w:val="24"/>
    </w:rPr>
  </w:style>
  <w:style w:type="paragraph" w:styleId="14">
    <w:name w:val="Body Text Indent"/>
    <w:basedOn w:val="1"/>
    <w:next w:val="9"/>
    <w:link w:val="47"/>
    <w:qFormat/>
    <w:uiPriority w:val="0"/>
    <w:pPr>
      <w:adjustRightInd w:val="0"/>
      <w:spacing w:after="120" w:line="360" w:lineRule="atLeast"/>
      <w:ind w:left="420" w:leftChars="200"/>
      <w:jc w:val="left"/>
      <w:textAlignment w:val="baseline"/>
    </w:pPr>
    <w:rPr>
      <w:kern w:val="0"/>
      <w:sz w:val="24"/>
      <w:szCs w:val="20"/>
    </w:rPr>
  </w:style>
  <w:style w:type="paragraph" w:styleId="15">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link w:val="48"/>
    <w:qFormat/>
    <w:uiPriority w:val="99"/>
    <w:rPr>
      <w:rFonts w:eastAsia="宋体"/>
      <w:sz w:val="24"/>
    </w:rPr>
  </w:style>
  <w:style w:type="paragraph" w:styleId="19">
    <w:name w:val="Date"/>
    <w:basedOn w:val="1"/>
    <w:next w:val="1"/>
    <w:link w:val="49"/>
    <w:unhideWhenUsed/>
    <w:qFormat/>
    <w:uiPriority w:val="99"/>
    <w:pPr>
      <w:ind w:left="100" w:leftChars="2500"/>
    </w:pPr>
  </w:style>
  <w:style w:type="paragraph" w:styleId="20">
    <w:name w:val="Balloon Text"/>
    <w:basedOn w:val="1"/>
    <w:link w:val="51"/>
    <w:semiHidden/>
    <w:unhideWhenUsed/>
    <w:qFormat/>
    <w:uiPriority w:val="99"/>
    <w:rPr>
      <w:sz w:val="18"/>
      <w:szCs w:val="18"/>
    </w:rPr>
  </w:style>
  <w:style w:type="paragraph" w:styleId="21">
    <w:name w:val="footer"/>
    <w:basedOn w:val="1"/>
    <w:link w:val="52"/>
    <w:unhideWhenUsed/>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Body Text 2"/>
    <w:basedOn w:val="1"/>
    <w:qFormat/>
    <w:uiPriority w:val="0"/>
    <w:pPr>
      <w:spacing w:after="120" w:line="480" w:lineRule="auto"/>
    </w:pPr>
  </w:style>
  <w:style w:type="paragraph" w:styleId="26">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qFormat/>
    <w:uiPriority w:val="99"/>
    <w:rPr>
      <w:rFonts w:ascii="Calibri" w:hAnsi="Calibri" w:eastAsia="宋体" w:cs="Times New Roman"/>
      <w:sz w:val="24"/>
      <w:szCs w:val="24"/>
    </w:rPr>
  </w:style>
  <w:style w:type="paragraph" w:styleId="28">
    <w:name w:val="Body Text First Indent"/>
    <w:basedOn w:val="2"/>
    <w:next w:val="29"/>
    <w:link w:val="56"/>
    <w:qFormat/>
    <w:uiPriority w:val="0"/>
    <w:pPr>
      <w:ind w:firstLine="420" w:firstLineChars="100"/>
    </w:pPr>
    <w:rPr>
      <w:rFonts w:ascii="宋体" w:hAnsi="Times New Roman" w:eastAsia="宋体" w:cs="Times New Roman"/>
      <w:kern w:val="0"/>
      <w:sz w:val="34"/>
      <w:szCs w:val="20"/>
    </w:rPr>
  </w:style>
  <w:style w:type="paragraph" w:styleId="29">
    <w:name w:val="Body Text First Indent 2"/>
    <w:basedOn w:val="14"/>
    <w:next w:val="1"/>
    <w:qFormat/>
    <w:uiPriority w:val="99"/>
    <w:pPr>
      <w:tabs>
        <w:tab w:val="left" w:pos="945"/>
        <w:tab w:val="left" w:pos="1155"/>
      </w:tabs>
      <w:ind w:firstLine="420" w:firstLineChars="2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FollowedHyperlink"/>
    <w:basedOn w:val="32"/>
    <w:semiHidden/>
    <w:unhideWhenUsed/>
    <w:qFormat/>
    <w:uiPriority w:val="99"/>
    <w:rPr>
      <w:color w:val="000000"/>
      <w:u w:val="none"/>
    </w:rPr>
  </w:style>
  <w:style w:type="character" w:styleId="35">
    <w:name w:val="Emphasis"/>
    <w:basedOn w:val="32"/>
    <w:qFormat/>
    <w:uiPriority w:val="20"/>
    <w:rPr>
      <w:i/>
      <w:iCs/>
    </w:rPr>
  </w:style>
  <w:style w:type="character" w:styleId="36">
    <w:name w:val="Hyperlink"/>
    <w:basedOn w:val="32"/>
    <w:unhideWhenUsed/>
    <w:qFormat/>
    <w:uiPriority w:val="0"/>
    <w:rPr>
      <w:color w:val="000000"/>
      <w:u w:val="none"/>
    </w:rPr>
  </w:style>
  <w:style w:type="character" w:styleId="37">
    <w:name w:val="annotation reference"/>
    <w:qFormat/>
    <w:uiPriority w:val="0"/>
    <w:rPr>
      <w:sz w:val="21"/>
      <w:szCs w:val="21"/>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character" w:customStyle="1" w:styleId="40">
    <w:name w:val="标题 1 Char"/>
    <w:basedOn w:val="32"/>
    <w:link w:val="5"/>
    <w:qFormat/>
    <w:uiPriority w:val="0"/>
    <w:rPr>
      <w:rFonts w:ascii="Calibri" w:hAnsi="Calibri" w:eastAsia="宋体" w:cs="Times New Roman"/>
      <w:b/>
      <w:bCs/>
      <w:kern w:val="44"/>
      <w:sz w:val="44"/>
      <w:szCs w:val="44"/>
    </w:rPr>
  </w:style>
  <w:style w:type="character" w:customStyle="1" w:styleId="41">
    <w:name w:val="标题 2 Char"/>
    <w:basedOn w:val="32"/>
    <w:link w:val="6"/>
    <w:qFormat/>
    <w:uiPriority w:val="0"/>
    <w:rPr>
      <w:rFonts w:ascii="Arial" w:hAnsi="Arial" w:eastAsia="黑体" w:cs="Times New Roman"/>
      <w:b/>
      <w:bCs/>
      <w:kern w:val="0"/>
      <w:sz w:val="32"/>
      <w:szCs w:val="32"/>
    </w:rPr>
  </w:style>
  <w:style w:type="character" w:customStyle="1" w:styleId="42">
    <w:name w:val="标题 3 Char"/>
    <w:basedOn w:val="32"/>
    <w:link w:val="7"/>
    <w:qFormat/>
    <w:uiPriority w:val="0"/>
    <w:rPr>
      <w:rFonts w:ascii="宋体" w:hAnsi="宋体" w:eastAsia="宋体" w:cs="Times New Roman"/>
      <w:b/>
      <w:color w:val="000000"/>
      <w:kern w:val="0"/>
      <w:sz w:val="24"/>
      <w:szCs w:val="20"/>
      <w:lang w:val="en-GB"/>
    </w:rPr>
  </w:style>
  <w:style w:type="character" w:customStyle="1" w:styleId="43">
    <w:name w:val="标题 4 Char"/>
    <w:basedOn w:val="32"/>
    <w:link w:val="8"/>
    <w:qFormat/>
    <w:uiPriority w:val="0"/>
    <w:rPr>
      <w:rFonts w:ascii="Arial" w:hAnsi="Arial" w:eastAsia="黑体" w:cs="Times New Roman"/>
      <w:b/>
      <w:bCs/>
      <w:kern w:val="0"/>
      <w:sz w:val="28"/>
      <w:szCs w:val="28"/>
    </w:rPr>
  </w:style>
  <w:style w:type="character" w:customStyle="1" w:styleId="44">
    <w:name w:val="正文文本 3 Char"/>
    <w:basedOn w:val="32"/>
    <w:link w:val="13"/>
    <w:qFormat/>
    <w:uiPriority w:val="0"/>
    <w:rPr>
      <w:rFonts w:ascii="Times New Roman" w:hAnsi="Times New Roman" w:eastAsia="宋体" w:cs="Times New Roman"/>
      <w:color w:val="FF0000"/>
      <w:sz w:val="24"/>
      <w:szCs w:val="24"/>
    </w:rPr>
  </w:style>
  <w:style w:type="character" w:customStyle="1" w:styleId="45">
    <w:name w:val="正文文本 Char"/>
    <w:basedOn w:val="32"/>
    <w:link w:val="2"/>
    <w:qFormat/>
    <w:uiPriority w:val="99"/>
  </w:style>
  <w:style w:type="character" w:customStyle="1" w:styleId="46">
    <w:name w:val="正文文本缩进 Char"/>
    <w:basedOn w:val="32"/>
    <w:qFormat/>
    <w:uiPriority w:val="0"/>
  </w:style>
  <w:style w:type="character" w:customStyle="1" w:styleId="47">
    <w:name w:val="正文文本缩进 Char1"/>
    <w:basedOn w:val="32"/>
    <w:link w:val="14"/>
    <w:qFormat/>
    <w:uiPriority w:val="0"/>
    <w:rPr>
      <w:kern w:val="0"/>
      <w:sz w:val="24"/>
      <w:szCs w:val="20"/>
    </w:rPr>
  </w:style>
  <w:style w:type="character" w:customStyle="1" w:styleId="48">
    <w:name w:val="纯文本 Char"/>
    <w:basedOn w:val="32"/>
    <w:link w:val="18"/>
    <w:qFormat/>
    <w:uiPriority w:val="99"/>
    <w:rPr>
      <w:rFonts w:eastAsia="宋体"/>
      <w:sz w:val="24"/>
    </w:rPr>
  </w:style>
  <w:style w:type="character" w:customStyle="1" w:styleId="49">
    <w:name w:val="日期 Char"/>
    <w:basedOn w:val="32"/>
    <w:link w:val="19"/>
    <w:qFormat/>
    <w:uiPriority w:val="99"/>
  </w:style>
  <w:style w:type="character" w:customStyle="1" w:styleId="50">
    <w:name w:val="批注框文本 Char"/>
    <w:basedOn w:val="32"/>
    <w:semiHidden/>
    <w:qFormat/>
    <w:uiPriority w:val="99"/>
    <w:rPr>
      <w:sz w:val="18"/>
      <w:szCs w:val="18"/>
    </w:rPr>
  </w:style>
  <w:style w:type="character" w:customStyle="1" w:styleId="51">
    <w:name w:val="批注框文本 Char1"/>
    <w:basedOn w:val="32"/>
    <w:link w:val="20"/>
    <w:semiHidden/>
    <w:qFormat/>
    <w:uiPriority w:val="99"/>
    <w:rPr>
      <w:sz w:val="18"/>
      <w:szCs w:val="18"/>
    </w:rPr>
  </w:style>
  <w:style w:type="character" w:customStyle="1" w:styleId="52">
    <w:name w:val="页脚 Char"/>
    <w:basedOn w:val="32"/>
    <w:link w:val="21"/>
    <w:qFormat/>
    <w:uiPriority w:val="99"/>
    <w:rPr>
      <w:sz w:val="18"/>
      <w:szCs w:val="18"/>
    </w:rPr>
  </w:style>
  <w:style w:type="character" w:customStyle="1" w:styleId="53">
    <w:name w:val="页眉 Char"/>
    <w:basedOn w:val="32"/>
    <w:link w:val="23"/>
    <w:qFormat/>
    <w:uiPriority w:val="99"/>
    <w:rPr>
      <w:sz w:val="18"/>
      <w:szCs w:val="18"/>
    </w:rPr>
  </w:style>
  <w:style w:type="character" w:customStyle="1" w:styleId="54">
    <w:name w:val="HTML 预设格式 Char"/>
    <w:basedOn w:val="32"/>
    <w:semiHidden/>
    <w:qFormat/>
    <w:uiPriority w:val="99"/>
    <w:rPr>
      <w:rFonts w:ascii="宋体" w:hAnsi="宋体" w:eastAsia="宋体" w:cs="宋体"/>
      <w:kern w:val="0"/>
      <w:sz w:val="24"/>
      <w:szCs w:val="24"/>
    </w:rPr>
  </w:style>
  <w:style w:type="character" w:customStyle="1" w:styleId="55">
    <w:name w:val="HTML 预设格式 Char1"/>
    <w:basedOn w:val="32"/>
    <w:link w:val="26"/>
    <w:semiHidden/>
    <w:qFormat/>
    <w:uiPriority w:val="99"/>
    <w:rPr>
      <w:rFonts w:ascii="Courier New" w:hAnsi="Courier New" w:cs="Courier New"/>
      <w:sz w:val="20"/>
      <w:szCs w:val="20"/>
    </w:rPr>
  </w:style>
  <w:style w:type="character" w:customStyle="1" w:styleId="56">
    <w:name w:val="正文首行缩进 Char"/>
    <w:basedOn w:val="45"/>
    <w:link w:val="28"/>
    <w:qFormat/>
    <w:uiPriority w:val="0"/>
    <w:rPr>
      <w:rFonts w:ascii="宋体" w:hAnsi="Times New Roman" w:eastAsia="宋体" w:cs="Times New Roman"/>
      <w:kern w:val="0"/>
      <w:sz w:val="34"/>
      <w:szCs w:val="20"/>
    </w:rPr>
  </w:style>
  <w:style w:type="character" w:customStyle="1" w:styleId="57">
    <w:name w:val="纯文本 Char1"/>
    <w:qFormat/>
    <w:uiPriority w:val="0"/>
    <w:rPr>
      <w:rFonts w:eastAsia="宋体"/>
      <w:sz w:val="24"/>
    </w:rPr>
  </w:style>
  <w:style w:type="paragraph" w:styleId="58">
    <w:name w:val="List Paragraph"/>
    <w:basedOn w:val="1"/>
    <w:unhideWhenUsed/>
    <w:qFormat/>
    <w:uiPriority w:val="99"/>
    <w:pPr>
      <w:ind w:firstLine="420" w:firstLineChars="200"/>
    </w:pPr>
  </w:style>
  <w:style w:type="character" w:customStyle="1" w:styleId="59">
    <w:name w:val="正文文本缩进 Char Char"/>
    <w:link w:val="60"/>
    <w:qFormat/>
    <w:uiPriority w:val="0"/>
    <w:rPr>
      <w:rFonts w:ascii="宋体"/>
      <w:sz w:val="24"/>
    </w:rPr>
  </w:style>
  <w:style w:type="paragraph" w:customStyle="1" w:styleId="60">
    <w:name w:val="正文文本缩进1"/>
    <w:basedOn w:val="1"/>
    <w:link w:val="59"/>
    <w:qFormat/>
    <w:uiPriority w:val="0"/>
    <w:pPr>
      <w:spacing w:line="360" w:lineRule="auto"/>
      <w:ind w:firstLine="480" w:firstLineChars="200"/>
    </w:pPr>
    <w:rPr>
      <w:rFonts w:ascii="宋体"/>
      <w:sz w:val="24"/>
    </w:rPr>
  </w:style>
  <w:style w:type="character" w:customStyle="1" w:styleId="61">
    <w:name w:val="日期 Char Char"/>
    <w:link w:val="62"/>
    <w:qFormat/>
    <w:uiPriority w:val="0"/>
    <w:rPr>
      <w:sz w:val="24"/>
    </w:rPr>
  </w:style>
  <w:style w:type="paragraph" w:customStyle="1" w:styleId="62">
    <w:name w:val="日期1"/>
    <w:basedOn w:val="1"/>
    <w:next w:val="1"/>
    <w:link w:val="61"/>
    <w:qFormat/>
    <w:uiPriority w:val="0"/>
    <w:rPr>
      <w:sz w:val="24"/>
    </w:rPr>
  </w:style>
  <w:style w:type="paragraph" w:customStyle="1" w:styleId="6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6">
    <w:name w:val="edittexttarea"/>
    <w:basedOn w:val="32"/>
    <w:qFormat/>
    <w:uiPriority w:val="0"/>
  </w:style>
  <w:style w:type="paragraph" w:customStyle="1" w:styleId="67">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6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6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70">
    <w:name w:val="*正文"/>
    <w:basedOn w:val="1"/>
    <w:qFormat/>
    <w:uiPriority w:val="0"/>
    <w:pPr>
      <w:keepNext/>
      <w:keepLines/>
      <w:spacing w:line="360" w:lineRule="auto"/>
      <w:ind w:firstLine="200" w:firstLineChars="200"/>
    </w:pPr>
    <w:rPr>
      <w:rFonts w:ascii="宋体" w:hAnsi="宋体"/>
    </w:rPr>
  </w:style>
  <w:style w:type="paragraph" w:customStyle="1" w:styleId="71">
    <w:name w:val="表格样式"/>
    <w:qFormat/>
    <w:uiPriority w:val="0"/>
    <w:pPr>
      <w:framePr w:hSpace="180" w:wrap="around" w:vAnchor="text" w:hAnchor="page" w:x="1582" w:y="302"/>
      <w:contextualSpacing/>
    </w:pPr>
    <w:rPr>
      <w:rFonts w:ascii="宋体" w:hAnsi="微软雅黑" w:eastAsia="宋体" w:cs="Times New Roman"/>
      <w:kern w:val="2"/>
      <w:sz w:val="24"/>
      <w:szCs w:val="28"/>
      <w:lang w:val="en-US" w:eastAsia="zh-CN" w:bidi="ar-SA"/>
    </w:rPr>
  </w:style>
  <w:style w:type="paragraph" w:styleId="72">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73">
    <w:name w:val="列表段落1"/>
    <w:basedOn w:val="1"/>
    <w:qFormat/>
    <w:uiPriority w:val="1"/>
    <w:pPr>
      <w:ind w:firstLine="420"/>
    </w:pPr>
  </w:style>
  <w:style w:type="character" w:customStyle="1" w:styleId="74">
    <w:name w:val="批注文字 Char"/>
    <w:link w:val="12"/>
    <w:semiHidden/>
    <w:qFormat/>
    <w:uiPriority w:val="0"/>
    <w:rPr>
      <w:szCs w:val="24"/>
    </w:rPr>
  </w:style>
  <w:style w:type="character" w:customStyle="1" w:styleId="75">
    <w:name w:val="批注文字 字符"/>
    <w:basedOn w:val="32"/>
    <w:semiHidden/>
    <w:qFormat/>
    <w:uiPriority w:val="99"/>
    <w:rPr>
      <w:rFonts w:asciiTheme="minorHAnsi" w:hAnsiTheme="minorHAnsi" w:eastAsiaTheme="minorEastAsia" w:cstheme="minorBidi"/>
      <w:kern w:val="2"/>
      <w:sz w:val="21"/>
      <w:szCs w:val="22"/>
    </w:rPr>
  </w:style>
  <w:style w:type="paragraph" w:customStyle="1" w:styleId="76">
    <w:name w:val="无间隔1"/>
    <w:basedOn w:val="1"/>
    <w:qFormat/>
    <w:uiPriority w:val="0"/>
    <w:pPr>
      <w:spacing w:line="400" w:lineRule="exact"/>
    </w:pPr>
    <w:rPr>
      <w:sz w:val="24"/>
    </w:rPr>
  </w:style>
  <w:style w:type="character" w:customStyle="1" w:styleId="77">
    <w:name w:val="right"/>
    <w:basedOn w:val="32"/>
    <w:qFormat/>
    <w:uiPriority w:val="0"/>
    <w:rPr>
      <w:color w:val="999999"/>
      <w:sz w:val="18"/>
      <w:szCs w:val="18"/>
    </w:rPr>
  </w:style>
  <w:style w:type="character" w:customStyle="1" w:styleId="78">
    <w:name w:val="green"/>
    <w:basedOn w:val="32"/>
    <w:qFormat/>
    <w:uiPriority w:val="0"/>
    <w:rPr>
      <w:color w:val="66AE00"/>
      <w:sz w:val="18"/>
      <w:szCs w:val="18"/>
    </w:rPr>
  </w:style>
  <w:style w:type="character" w:customStyle="1" w:styleId="79">
    <w:name w:val="red"/>
    <w:basedOn w:val="32"/>
    <w:qFormat/>
    <w:uiPriority w:val="0"/>
    <w:rPr>
      <w:color w:val="FF0000"/>
      <w:sz w:val="18"/>
      <w:szCs w:val="18"/>
    </w:rPr>
  </w:style>
  <w:style w:type="character" w:customStyle="1" w:styleId="80">
    <w:name w:val="red1"/>
    <w:basedOn w:val="32"/>
    <w:qFormat/>
    <w:uiPriority w:val="0"/>
    <w:rPr>
      <w:color w:val="66AE00"/>
      <w:sz w:val="18"/>
      <w:szCs w:val="18"/>
    </w:rPr>
  </w:style>
  <w:style w:type="character" w:customStyle="1" w:styleId="81">
    <w:name w:val="red2"/>
    <w:basedOn w:val="32"/>
    <w:qFormat/>
    <w:uiPriority w:val="0"/>
    <w:rPr>
      <w:color w:val="CC0000"/>
    </w:rPr>
  </w:style>
  <w:style w:type="character" w:customStyle="1" w:styleId="82">
    <w:name w:val="red3"/>
    <w:basedOn w:val="32"/>
    <w:qFormat/>
    <w:uiPriority w:val="0"/>
    <w:rPr>
      <w:color w:val="FF0000"/>
    </w:rPr>
  </w:style>
  <w:style w:type="character" w:customStyle="1" w:styleId="83">
    <w:name w:val="hover25"/>
    <w:basedOn w:val="32"/>
    <w:qFormat/>
    <w:uiPriority w:val="0"/>
  </w:style>
  <w:style w:type="character" w:customStyle="1" w:styleId="84">
    <w:name w:val="active4"/>
    <w:basedOn w:val="32"/>
    <w:qFormat/>
    <w:uiPriority w:val="0"/>
    <w:rPr>
      <w:color w:val="FFFFFF"/>
      <w:shd w:val="clear" w:color="auto" w:fill="2B7AFC"/>
    </w:rPr>
  </w:style>
  <w:style w:type="character" w:customStyle="1" w:styleId="85">
    <w:name w:val="blue"/>
    <w:basedOn w:val="32"/>
    <w:qFormat/>
    <w:uiPriority w:val="0"/>
    <w:rPr>
      <w:color w:val="0371C6"/>
      <w:sz w:val="21"/>
      <w:szCs w:val="21"/>
    </w:rPr>
  </w:style>
  <w:style w:type="character" w:customStyle="1" w:styleId="86">
    <w:name w:val="gb-jt"/>
    <w:basedOn w:val="32"/>
    <w:qFormat/>
    <w:uiPriority w:val="0"/>
  </w:style>
  <w:style w:type="character" w:customStyle="1" w:styleId="87">
    <w:name w:val="green1"/>
    <w:basedOn w:val="32"/>
    <w:qFormat/>
    <w:uiPriority w:val="0"/>
    <w:rPr>
      <w:color w:val="66AE00"/>
      <w:sz w:val="18"/>
      <w:szCs w:val="18"/>
    </w:rPr>
  </w:style>
  <w:style w:type="paragraph" w:customStyle="1" w:styleId="88">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89">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90">
    <w:name w:val="Header or footer|1"/>
    <w:basedOn w:val="1"/>
    <w:qFormat/>
    <w:uiPriority w:val="0"/>
    <w:pPr>
      <w:widowControl w:val="0"/>
      <w:shd w:val="clear" w:color="auto" w:fill="auto"/>
    </w:pPr>
    <w:rPr>
      <w:sz w:val="17"/>
      <w:szCs w:val="17"/>
      <w:u w:val="none"/>
      <w:shd w:val="clear" w:color="auto" w:fill="auto"/>
    </w:rPr>
  </w:style>
  <w:style w:type="paragraph" w:customStyle="1" w:styleId="91">
    <w:name w:val="标题 3_0"/>
    <w:basedOn w:val="92"/>
    <w:next w:val="92"/>
    <w:qFormat/>
    <w:uiPriority w:val="0"/>
    <w:pPr>
      <w:keepNext/>
      <w:keepLines/>
      <w:outlineLvl w:val="2"/>
    </w:pPr>
    <w:rPr>
      <w:rFonts w:ascii="Calibri" w:hAnsi="Calibri" w:eastAsia="仿宋"/>
      <w:b/>
      <w:bCs/>
      <w:sz w:val="30"/>
    </w:rPr>
  </w:style>
  <w:style w:type="paragraph" w:customStyle="1" w:styleId="92">
    <w:name w:val="正文_1_0_0"/>
    <w:qFormat/>
    <w:uiPriority w:val="0"/>
    <w:pPr>
      <w:widowControl w:val="0"/>
      <w:jc w:val="both"/>
    </w:pPr>
    <w:rPr>
      <w:rFonts w:ascii="Times New Roman" w:hAnsi="Times New Roman" w:eastAsia="宋体" w:cs="Times New Roman"/>
      <w:lang w:val="en-US" w:eastAsia="zh-CN" w:bidi="ar-SA"/>
    </w:rPr>
  </w:style>
  <w:style w:type="paragraph" w:customStyle="1" w:styleId="93">
    <w:name w:val="*正文_2"/>
    <w:basedOn w:val="94"/>
    <w:next w:val="94"/>
    <w:qFormat/>
    <w:uiPriority w:val="0"/>
    <w:pPr>
      <w:widowControl/>
      <w:ind w:firstLine="482"/>
    </w:pPr>
    <w:rPr>
      <w:rFonts w:ascii="微软雅黑" w:hAnsi="微软雅黑" w:eastAsia="微软雅黑" w:cs="Times New Roman"/>
      <w:kern w:val="2"/>
      <w:sz w:val="21"/>
      <w:szCs w:val="22"/>
    </w:rPr>
  </w:style>
  <w:style w:type="paragraph" w:customStyle="1" w:styleId="94">
    <w:name w:val="正文_1_0_0_0"/>
    <w:next w:val="95"/>
    <w:qFormat/>
    <w:uiPriority w:val="0"/>
    <w:pPr>
      <w:widowControl w:val="0"/>
      <w:jc w:val="both"/>
    </w:pPr>
    <w:rPr>
      <w:rFonts w:ascii="Times New Roman" w:hAnsi="Times New Roman" w:eastAsia="宋体" w:cs="Times New Roman"/>
      <w:lang w:val="en-US" w:eastAsia="zh-CN" w:bidi="ar-SA"/>
    </w:rPr>
  </w:style>
  <w:style w:type="paragraph" w:customStyle="1" w:styleId="95">
    <w:name w:val="正文文本_0_0"/>
    <w:basedOn w:val="96"/>
    <w:next w:val="98"/>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96">
    <w:name w:val="正文_2"/>
    <w:next w:val="97"/>
    <w:qFormat/>
    <w:uiPriority w:val="0"/>
    <w:pPr>
      <w:widowControl w:val="0"/>
      <w:jc w:val="both"/>
    </w:pPr>
    <w:rPr>
      <w:rFonts w:ascii="Times New Roman" w:hAnsi="Times New Roman" w:eastAsia="宋体" w:cs="Times New Roman"/>
      <w:lang w:val="en-US" w:eastAsia="zh-CN" w:bidi="ar-SA"/>
    </w:rPr>
  </w:style>
  <w:style w:type="paragraph" w:customStyle="1" w:styleId="97">
    <w:name w:val="正文文本_0_0_0"/>
    <w:basedOn w:val="96"/>
    <w:next w:val="9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98">
    <w:name w:val="Default_2"/>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99">
    <w:name w:val="正文_0"/>
    <w:next w:val="10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Default_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1">
    <w:name w:val="No Spacing1"/>
    <w:basedOn w:val="1"/>
    <w:qFormat/>
    <w:uiPriority w:val="1"/>
    <w:pPr>
      <w:spacing w:line="400" w:lineRule="exact"/>
      <w:jc w:val="center"/>
    </w:pPr>
    <w:rPr>
      <w:szCs w:val="32"/>
    </w:rPr>
  </w:style>
  <w:style w:type="character" w:customStyle="1" w:styleId="102">
    <w:name w:val="NormalCharacter"/>
    <w:qFormat/>
    <w:uiPriority w:val="0"/>
  </w:style>
  <w:style w:type="paragraph" w:customStyle="1" w:styleId="103">
    <w:name w:val="HtmlNormal"/>
    <w:basedOn w:val="1"/>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1" textRotate="1"/>
    <customShpInfo spid="_x0000_s3075" textRotate="1"/>
    <customShpInfo spid="_x0000_s3076" textRotate="1"/>
    <customShpInfo spid="_x0000_s3077"/>
    <customShpInfo spid="_x0000_s3078" textRotate="1"/>
    <customShpInfo spid="_x0000_s3079"/>
    <customShpInfo spid="_x0000_s307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64</Pages>
  <Words>40950</Words>
  <Characters>43154</Characters>
  <Lines>297</Lines>
  <Paragraphs>83</Paragraphs>
  <TotalTime>41</TotalTime>
  <ScaleCrop>false</ScaleCrop>
  <LinksUpToDate>false</LinksUpToDate>
  <CharactersWithSpaces>44139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WPS_1591240706</cp:lastModifiedBy>
  <cp:lastPrinted>2022-08-01T07:03:00Z</cp:lastPrinted>
  <dcterms:modified xsi:type="dcterms:W3CDTF">2024-09-05T02:59:08Z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154CEA885CCA416795107758FAC2E672</vt:lpwstr>
  </property>
</Properties>
</file>