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54F0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项目概况</w:t>
      </w:r>
    </w:p>
    <w:p w14:paraId="7E5E68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本项目为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郑州市粮食和物资储备局2025年市级救灾物资采购项目，采购清单一览表如下：</w:t>
      </w:r>
    </w:p>
    <w:p w14:paraId="0D169D5A">
      <w:pPr>
        <w:numPr>
          <w:ilvl w:val="0"/>
          <w:numId w:val="0"/>
        </w:numPr>
        <w:spacing w:line="360" w:lineRule="auto"/>
        <w:jc w:val="center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highlight w:val="none"/>
          <w:lang w:val="en-US" w:eastAsia="zh-CN"/>
        </w:rPr>
        <w:t>（一）采购清单一览表</w:t>
      </w:r>
    </w:p>
    <w:tbl>
      <w:tblPr>
        <w:tblStyle w:val="2"/>
        <w:tblW w:w="45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703"/>
        <w:gridCol w:w="1200"/>
        <w:gridCol w:w="1186"/>
        <w:gridCol w:w="1768"/>
      </w:tblGrid>
      <w:tr w14:paraId="5297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587" w:type="pct"/>
            <w:noWrap w:val="0"/>
            <w:vAlign w:val="center"/>
          </w:tcPr>
          <w:p w14:paraId="79388C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739" w:type="pct"/>
            <w:noWrap w:val="0"/>
            <w:vAlign w:val="center"/>
          </w:tcPr>
          <w:p w14:paraId="6B24E8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采购项目</w:t>
            </w:r>
          </w:p>
        </w:tc>
        <w:tc>
          <w:tcPr>
            <w:tcW w:w="772" w:type="pct"/>
            <w:noWrap w:val="0"/>
            <w:vAlign w:val="center"/>
          </w:tcPr>
          <w:p w14:paraId="04AD7A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计量单位</w:t>
            </w:r>
          </w:p>
        </w:tc>
        <w:tc>
          <w:tcPr>
            <w:tcW w:w="763" w:type="pct"/>
            <w:noWrap w:val="0"/>
            <w:vAlign w:val="center"/>
          </w:tcPr>
          <w:p w14:paraId="10E829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1137" w:type="pct"/>
            <w:noWrap w:val="0"/>
            <w:vAlign w:val="center"/>
          </w:tcPr>
          <w:p w14:paraId="14C5F4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是否采购进口产品</w:t>
            </w:r>
          </w:p>
        </w:tc>
      </w:tr>
      <w:tr w14:paraId="49D5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587" w:type="pct"/>
            <w:noWrap w:val="0"/>
            <w:vAlign w:val="center"/>
          </w:tcPr>
          <w:p w14:paraId="7BA561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739" w:type="pct"/>
            <w:noWrap w:val="0"/>
            <w:vAlign w:val="center"/>
          </w:tcPr>
          <w:p w14:paraId="5EA61E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棉被</w:t>
            </w:r>
          </w:p>
        </w:tc>
        <w:tc>
          <w:tcPr>
            <w:tcW w:w="772" w:type="pct"/>
            <w:noWrap w:val="0"/>
            <w:vAlign w:val="center"/>
          </w:tcPr>
          <w:p w14:paraId="75CBE6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床</w:t>
            </w:r>
          </w:p>
        </w:tc>
        <w:tc>
          <w:tcPr>
            <w:tcW w:w="763" w:type="pct"/>
            <w:noWrap w:val="0"/>
            <w:vAlign w:val="center"/>
          </w:tcPr>
          <w:p w14:paraId="3074FA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5000</w:t>
            </w:r>
          </w:p>
        </w:tc>
        <w:tc>
          <w:tcPr>
            <w:tcW w:w="1137" w:type="pct"/>
            <w:noWrap w:val="0"/>
            <w:vAlign w:val="center"/>
          </w:tcPr>
          <w:p w14:paraId="708C29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否</w:t>
            </w:r>
          </w:p>
        </w:tc>
      </w:tr>
      <w:tr w14:paraId="7BB9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587" w:type="pct"/>
            <w:noWrap w:val="0"/>
            <w:vAlign w:val="center"/>
          </w:tcPr>
          <w:p w14:paraId="6D0CE7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739" w:type="pct"/>
            <w:noWrap w:val="0"/>
            <w:vAlign w:val="center"/>
          </w:tcPr>
          <w:p w14:paraId="6BDD9A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 xml:space="preserve">棉褥  </w:t>
            </w:r>
          </w:p>
        </w:tc>
        <w:tc>
          <w:tcPr>
            <w:tcW w:w="772" w:type="pct"/>
            <w:noWrap w:val="0"/>
            <w:vAlign w:val="center"/>
          </w:tcPr>
          <w:p w14:paraId="255B56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床</w:t>
            </w:r>
          </w:p>
        </w:tc>
        <w:tc>
          <w:tcPr>
            <w:tcW w:w="763" w:type="pct"/>
            <w:noWrap w:val="0"/>
            <w:vAlign w:val="center"/>
          </w:tcPr>
          <w:p w14:paraId="4430E0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10000</w:t>
            </w:r>
          </w:p>
        </w:tc>
        <w:tc>
          <w:tcPr>
            <w:tcW w:w="1137" w:type="pct"/>
            <w:noWrap w:val="0"/>
            <w:vAlign w:val="center"/>
          </w:tcPr>
          <w:p w14:paraId="7D6D29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否</w:t>
            </w:r>
          </w:p>
        </w:tc>
      </w:tr>
      <w:tr w14:paraId="1379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587" w:type="pct"/>
            <w:noWrap w:val="0"/>
            <w:vAlign w:val="center"/>
          </w:tcPr>
          <w:p w14:paraId="75BF37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739" w:type="pct"/>
            <w:noWrap w:val="0"/>
            <w:vAlign w:val="center"/>
          </w:tcPr>
          <w:p w14:paraId="67D6CE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 xml:space="preserve">防寒服  </w:t>
            </w:r>
          </w:p>
        </w:tc>
        <w:tc>
          <w:tcPr>
            <w:tcW w:w="772" w:type="pct"/>
            <w:noWrap w:val="0"/>
            <w:vAlign w:val="center"/>
          </w:tcPr>
          <w:p w14:paraId="676E8E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件</w:t>
            </w:r>
          </w:p>
        </w:tc>
        <w:tc>
          <w:tcPr>
            <w:tcW w:w="763" w:type="pct"/>
            <w:noWrap w:val="0"/>
            <w:vAlign w:val="center"/>
          </w:tcPr>
          <w:p w14:paraId="588247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5000</w:t>
            </w:r>
          </w:p>
        </w:tc>
        <w:tc>
          <w:tcPr>
            <w:tcW w:w="1137" w:type="pct"/>
            <w:noWrap w:val="0"/>
            <w:vAlign w:val="center"/>
          </w:tcPr>
          <w:p w14:paraId="49D0EC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否</w:t>
            </w:r>
          </w:p>
        </w:tc>
      </w:tr>
      <w:tr w14:paraId="00E5A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587" w:type="pct"/>
            <w:noWrap w:val="0"/>
            <w:vAlign w:val="center"/>
          </w:tcPr>
          <w:p w14:paraId="241D61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739" w:type="pct"/>
            <w:noWrap w:val="0"/>
            <w:vAlign w:val="center"/>
          </w:tcPr>
          <w:p w14:paraId="66ED14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 xml:space="preserve">棉大衣 </w:t>
            </w:r>
          </w:p>
        </w:tc>
        <w:tc>
          <w:tcPr>
            <w:tcW w:w="772" w:type="pct"/>
            <w:noWrap w:val="0"/>
            <w:vAlign w:val="center"/>
          </w:tcPr>
          <w:p w14:paraId="0F92C7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件</w:t>
            </w:r>
          </w:p>
        </w:tc>
        <w:tc>
          <w:tcPr>
            <w:tcW w:w="763" w:type="pct"/>
            <w:noWrap w:val="0"/>
            <w:vAlign w:val="center"/>
          </w:tcPr>
          <w:p w14:paraId="1A120A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5000</w:t>
            </w:r>
          </w:p>
        </w:tc>
        <w:tc>
          <w:tcPr>
            <w:tcW w:w="1137" w:type="pct"/>
            <w:noWrap w:val="0"/>
            <w:vAlign w:val="center"/>
          </w:tcPr>
          <w:p w14:paraId="3E1E4A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否</w:t>
            </w:r>
          </w:p>
        </w:tc>
      </w:tr>
      <w:tr w14:paraId="02A4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587" w:type="pct"/>
            <w:noWrap w:val="0"/>
            <w:vAlign w:val="center"/>
          </w:tcPr>
          <w:p w14:paraId="29E980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739" w:type="pct"/>
            <w:noWrap w:val="0"/>
            <w:vAlign w:val="center"/>
          </w:tcPr>
          <w:p w14:paraId="7D086C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手提式强光手电</w:t>
            </w:r>
          </w:p>
        </w:tc>
        <w:tc>
          <w:tcPr>
            <w:tcW w:w="772" w:type="pct"/>
            <w:noWrap w:val="0"/>
            <w:vAlign w:val="center"/>
          </w:tcPr>
          <w:p w14:paraId="0F3EC5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个</w:t>
            </w:r>
          </w:p>
        </w:tc>
        <w:tc>
          <w:tcPr>
            <w:tcW w:w="763" w:type="pct"/>
            <w:noWrap w:val="0"/>
            <w:vAlign w:val="center"/>
          </w:tcPr>
          <w:p w14:paraId="299B48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 xml:space="preserve">100 </w:t>
            </w:r>
          </w:p>
        </w:tc>
        <w:tc>
          <w:tcPr>
            <w:tcW w:w="1137" w:type="pct"/>
            <w:noWrap w:val="0"/>
            <w:vAlign w:val="center"/>
          </w:tcPr>
          <w:p w14:paraId="47F7E8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否</w:t>
            </w:r>
          </w:p>
        </w:tc>
      </w:tr>
    </w:tbl>
    <w:p w14:paraId="3666F209">
      <w:pPr>
        <w:bidi w:val="0"/>
        <w:spacing w:line="360" w:lineRule="auto"/>
        <w:rPr>
          <w:rFonts w:hint="eastAsia"/>
          <w:color w:val="auto"/>
          <w:highlight w:val="none"/>
          <w:lang w:val="en-US" w:eastAsia="zh-CN"/>
        </w:rPr>
      </w:pPr>
    </w:p>
    <w:p w14:paraId="004DE868">
      <w:pPr>
        <w:numPr>
          <w:ilvl w:val="0"/>
          <w:numId w:val="2"/>
        </w:num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技术参数及标准要求</w:t>
      </w:r>
    </w:p>
    <w:p w14:paraId="3EFE4E33">
      <w:pPr>
        <w:bidi w:val="0"/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D3E4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4" w:type="dxa"/>
            <w:noWrap w:val="0"/>
            <w:vAlign w:val="top"/>
          </w:tcPr>
          <w:p w14:paraId="2EC9B2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棉 被</w:t>
            </w:r>
          </w:p>
          <w:p w14:paraId="66D1DB2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  <w:t>1、尺寸</w:t>
            </w:r>
          </w:p>
          <w:p w14:paraId="4B2300BF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1.1 ★被长≥220cm、宽≥150cm，尺寸稳定性符合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GB/T 8628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、GB/T 8629、GB/T 8630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检测标准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  <w:t>。</w:t>
            </w:r>
          </w:p>
          <w:p w14:paraId="27F03503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  <w:t>2、结构</w:t>
            </w:r>
          </w:p>
          <w:p w14:paraId="5136EFDB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2.1 采用被套、被胎可拆卸方式，被胎采用包覆网套加工成型性。</w:t>
            </w:r>
          </w:p>
          <w:p w14:paraId="05FBDDF1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  <w:t>3、外观</w:t>
            </w:r>
          </w:p>
          <w:p w14:paraId="78E4CAEF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3.1 产品整洁美观，线路顺直，缝合牢固，不得有开线、断线、出线等,颜色以供货方提供样品为准。</w:t>
            </w:r>
          </w:p>
          <w:p w14:paraId="556E85F8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  <w:t>4、被套</w:t>
            </w:r>
          </w:p>
          <w:p w14:paraId="776453FE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4.1 棉含量：100%。</w:t>
            </w:r>
          </w:p>
          <w:p w14:paraId="659366B0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4.2 面料采用纯棉机织印花布，纱线线密度：14.5tex/14.5tex，面料密度：420根/10cm×300根/10cm。</w:t>
            </w:r>
          </w:p>
          <w:p w14:paraId="2D3AACA3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4.3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★面料色牢度：耐水、耐汗渍、耐摩擦、耐洗色牢度≥3-4级，符合GB/T 5713、3920、3921、3922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  <w:t>。</w:t>
            </w:r>
          </w:p>
          <w:p w14:paraId="28B23D82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  <w:t>5、棉胎</w:t>
            </w:r>
          </w:p>
          <w:p w14:paraId="1F3BE572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5.1 ★棉胎要求（含包覆网）：棉胎等级：一级，符合GH/T 1020-2020《梳棉胎》检测标准。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棉花被胎，白色被胎包布，绗缝工艺。</w:t>
            </w:r>
          </w:p>
          <w:p w14:paraId="60BC2355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5.2 棉胎包覆网套要求：</w:t>
            </w:r>
          </w:p>
          <w:p w14:paraId="769475D5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（1）纱线要求：采用不低于32英支的纯棉纱线。</w:t>
            </w:r>
          </w:p>
          <w:p w14:paraId="1260DEBE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（2）结构要求：棉胎每面各覆有三层网纱（一层坚纱，两层斜纱）。</w:t>
            </w:r>
          </w:p>
          <w:p w14:paraId="4D126812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（3）★网纱密度：每层网纱密度均不小于13根/10厘米（即33根/英寸）。</w:t>
            </w:r>
          </w:p>
          <w:p w14:paraId="06D3011E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（4）筋纱要求：坚纱（经向）筋纱不少于5道，左斜和右斜向筋纱各不少于15道。</w:t>
            </w:r>
          </w:p>
          <w:p w14:paraId="39157AC7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（5）工艺要求：网纱与棉花研磨充分、完全粘连，研磨率≥80%。</w:t>
            </w:r>
          </w:p>
          <w:p w14:paraId="273D1624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5.3 ★棉胎≥2500g。</w:t>
            </w:r>
          </w:p>
          <w:p w14:paraId="14861EF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  <w:t>6、包装</w:t>
            </w:r>
          </w:p>
          <w:p w14:paraId="55CC58CE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6.1 包装规格符合国家应急救灾物资统一要求，外包装印制：物资品名、数量、质量、体积、规格、生产日期、生产厂家等基本信息。</w:t>
            </w:r>
          </w:p>
          <w:p w14:paraId="7117822D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  <w:t>7、其他要求</w:t>
            </w:r>
          </w:p>
          <w:p w14:paraId="206ED8C7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7.1 ★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致癌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芳香胺含量：≤20㎎/kg。</w:t>
            </w:r>
          </w:p>
          <w:p w14:paraId="4A2CF0E6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7.2 ★甲醛含量、pH值：符合GB 18401 B类检测标准。</w:t>
            </w:r>
          </w:p>
          <w:p w14:paraId="003D8C75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 xml:space="preserve">7.3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所有产品均需带有产品标志（产品标志符合相关规范及要求）且物资外包装必需印制救灾物资专用标识。</w:t>
            </w:r>
          </w:p>
          <w:p w14:paraId="1D85E3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其他技术标准按照应急管理部修订《棉被（试行）》（胎芯棉花）标准执行。</w:t>
            </w:r>
          </w:p>
        </w:tc>
      </w:tr>
    </w:tbl>
    <w:p w14:paraId="6CA1103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9CE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4" w:type="dxa"/>
            <w:noWrap w:val="0"/>
            <w:vAlign w:val="top"/>
          </w:tcPr>
          <w:p w14:paraId="60A1794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棉  褥（核心产品）</w:t>
            </w:r>
          </w:p>
          <w:p w14:paraId="7A9C72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1、尺寸</w:t>
            </w:r>
          </w:p>
          <w:p w14:paraId="1DF2E0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1.1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褥套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2050mm×950mm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面料为高密度活性印花仿植物羊绒（聚酯纤维 100%）。</w:t>
            </w:r>
          </w:p>
          <w:p w14:paraId="272EB5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1.2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褥胎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2000mm×900mm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，符合GB/T 22796-2009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检测标准。</w:t>
            </w:r>
          </w:p>
          <w:p w14:paraId="2AC8B3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2、外观</w:t>
            </w:r>
          </w:p>
          <w:p w14:paraId="5AF533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2.1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形态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纤维蓬松均匀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手感柔软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 xml:space="preserve">回弹性好。 </w:t>
            </w:r>
          </w:p>
          <w:p w14:paraId="5561A9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2.2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铺棉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铺棉均匀平坦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薄厚一致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手感无棉块。包边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包边整齐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四角平直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四角方正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无缺花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不塌边。</w:t>
            </w:r>
          </w:p>
          <w:p w14:paraId="1B07E2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3、成分</w:t>
            </w:r>
          </w:p>
          <w:p w14:paraId="682DBB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3.1 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国标原棉，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无漂白，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棉纤维 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符合FZ/T 01057、GB/T 2910检测标准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  <w:p w14:paraId="65BB84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3.2 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含杂率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≤0.8%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符合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GB/T 18383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标准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  <w:p w14:paraId="55ACE4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3.3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研磨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网线与棉花磨合的程度完全粘连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研磨率 ≥80%。</w:t>
            </w:r>
          </w:p>
          <w:p w14:paraId="1CB82C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网纱要求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：</w:t>
            </w:r>
          </w:p>
          <w:p w14:paraId="75C00D02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（1）纱线要求：采用不低于32英支的纯棉纱线。</w:t>
            </w:r>
          </w:p>
          <w:p w14:paraId="6B7142B2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（2）结构要求：棉胎每面各覆有三层网纱（一层坚纱，两层斜纱）。</w:t>
            </w:r>
          </w:p>
          <w:p w14:paraId="34D17A68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（3）★网纱密度：每层网纱密度均不小于13根/10厘米（即33根/英寸）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4A389C97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（4）筋纱要求：坚纱（经向）筋纱不少于5道，左斜和右斜向筋纱各不少于15道。</w:t>
            </w:r>
          </w:p>
          <w:p w14:paraId="5AA20B65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（5）工艺要求：网纱与棉花研磨充分、完全粘连，研磨率≥80%。手持棉胎任意一处抖动，无棉花滑脱和钻出现象。</w:t>
            </w:r>
          </w:p>
          <w:p w14:paraId="5340B7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5、棉胎</w:t>
            </w:r>
          </w:p>
          <w:p w14:paraId="30FA76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5.1 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重量：≥2500g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707F99F7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5.2 ★棉胎等级：一级，符合GH/T 1020-2020《梳棉胎》检测标准。</w:t>
            </w:r>
          </w:p>
          <w:p w14:paraId="4E99CF07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6、包装</w:t>
            </w:r>
          </w:p>
          <w:p w14:paraId="4A80D2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6.1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产品质量符合 GB/T22796-2009《被、被套》合格品标准要求和 DB41/T263-2014《絮用纤维制品、棉胎》一级棉胎标准要求。</w:t>
            </w:r>
          </w:p>
          <w:p w14:paraId="2D8F1B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6.2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包装：每 10 条打一包，包装及质量符合 MZ/T014.1-2010 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  <w:p w14:paraId="2750F6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6.3 包装规格符合国家应急救灾物资统一要求，外包装印制:物资品名、数量、质量、体积、规格、生产日期、生产厂家等基本信息。</w:t>
            </w:r>
          </w:p>
          <w:p w14:paraId="7E7AF9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7、其他要求</w:t>
            </w:r>
          </w:p>
          <w:p w14:paraId="3982F6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7.1 ★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致癌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芳香胺含量：≤20㎎/kg</w:t>
            </w:r>
          </w:p>
          <w:p w14:paraId="37D93C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7.2 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安全类别：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甲醛含量、pH值：符合GB 18401 B类检测标准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307613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7.3 所有产品均需带有产品标志（产品标志符合相关规范及要求）且物资外包装必需印制救灾物资专用标识。</w:t>
            </w:r>
          </w:p>
        </w:tc>
      </w:tr>
    </w:tbl>
    <w:p w14:paraId="0B8EC81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6402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4" w:type="dxa"/>
            <w:noWrap w:val="0"/>
            <w:vAlign w:val="top"/>
          </w:tcPr>
          <w:p w14:paraId="5FDCCF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防寒服</w:t>
            </w:r>
          </w:p>
          <w:p w14:paraId="17C90D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1、尺寸</w:t>
            </w:r>
          </w:p>
          <w:p w14:paraId="37559D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1.1 规格：按照采购人要求提供。具体按照应急管理部《救灾被服 第 2 部分：防寒服（试行）》MZ/T014.2—2010要求的尺寸提供。</w:t>
            </w:r>
          </w:p>
          <w:p w14:paraId="555734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2、颜色</w:t>
            </w:r>
          </w:p>
          <w:p w14:paraId="5F844C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2.1 颜色：藏青色。</w:t>
            </w:r>
          </w:p>
          <w:p w14:paraId="4882E9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3、用料</w:t>
            </w:r>
          </w:p>
          <w:p w14:paraId="75D3FF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3.1 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面料：藏青色涤棉轧光帆布，涤棉 80/20，29.5tex×2/59tex，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面料性能：断裂强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、撕破强力、静水压、透气率，符合GB/T 3923.1、3917.3、4745检测标准；</w:t>
            </w:r>
          </w:p>
          <w:p w14:paraId="0799C0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3.2 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料：经纱：83dtex/48f FDY+20dtex。</w:t>
            </w:r>
          </w:p>
          <w:p w14:paraId="6C9021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3.3 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内胆保暖层：涤纶压缩软棉，120g/㎡；保温性能符合GB/T 11048 (B)检测标准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774723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3.4 ★辅料：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拉链、聚酯四眼扣等辅料性能，符合QB/T 2173、QB/T 3637检测标准。</w:t>
            </w:r>
          </w:p>
          <w:p w14:paraId="1873BD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3.5 ★面料色牢度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：耐光、耐摩擦、耐洗色牢度≥4级，符合GB/T 8427、3920、3921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0495DE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4、包装</w:t>
            </w:r>
          </w:p>
          <w:p w14:paraId="1C6C3C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4.1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包装规格符合国家应急救灾物资统一要求，外包装印制：物资品名、数量、质量、体积、规格、生产日期、生产厂家等基本信息。</w:t>
            </w:r>
          </w:p>
          <w:p w14:paraId="3D0DF5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5、其他要求</w:t>
            </w:r>
          </w:p>
          <w:p w14:paraId="4DE1BF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5.1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致癌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芳香胺含量：≤20㎎/kg。</w:t>
            </w:r>
          </w:p>
          <w:p w14:paraId="4A3BF7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5.2 ★甲醛含量、pH值：符合GB 18401 C类检测标准。</w:t>
            </w:r>
          </w:p>
          <w:p w14:paraId="6C10B8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5.3 所有产品均需带有产品标志（产品标志符合相关规范及要求）且物资外包装必需印制救灾物资专用标识。</w:t>
            </w:r>
          </w:p>
          <w:p w14:paraId="54AF09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其他技术标准按照应急管理部</w:t>
            </w:r>
            <w:bookmarkStart w:id="0" w:name="_Toc63672416"/>
            <w:bookmarkStart w:id="1" w:name="_Toc63651857"/>
            <w:bookmarkStart w:id="2" w:name="_Toc63652483"/>
            <w:bookmarkStart w:id="3" w:name="_Toc63651211"/>
            <w:bookmarkStart w:id="4" w:name="_Toc63652028"/>
            <w:bookmarkStart w:id="5" w:name="SectionMark4"/>
            <w:bookmarkStart w:id="6" w:name="_Toc63650632"/>
            <w:bookmarkStart w:id="7" w:name="_Toc63652376"/>
            <w:bookmarkStart w:id="8" w:name="_Toc63484603"/>
            <w:bookmarkStart w:id="9" w:name="_Toc63652623"/>
            <w:bookmarkStart w:id="10" w:name="_Toc63583186"/>
            <w:bookmarkStart w:id="11" w:name="_Toc63651579"/>
            <w:bookmarkStart w:id="12" w:name="_Toc63652225"/>
            <w:bookmarkStart w:id="13" w:name="_Toc63651441"/>
            <w:bookmarkStart w:id="14" w:name="_Toc63583290"/>
            <w:bookmarkStart w:id="15" w:name="_Toc63652127"/>
            <w:bookmarkStart w:id="16" w:name="_Toc63650838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救灾被服：防寒服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（试行）标准执行。</w:t>
            </w:r>
          </w:p>
        </w:tc>
      </w:tr>
    </w:tbl>
    <w:p w14:paraId="5BF5060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D17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4" w:type="dxa"/>
            <w:noWrap w:val="0"/>
            <w:vAlign w:val="top"/>
          </w:tcPr>
          <w:p w14:paraId="442AB2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棉大衣</w:t>
            </w:r>
          </w:p>
          <w:p w14:paraId="47558F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1、尺寸</w:t>
            </w:r>
          </w:p>
          <w:p w14:paraId="674A0E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1.1 规格：按照采购人要求提供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具体按照应急管理部《救灾被服 第 2 部分：防寒服（试行）》MZ/T014.2—2010要求的尺寸提供。</w:t>
            </w:r>
          </w:p>
          <w:p w14:paraId="2EA4F1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both"/>
              <w:textAlignment w:val="center"/>
              <w:rPr>
                <w:rFonts w:hint="default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2、颜色</w:t>
            </w:r>
          </w:p>
          <w:p w14:paraId="5625BD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2.1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颜色：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标准按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照</w:t>
            </w: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《救灾被服 第 2 部分：棉大衣》MZ/T014.2—2010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标准执行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。 </w:t>
            </w:r>
          </w:p>
          <w:p w14:paraId="37D64F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用料 </w:t>
            </w:r>
          </w:p>
          <w:p w14:paraId="7ADB0448"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3.1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面料：185T 单面涂覆 PU 防水锦纶塔丝绒，80g/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㎡。</w:t>
            </w:r>
          </w:p>
          <w:p w14:paraId="654DECF0"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3.2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里料：选用 190T 涤丝纺，50g/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。 </w:t>
            </w:r>
          </w:p>
          <w:p w14:paraId="42645305"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3.3 ★填充物：中空涤纶短纤维絮片，身保暖层2500g/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㎡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，袖保暖层、领里120g/㎡，符合GB/T 11048—2008检测标准。 </w:t>
            </w:r>
          </w:p>
          <w:p w14:paraId="13E2C1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3.4 缝纫针距：明线针距 12~14 针/3cm；暗线针距:11~13 针/3cm；绗缝针距≥5 针/3cm，绗距不大于 10cm，各部位均为经向绗线。</w:t>
            </w:r>
          </w:p>
          <w:p w14:paraId="69981C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3.5 ★面料色牢度：耐摩擦、耐洗色牢度≥3-4级，符合GB/T 3920、3921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769F3F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textAlignment w:val="center"/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4、包装</w:t>
            </w:r>
          </w:p>
          <w:p w14:paraId="3478E9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firstLine="420" w:firstLineChars="200"/>
              <w:jc w:val="both"/>
              <w:textAlignment w:val="center"/>
              <w:rPr>
                <w:rFonts w:hint="default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4.1 </w:t>
            </w:r>
            <w:r>
              <w:rPr>
                <w:rFonts w:hint="default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包</w:t>
            </w: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装规格符合国家应急救灾物资统一要求，外包装印制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物资品名、数量、质量、体积、规格、生产日期、生产厂家</w:t>
            </w:r>
            <w:r>
              <w:rPr>
                <w:rFonts w:hint="default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等基本信息。</w:t>
            </w:r>
          </w:p>
          <w:p w14:paraId="1673B9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textAlignment w:val="center"/>
              <w:rPr>
                <w:rFonts w:hint="default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5、其他要求</w:t>
            </w:r>
          </w:p>
          <w:p w14:paraId="2A71CA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5.1 ★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致癌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芳香胺含量：≤20㎎/kg</w:t>
            </w:r>
          </w:p>
          <w:p w14:paraId="5ED008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default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5.2 ★甲醛含量、pH值：符合GB 18401 B类检测标准。</w:t>
            </w:r>
          </w:p>
          <w:p w14:paraId="423F61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 w:firstLine="420" w:firstLineChars="200"/>
              <w:jc w:val="both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5.3 所有产品均需带有产品标志（产品标志符合相关规范及要求）且物资外包装必需印制救灾物资专用标识</w:t>
            </w: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22BDEF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技术标准按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照</w:t>
            </w: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《救灾被服 第 2 部分：棉大衣》MZ/T014.2—2010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标准执行。</w:t>
            </w:r>
          </w:p>
        </w:tc>
      </w:tr>
    </w:tbl>
    <w:p w14:paraId="3D5AEE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32F2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4" w:type="dxa"/>
            <w:noWrap w:val="0"/>
            <w:vAlign w:val="top"/>
          </w:tcPr>
          <w:p w14:paraId="7CBB441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手提式强光手电</w:t>
            </w:r>
          </w:p>
          <w:p w14:paraId="344589A5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采用航空铝合金材质，硬质阳极氧化化-钛黑色，抗水、抗压、灯泡寿命10万小时，重复充电1000次，电池可持续照明360分钟以上，各项技术指标符合检测标准。</w:t>
            </w:r>
          </w:p>
          <w:p w14:paraId="1DA4BBFE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采用双项充电配套附件。尤其是车载充电器配有较小的充电插头，可随时插入汽车插孔进行充电。</w:t>
            </w:r>
          </w:p>
          <w:p w14:paraId="4B58827E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充电时长（满电）：≤6小时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，带保护电路的NT18650锂电池可充电电池。</w:t>
            </w:r>
          </w:p>
          <w:p w14:paraId="324B9261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重量不大于140g(不含电池)。</w:t>
            </w:r>
          </w:p>
        </w:tc>
      </w:tr>
    </w:tbl>
    <w:p w14:paraId="2658EA5F">
      <w:pPr>
        <w:bidi w:val="0"/>
        <w:rPr>
          <w:color w:val="auto"/>
          <w:highlight w:val="none"/>
          <w:lang w:val="en-US" w:eastAsia="zh-CN"/>
        </w:rPr>
      </w:pPr>
    </w:p>
    <w:p w14:paraId="65830D4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样品要求</w:t>
      </w:r>
    </w:p>
    <w:p w14:paraId="3374305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棉被、棉褥、防寒服、棉大衣、手提式强光手电</w:t>
      </w:r>
      <w:r>
        <w:rPr>
          <w:rFonts w:hint="eastAsia" w:ascii="宋体" w:hAnsi="宋体" w:eastAsia="宋体" w:cs="宋体"/>
          <w:b/>
          <w:bCs/>
          <w:color w:val="auto"/>
          <w:kern w:val="0"/>
          <w:highlight w:val="none"/>
          <w:lang w:val="en-US" w:eastAsia="zh-CN" w:bidi="ar"/>
        </w:rPr>
        <w:t>，均需提供样品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highlight w:val="none"/>
          <w:lang w:val="en-US" w:eastAsia="zh-CN" w:bidi="ar"/>
        </w:rPr>
        <w:t>。</w:t>
      </w:r>
    </w:p>
    <w:p w14:paraId="70288ED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0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highlight w:val="none"/>
          <w:lang w:val="en-US" w:eastAsia="zh-CN" w:bidi="ar"/>
        </w:rPr>
        <w:t>样品规格：</w:t>
      </w:r>
    </w:p>
    <w:p w14:paraId="50B015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棉被：尺寸：被长220cm×宽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150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cm；颜色：以供货方提供样品为准；数量：1条；</w:t>
      </w:r>
    </w:p>
    <w:p w14:paraId="3E1EF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棉褥（含褥胎）：尺寸：褥套长2050mm×宽950mm；颜色：以供货方提供样品为准；数量：1条；</w:t>
      </w:r>
    </w:p>
    <w:p w14:paraId="78842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防寒服：尺寸：中号；颜色：藏青色；数量：1件；</w:t>
      </w:r>
    </w:p>
    <w:p w14:paraId="768611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棉大衣：尺寸：中号；颜色：标准按照《救灾被服 第 2 部分：棉大衣》MZ/T014.2—2010标准执行；数量：1件；</w:t>
      </w:r>
    </w:p>
    <w:p w14:paraId="793FD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手提式强光手电：1个。</w:t>
      </w:r>
    </w:p>
    <w:p w14:paraId="15D9EA9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  <w:t>投标人应按照招标文件的要求在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4"/>
          <w:highlight w:val="none"/>
          <w:lang w:val="en-US" w:eastAsia="zh-CN" w:bidi="ar-SA"/>
        </w:rPr>
        <w:t>2025年</w:t>
      </w:r>
      <w:r>
        <w:rPr>
          <w:rFonts w:hint="eastAsia" w:cs="宋体"/>
          <w:b/>
          <w:bCs/>
          <w:color w:val="auto"/>
          <w:kern w:val="2"/>
          <w:sz w:val="21"/>
          <w:szCs w:val="24"/>
          <w:highlight w:val="none"/>
          <w:lang w:val="en-US" w:eastAsia="zh-CN" w:bidi="ar-SA"/>
        </w:rPr>
        <w:t>10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4"/>
          <w:highlight w:val="none"/>
          <w:lang w:val="en-US" w:eastAsia="zh-CN" w:bidi="ar-SA"/>
        </w:rPr>
        <w:t>月</w:t>
      </w:r>
      <w:r>
        <w:rPr>
          <w:rFonts w:hint="eastAsia" w:cs="宋体"/>
          <w:b/>
          <w:bCs/>
          <w:color w:val="auto"/>
          <w:kern w:val="2"/>
          <w:sz w:val="21"/>
          <w:szCs w:val="24"/>
          <w:highlight w:val="none"/>
          <w:lang w:val="en-US" w:eastAsia="zh-CN" w:bidi="ar-SA"/>
        </w:rPr>
        <w:t>29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4"/>
          <w:highlight w:val="none"/>
          <w:lang w:val="en-US" w:eastAsia="zh-CN" w:bidi="ar-SA"/>
        </w:rPr>
        <w:t>日</w:t>
      </w:r>
      <w:r>
        <w:rPr>
          <w:rFonts w:hint="eastAsia" w:cs="宋体"/>
          <w:b/>
          <w:bCs/>
          <w:color w:val="auto"/>
          <w:kern w:val="2"/>
          <w:sz w:val="21"/>
          <w:szCs w:val="24"/>
          <w:highlight w:val="none"/>
          <w:lang w:val="en-US" w:eastAsia="zh-CN" w:bidi="ar-SA"/>
        </w:rPr>
        <w:t>9:50之前</w:t>
      </w:r>
      <w:r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  <w:t>将样品送到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4"/>
          <w:highlight w:val="none"/>
          <w:lang w:val="en-US" w:eastAsia="zh-CN" w:bidi="ar-SA"/>
        </w:rPr>
        <w:t>郑州市中原西路与图强路交叉口郑发大厦（郑州市公共资源交易中心新址）五楼</w:t>
      </w:r>
      <w:r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  <w:t>，逾期送达的，将不再接收，由此产生的一切后果由投标人自行承担。</w:t>
      </w:r>
    </w:p>
    <w:p w14:paraId="163B031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  <w:t>投标人须将样品全部封装在包装箱内，包装箱外不得有任何反映供应商身份信息的标识。包装箱内放置一份使用A4纸打印的投标样品递交清单（清单上须写：①投标人名称；②项目名称；③样品清单及规格型号；④联系人及联系方式）。</w:t>
      </w:r>
    </w:p>
    <w:p w14:paraId="7274A48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  <w:t>未中标投标人的样品，中标结果发布之后退还；中标投标人的样品暂不予退还，评审结束后，由采购人封存，作为之后合同履行及验收的依据。</w:t>
      </w:r>
    </w:p>
    <w:p w14:paraId="4473B6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宋体"/>
          <w:b/>
          <w:bCs/>
          <w:color w:val="auto"/>
          <w:szCs w:val="21"/>
          <w:highlight w:val="none"/>
          <w:lang w:val="en-US" w:eastAsia="zh-CN"/>
        </w:rPr>
        <w:t>注：投标人应根据单位的各自情况，合理安排时间，如有不清楚的可联系郑州市交易中心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0371-</w:t>
      </w:r>
      <w:r>
        <w:rPr>
          <w:rFonts w:hint="eastAsia" w:cs="宋体"/>
          <w:b/>
          <w:bCs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67110683；代理机构15737178135。</w:t>
      </w:r>
    </w:p>
    <w:p w14:paraId="4C22431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商务要求 </w:t>
      </w:r>
    </w:p>
    <w:p w14:paraId="753C24D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1.交货期：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合同签订后25日历天内交货。</w:t>
      </w:r>
    </w:p>
    <w:p w14:paraId="66A2603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2.交货地点：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采购人指定地点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。</w:t>
      </w:r>
    </w:p>
    <w:p w14:paraId="61A0943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3.质量标准：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符合国家或行业规定的合格标准，并满足采购人要求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。</w:t>
      </w:r>
    </w:p>
    <w:p w14:paraId="5345E33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4.质保期：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自验收合格之日起算，质保一年。</w:t>
      </w:r>
    </w:p>
    <w:p w14:paraId="71D058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20" w:firstLineChars="200"/>
        <w:jc w:val="left"/>
        <w:textAlignment w:val="auto"/>
        <w:outlineLvl w:val="9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5.付款方式：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验收合格后，由乙方提供该项目整体发票，甲方按照政府采购管理制度再支付合同总价100%。</w:t>
      </w:r>
    </w:p>
    <w:p w14:paraId="401D0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6.履约验收要求：符合招标文件及投标文件要求，由</w:t>
      </w: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组织统一验收。</w:t>
      </w:r>
    </w:p>
    <w:p w14:paraId="146D1BB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7.商品包装和快递包装应符合《商品包装政府采购需求标准（试行）》。</w:t>
      </w:r>
    </w:p>
    <w:p w14:paraId="4751A50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其他要求</w:t>
      </w:r>
    </w:p>
    <w:p w14:paraId="345EF12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  <w:t>1.投标人针对本项目制定供货方案，包含不限于生产备货方案；内部质检方案；交货进度保障方案；人员配备方案；履约验收方案。</w:t>
      </w:r>
    </w:p>
    <w:p w14:paraId="3EDB016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  <w:t>2.投标人针对本项目制定质量保证措施，包含不限于原材料采购与检验；生产过程的质控；出厂检验与抽样；货物包装；运输过程的防护。</w:t>
      </w:r>
    </w:p>
    <w:p w14:paraId="3C0EBEE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  <w:t>3.投标人制定应急保障措施，包含不限于</w:t>
      </w:r>
      <w:bookmarkStart w:id="17" w:name="_GoBack"/>
      <w:bookmarkEnd w:id="17"/>
      <w:r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  <w:t>应急组织指挥体系；人员保障措施；安全防护措施；应急响应措施及响应时间；物资储备与调度保障。</w:t>
      </w:r>
    </w:p>
    <w:p w14:paraId="624F3F8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  <w:t>4.投标人制定售后服务方案，包含不限于售后响应时间（接到故障通知后2小时内响应，24小时内提供解决方案）；货物的维护与保养指导方案；包修、包换、包退服务方案及承诺。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A89D7"/>
    <w:multiLevelType w:val="singleLevel"/>
    <w:tmpl w:val="A48A89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EF3A6AD"/>
    <w:multiLevelType w:val="singleLevel"/>
    <w:tmpl w:val="DEF3A6A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19FE41A"/>
    <w:multiLevelType w:val="singleLevel"/>
    <w:tmpl w:val="119FE41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5C57CFA"/>
    <w:multiLevelType w:val="singleLevel"/>
    <w:tmpl w:val="65C57C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625C9"/>
    <w:rsid w:val="7354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2025-09-30T06:20:56Z</dcterms:created>
  <dc:creator>Administrator</dc:creator>
  <cp:lastModifiedBy>侯高磊</cp:lastModifiedBy>
  <dcterms:modified xsi:type="dcterms:W3CDTF">2025-09-30T06:22:35Z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eyJoZGlkIjoiZDc5OTE4ZGE1MTY0MmJhNTFlOTZiYjEwYTMzNGNiNDYiLCJ1c2VySWQiOiIxNDU0Njc3NjI0In0=</vt:lpwstr>
  </property>
  <property fmtid="{D5CDD505-2E9C-101B-9397-08002B2CF9AE}" pid="4" name="ICV">
    <vt:lpwstr>10ACD3C1D6184DE6B1CC38767B08706B_12</vt:lpwstr>
  </property>
</Properties>
</file>