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129EBD">
      <w:pPr>
        <w:keepNext w:val="0"/>
        <w:keepLines w:val="0"/>
        <w:pageBreakBefore w:val="0"/>
        <w:widowControl w:val="0"/>
        <w:kinsoku/>
        <w:wordWrap/>
        <w:overflowPunct/>
        <w:topLinePunct w:val="0"/>
        <w:bidi w:val="0"/>
        <w:spacing w:line="360" w:lineRule="auto"/>
        <w:jc w:val="center"/>
        <w:rPr>
          <w:rFonts w:hint="eastAsia" w:ascii="仿宋" w:hAnsi="仿宋" w:eastAsia="仿宋" w:cs="仿宋"/>
          <w:b/>
          <w:bCs/>
          <w:color w:val="auto"/>
          <w:sz w:val="36"/>
          <w:szCs w:val="36"/>
          <w:highlight w:val="none"/>
        </w:rPr>
      </w:pPr>
      <w:bookmarkStart w:id="1761" w:name="_GoBack"/>
      <w:bookmarkEnd w:id="1761"/>
      <w:r>
        <w:rPr>
          <w:rFonts w:hint="eastAsia" w:ascii="仿宋" w:hAnsi="仿宋" w:eastAsia="仿宋" w:cs="仿宋"/>
          <w:color w:val="auto"/>
          <w:sz w:val="30"/>
          <w:szCs w:val="30"/>
          <w:highlight w:val="none"/>
          <w:lang w:val="en-US" w:bidi="ar-SA"/>
        </w:rPr>
        <w:drawing>
          <wp:anchor distT="0" distB="0" distL="114300" distR="114300" simplePos="0" relativeHeight="251660288" behindDoc="1" locked="0" layoutInCell="1" allowOverlap="1">
            <wp:simplePos x="0" y="0"/>
            <wp:positionH relativeFrom="page">
              <wp:posOffset>5539740</wp:posOffset>
            </wp:positionH>
            <wp:positionV relativeFrom="page">
              <wp:posOffset>1003935</wp:posOffset>
            </wp:positionV>
            <wp:extent cx="715010" cy="664845"/>
            <wp:effectExtent l="0" t="0" r="8890" b="1905"/>
            <wp:wrapNone/>
            <wp:docPr id="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
                    <pic:cNvPicPr>
                      <a:picLocks noChangeAspect="1"/>
                    </pic:cNvPicPr>
                  </pic:nvPicPr>
                  <pic:blipFill>
                    <a:blip r:embed="rId12"/>
                    <a:stretch>
                      <a:fillRect/>
                    </a:stretch>
                  </pic:blipFill>
                  <pic:spPr>
                    <a:xfrm>
                      <a:off x="0" y="0"/>
                      <a:ext cx="715010" cy="664845"/>
                    </a:xfrm>
                    <a:prstGeom prst="rect">
                      <a:avLst/>
                    </a:prstGeom>
                    <a:noFill/>
                    <a:ln>
                      <a:noFill/>
                    </a:ln>
                  </pic:spPr>
                </pic:pic>
              </a:graphicData>
            </a:graphic>
          </wp:anchor>
        </w:drawing>
      </w:r>
    </w:p>
    <w:p w14:paraId="7FAFC9C7">
      <w:pPr>
        <w:keepNext w:val="0"/>
        <w:keepLines w:val="0"/>
        <w:pageBreakBefore w:val="0"/>
        <w:widowControl w:val="0"/>
        <w:kinsoku/>
        <w:wordWrap/>
        <w:overflowPunct/>
        <w:topLinePunct w:val="0"/>
        <w:bidi w:val="0"/>
        <w:spacing w:line="360" w:lineRule="auto"/>
        <w:jc w:val="center"/>
        <w:rPr>
          <w:rFonts w:hint="eastAsia" w:ascii="仿宋" w:hAnsi="仿宋" w:eastAsia="仿宋" w:cs="仿宋"/>
          <w:b/>
          <w:bCs/>
          <w:color w:val="auto"/>
          <w:sz w:val="36"/>
          <w:szCs w:val="36"/>
          <w:highlight w:val="none"/>
        </w:rPr>
      </w:pPr>
    </w:p>
    <w:p w14:paraId="7108CB39">
      <w:pPr>
        <w:keepNext w:val="0"/>
        <w:keepLines w:val="0"/>
        <w:pageBreakBefore w:val="0"/>
        <w:widowControl w:val="0"/>
        <w:kinsoku/>
        <w:wordWrap/>
        <w:overflowPunct/>
        <w:topLinePunct w:val="0"/>
        <w:bidi w:val="0"/>
        <w:spacing w:line="360" w:lineRule="auto"/>
        <w:jc w:val="center"/>
        <w:rPr>
          <w:rFonts w:hint="eastAsia" w:ascii="仿宋" w:hAnsi="仿宋" w:eastAsia="仿宋" w:cs="仿宋"/>
          <w:b/>
          <w:bCs/>
          <w:color w:val="auto"/>
          <w:sz w:val="36"/>
          <w:szCs w:val="36"/>
          <w:highlight w:val="none"/>
        </w:rPr>
      </w:pPr>
      <w:r>
        <w:rPr>
          <w:rFonts w:hint="eastAsia" w:ascii="仿宋" w:hAnsi="仿宋" w:eastAsia="仿宋" w:cs="仿宋"/>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365125</wp:posOffset>
                </wp:positionH>
                <wp:positionV relativeFrom="paragraph">
                  <wp:posOffset>309880</wp:posOffset>
                </wp:positionV>
                <wp:extent cx="4874260" cy="2252980"/>
                <wp:effectExtent l="0" t="0" r="0" b="0"/>
                <wp:wrapNone/>
                <wp:docPr id="3" name="矩形 3" descr="7b0a20202020227461726765744d6f64756c65223a202270726f636573734f6e6c696e65466f6e7473220a7d0a"/>
                <wp:cNvGraphicFramePr/>
                <a:graphic xmlns:a="http://schemas.openxmlformats.org/drawingml/2006/main">
                  <a:graphicData uri="http://schemas.microsoft.com/office/word/2010/wordprocessingShape">
                    <wps:wsp>
                      <wps:cNvSpPr/>
                      <wps:spPr>
                        <a:xfrm>
                          <a:off x="0" y="0"/>
                          <a:ext cx="5035550" cy="2252980"/>
                        </a:xfrm>
                        <a:prstGeom prst="rect">
                          <a:avLst/>
                        </a:prstGeom>
                        <a:noFill/>
                        <a:ln>
                          <a:noFill/>
                        </a:ln>
                        <a:effectLst/>
                      </wps:spPr>
                      <wps:txbx>
                        <w:txbxContent>
                          <w:p w14:paraId="2A05D137">
                            <w:pPr>
                              <w:keepNext w:val="0"/>
                              <w:keepLines w:val="0"/>
                              <w:pageBreakBefore w:val="0"/>
                              <w:widowControl w:val="0"/>
                              <w:kinsoku/>
                              <w:wordWrap w:val="0"/>
                              <w:overflowPunct/>
                              <w:topLinePunct/>
                              <w:bidi w:val="0"/>
                              <w:adjustRightInd/>
                              <w:snapToGrid w:val="0"/>
                              <w:spacing w:line="240" w:lineRule="auto"/>
                              <w:ind w:firstLine="0" w:firstLineChars="0"/>
                              <w:jc w:val="center"/>
                              <w:textAlignment w:val="auto"/>
                              <w:rPr>
                                <w:rFonts w:hint="eastAsia" w:ascii="微软雅黑" w:hAnsi="微软雅黑" w:eastAsia="微软雅黑" w:cs="微软雅黑"/>
                                <w:b w:val="0"/>
                                <w:bCs/>
                                <w:color w:val="auto"/>
                                <w:kern w:val="2"/>
                                <w:sz w:val="44"/>
                                <w:szCs w:val="44"/>
                                <w:lang w:eastAsia="zh-CN"/>
                              </w:rPr>
                            </w:pPr>
                            <w:r>
                              <w:rPr>
                                <w:rFonts w:hint="eastAsia" w:ascii="微软雅黑" w:hAnsi="微软雅黑" w:eastAsia="微软雅黑" w:cs="微软雅黑"/>
                                <w:b w:val="0"/>
                                <w:bCs/>
                                <w:color w:val="auto"/>
                                <w:kern w:val="2"/>
                                <w:sz w:val="44"/>
                                <w:szCs w:val="44"/>
                                <w:lang w:eastAsia="zh-CN"/>
                              </w:rPr>
                              <w:t>陕州区S312线桥头沟大桥预防性养护项目</w:t>
                            </w:r>
                          </w:p>
                          <w:p w14:paraId="13BE80CB">
                            <w:pPr>
                              <w:pStyle w:val="137"/>
                              <w:keepNext w:val="0"/>
                              <w:keepLines w:val="0"/>
                              <w:pageBreakBefore w:val="0"/>
                              <w:widowControl w:val="0"/>
                              <w:kinsoku/>
                              <w:overflowPunct/>
                              <w:bidi w:val="0"/>
                              <w:adjustRightInd/>
                              <w:ind w:firstLine="0" w:firstLineChars="0"/>
                              <w:textAlignment w:val="auto"/>
                              <w:rPr>
                                <w:rFonts w:hint="eastAsia" w:ascii="微软雅黑" w:hAnsi="微软雅黑" w:eastAsia="微软雅黑" w:cs="微软雅黑"/>
                                <w:b w:val="0"/>
                                <w:bCs/>
                                <w:color w:val="auto"/>
                                <w:kern w:val="2"/>
                                <w:sz w:val="20"/>
                                <w:szCs w:val="20"/>
                                <w:lang w:eastAsia="zh-CN"/>
                              </w:rPr>
                            </w:pPr>
                          </w:p>
                          <w:p w14:paraId="581F4958">
                            <w:pPr>
                              <w:pStyle w:val="4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b/>
                                <w:bCs/>
                                <w:color w:val="auto"/>
                                <w:kern w:val="2"/>
                                <w:sz w:val="56"/>
                                <w:szCs w:val="56"/>
                                <w:lang w:val="en-US" w:eastAsia="zh-CN"/>
                              </w:rPr>
                              <w:t>竞争性磋商文件</w:t>
                            </w:r>
                          </w:p>
                          <w:p w14:paraId="43ACBA44">
                            <w:pPr>
                              <w:pStyle w:val="137"/>
                              <w:rPr>
                                <w:rFonts w:hint="eastAsia" w:ascii="微软雅黑" w:hAnsi="微软雅黑" w:eastAsia="微软雅黑" w:cs="微软雅黑"/>
                                <w:b w:val="0"/>
                                <w:bCs/>
                                <w:color w:val="auto"/>
                                <w:kern w:val="2"/>
                                <w:sz w:val="40"/>
                                <w:szCs w:val="40"/>
                                <w:lang w:val="en-US" w:eastAsia="zh-CN"/>
                              </w:rPr>
                            </w:pPr>
                          </w:p>
                        </w:txbxContent>
                      </wps:txbx>
                      <wps:bodyPr vert="horz" wrap="square" anchor="t" anchorCtr="0" upright="0"/>
                    </wps:wsp>
                  </a:graphicData>
                </a:graphic>
              </wp:anchor>
            </w:drawing>
          </mc:Choice>
          <mc:Fallback>
            <w:pict>
              <v:rect id="_x0000_s1026" o:spid="_x0000_s1026" o:spt="1" alt="7b0a20202020227461726765744d6f64756c65223a202270726f636573734f6e6c696e65466f6e7473220a7d0a" style="position:absolute;left:0pt;margin-left:28.75pt;margin-top:24.4pt;height:177.4pt;width:383.8pt;z-index:251661312;mso-width-relative:page;mso-height-relative:page;" filled="f" stroked="f" coordsize="21600,21600" o:gfxdata="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r7dcHaAAAACQEAAA8AAAAAAAAAAQAgAAAA&#10;IgAAAGRycy9kb3ducmV2LnhtbFBLAQIUABQAAAAIAIdO4kCu2sUoCQIAAOYDAAAOAAAAAAAAAAEA&#10;IAAAACkBAABkcnMvZTJvRG9jLnhtbFBLBQYAAAAABgAGAFkBAACkBQAAAAA=&#10;">
                <v:fill on="f" focussize="0,0"/>
                <v:stroke on="f"/>
                <v:imagedata o:title=""/>
                <o:lock v:ext="edit" aspectratio="f"/>
                <v:textbox>
                  <w:txbxContent>
                    <w:p w14:paraId="2A05D137">
                      <w:pPr>
                        <w:keepNext w:val="0"/>
                        <w:keepLines w:val="0"/>
                        <w:pageBreakBefore w:val="0"/>
                        <w:widowControl w:val="0"/>
                        <w:kinsoku/>
                        <w:wordWrap w:val="0"/>
                        <w:overflowPunct/>
                        <w:topLinePunct/>
                        <w:bidi w:val="0"/>
                        <w:adjustRightInd/>
                        <w:snapToGrid w:val="0"/>
                        <w:spacing w:line="240" w:lineRule="auto"/>
                        <w:ind w:firstLine="0" w:firstLineChars="0"/>
                        <w:jc w:val="center"/>
                        <w:textAlignment w:val="auto"/>
                        <w:rPr>
                          <w:rFonts w:hint="eastAsia" w:ascii="微软雅黑" w:hAnsi="微软雅黑" w:eastAsia="微软雅黑" w:cs="微软雅黑"/>
                          <w:b w:val="0"/>
                          <w:bCs/>
                          <w:color w:val="auto"/>
                          <w:kern w:val="2"/>
                          <w:sz w:val="44"/>
                          <w:szCs w:val="44"/>
                          <w:lang w:eastAsia="zh-CN"/>
                        </w:rPr>
                      </w:pPr>
                      <w:r>
                        <w:rPr>
                          <w:rFonts w:hint="eastAsia" w:ascii="微软雅黑" w:hAnsi="微软雅黑" w:eastAsia="微软雅黑" w:cs="微软雅黑"/>
                          <w:b w:val="0"/>
                          <w:bCs/>
                          <w:color w:val="auto"/>
                          <w:kern w:val="2"/>
                          <w:sz w:val="44"/>
                          <w:szCs w:val="44"/>
                          <w:lang w:eastAsia="zh-CN"/>
                        </w:rPr>
                        <w:t>陕州区S312线桥头沟大桥预防性养护项目</w:t>
                      </w:r>
                    </w:p>
                    <w:p w14:paraId="13BE80CB">
                      <w:pPr>
                        <w:pStyle w:val="137"/>
                        <w:keepNext w:val="0"/>
                        <w:keepLines w:val="0"/>
                        <w:pageBreakBefore w:val="0"/>
                        <w:widowControl w:val="0"/>
                        <w:kinsoku/>
                        <w:overflowPunct/>
                        <w:bidi w:val="0"/>
                        <w:adjustRightInd/>
                        <w:ind w:firstLine="0" w:firstLineChars="0"/>
                        <w:textAlignment w:val="auto"/>
                        <w:rPr>
                          <w:rFonts w:hint="eastAsia" w:ascii="微软雅黑" w:hAnsi="微软雅黑" w:eastAsia="微软雅黑" w:cs="微软雅黑"/>
                          <w:b w:val="0"/>
                          <w:bCs/>
                          <w:color w:val="auto"/>
                          <w:kern w:val="2"/>
                          <w:sz w:val="20"/>
                          <w:szCs w:val="20"/>
                          <w:lang w:eastAsia="zh-CN"/>
                        </w:rPr>
                      </w:pPr>
                    </w:p>
                    <w:p w14:paraId="581F4958">
                      <w:pPr>
                        <w:pStyle w:val="4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b/>
                          <w:bCs/>
                          <w:color w:val="auto"/>
                          <w:kern w:val="2"/>
                          <w:sz w:val="56"/>
                          <w:szCs w:val="56"/>
                          <w:lang w:val="en-US" w:eastAsia="zh-CN"/>
                        </w:rPr>
                        <w:t>竞争性磋商文件</w:t>
                      </w:r>
                    </w:p>
                    <w:p w14:paraId="43ACBA44">
                      <w:pPr>
                        <w:pStyle w:val="137"/>
                        <w:rPr>
                          <w:rFonts w:hint="eastAsia" w:ascii="微软雅黑" w:hAnsi="微软雅黑" w:eastAsia="微软雅黑" w:cs="微软雅黑"/>
                          <w:b w:val="0"/>
                          <w:bCs/>
                          <w:color w:val="auto"/>
                          <w:kern w:val="2"/>
                          <w:sz w:val="40"/>
                          <w:szCs w:val="40"/>
                          <w:lang w:val="en-US" w:eastAsia="zh-CN"/>
                        </w:rPr>
                      </w:pPr>
                    </w:p>
                  </w:txbxContent>
                </v:textbox>
              </v:rect>
            </w:pict>
          </mc:Fallback>
        </mc:AlternateContent>
      </w:r>
    </w:p>
    <w:p w14:paraId="065F295D">
      <w:pPr>
        <w:keepNext w:val="0"/>
        <w:keepLines w:val="0"/>
        <w:pageBreakBefore w:val="0"/>
        <w:widowControl w:val="0"/>
        <w:kinsoku/>
        <w:wordWrap/>
        <w:overflowPunct/>
        <w:topLinePunct w:val="0"/>
        <w:bidi w:val="0"/>
        <w:spacing w:line="360" w:lineRule="auto"/>
        <w:jc w:val="center"/>
        <w:rPr>
          <w:rFonts w:hint="eastAsia" w:ascii="仿宋" w:hAnsi="仿宋" w:eastAsia="仿宋" w:cs="仿宋"/>
          <w:b/>
          <w:bCs/>
          <w:color w:val="auto"/>
          <w:sz w:val="36"/>
          <w:szCs w:val="36"/>
          <w:highlight w:val="none"/>
        </w:rPr>
      </w:pPr>
    </w:p>
    <w:p w14:paraId="036D64B4">
      <w:pPr>
        <w:keepNext w:val="0"/>
        <w:keepLines w:val="0"/>
        <w:pageBreakBefore w:val="0"/>
        <w:widowControl w:val="0"/>
        <w:kinsoku/>
        <w:wordWrap/>
        <w:overflowPunct/>
        <w:topLinePunct w:val="0"/>
        <w:bidi w:val="0"/>
        <w:spacing w:line="360" w:lineRule="auto"/>
        <w:jc w:val="center"/>
        <w:rPr>
          <w:rFonts w:hint="eastAsia" w:ascii="仿宋" w:hAnsi="仿宋" w:eastAsia="仿宋" w:cs="仿宋"/>
          <w:b/>
          <w:bCs/>
          <w:color w:val="auto"/>
          <w:sz w:val="36"/>
          <w:szCs w:val="36"/>
          <w:highlight w:val="none"/>
        </w:rPr>
      </w:pPr>
    </w:p>
    <w:p w14:paraId="5128C0C0">
      <w:pPr>
        <w:keepNext w:val="0"/>
        <w:keepLines w:val="0"/>
        <w:pageBreakBefore w:val="0"/>
        <w:widowControl w:val="0"/>
        <w:kinsoku/>
        <w:wordWrap/>
        <w:overflowPunct/>
        <w:topLinePunct w:val="0"/>
        <w:bidi w:val="0"/>
        <w:spacing w:line="360" w:lineRule="auto"/>
        <w:jc w:val="center"/>
        <w:rPr>
          <w:rFonts w:hint="eastAsia" w:ascii="仿宋" w:hAnsi="仿宋" w:eastAsia="仿宋" w:cs="仿宋"/>
          <w:b/>
          <w:bCs/>
          <w:color w:val="auto"/>
          <w:sz w:val="36"/>
          <w:szCs w:val="36"/>
          <w:highlight w:val="none"/>
        </w:rPr>
      </w:pPr>
    </w:p>
    <w:p w14:paraId="70DDC5C7">
      <w:pPr>
        <w:keepNext w:val="0"/>
        <w:keepLines w:val="0"/>
        <w:pageBreakBefore w:val="0"/>
        <w:widowControl w:val="0"/>
        <w:kinsoku/>
        <w:wordWrap/>
        <w:overflowPunct/>
        <w:topLinePunct w:val="0"/>
        <w:bidi w:val="0"/>
        <w:spacing w:line="360" w:lineRule="auto"/>
        <w:jc w:val="center"/>
        <w:rPr>
          <w:rFonts w:hint="eastAsia" w:ascii="仿宋" w:hAnsi="仿宋" w:eastAsia="仿宋" w:cs="仿宋"/>
          <w:b/>
          <w:bCs/>
          <w:color w:val="auto"/>
          <w:sz w:val="36"/>
          <w:szCs w:val="36"/>
          <w:highlight w:val="none"/>
        </w:rPr>
      </w:pPr>
    </w:p>
    <w:p w14:paraId="7E03AAA4">
      <w:pPr>
        <w:keepNext w:val="0"/>
        <w:keepLines w:val="0"/>
        <w:pageBreakBefore w:val="0"/>
        <w:widowControl w:val="0"/>
        <w:kinsoku/>
        <w:wordWrap/>
        <w:overflowPunct/>
        <w:topLinePunct w:val="0"/>
        <w:bidi w:val="0"/>
        <w:spacing w:line="360" w:lineRule="auto"/>
        <w:jc w:val="center"/>
        <w:rPr>
          <w:rFonts w:hint="eastAsia" w:ascii="仿宋" w:hAnsi="仿宋" w:eastAsia="仿宋" w:cs="仿宋"/>
          <w:b/>
          <w:bCs/>
          <w:color w:val="auto"/>
          <w:sz w:val="36"/>
          <w:szCs w:val="36"/>
          <w:highlight w:val="none"/>
        </w:rPr>
      </w:pPr>
    </w:p>
    <w:p w14:paraId="1160C8AD">
      <w:pPr>
        <w:keepNext w:val="0"/>
        <w:keepLines w:val="0"/>
        <w:pageBreakBefore w:val="0"/>
        <w:widowControl w:val="0"/>
        <w:kinsoku/>
        <w:wordWrap/>
        <w:overflowPunct/>
        <w:topLinePunct w:val="0"/>
        <w:bidi w:val="0"/>
        <w:spacing w:line="360" w:lineRule="auto"/>
        <w:jc w:val="center"/>
        <w:rPr>
          <w:rFonts w:hint="eastAsia" w:ascii="仿宋" w:hAnsi="仿宋" w:eastAsia="仿宋" w:cs="仿宋"/>
          <w:b/>
          <w:bCs/>
          <w:color w:val="auto"/>
          <w:sz w:val="36"/>
          <w:szCs w:val="36"/>
          <w:highlight w:val="none"/>
        </w:rPr>
      </w:pPr>
    </w:p>
    <w:p w14:paraId="5643E9A5">
      <w:pPr>
        <w:keepNext w:val="0"/>
        <w:keepLines w:val="0"/>
        <w:pageBreakBefore w:val="0"/>
        <w:widowControl w:val="0"/>
        <w:kinsoku/>
        <w:wordWrap/>
        <w:overflowPunct/>
        <w:topLinePunct w:val="0"/>
        <w:bidi w:val="0"/>
        <w:spacing w:line="360" w:lineRule="auto"/>
        <w:jc w:val="center"/>
        <w:rPr>
          <w:rFonts w:hint="eastAsia" w:ascii="仿宋" w:hAnsi="仿宋" w:eastAsia="仿宋" w:cs="仿宋"/>
          <w:b/>
          <w:bCs/>
          <w:color w:val="auto"/>
          <w:sz w:val="36"/>
          <w:szCs w:val="36"/>
          <w:highlight w:val="none"/>
        </w:rPr>
      </w:pPr>
    </w:p>
    <w:p w14:paraId="076A8DA3">
      <w:pPr>
        <w:keepNext w:val="0"/>
        <w:keepLines w:val="0"/>
        <w:pageBreakBefore w:val="0"/>
        <w:widowControl w:val="0"/>
        <w:kinsoku/>
        <w:wordWrap/>
        <w:overflowPunct/>
        <w:topLinePunct w:val="0"/>
        <w:bidi w:val="0"/>
        <w:spacing w:line="360" w:lineRule="auto"/>
        <w:jc w:val="center"/>
        <w:rPr>
          <w:rFonts w:hint="eastAsia" w:ascii="仿宋" w:hAnsi="仿宋" w:eastAsia="仿宋" w:cs="仿宋"/>
          <w:b/>
          <w:bCs/>
          <w:color w:val="auto"/>
          <w:sz w:val="36"/>
          <w:szCs w:val="36"/>
          <w:highlight w:val="none"/>
        </w:rPr>
      </w:pPr>
    </w:p>
    <w:p w14:paraId="3838ED5B">
      <w:pPr>
        <w:keepNext w:val="0"/>
        <w:keepLines w:val="0"/>
        <w:pageBreakBefore w:val="0"/>
        <w:widowControl w:val="0"/>
        <w:kinsoku/>
        <w:wordWrap/>
        <w:overflowPunct/>
        <w:topLinePunct w:val="0"/>
        <w:bidi w:val="0"/>
        <w:spacing w:line="360" w:lineRule="auto"/>
        <w:jc w:val="center"/>
        <w:rPr>
          <w:rFonts w:hint="eastAsia" w:ascii="仿宋" w:hAnsi="仿宋" w:eastAsia="仿宋" w:cs="仿宋"/>
          <w:b/>
          <w:bCs/>
          <w:color w:val="auto"/>
          <w:sz w:val="36"/>
          <w:szCs w:val="36"/>
          <w:highlight w:val="none"/>
        </w:rPr>
      </w:pPr>
    </w:p>
    <w:tbl>
      <w:tblPr>
        <w:tblStyle w:val="48"/>
        <w:tblpPr w:leftFromText="180" w:rightFromText="180" w:vertAnchor="page" w:horzAnchor="page" w:tblpX="2137" w:tblpY="10368"/>
        <w:tblOverlap w:val="never"/>
        <w:tblW w:w="75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2"/>
        <w:gridCol w:w="486"/>
        <w:gridCol w:w="5457"/>
      </w:tblGrid>
      <w:tr w14:paraId="12222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632" w:type="dxa"/>
            <w:tcBorders>
              <w:top w:val="nil"/>
              <w:left w:val="nil"/>
              <w:bottom w:val="nil"/>
              <w:right w:val="nil"/>
            </w:tcBorders>
            <w:noWrap w:val="0"/>
            <w:vAlign w:val="bottom"/>
          </w:tcPr>
          <w:p w14:paraId="466965C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distribute"/>
              <w:textAlignment w:val="baseline"/>
              <w:rPr>
                <w:rFonts w:hint="eastAsia" w:ascii="微软雅黑" w:hAnsi="微软雅黑" w:eastAsia="微软雅黑" w:cs="微软雅黑"/>
                <w:b w:val="0"/>
                <w:bCs w:val="0"/>
                <w:color w:val="auto"/>
                <w:sz w:val="28"/>
                <w:szCs w:val="28"/>
                <w:highlight w:val="none"/>
                <w:lang w:val="en-US"/>
              </w:rPr>
            </w:pPr>
            <w:r>
              <w:rPr>
                <w:rFonts w:hint="eastAsia" w:ascii="微软雅黑" w:hAnsi="微软雅黑" w:eastAsia="微软雅黑" w:cs="微软雅黑"/>
                <w:b w:val="0"/>
                <w:bCs w:val="0"/>
                <w:color w:val="auto"/>
                <w:sz w:val="28"/>
                <w:szCs w:val="28"/>
                <w:highlight w:val="none"/>
                <w:lang w:val="en-US" w:eastAsia="zh-CN"/>
              </w:rPr>
              <w:t>采购</w:t>
            </w:r>
            <w:r>
              <w:rPr>
                <w:rFonts w:hint="eastAsia" w:ascii="微软雅黑" w:hAnsi="微软雅黑" w:eastAsia="微软雅黑" w:cs="微软雅黑"/>
                <w:b w:val="0"/>
                <w:bCs w:val="0"/>
                <w:color w:val="auto"/>
                <w:sz w:val="28"/>
                <w:szCs w:val="28"/>
                <w:highlight w:val="none"/>
                <w:lang w:val="en-US"/>
              </w:rPr>
              <w:t>单位</w:t>
            </w:r>
          </w:p>
        </w:tc>
        <w:tc>
          <w:tcPr>
            <w:tcW w:w="486" w:type="dxa"/>
            <w:tcBorders>
              <w:top w:val="nil"/>
              <w:left w:val="nil"/>
              <w:bottom w:val="nil"/>
              <w:right w:val="nil"/>
            </w:tcBorders>
            <w:noWrap w:val="0"/>
            <w:vAlign w:val="bottom"/>
          </w:tcPr>
          <w:p w14:paraId="324BE7B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baseline"/>
              <w:rPr>
                <w:rFonts w:hint="eastAsia" w:ascii="微软雅黑" w:hAnsi="微软雅黑" w:eastAsia="微软雅黑" w:cs="微软雅黑"/>
                <w:b w:val="0"/>
                <w:bCs w:val="0"/>
                <w:color w:val="auto"/>
                <w:sz w:val="28"/>
                <w:szCs w:val="28"/>
                <w:highlight w:val="none"/>
              </w:rPr>
            </w:pPr>
            <w:r>
              <w:rPr>
                <w:rFonts w:hint="eastAsia" w:ascii="微软雅黑" w:hAnsi="微软雅黑" w:eastAsia="微软雅黑" w:cs="微软雅黑"/>
                <w:b w:val="0"/>
                <w:bCs w:val="0"/>
                <w:color w:val="auto"/>
                <w:sz w:val="28"/>
                <w:szCs w:val="28"/>
                <w:highlight w:val="none"/>
              </w:rPr>
              <w:t>：</w:t>
            </w:r>
          </w:p>
        </w:tc>
        <w:tc>
          <w:tcPr>
            <w:tcW w:w="5457" w:type="dxa"/>
            <w:tcBorders>
              <w:top w:val="nil"/>
              <w:left w:val="nil"/>
              <w:bottom w:val="single" w:color="auto" w:sz="4" w:space="0"/>
              <w:right w:val="nil"/>
            </w:tcBorders>
            <w:noWrap w:val="0"/>
            <w:vAlign w:val="bottom"/>
          </w:tcPr>
          <w:p w14:paraId="5D654A1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baseline"/>
              <w:rPr>
                <w:rFonts w:hint="eastAsia" w:ascii="微软雅黑" w:hAnsi="微软雅黑" w:eastAsia="微软雅黑" w:cs="微软雅黑"/>
                <w:b w:val="0"/>
                <w:bCs w:val="0"/>
                <w:color w:val="auto"/>
                <w:sz w:val="28"/>
                <w:szCs w:val="28"/>
                <w:highlight w:val="none"/>
                <w:lang w:val="en-US"/>
              </w:rPr>
            </w:pPr>
            <w:r>
              <w:rPr>
                <w:rFonts w:hint="eastAsia" w:ascii="微软雅黑" w:hAnsi="微软雅黑" w:eastAsia="微软雅黑" w:cs="微软雅黑"/>
                <w:b w:val="0"/>
                <w:bCs w:val="0"/>
                <w:color w:val="auto"/>
                <w:sz w:val="28"/>
                <w:szCs w:val="28"/>
                <w:highlight w:val="none"/>
                <w:lang w:val="en-US"/>
              </w:rPr>
              <w:t>三门峡市公路事业发展中心</w:t>
            </w:r>
          </w:p>
        </w:tc>
      </w:tr>
      <w:tr w14:paraId="67EDE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632" w:type="dxa"/>
            <w:tcBorders>
              <w:top w:val="nil"/>
              <w:left w:val="nil"/>
              <w:bottom w:val="nil"/>
              <w:right w:val="nil"/>
            </w:tcBorders>
            <w:noWrap w:val="0"/>
            <w:vAlign w:val="bottom"/>
          </w:tcPr>
          <w:p w14:paraId="6036CE1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distribute"/>
              <w:textAlignment w:val="baseline"/>
              <w:rPr>
                <w:rFonts w:hint="eastAsia" w:ascii="微软雅黑" w:hAnsi="微软雅黑" w:eastAsia="微软雅黑" w:cs="微软雅黑"/>
                <w:b w:val="0"/>
                <w:bCs w:val="0"/>
                <w:color w:val="auto"/>
                <w:sz w:val="28"/>
                <w:szCs w:val="28"/>
                <w:highlight w:val="none"/>
                <w:lang w:val="en-US" w:eastAsia="zh-CN"/>
              </w:rPr>
            </w:pPr>
            <w:r>
              <w:rPr>
                <w:rFonts w:hint="eastAsia" w:ascii="微软雅黑" w:hAnsi="微软雅黑" w:eastAsia="微软雅黑" w:cs="微软雅黑"/>
                <w:b w:val="0"/>
                <w:bCs w:val="0"/>
                <w:color w:val="auto"/>
                <w:sz w:val="28"/>
                <w:szCs w:val="28"/>
                <w:highlight w:val="none"/>
                <w:lang w:val="en-US" w:eastAsia="zh-CN"/>
              </w:rPr>
              <w:t>采购编号</w:t>
            </w:r>
          </w:p>
        </w:tc>
        <w:tc>
          <w:tcPr>
            <w:tcW w:w="486" w:type="dxa"/>
            <w:tcBorders>
              <w:top w:val="nil"/>
              <w:left w:val="nil"/>
              <w:bottom w:val="nil"/>
              <w:right w:val="nil"/>
            </w:tcBorders>
            <w:noWrap w:val="0"/>
            <w:vAlign w:val="bottom"/>
          </w:tcPr>
          <w:p w14:paraId="09C618B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baseline"/>
              <w:rPr>
                <w:rFonts w:hint="eastAsia" w:ascii="微软雅黑" w:hAnsi="微软雅黑" w:eastAsia="微软雅黑" w:cs="微软雅黑"/>
                <w:b w:val="0"/>
                <w:bCs w:val="0"/>
                <w:color w:val="auto"/>
                <w:sz w:val="28"/>
                <w:szCs w:val="28"/>
                <w:highlight w:val="none"/>
              </w:rPr>
            </w:pPr>
            <w:r>
              <w:rPr>
                <w:rFonts w:hint="eastAsia" w:ascii="微软雅黑" w:hAnsi="微软雅黑" w:eastAsia="微软雅黑" w:cs="微软雅黑"/>
                <w:b w:val="0"/>
                <w:bCs w:val="0"/>
                <w:color w:val="auto"/>
                <w:sz w:val="28"/>
                <w:szCs w:val="28"/>
                <w:highlight w:val="none"/>
              </w:rPr>
              <w:t>：</w:t>
            </w:r>
          </w:p>
        </w:tc>
        <w:tc>
          <w:tcPr>
            <w:tcW w:w="5457" w:type="dxa"/>
            <w:tcBorders>
              <w:top w:val="single" w:color="auto" w:sz="4" w:space="0"/>
              <w:left w:val="nil"/>
              <w:bottom w:val="single" w:color="auto" w:sz="4" w:space="0"/>
              <w:right w:val="nil"/>
            </w:tcBorders>
            <w:noWrap w:val="0"/>
            <w:vAlign w:val="bottom"/>
          </w:tcPr>
          <w:p w14:paraId="647B50D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baseline"/>
              <w:rPr>
                <w:rFonts w:hint="eastAsia" w:ascii="微软雅黑" w:hAnsi="微软雅黑" w:eastAsia="微软雅黑" w:cs="微软雅黑"/>
                <w:b w:val="0"/>
                <w:bCs w:val="0"/>
                <w:color w:val="auto"/>
                <w:sz w:val="28"/>
                <w:szCs w:val="28"/>
                <w:highlight w:val="none"/>
                <w:lang w:val="en-US" w:eastAsia="zh-CN"/>
              </w:rPr>
            </w:pPr>
            <w:r>
              <w:rPr>
                <w:rFonts w:hint="eastAsia" w:ascii="微软雅黑" w:hAnsi="微软雅黑" w:eastAsia="微软雅黑" w:cs="微软雅黑"/>
                <w:b w:val="0"/>
                <w:bCs w:val="0"/>
                <w:color w:val="auto"/>
                <w:sz w:val="24"/>
                <w:szCs w:val="24"/>
                <w:highlight w:val="none"/>
                <w:lang w:val="en-US" w:eastAsia="zh-CN"/>
              </w:rPr>
              <w:t>三财竞磋采购-2025-69、SGZ[2025]440-ZC294</w:t>
            </w:r>
          </w:p>
        </w:tc>
      </w:tr>
      <w:tr w14:paraId="0FB10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632" w:type="dxa"/>
            <w:tcBorders>
              <w:top w:val="nil"/>
              <w:left w:val="nil"/>
              <w:bottom w:val="nil"/>
              <w:right w:val="nil"/>
            </w:tcBorders>
            <w:noWrap w:val="0"/>
            <w:vAlign w:val="bottom"/>
          </w:tcPr>
          <w:p w14:paraId="3DB04E2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distribute"/>
              <w:textAlignment w:val="baseline"/>
              <w:rPr>
                <w:rFonts w:hint="eastAsia" w:ascii="微软雅黑" w:hAnsi="微软雅黑" w:eastAsia="微软雅黑" w:cs="微软雅黑"/>
                <w:b w:val="0"/>
                <w:bCs w:val="0"/>
                <w:color w:val="auto"/>
                <w:sz w:val="28"/>
                <w:szCs w:val="28"/>
                <w:highlight w:val="none"/>
                <w:lang w:val="en-US"/>
              </w:rPr>
            </w:pPr>
            <w:r>
              <w:rPr>
                <w:rFonts w:hint="eastAsia" w:ascii="微软雅黑" w:hAnsi="微软雅黑" w:eastAsia="微软雅黑" w:cs="微软雅黑"/>
                <w:b w:val="0"/>
                <w:bCs w:val="0"/>
                <w:color w:val="auto"/>
                <w:sz w:val="28"/>
                <w:szCs w:val="28"/>
                <w:highlight w:val="none"/>
                <w:lang w:val="en-US"/>
              </w:rPr>
              <w:t>代理机构</w:t>
            </w:r>
          </w:p>
        </w:tc>
        <w:tc>
          <w:tcPr>
            <w:tcW w:w="486" w:type="dxa"/>
            <w:tcBorders>
              <w:top w:val="nil"/>
              <w:left w:val="nil"/>
              <w:bottom w:val="nil"/>
              <w:right w:val="nil"/>
            </w:tcBorders>
            <w:noWrap w:val="0"/>
            <w:vAlign w:val="bottom"/>
          </w:tcPr>
          <w:p w14:paraId="020521A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baseline"/>
              <w:rPr>
                <w:rFonts w:hint="eastAsia" w:ascii="微软雅黑" w:hAnsi="微软雅黑" w:eastAsia="微软雅黑" w:cs="微软雅黑"/>
                <w:b w:val="0"/>
                <w:bCs w:val="0"/>
                <w:color w:val="auto"/>
                <w:sz w:val="28"/>
                <w:szCs w:val="28"/>
                <w:highlight w:val="none"/>
              </w:rPr>
            </w:pPr>
            <w:r>
              <w:rPr>
                <w:rFonts w:hint="eastAsia" w:ascii="微软雅黑" w:hAnsi="微软雅黑" w:eastAsia="微软雅黑" w:cs="微软雅黑"/>
                <w:b w:val="0"/>
                <w:bCs w:val="0"/>
                <w:color w:val="auto"/>
                <w:sz w:val="28"/>
                <w:szCs w:val="28"/>
                <w:highlight w:val="none"/>
              </w:rPr>
              <w:t>：</w:t>
            </w:r>
          </w:p>
        </w:tc>
        <w:tc>
          <w:tcPr>
            <w:tcW w:w="5457" w:type="dxa"/>
            <w:tcBorders>
              <w:top w:val="single" w:color="auto" w:sz="4" w:space="0"/>
              <w:left w:val="nil"/>
              <w:bottom w:val="single" w:color="auto" w:sz="4" w:space="0"/>
              <w:right w:val="nil"/>
            </w:tcBorders>
            <w:noWrap w:val="0"/>
            <w:vAlign w:val="bottom"/>
          </w:tcPr>
          <w:p w14:paraId="5117123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baseline"/>
              <w:rPr>
                <w:rFonts w:hint="eastAsia" w:ascii="微软雅黑" w:hAnsi="微软雅黑" w:eastAsia="微软雅黑" w:cs="微软雅黑"/>
                <w:b w:val="0"/>
                <w:bCs w:val="0"/>
                <w:color w:val="auto"/>
                <w:sz w:val="28"/>
                <w:szCs w:val="28"/>
                <w:highlight w:val="none"/>
                <w:lang w:val="en-US"/>
              </w:rPr>
            </w:pPr>
            <w:r>
              <w:rPr>
                <w:rFonts w:hint="eastAsia" w:ascii="微软雅黑" w:hAnsi="微软雅黑" w:eastAsia="微软雅黑" w:cs="微软雅黑"/>
                <w:b w:val="0"/>
                <w:bCs w:val="0"/>
                <w:color w:val="auto"/>
                <w:sz w:val="28"/>
                <w:szCs w:val="28"/>
                <w:highlight w:val="none"/>
                <w:lang w:val="en-US"/>
              </w:rPr>
              <w:t>河南省亿达工程管理咨询有限公司</w:t>
            </w:r>
          </w:p>
        </w:tc>
      </w:tr>
      <w:tr w14:paraId="278F1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632" w:type="dxa"/>
            <w:tcBorders>
              <w:top w:val="nil"/>
              <w:left w:val="nil"/>
              <w:bottom w:val="nil"/>
              <w:right w:val="nil"/>
            </w:tcBorders>
            <w:noWrap w:val="0"/>
            <w:vAlign w:val="bottom"/>
          </w:tcPr>
          <w:p w14:paraId="4251D9A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distribute"/>
              <w:textAlignment w:val="baseline"/>
              <w:rPr>
                <w:rFonts w:hint="eastAsia" w:ascii="微软雅黑" w:hAnsi="微软雅黑" w:eastAsia="微软雅黑" w:cs="微软雅黑"/>
                <w:b w:val="0"/>
                <w:bCs w:val="0"/>
                <w:color w:val="auto"/>
                <w:sz w:val="28"/>
                <w:szCs w:val="28"/>
                <w:highlight w:val="none"/>
                <w:lang w:val="en-US"/>
              </w:rPr>
            </w:pPr>
            <w:r>
              <w:rPr>
                <w:rFonts w:hint="eastAsia" w:ascii="微软雅黑" w:hAnsi="微软雅黑" w:eastAsia="微软雅黑" w:cs="微软雅黑"/>
                <w:b w:val="0"/>
                <w:bCs w:val="0"/>
                <w:color w:val="auto"/>
                <w:sz w:val="28"/>
                <w:szCs w:val="28"/>
                <w:highlight w:val="none"/>
                <w:lang w:val="en-US"/>
              </w:rPr>
              <w:t>日期</w:t>
            </w:r>
          </w:p>
        </w:tc>
        <w:tc>
          <w:tcPr>
            <w:tcW w:w="486" w:type="dxa"/>
            <w:tcBorders>
              <w:top w:val="nil"/>
              <w:left w:val="nil"/>
              <w:bottom w:val="nil"/>
              <w:right w:val="nil"/>
            </w:tcBorders>
            <w:noWrap w:val="0"/>
            <w:vAlign w:val="bottom"/>
          </w:tcPr>
          <w:p w14:paraId="54E29FA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baseline"/>
              <w:rPr>
                <w:rFonts w:hint="eastAsia" w:ascii="微软雅黑" w:hAnsi="微软雅黑" w:eastAsia="微软雅黑" w:cs="微软雅黑"/>
                <w:b w:val="0"/>
                <w:bCs w:val="0"/>
                <w:color w:val="auto"/>
                <w:sz w:val="28"/>
                <w:szCs w:val="28"/>
                <w:highlight w:val="none"/>
              </w:rPr>
            </w:pPr>
            <w:r>
              <w:rPr>
                <w:rFonts w:hint="eastAsia" w:ascii="微软雅黑" w:hAnsi="微软雅黑" w:eastAsia="微软雅黑" w:cs="微软雅黑"/>
                <w:b w:val="0"/>
                <w:bCs w:val="0"/>
                <w:color w:val="auto"/>
                <w:sz w:val="28"/>
                <w:szCs w:val="28"/>
                <w:highlight w:val="none"/>
              </w:rPr>
              <w:t>：</w:t>
            </w:r>
          </w:p>
        </w:tc>
        <w:tc>
          <w:tcPr>
            <w:tcW w:w="5457" w:type="dxa"/>
            <w:tcBorders>
              <w:top w:val="single" w:color="auto" w:sz="4" w:space="0"/>
              <w:left w:val="nil"/>
              <w:bottom w:val="single" w:color="auto" w:sz="4" w:space="0"/>
              <w:right w:val="nil"/>
            </w:tcBorders>
            <w:noWrap w:val="0"/>
            <w:vAlign w:val="bottom"/>
          </w:tcPr>
          <w:p w14:paraId="4F6EF7D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baseline"/>
              <w:rPr>
                <w:rFonts w:hint="eastAsia" w:ascii="微软雅黑" w:hAnsi="微软雅黑" w:eastAsia="微软雅黑" w:cs="微软雅黑"/>
                <w:b w:val="0"/>
                <w:bCs w:val="0"/>
                <w:color w:val="auto"/>
                <w:sz w:val="28"/>
                <w:szCs w:val="28"/>
                <w:highlight w:val="none"/>
                <w:lang w:val="en-US"/>
              </w:rPr>
            </w:pPr>
            <w:r>
              <w:rPr>
                <w:rFonts w:hint="eastAsia" w:ascii="微软雅黑" w:hAnsi="微软雅黑" w:eastAsia="微软雅黑" w:cs="微软雅黑"/>
                <w:b w:val="0"/>
                <w:bCs w:val="0"/>
                <w:color w:val="auto"/>
                <w:sz w:val="28"/>
                <w:szCs w:val="28"/>
                <w:highlight w:val="none"/>
                <w:lang w:val="en-US" w:eastAsia="zh-CN"/>
              </w:rPr>
              <w:t>二零二五年十月</w:t>
            </w:r>
          </w:p>
        </w:tc>
      </w:tr>
    </w:tbl>
    <w:p w14:paraId="5424ED97">
      <w:pPr>
        <w:keepNext w:val="0"/>
        <w:keepLines w:val="0"/>
        <w:pageBreakBefore w:val="0"/>
        <w:widowControl w:val="0"/>
        <w:kinsoku/>
        <w:wordWrap/>
        <w:overflowPunct/>
        <w:topLinePunct w:val="0"/>
        <w:bidi w:val="0"/>
        <w:spacing w:line="360" w:lineRule="auto"/>
        <w:jc w:val="center"/>
        <w:rPr>
          <w:rFonts w:hint="eastAsia" w:ascii="仿宋" w:hAnsi="仿宋" w:eastAsia="仿宋" w:cs="仿宋"/>
          <w:b/>
          <w:bCs/>
          <w:color w:val="auto"/>
          <w:sz w:val="36"/>
          <w:szCs w:val="36"/>
          <w:highlight w:val="none"/>
        </w:rPr>
      </w:pPr>
    </w:p>
    <w:p w14:paraId="22E6D3E7">
      <w:pPr>
        <w:pStyle w:val="20"/>
        <w:keepNext w:val="0"/>
        <w:keepLines w:val="0"/>
        <w:pageBreakBefore w:val="0"/>
        <w:widowControl w:val="0"/>
        <w:kinsoku/>
        <w:wordWrap/>
        <w:overflowPunct/>
        <w:topLinePunct w:val="0"/>
        <w:bidi w:val="0"/>
        <w:spacing w:before="312" w:beforeLines="100" w:after="312" w:afterLines="100" w:line="600" w:lineRule="exact"/>
        <w:jc w:val="center"/>
        <w:rPr>
          <w:rFonts w:hint="eastAsia" w:ascii="仿宋" w:hAnsi="仿宋" w:eastAsia="仿宋" w:cs="仿宋"/>
          <w:b/>
          <w:bCs/>
          <w:color w:val="auto"/>
          <w:sz w:val="36"/>
          <w:szCs w:val="36"/>
          <w:highlight w:val="none"/>
        </w:rPr>
      </w:pPr>
    </w:p>
    <w:p w14:paraId="26B836E0">
      <w:pPr>
        <w:pStyle w:val="20"/>
        <w:keepNext w:val="0"/>
        <w:keepLines w:val="0"/>
        <w:pageBreakBefore w:val="0"/>
        <w:widowControl w:val="0"/>
        <w:kinsoku/>
        <w:wordWrap/>
        <w:overflowPunct/>
        <w:topLinePunct w:val="0"/>
        <w:bidi w:val="0"/>
        <w:spacing w:before="312" w:beforeLines="100" w:after="312" w:afterLines="100" w:line="600" w:lineRule="exact"/>
        <w:jc w:val="center"/>
        <w:rPr>
          <w:rFonts w:hint="eastAsia" w:ascii="仿宋" w:hAnsi="仿宋" w:eastAsia="仿宋" w:cs="仿宋"/>
          <w:b/>
          <w:bCs/>
          <w:color w:val="auto"/>
          <w:sz w:val="36"/>
          <w:szCs w:val="36"/>
          <w:highlight w:val="none"/>
        </w:rPr>
      </w:pPr>
    </w:p>
    <w:p w14:paraId="0847D720">
      <w:pPr>
        <w:pStyle w:val="20"/>
        <w:keepNext w:val="0"/>
        <w:keepLines w:val="0"/>
        <w:pageBreakBefore w:val="0"/>
        <w:widowControl w:val="0"/>
        <w:kinsoku/>
        <w:wordWrap/>
        <w:overflowPunct/>
        <w:topLinePunct w:val="0"/>
        <w:bidi w:val="0"/>
        <w:spacing w:before="312" w:beforeLines="100" w:after="312" w:afterLines="100" w:line="600" w:lineRule="exact"/>
        <w:jc w:val="center"/>
        <w:rPr>
          <w:rFonts w:hint="eastAsia" w:ascii="仿宋" w:hAnsi="仿宋" w:eastAsia="仿宋" w:cs="仿宋"/>
          <w:b/>
          <w:bCs/>
          <w:color w:val="auto"/>
          <w:sz w:val="36"/>
          <w:szCs w:val="36"/>
          <w:highlight w:val="none"/>
        </w:rPr>
      </w:pPr>
      <w:r>
        <w:rPr>
          <w:rFonts w:hint="eastAsia" w:ascii="仿宋" w:hAnsi="仿宋" w:eastAsia="仿宋" w:cs="仿宋"/>
          <w:color w:val="auto"/>
          <w:highlight w:val="none"/>
          <w:lang w:val="en-US" w:bidi="ar-SA"/>
        </w:rPr>
        <w:drawing>
          <wp:anchor distT="0" distB="0" distL="114300" distR="114300" simplePos="0" relativeHeight="251659264" behindDoc="1" locked="0" layoutInCell="1" allowOverlap="1">
            <wp:simplePos x="0" y="0"/>
            <wp:positionH relativeFrom="column">
              <wp:posOffset>-6656070</wp:posOffset>
            </wp:positionH>
            <wp:positionV relativeFrom="paragraph">
              <wp:posOffset>132080</wp:posOffset>
            </wp:positionV>
            <wp:extent cx="8367395" cy="3027680"/>
            <wp:effectExtent l="0" t="0" r="14605" b="12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8367395" cy="3027680"/>
                    </a:xfrm>
                    <a:prstGeom prst="rect">
                      <a:avLst/>
                    </a:prstGeom>
                    <a:noFill/>
                    <a:ln>
                      <a:noFill/>
                    </a:ln>
                  </pic:spPr>
                </pic:pic>
              </a:graphicData>
            </a:graphic>
          </wp:anchor>
        </w:drawing>
      </w:r>
    </w:p>
    <w:p w14:paraId="08986D9B">
      <w:pPr>
        <w:pStyle w:val="20"/>
        <w:keepNext w:val="0"/>
        <w:keepLines w:val="0"/>
        <w:pageBreakBefore w:val="0"/>
        <w:widowControl w:val="0"/>
        <w:kinsoku/>
        <w:wordWrap/>
        <w:overflowPunct/>
        <w:topLinePunct w:val="0"/>
        <w:bidi w:val="0"/>
        <w:spacing w:before="312" w:beforeLines="100" w:after="312" w:afterLines="100" w:line="600" w:lineRule="exact"/>
        <w:jc w:val="center"/>
        <w:rPr>
          <w:rFonts w:hint="eastAsia" w:ascii="仿宋" w:hAnsi="仿宋" w:eastAsia="仿宋" w:cs="仿宋"/>
          <w:b/>
          <w:bCs/>
          <w:color w:val="auto"/>
          <w:sz w:val="36"/>
          <w:szCs w:val="36"/>
          <w:highlight w:val="none"/>
        </w:rPr>
      </w:pPr>
    </w:p>
    <w:p w14:paraId="07173D43">
      <w:pPr>
        <w:pStyle w:val="20"/>
        <w:keepNext w:val="0"/>
        <w:keepLines w:val="0"/>
        <w:pageBreakBefore w:val="0"/>
        <w:widowControl w:val="0"/>
        <w:kinsoku/>
        <w:wordWrap/>
        <w:overflowPunct/>
        <w:topLinePunct w:val="0"/>
        <w:bidi w:val="0"/>
        <w:spacing w:before="312" w:beforeLines="100" w:after="312" w:afterLines="100" w:line="600" w:lineRule="exact"/>
        <w:jc w:val="center"/>
        <w:rPr>
          <w:rFonts w:hint="eastAsia" w:ascii="仿宋" w:hAnsi="仿宋" w:eastAsia="仿宋" w:cs="仿宋"/>
          <w:b/>
          <w:bCs/>
          <w:color w:val="auto"/>
          <w:sz w:val="36"/>
          <w:szCs w:val="36"/>
          <w:highlight w:val="none"/>
        </w:rPr>
      </w:pPr>
    </w:p>
    <w:p w14:paraId="26C1DE1E">
      <w:pPr>
        <w:pStyle w:val="20"/>
        <w:keepNext w:val="0"/>
        <w:keepLines w:val="0"/>
        <w:pageBreakBefore w:val="0"/>
        <w:widowControl w:val="0"/>
        <w:kinsoku/>
        <w:wordWrap/>
        <w:overflowPunct/>
        <w:topLinePunct w:val="0"/>
        <w:bidi w:val="0"/>
        <w:spacing w:before="312" w:beforeLines="100" w:after="312" w:afterLines="100" w:line="600" w:lineRule="exact"/>
        <w:jc w:val="center"/>
        <w:rPr>
          <w:rFonts w:hint="eastAsia" w:ascii="仿宋" w:hAnsi="仿宋" w:eastAsia="仿宋" w:cs="仿宋"/>
          <w:b/>
          <w:bCs/>
          <w:color w:val="auto"/>
          <w:sz w:val="36"/>
          <w:szCs w:val="36"/>
          <w:highlight w:val="none"/>
        </w:rPr>
        <w:sectPr>
          <w:headerReference r:id="rId4" w:type="first"/>
          <w:headerReference r:id="rId3" w:type="default"/>
          <w:pgSz w:w="11905" w:h="16838"/>
          <w:pgMar w:top="1440" w:right="1587" w:bottom="1440" w:left="1587" w:header="850" w:footer="850" w:gutter="0"/>
          <w:pgBorders>
            <w:top w:val="none" w:sz="0" w:space="0"/>
            <w:left w:val="none" w:sz="0" w:space="0"/>
            <w:bottom w:val="none" w:sz="0" w:space="0"/>
            <w:right w:val="none" w:sz="0" w:space="0"/>
          </w:pgBorders>
          <w:pgNumType w:fmt="decimal" w:start="1"/>
          <w:cols w:space="720" w:num="1"/>
          <w:titlePg/>
          <w:rtlGutter w:val="0"/>
          <w:docGrid w:type="linesAndChars" w:linePitch="317" w:charSpace="0"/>
        </w:sectPr>
      </w:pPr>
    </w:p>
    <w:p w14:paraId="44C30D1A">
      <w:pPr>
        <w:jc w:val="center"/>
        <w:rPr>
          <w:rFonts w:hint="eastAsia"/>
          <w:b/>
          <w:bCs/>
          <w:color w:val="auto"/>
          <w:sz w:val="36"/>
          <w:szCs w:val="36"/>
          <w:highlight w:val="none"/>
        </w:rPr>
      </w:pPr>
      <w:r>
        <w:rPr>
          <w:rFonts w:hint="eastAsia"/>
          <w:b/>
          <w:bCs/>
          <w:color w:val="auto"/>
          <w:sz w:val="36"/>
          <w:szCs w:val="36"/>
          <w:highlight w:val="none"/>
        </w:rPr>
        <w:t>目 录</w:t>
      </w:r>
    </w:p>
    <w:p w14:paraId="6A571124">
      <w:pPr>
        <w:jc w:val="right"/>
        <w:rPr>
          <w:rFonts w:hint="eastAsia"/>
          <w:b/>
          <w:bCs/>
          <w:color w:val="auto"/>
          <w:sz w:val="32"/>
          <w:szCs w:val="32"/>
          <w:highlight w:val="none"/>
        </w:rPr>
      </w:pPr>
    </w:p>
    <w:p w14:paraId="4BA5F990">
      <w:pPr>
        <w:pStyle w:val="34"/>
        <w:tabs>
          <w:tab w:val="right" w:leader="dot" w:pos="9076"/>
        </w:tabs>
      </w:pPr>
      <w:bookmarkStart w:id="0" w:name="_Toc15390"/>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TOC \o "1-1" \h \u </w:instrText>
      </w:r>
      <w:r>
        <w:rPr>
          <w:rFonts w:hint="eastAsia" w:ascii="宋体" w:hAnsi="宋体" w:eastAsia="宋体" w:cs="宋体"/>
          <w:sz w:val="24"/>
          <w:szCs w:val="24"/>
          <w:highlight w:val="none"/>
        </w:rPr>
        <w:fldChar w:fldCharType="separate"/>
      </w: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_Toc24131 </w:instrText>
      </w:r>
      <w:r>
        <w:rPr>
          <w:rFonts w:hint="eastAsia" w:ascii="宋体" w:hAnsi="宋体" w:eastAsia="宋体" w:cs="宋体"/>
          <w:szCs w:val="24"/>
          <w:highlight w:val="none"/>
        </w:rPr>
        <w:fldChar w:fldCharType="separate"/>
      </w:r>
      <w:r>
        <w:rPr>
          <w:rFonts w:hint="eastAsia"/>
          <w:bCs/>
          <w:szCs w:val="32"/>
          <w:highlight w:val="none"/>
          <w:lang w:val="en-US" w:eastAsia="zh-CN"/>
        </w:rPr>
        <w:t>第一章 竞争性磋商公告</w:t>
      </w:r>
      <w:r>
        <w:tab/>
      </w:r>
      <w:r>
        <w:fldChar w:fldCharType="begin"/>
      </w:r>
      <w:r>
        <w:instrText xml:space="preserve"> PAGEREF _Toc24131 \h </w:instrText>
      </w:r>
      <w:r>
        <w:fldChar w:fldCharType="separate"/>
      </w:r>
      <w:r>
        <w:t>2</w:t>
      </w:r>
      <w:r>
        <w:fldChar w:fldCharType="end"/>
      </w:r>
      <w:r>
        <w:rPr>
          <w:rFonts w:hint="eastAsia" w:ascii="宋体" w:hAnsi="宋体" w:eastAsia="宋体" w:cs="宋体"/>
          <w:szCs w:val="24"/>
          <w:highlight w:val="none"/>
        </w:rPr>
        <w:fldChar w:fldCharType="end"/>
      </w:r>
    </w:p>
    <w:p w14:paraId="788B815A">
      <w:pPr>
        <w:pStyle w:val="34"/>
        <w:tabs>
          <w:tab w:val="right" w:leader="dot" w:pos="9076"/>
        </w:tabs>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_Toc20317 </w:instrText>
      </w:r>
      <w:r>
        <w:rPr>
          <w:rFonts w:hint="eastAsia" w:ascii="宋体" w:hAnsi="宋体" w:eastAsia="宋体" w:cs="宋体"/>
          <w:szCs w:val="24"/>
          <w:highlight w:val="none"/>
        </w:rPr>
        <w:fldChar w:fldCharType="separate"/>
      </w:r>
      <w:r>
        <w:rPr>
          <w:rFonts w:hint="eastAsia"/>
          <w:bCs/>
          <w:szCs w:val="32"/>
          <w:highlight w:val="none"/>
          <w:lang w:val="en-US" w:eastAsia="zh-CN"/>
        </w:rPr>
        <w:t xml:space="preserve">第二章 </w:t>
      </w:r>
      <w:r>
        <w:rPr>
          <w:rFonts w:hint="eastAsia" w:hAnsi="Courier New" w:cs="Courier New"/>
          <w:bCs/>
          <w:szCs w:val="32"/>
          <w:highlight w:val="none"/>
          <w:lang w:eastAsia="zh-CN"/>
        </w:rPr>
        <w:t>供应商</w:t>
      </w:r>
      <w:r>
        <w:rPr>
          <w:rFonts w:hint="eastAsia" w:hAnsi="Courier New" w:cs="Courier New"/>
          <w:bCs/>
          <w:szCs w:val="32"/>
          <w:highlight w:val="none"/>
        </w:rPr>
        <w:t>须知</w:t>
      </w:r>
      <w:r>
        <w:tab/>
      </w:r>
      <w:r>
        <w:fldChar w:fldCharType="begin"/>
      </w:r>
      <w:r>
        <w:instrText xml:space="preserve"> PAGEREF _Toc20317 \h </w:instrText>
      </w:r>
      <w:r>
        <w:fldChar w:fldCharType="separate"/>
      </w:r>
      <w:r>
        <w:t>6</w:t>
      </w:r>
      <w:r>
        <w:fldChar w:fldCharType="end"/>
      </w:r>
      <w:r>
        <w:rPr>
          <w:rFonts w:hint="eastAsia" w:ascii="宋体" w:hAnsi="宋体" w:eastAsia="宋体" w:cs="宋体"/>
          <w:szCs w:val="24"/>
          <w:highlight w:val="none"/>
        </w:rPr>
        <w:fldChar w:fldCharType="end"/>
      </w:r>
    </w:p>
    <w:p w14:paraId="71B62907">
      <w:pPr>
        <w:pStyle w:val="34"/>
        <w:tabs>
          <w:tab w:val="right" w:leader="dot" w:pos="9076"/>
        </w:tabs>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_Toc9305 </w:instrText>
      </w:r>
      <w:r>
        <w:rPr>
          <w:rFonts w:hint="eastAsia" w:ascii="宋体" w:hAnsi="宋体" w:eastAsia="宋体" w:cs="宋体"/>
          <w:szCs w:val="24"/>
          <w:highlight w:val="none"/>
        </w:rPr>
        <w:fldChar w:fldCharType="separate"/>
      </w:r>
      <w:r>
        <w:rPr>
          <w:rFonts w:hint="eastAsia" w:ascii="宋体" w:hAnsi="Courier New" w:eastAsia="宋体" w:cs="Courier New"/>
          <w:bCs/>
          <w:kern w:val="2"/>
          <w:szCs w:val="32"/>
          <w:lang w:val="en-US" w:eastAsia="zh-CN" w:bidi="ar-SA"/>
        </w:rPr>
        <w:t xml:space="preserve">第三章 </w:t>
      </w:r>
      <w:r>
        <w:rPr>
          <w:rFonts w:hint="eastAsia" w:ascii="宋体" w:hAnsi="Courier New" w:eastAsia="宋体" w:cs="Courier New"/>
          <w:bCs/>
          <w:kern w:val="2"/>
          <w:szCs w:val="32"/>
          <w:highlight w:val="none"/>
          <w:lang w:val="en-US" w:eastAsia="zh-CN" w:bidi="ar-SA"/>
        </w:rPr>
        <w:t>评审办法（综合评分法）</w:t>
      </w:r>
      <w:r>
        <w:tab/>
      </w:r>
      <w:r>
        <w:fldChar w:fldCharType="begin"/>
      </w:r>
      <w:r>
        <w:instrText xml:space="preserve"> PAGEREF _Toc9305 \h </w:instrText>
      </w:r>
      <w:r>
        <w:fldChar w:fldCharType="separate"/>
      </w:r>
      <w:r>
        <w:t>29</w:t>
      </w:r>
      <w:r>
        <w:fldChar w:fldCharType="end"/>
      </w:r>
      <w:r>
        <w:rPr>
          <w:rFonts w:hint="eastAsia" w:ascii="宋体" w:hAnsi="宋体" w:eastAsia="宋体" w:cs="宋体"/>
          <w:szCs w:val="24"/>
          <w:highlight w:val="none"/>
        </w:rPr>
        <w:fldChar w:fldCharType="end"/>
      </w:r>
    </w:p>
    <w:p w14:paraId="7387011B">
      <w:pPr>
        <w:pStyle w:val="34"/>
        <w:tabs>
          <w:tab w:val="right" w:leader="dot" w:pos="9076"/>
        </w:tabs>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_Toc20283 </w:instrText>
      </w:r>
      <w:r>
        <w:rPr>
          <w:rFonts w:hint="eastAsia" w:ascii="宋体" w:hAnsi="宋体" w:eastAsia="宋体" w:cs="宋体"/>
          <w:szCs w:val="24"/>
          <w:highlight w:val="none"/>
        </w:rPr>
        <w:fldChar w:fldCharType="separate"/>
      </w:r>
      <w:r>
        <w:rPr>
          <w:rFonts w:hint="eastAsia" w:hAnsi="Courier New" w:cs="Courier New"/>
          <w:bCs/>
          <w:szCs w:val="32"/>
          <w:lang w:val="en-US" w:eastAsia="zh-CN"/>
        </w:rPr>
        <w:t xml:space="preserve">第四章 </w:t>
      </w:r>
      <w:r>
        <w:rPr>
          <w:rFonts w:hint="eastAsia" w:hAnsi="Courier New" w:cs="Courier New"/>
          <w:bCs/>
          <w:szCs w:val="32"/>
          <w:highlight w:val="none"/>
          <w:lang w:val="en-US" w:eastAsia="zh-CN"/>
        </w:rPr>
        <w:t>合同条款及格式</w:t>
      </w:r>
      <w:r>
        <w:tab/>
      </w:r>
      <w:r>
        <w:fldChar w:fldCharType="begin"/>
      </w:r>
      <w:r>
        <w:instrText xml:space="preserve"> PAGEREF _Toc20283 \h </w:instrText>
      </w:r>
      <w:r>
        <w:fldChar w:fldCharType="separate"/>
      </w:r>
      <w:r>
        <w:t>37</w:t>
      </w:r>
      <w:r>
        <w:fldChar w:fldCharType="end"/>
      </w:r>
      <w:r>
        <w:rPr>
          <w:rFonts w:hint="eastAsia" w:ascii="宋体" w:hAnsi="宋体" w:eastAsia="宋体" w:cs="宋体"/>
          <w:szCs w:val="24"/>
          <w:highlight w:val="none"/>
        </w:rPr>
        <w:fldChar w:fldCharType="end"/>
      </w:r>
    </w:p>
    <w:p w14:paraId="373D65DF">
      <w:pPr>
        <w:pStyle w:val="34"/>
        <w:tabs>
          <w:tab w:val="right" w:leader="dot" w:pos="9076"/>
        </w:tabs>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_Toc10500 </w:instrText>
      </w:r>
      <w:r>
        <w:rPr>
          <w:rFonts w:hint="eastAsia" w:ascii="宋体" w:hAnsi="宋体" w:eastAsia="宋体" w:cs="宋体"/>
          <w:szCs w:val="24"/>
          <w:highlight w:val="none"/>
        </w:rPr>
        <w:fldChar w:fldCharType="separate"/>
      </w:r>
      <w:r>
        <w:rPr>
          <w:rFonts w:hint="eastAsia" w:hAnsi="Courier New" w:cs="Courier New"/>
          <w:bCs/>
          <w:szCs w:val="32"/>
          <w:highlight w:val="none"/>
          <w:lang w:val="en-US" w:eastAsia="zh-CN"/>
        </w:rPr>
        <w:t>第五章 控制价编制依据</w:t>
      </w:r>
      <w:r>
        <w:tab/>
      </w:r>
      <w:r>
        <w:fldChar w:fldCharType="begin"/>
      </w:r>
      <w:r>
        <w:instrText xml:space="preserve"> PAGEREF _Toc10500 \h </w:instrText>
      </w:r>
      <w:r>
        <w:fldChar w:fldCharType="separate"/>
      </w:r>
      <w:r>
        <w:t>81</w:t>
      </w:r>
      <w:r>
        <w:fldChar w:fldCharType="end"/>
      </w:r>
      <w:r>
        <w:rPr>
          <w:rFonts w:hint="eastAsia" w:ascii="宋体" w:hAnsi="宋体" w:eastAsia="宋体" w:cs="宋体"/>
          <w:szCs w:val="24"/>
          <w:highlight w:val="none"/>
        </w:rPr>
        <w:fldChar w:fldCharType="end"/>
      </w:r>
    </w:p>
    <w:p w14:paraId="53C55523">
      <w:pPr>
        <w:pStyle w:val="34"/>
        <w:tabs>
          <w:tab w:val="right" w:leader="dot" w:pos="9076"/>
        </w:tabs>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_Toc17544 </w:instrText>
      </w:r>
      <w:r>
        <w:rPr>
          <w:rFonts w:hint="eastAsia" w:ascii="宋体" w:hAnsi="宋体" w:eastAsia="宋体" w:cs="宋体"/>
          <w:szCs w:val="24"/>
          <w:highlight w:val="none"/>
        </w:rPr>
        <w:fldChar w:fldCharType="separate"/>
      </w:r>
      <w:r>
        <w:rPr>
          <w:rFonts w:hint="eastAsia" w:hAnsi="Courier New" w:cs="Courier New"/>
          <w:bCs/>
          <w:szCs w:val="32"/>
          <w:highlight w:val="none"/>
          <w:lang w:val="en-US" w:eastAsia="zh-CN"/>
        </w:rPr>
        <w:t>第六章 工程量清单（另附）</w:t>
      </w:r>
      <w:r>
        <w:tab/>
      </w:r>
      <w:r>
        <w:fldChar w:fldCharType="begin"/>
      </w:r>
      <w:r>
        <w:instrText xml:space="preserve"> PAGEREF _Toc17544 \h </w:instrText>
      </w:r>
      <w:r>
        <w:fldChar w:fldCharType="separate"/>
      </w:r>
      <w:r>
        <w:t>82</w:t>
      </w:r>
      <w:r>
        <w:fldChar w:fldCharType="end"/>
      </w:r>
      <w:r>
        <w:rPr>
          <w:rFonts w:hint="eastAsia" w:ascii="宋体" w:hAnsi="宋体" w:eastAsia="宋体" w:cs="宋体"/>
          <w:szCs w:val="24"/>
          <w:highlight w:val="none"/>
        </w:rPr>
        <w:fldChar w:fldCharType="end"/>
      </w:r>
    </w:p>
    <w:p w14:paraId="704AECBE">
      <w:pPr>
        <w:pStyle w:val="34"/>
        <w:tabs>
          <w:tab w:val="right" w:leader="dot" w:pos="9076"/>
        </w:tabs>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_Toc3791 </w:instrText>
      </w:r>
      <w:r>
        <w:rPr>
          <w:rFonts w:hint="eastAsia" w:ascii="宋体" w:hAnsi="宋体" w:eastAsia="宋体" w:cs="宋体"/>
          <w:szCs w:val="24"/>
          <w:highlight w:val="none"/>
        </w:rPr>
        <w:fldChar w:fldCharType="separate"/>
      </w:r>
      <w:r>
        <w:rPr>
          <w:rFonts w:hint="eastAsia" w:hAnsi="Courier New" w:cs="Courier New"/>
          <w:bCs/>
          <w:szCs w:val="32"/>
          <w:highlight w:val="none"/>
          <w:lang w:val="en-US" w:eastAsia="zh-CN"/>
        </w:rPr>
        <w:t>第七章 图纸（另附）</w:t>
      </w:r>
      <w:r>
        <w:tab/>
      </w:r>
      <w:r>
        <w:fldChar w:fldCharType="begin"/>
      </w:r>
      <w:r>
        <w:instrText xml:space="preserve"> PAGEREF _Toc3791 \h </w:instrText>
      </w:r>
      <w:r>
        <w:fldChar w:fldCharType="separate"/>
      </w:r>
      <w:r>
        <w:t>84</w:t>
      </w:r>
      <w:r>
        <w:fldChar w:fldCharType="end"/>
      </w:r>
      <w:r>
        <w:rPr>
          <w:rFonts w:hint="eastAsia" w:ascii="宋体" w:hAnsi="宋体" w:eastAsia="宋体" w:cs="宋体"/>
          <w:szCs w:val="24"/>
          <w:highlight w:val="none"/>
        </w:rPr>
        <w:fldChar w:fldCharType="end"/>
      </w:r>
    </w:p>
    <w:p w14:paraId="1BDDE5FC">
      <w:pPr>
        <w:pStyle w:val="34"/>
        <w:tabs>
          <w:tab w:val="right" w:leader="dot" w:pos="9076"/>
        </w:tabs>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_Toc21298 </w:instrText>
      </w:r>
      <w:r>
        <w:rPr>
          <w:rFonts w:hint="eastAsia" w:ascii="宋体" w:hAnsi="宋体" w:eastAsia="宋体" w:cs="宋体"/>
          <w:szCs w:val="24"/>
          <w:highlight w:val="none"/>
        </w:rPr>
        <w:fldChar w:fldCharType="separate"/>
      </w:r>
      <w:r>
        <w:rPr>
          <w:rFonts w:hint="eastAsia" w:hAnsi="Courier New" w:cs="Courier New"/>
          <w:bCs/>
          <w:szCs w:val="32"/>
          <w:highlight w:val="none"/>
          <w:lang w:val="en-US" w:eastAsia="zh-CN"/>
        </w:rPr>
        <w:t>第八章 技术标准和要求</w:t>
      </w:r>
      <w:r>
        <w:tab/>
      </w:r>
      <w:r>
        <w:fldChar w:fldCharType="begin"/>
      </w:r>
      <w:r>
        <w:instrText xml:space="preserve"> PAGEREF _Toc21298 \h </w:instrText>
      </w:r>
      <w:r>
        <w:fldChar w:fldCharType="separate"/>
      </w:r>
      <w:r>
        <w:t>85</w:t>
      </w:r>
      <w:r>
        <w:fldChar w:fldCharType="end"/>
      </w:r>
      <w:r>
        <w:rPr>
          <w:rFonts w:hint="eastAsia" w:ascii="宋体" w:hAnsi="宋体" w:eastAsia="宋体" w:cs="宋体"/>
          <w:szCs w:val="24"/>
          <w:highlight w:val="none"/>
        </w:rPr>
        <w:fldChar w:fldCharType="end"/>
      </w:r>
    </w:p>
    <w:p w14:paraId="47E6A7B6">
      <w:pPr>
        <w:pStyle w:val="34"/>
        <w:tabs>
          <w:tab w:val="right" w:leader="dot" w:pos="9076"/>
        </w:tabs>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_Toc28498 </w:instrText>
      </w:r>
      <w:r>
        <w:rPr>
          <w:rFonts w:hint="eastAsia" w:ascii="宋体" w:hAnsi="宋体" w:eastAsia="宋体" w:cs="宋体"/>
          <w:szCs w:val="24"/>
          <w:highlight w:val="none"/>
        </w:rPr>
        <w:fldChar w:fldCharType="separate"/>
      </w:r>
      <w:r>
        <w:rPr>
          <w:rFonts w:hint="eastAsia" w:ascii="宋体" w:hAnsi="Courier New" w:eastAsia="宋体" w:cs="Courier New"/>
          <w:bCs/>
          <w:szCs w:val="32"/>
          <w:highlight w:val="none"/>
          <w:lang w:val="en-US" w:eastAsia="zh-CN"/>
        </w:rPr>
        <w:t xml:space="preserve">第九章 </w:t>
      </w:r>
      <w:r>
        <w:rPr>
          <w:rFonts w:hint="eastAsia" w:ascii="宋体" w:hAnsi="Courier New" w:eastAsia="宋体" w:cs="Courier New"/>
          <w:bCs/>
          <w:szCs w:val="32"/>
          <w:highlight w:val="none"/>
          <w:lang w:eastAsia="zh-CN"/>
        </w:rPr>
        <w:t>响应文件</w:t>
      </w:r>
      <w:r>
        <w:rPr>
          <w:rFonts w:hint="eastAsia" w:hAnsi="Courier New" w:cs="Courier New"/>
          <w:bCs/>
          <w:szCs w:val="32"/>
          <w:highlight w:val="none"/>
        </w:rPr>
        <w:t>格式</w:t>
      </w:r>
      <w:r>
        <w:tab/>
      </w:r>
      <w:r>
        <w:fldChar w:fldCharType="begin"/>
      </w:r>
      <w:r>
        <w:instrText xml:space="preserve"> PAGEREF _Toc28498 \h </w:instrText>
      </w:r>
      <w:r>
        <w:fldChar w:fldCharType="separate"/>
      </w:r>
      <w:r>
        <w:t>86</w:t>
      </w:r>
      <w:r>
        <w:fldChar w:fldCharType="end"/>
      </w:r>
      <w:r>
        <w:rPr>
          <w:rFonts w:hint="eastAsia" w:ascii="宋体" w:hAnsi="宋体" w:eastAsia="宋体" w:cs="宋体"/>
          <w:szCs w:val="24"/>
          <w:highlight w:val="none"/>
        </w:rPr>
        <w:fldChar w:fldCharType="end"/>
      </w:r>
    </w:p>
    <w:p w14:paraId="7A442C44">
      <w:pPr>
        <w:keepNext w:val="0"/>
        <w:keepLines w:val="0"/>
        <w:pageBreakBefore w:val="0"/>
        <w:widowControl w:val="0"/>
        <w:kinsoku/>
        <w:wordWrap w:val="0"/>
        <w:overflowPunct/>
        <w:topLinePunct/>
        <w:autoSpaceDE/>
        <w:autoSpaceDN/>
        <w:bidi w:val="0"/>
        <w:adjustRightInd/>
        <w:snapToGrid/>
        <w:spacing w:line="480" w:lineRule="auto"/>
        <w:textAlignment w:val="auto"/>
        <w:outlineLvl w:val="9"/>
        <w:rPr>
          <w:highlight w:val="none"/>
        </w:rPr>
      </w:pPr>
      <w:r>
        <w:rPr>
          <w:rFonts w:hint="eastAsia" w:ascii="宋体" w:hAnsi="宋体" w:eastAsia="宋体" w:cs="宋体"/>
          <w:szCs w:val="24"/>
          <w:highlight w:val="none"/>
        </w:rPr>
        <w:fldChar w:fldCharType="end"/>
      </w:r>
    </w:p>
    <w:bookmarkEnd w:id="0"/>
    <w:p w14:paraId="4E9AC355">
      <w:pPr>
        <w:pStyle w:val="20"/>
        <w:numPr>
          <w:ilvl w:val="0"/>
          <w:numId w:val="0"/>
        </w:numPr>
        <w:spacing w:before="312" w:beforeLines="100" w:after="312" w:afterLines="100" w:line="600" w:lineRule="exact"/>
        <w:jc w:val="left"/>
        <w:outlineLvl w:val="0"/>
        <w:rPr>
          <w:rFonts w:hint="eastAsia"/>
          <w:b/>
          <w:bCs/>
          <w:color w:val="auto"/>
          <w:sz w:val="32"/>
          <w:szCs w:val="32"/>
          <w:highlight w:val="none"/>
          <w:lang w:val="en-US" w:eastAsia="zh-CN"/>
        </w:rPr>
      </w:pPr>
      <w:bookmarkStart w:id="1" w:name="_Toc410126998"/>
    </w:p>
    <w:p w14:paraId="31EFC4BE">
      <w:pPr>
        <w:pStyle w:val="20"/>
        <w:numPr>
          <w:ilvl w:val="0"/>
          <w:numId w:val="0"/>
        </w:numPr>
        <w:spacing w:before="312" w:beforeLines="100" w:after="312" w:afterLines="100" w:line="600" w:lineRule="exact"/>
        <w:jc w:val="center"/>
        <w:outlineLvl w:val="0"/>
        <w:rPr>
          <w:color w:val="auto"/>
          <w:highlight w:val="none"/>
        </w:rPr>
      </w:pPr>
      <w:r>
        <w:rPr>
          <w:rFonts w:hint="eastAsia"/>
          <w:b/>
          <w:bCs/>
          <w:color w:val="auto"/>
          <w:sz w:val="32"/>
          <w:szCs w:val="32"/>
          <w:highlight w:val="none"/>
          <w:lang w:val="en-US" w:eastAsia="zh-CN"/>
        </w:rPr>
        <w:br w:type="page"/>
      </w:r>
      <w:bookmarkStart w:id="2" w:name="_Toc992"/>
      <w:bookmarkStart w:id="3" w:name="_Toc24131"/>
      <w:r>
        <w:rPr>
          <w:rFonts w:hint="eastAsia"/>
          <w:b/>
          <w:bCs/>
          <w:color w:val="auto"/>
          <w:sz w:val="32"/>
          <w:szCs w:val="32"/>
          <w:highlight w:val="none"/>
          <w:lang w:val="en-US" w:eastAsia="zh-CN"/>
        </w:rPr>
        <w:t>第一</w:t>
      </w:r>
      <w:r>
        <w:rPr>
          <w:rFonts w:hint="eastAsia"/>
          <w:b/>
          <w:bCs/>
          <w:color w:val="auto"/>
          <w:sz w:val="32"/>
          <w:szCs w:val="32"/>
          <w:highlight w:val="none"/>
          <w:lang w:val="en-US" w:eastAsia="zh-CN"/>
        </w:rPr>
        <w:t xml:space="preserve">章 </w:t>
      </w:r>
      <w:r>
        <w:rPr>
          <w:rFonts w:hint="eastAsia"/>
          <w:b/>
          <w:bCs/>
          <w:color w:val="auto"/>
          <w:sz w:val="32"/>
          <w:szCs w:val="32"/>
          <w:highlight w:val="none"/>
          <w:lang w:val="en-US" w:eastAsia="zh-CN"/>
        </w:rPr>
        <w:t>竞争性</w:t>
      </w:r>
      <w:r>
        <w:rPr>
          <w:rFonts w:hint="eastAsia"/>
          <w:b/>
          <w:bCs/>
          <w:color w:val="auto"/>
          <w:sz w:val="32"/>
          <w:szCs w:val="32"/>
          <w:highlight w:val="none"/>
          <w:lang w:val="en-US" w:eastAsia="zh-CN"/>
        </w:rPr>
        <w:t>磋商公告</w:t>
      </w:r>
      <w:bookmarkEnd w:id="2"/>
      <w:bookmarkEnd w:id="3"/>
    </w:p>
    <w:p w14:paraId="01461737">
      <w:pPr>
        <w:spacing w:line="360" w:lineRule="auto"/>
        <w:ind w:firstLine="480" w:firstLineChars="200"/>
        <w:rPr>
          <w:rFonts w:hint="eastAsia" w:ascii="宋体" w:hAnsi="宋体" w:eastAsia="宋体" w:cs="宋体"/>
          <w:sz w:val="24"/>
          <w:szCs w:val="24"/>
          <w:lang w:val="en-US" w:eastAsia="zh-CN"/>
        </w:rPr>
      </w:pPr>
      <w:bookmarkStart w:id="4" w:name="_Toc270604573"/>
      <w:bookmarkStart w:id="5" w:name="_Toc1254"/>
      <w:r>
        <w:rPr>
          <w:rFonts w:hint="eastAsia" w:ascii="宋体" w:hAnsi="宋体" w:eastAsia="宋体" w:cs="宋体"/>
          <w:sz w:val="24"/>
          <w:szCs w:val="24"/>
          <w:lang w:val="en-US" w:eastAsia="zh-CN"/>
        </w:rPr>
        <w:t>项目概况</w:t>
      </w:r>
    </w:p>
    <w:p w14:paraId="0D787B33">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陕州区S312线桥头沟大桥预防性养护项目招标项目的潜在投标人应在三门峡市公共资源交易中心网（网址：http://gzjy.smx.gov.cn）获取竞争性磋商文件，并于</w:t>
      </w:r>
      <w:r>
        <w:rPr>
          <w:rFonts w:hint="eastAsia" w:cs="宋体"/>
          <w:sz w:val="24"/>
          <w:szCs w:val="24"/>
          <w:lang w:val="en-US" w:eastAsia="zh-CN"/>
        </w:rPr>
        <w:t>2025年10月29日08时20分</w:t>
      </w:r>
      <w:r>
        <w:rPr>
          <w:rFonts w:hint="eastAsia" w:ascii="宋体" w:hAnsi="宋体" w:eastAsia="宋体" w:cs="宋体"/>
          <w:sz w:val="24"/>
          <w:szCs w:val="24"/>
          <w:lang w:val="en-US" w:eastAsia="zh-CN"/>
        </w:rPr>
        <w:t>（北京时间）前递交响应文件。</w:t>
      </w:r>
    </w:p>
    <w:p w14:paraId="220D6F3A">
      <w:pPr>
        <w:numPr>
          <w:ilvl w:val="0"/>
          <w:numId w:val="2"/>
        </w:numPr>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项目基本情况</w:t>
      </w:r>
    </w:p>
    <w:p w14:paraId="183C8A9F">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1、</w:t>
      </w:r>
      <w:r>
        <w:rPr>
          <w:rFonts w:hint="eastAsia" w:ascii="宋体" w:hAnsi="宋体" w:eastAsia="宋体" w:cs="宋体"/>
          <w:color w:val="auto"/>
          <w:sz w:val="24"/>
          <w:szCs w:val="24"/>
          <w:lang w:val="en-US" w:eastAsia="zh-CN"/>
        </w:rPr>
        <w:t>项目编号：三财竞磋采购-2025</w:t>
      </w:r>
      <w:r>
        <w:rPr>
          <w:rFonts w:hint="eastAsia" w:ascii="宋体" w:hAnsi="宋体" w:eastAsia="宋体" w:cs="宋体"/>
          <w:color w:val="auto"/>
          <w:sz w:val="24"/>
          <w:szCs w:val="24"/>
          <w:highlight w:val="none"/>
          <w:lang w:val="en-US" w:eastAsia="zh-CN"/>
        </w:rPr>
        <w:t>-69</w:t>
      </w:r>
      <w:r>
        <w:rPr>
          <w:rFonts w:hint="eastAsia" w:cs="宋体"/>
          <w:color w:val="auto"/>
          <w:sz w:val="24"/>
          <w:szCs w:val="24"/>
          <w:highlight w:val="none"/>
          <w:lang w:val="en-US" w:eastAsia="zh-CN"/>
        </w:rPr>
        <w:t>、</w:t>
      </w:r>
      <w:r>
        <w:rPr>
          <w:rFonts w:hint="eastAsia" w:ascii="宋体" w:hAnsi="宋体" w:eastAsia="宋体" w:cs="宋体"/>
          <w:color w:val="auto"/>
          <w:sz w:val="22"/>
          <w:szCs w:val="22"/>
          <w:highlight w:val="none"/>
          <w:lang w:val="en-US" w:eastAsia="zh-CN"/>
        </w:rPr>
        <w:t>SGZ[2025]440-ZC294</w:t>
      </w:r>
    </w:p>
    <w:p w14:paraId="46C5D857">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2、项目名称：</w:t>
      </w:r>
      <w:r>
        <w:rPr>
          <w:rFonts w:hint="eastAsia" w:ascii="宋体" w:hAnsi="宋体" w:eastAsia="宋体" w:cs="宋体"/>
          <w:strike w:val="0"/>
          <w:dstrike w:val="0"/>
          <w:sz w:val="24"/>
          <w:szCs w:val="24"/>
          <w:highlight w:val="none"/>
          <w:lang w:val="en-US" w:eastAsia="zh-CN"/>
        </w:rPr>
        <w:t>陕州区S312线桥头沟大桥预防性养护项目</w:t>
      </w:r>
    </w:p>
    <w:p w14:paraId="76F813EF">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3、采购方式：竞争性磋商</w:t>
      </w:r>
    </w:p>
    <w:p w14:paraId="43DCDBD4">
      <w:pPr>
        <w:spacing w:line="360" w:lineRule="auto"/>
        <w:ind w:firstLine="480" w:firstLineChars="200"/>
        <w:rPr>
          <w:rFonts w:hint="default" w:ascii="宋体" w:hAnsi="宋体" w:eastAsia="宋体" w:cs="宋体"/>
          <w:sz w:val="24"/>
          <w:szCs w:val="24"/>
          <w:u w:val="none"/>
          <w:lang w:val="en-US" w:eastAsia="zh-CN"/>
        </w:rPr>
      </w:pPr>
      <w:r>
        <w:rPr>
          <w:rFonts w:hint="eastAsia" w:ascii="宋体" w:hAnsi="宋体" w:eastAsia="宋体" w:cs="宋体"/>
          <w:sz w:val="24"/>
          <w:szCs w:val="24"/>
          <w:lang w:val="en-US" w:eastAsia="zh-CN"/>
        </w:rPr>
        <w:t>4、预算金额：</w:t>
      </w:r>
      <w:r>
        <w:rPr>
          <w:rFonts w:hint="eastAsia" w:ascii="宋体" w:hAnsi="宋体" w:eastAsia="宋体" w:cs="宋体"/>
          <w:sz w:val="24"/>
          <w:szCs w:val="24"/>
          <w:highlight w:val="none"/>
          <w:u w:val="none"/>
          <w:lang w:val="en-US" w:eastAsia="zh-CN"/>
        </w:rPr>
        <w:t>2640407.11元</w:t>
      </w:r>
    </w:p>
    <w:p w14:paraId="6303D26A">
      <w:pPr>
        <w:spacing w:line="360" w:lineRule="auto"/>
        <w:ind w:firstLine="960" w:firstLineChars="400"/>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最高限价：</w:t>
      </w:r>
      <w:r>
        <w:rPr>
          <w:rFonts w:hint="eastAsia" w:ascii="宋体" w:hAnsi="宋体" w:eastAsia="宋体" w:cs="宋体"/>
          <w:sz w:val="24"/>
          <w:szCs w:val="24"/>
          <w:highlight w:val="none"/>
          <w:u w:val="none"/>
          <w:lang w:val="en-US" w:eastAsia="zh-CN"/>
        </w:rPr>
        <w:t>2640407.11</w:t>
      </w:r>
      <w:r>
        <w:rPr>
          <w:rFonts w:hint="eastAsia" w:cs="宋体"/>
          <w:sz w:val="24"/>
          <w:szCs w:val="24"/>
          <w:u w:val="none"/>
          <w:lang w:val="en-US" w:eastAsia="zh-CN"/>
        </w:rPr>
        <w:t>元</w:t>
      </w:r>
    </w:p>
    <w:tbl>
      <w:tblPr>
        <w:tblStyle w:val="48"/>
        <w:tblW w:w="8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474"/>
        <w:gridCol w:w="2975"/>
        <w:gridCol w:w="1812"/>
        <w:gridCol w:w="2006"/>
      </w:tblGrid>
      <w:tr w14:paraId="37E1E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722" w:type="dxa"/>
            <w:noWrap/>
            <w:vAlign w:val="center"/>
          </w:tcPr>
          <w:p w14:paraId="595133FE">
            <w:pPr>
              <w:spacing w:line="480" w:lineRule="exact"/>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序号</w:t>
            </w:r>
          </w:p>
        </w:tc>
        <w:tc>
          <w:tcPr>
            <w:tcW w:w="1474" w:type="dxa"/>
            <w:noWrap/>
            <w:vAlign w:val="center"/>
          </w:tcPr>
          <w:p w14:paraId="3A9F952D">
            <w:pPr>
              <w:spacing w:line="480" w:lineRule="exact"/>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包号</w:t>
            </w:r>
          </w:p>
        </w:tc>
        <w:tc>
          <w:tcPr>
            <w:tcW w:w="2975" w:type="dxa"/>
            <w:noWrap/>
            <w:vAlign w:val="center"/>
          </w:tcPr>
          <w:p w14:paraId="2348B5BE">
            <w:pPr>
              <w:spacing w:line="480" w:lineRule="exact"/>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包名称</w:t>
            </w:r>
          </w:p>
        </w:tc>
        <w:tc>
          <w:tcPr>
            <w:tcW w:w="1812" w:type="dxa"/>
            <w:noWrap/>
            <w:vAlign w:val="center"/>
          </w:tcPr>
          <w:p w14:paraId="2F378647">
            <w:pPr>
              <w:spacing w:line="480" w:lineRule="exact"/>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包预算（元）</w:t>
            </w:r>
          </w:p>
        </w:tc>
        <w:tc>
          <w:tcPr>
            <w:tcW w:w="2006" w:type="dxa"/>
            <w:noWrap/>
            <w:vAlign w:val="center"/>
          </w:tcPr>
          <w:p w14:paraId="7F78C3ED">
            <w:pPr>
              <w:spacing w:line="480" w:lineRule="exact"/>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包最高限价（元）</w:t>
            </w:r>
          </w:p>
        </w:tc>
      </w:tr>
      <w:tr w14:paraId="2E12C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722" w:type="dxa"/>
            <w:noWrap/>
            <w:vAlign w:val="center"/>
          </w:tcPr>
          <w:p w14:paraId="4DBC57BD">
            <w:pPr>
              <w:spacing w:line="480" w:lineRule="exact"/>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1474" w:type="dxa"/>
            <w:noWrap/>
            <w:vAlign w:val="center"/>
          </w:tcPr>
          <w:p w14:paraId="587CB94A">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90" w:lineRule="atLeast"/>
              <w:ind w:left="0" w:right="0"/>
              <w:jc w:val="center"/>
              <w:rPr>
                <w:rFonts w:hint="default" w:ascii="宋体" w:hAnsi="宋体" w:eastAsia="宋体" w:cs="宋体"/>
                <w:color w:val="auto"/>
                <w:kern w:val="0"/>
                <w:sz w:val="22"/>
                <w:szCs w:val="22"/>
                <w:highlight w:val="none"/>
                <w:lang w:val="en-US" w:eastAsia="zh-CN"/>
              </w:rPr>
            </w:pPr>
            <w:r>
              <w:rPr>
                <w:rFonts w:hint="eastAsia" w:ascii="宋体" w:hAnsi="宋体" w:eastAsia="宋体" w:cs="宋体"/>
                <w:color w:val="auto"/>
                <w:sz w:val="22"/>
                <w:szCs w:val="22"/>
                <w:highlight w:val="none"/>
                <w:lang w:val="en-US" w:eastAsia="zh-CN"/>
              </w:rPr>
              <w:t>SGZ[2025]440-ZC294-1</w:t>
            </w:r>
          </w:p>
        </w:tc>
        <w:tc>
          <w:tcPr>
            <w:tcW w:w="2975" w:type="dxa"/>
            <w:noWrap/>
            <w:vAlign w:val="center"/>
          </w:tcPr>
          <w:p w14:paraId="6A88DB91">
            <w:pPr>
              <w:spacing w:line="480" w:lineRule="exact"/>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strike w:val="0"/>
                <w:dstrike w:val="0"/>
                <w:sz w:val="22"/>
                <w:szCs w:val="22"/>
                <w:highlight w:val="none"/>
                <w:lang w:val="en-US" w:eastAsia="zh-CN"/>
              </w:rPr>
              <w:t>陕州区S312线桥头沟大桥预防性养护项目</w:t>
            </w:r>
          </w:p>
        </w:tc>
        <w:tc>
          <w:tcPr>
            <w:tcW w:w="1812" w:type="dxa"/>
            <w:noWrap/>
            <w:vAlign w:val="center"/>
          </w:tcPr>
          <w:p w14:paraId="6DDB20B9">
            <w:pPr>
              <w:spacing w:line="480" w:lineRule="exact"/>
              <w:jc w:val="center"/>
              <w:rPr>
                <w:rFonts w:ascii="宋体" w:hAnsi="宋体" w:cs="宋体"/>
                <w:color w:val="auto"/>
                <w:kern w:val="0"/>
                <w:sz w:val="22"/>
                <w:szCs w:val="22"/>
                <w:highlight w:val="none"/>
                <w:u w:val="none"/>
              </w:rPr>
            </w:pPr>
            <w:r>
              <w:rPr>
                <w:rFonts w:hint="eastAsia" w:ascii="宋体" w:hAnsi="宋体" w:eastAsia="宋体" w:cs="宋体"/>
                <w:sz w:val="24"/>
                <w:szCs w:val="24"/>
                <w:highlight w:val="none"/>
                <w:u w:val="none"/>
                <w:lang w:val="en-US" w:eastAsia="zh-CN"/>
              </w:rPr>
              <w:t>2640407.11</w:t>
            </w:r>
          </w:p>
        </w:tc>
        <w:tc>
          <w:tcPr>
            <w:tcW w:w="2006" w:type="dxa"/>
            <w:noWrap/>
            <w:vAlign w:val="center"/>
          </w:tcPr>
          <w:p w14:paraId="6095DEEC">
            <w:pPr>
              <w:spacing w:line="480" w:lineRule="exact"/>
              <w:jc w:val="center"/>
              <w:rPr>
                <w:rFonts w:hint="eastAsia" w:ascii="宋体" w:hAnsi="宋体" w:eastAsia="宋体" w:cs="宋体"/>
                <w:color w:val="auto"/>
                <w:kern w:val="0"/>
                <w:sz w:val="22"/>
                <w:szCs w:val="22"/>
                <w:highlight w:val="none"/>
                <w:u w:val="none"/>
                <w:lang w:eastAsia="zh-CN"/>
              </w:rPr>
            </w:pPr>
            <w:r>
              <w:rPr>
                <w:rFonts w:hint="eastAsia" w:ascii="宋体" w:hAnsi="宋体" w:eastAsia="宋体" w:cs="宋体"/>
                <w:sz w:val="24"/>
                <w:szCs w:val="24"/>
                <w:highlight w:val="none"/>
                <w:u w:val="none"/>
                <w:lang w:val="en-US" w:eastAsia="zh-CN"/>
              </w:rPr>
              <w:t>2640407.11</w:t>
            </w:r>
          </w:p>
        </w:tc>
      </w:tr>
    </w:tbl>
    <w:p w14:paraId="19A668BA">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5、采购需求（包括但不限于标的的名称、数量、简要技术需求或服务要求等）：</w:t>
      </w:r>
    </w:p>
    <w:p w14:paraId="06F7D197">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5.1项目概况：本项目位于S312线陕州区，桩号K481+979，桥梁长146米，宽44.2米，主要对桥梁铺装裂缝修补、更换伸缩缝、止水带、支座、排水系统修复，梁板裂缝灌注、桥台混凝土修补等，恢复和提高桥梁整体使用功能，延长桥梁使用寿命。（具体详见竞争性磋商文件及工程量清单）。</w:t>
      </w:r>
    </w:p>
    <w:p w14:paraId="24E696CD">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5.2</w:t>
      </w:r>
      <w:r>
        <w:rPr>
          <w:rFonts w:hint="eastAsia" w:ascii="宋体" w:hAnsi="宋体" w:eastAsia="宋体" w:cs="宋体"/>
          <w:sz w:val="24"/>
          <w:szCs w:val="24"/>
          <w:lang w:val="en-US" w:eastAsia="zh-CN"/>
        </w:rPr>
        <w:t>磋商范围：</w:t>
      </w:r>
      <w:r>
        <w:rPr>
          <w:rFonts w:hint="eastAsia" w:ascii="宋体" w:hAnsi="宋体" w:eastAsia="宋体" w:cs="宋体"/>
          <w:color w:val="auto"/>
          <w:sz w:val="24"/>
          <w:szCs w:val="24"/>
          <w:highlight w:val="none"/>
          <w:lang w:eastAsia="zh-CN"/>
        </w:rPr>
        <w:t>本项目竞争性磋商文件、工程量清单、补充文件及答疑文件（如有）等列明的所有内容。</w:t>
      </w:r>
    </w:p>
    <w:p w14:paraId="27437035">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lang w:val="en-US" w:eastAsia="zh-CN"/>
        </w:rPr>
        <w:t>5.3资金来源：</w:t>
      </w:r>
      <w:r>
        <w:rPr>
          <w:rFonts w:hint="eastAsia" w:ascii="宋体" w:hAnsi="宋体" w:eastAsia="宋体" w:cs="宋体"/>
          <w:sz w:val="24"/>
          <w:szCs w:val="24"/>
          <w:highlight w:val="none"/>
          <w:lang w:val="en-US" w:eastAsia="zh-CN"/>
        </w:rPr>
        <w:t>省补资金和地方自筹</w:t>
      </w:r>
    </w:p>
    <w:p w14:paraId="7837509C">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5.4计划工期：50日历天</w:t>
      </w:r>
    </w:p>
    <w:p w14:paraId="3F02DC17">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5.5质量要求：工程交工验收的质量评定：合格；</w:t>
      </w:r>
    </w:p>
    <w:p w14:paraId="284959FE">
      <w:pPr>
        <w:keepNext w:val="0"/>
        <w:keepLines w:val="0"/>
        <w:pageBreakBefore w:val="0"/>
        <w:widowControl w:val="0"/>
        <w:kinsoku/>
        <w:overflowPunct/>
        <w:autoSpaceDE/>
        <w:autoSpaceDN/>
        <w:bidi w:val="0"/>
        <w:adjustRightInd/>
        <w:snapToGrid/>
        <w:spacing w:line="360" w:lineRule="auto"/>
        <w:ind w:firstLine="2160" w:firstLineChars="9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竣工验收的质量评定：优良。</w:t>
      </w:r>
    </w:p>
    <w:p w14:paraId="5D986B7D">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5.6标段划分：本项目共1个标段。</w:t>
      </w:r>
    </w:p>
    <w:p w14:paraId="5B49EE38">
      <w:pPr>
        <w:keepNext w:val="0"/>
        <w:keepLines w:val="0"/>
        <w:pageBreakBefore w:val="0"/>
        <w:widowControl w:val="0"/>
        <w:kinsoku/>
        <w:overflowPunct/>
        <w:autoSpaceDE/>
        <w:autoSpaceDN/>
        <w:bidi w:val="0"/>
        <w:adjustRightInd/>
        <w:snapToGrid/>
        <w:spacing w:line="384"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6、合同履行期限：同计划工期</w:t>
      </w:r>
      <w:r>
        <w:rPr>
          <w:rFonts w:hint="eastAsia" w:cs="宋体"/>
          <w:sz w:val="24"/>
          <w:szCs w:val="24"/>
          <w:lang w:val="en-US" w:eastAsia="zh-CN"/>
        </w:rPr>
        <w:t>。</w:t>
      </w:r>
    </w:p>
    <w:p w14:paraId="14AD73E0">
      <w:pPr>
        <w:keepNext w:val="0"/>
        <w:keepLines w:val="0"/>
        <w:pageBreakBefore w:val="0"/>
        <w:widowControl w:val="0"/>
        <w:kinsoku/>
        <w:overflowPunct/>
        <w:autoSpaceDE/>
        <w:autoSpaceDN/>
        <w:bidi w:val="0"/>
        <w:adjustRightInd/>
        <w:snapToGrid/>
        <w:spacing w:line="384"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7、本项目是否接受联合体投标：否。</w:t>
      </w:r>
    </w:p>
    <w:p w14:paraId="648DAF98">
      <w:pPr>
        <w:keepNext w:val="0"/>
        <w:keepLines w:val="0"/>
        <w:pageBreakBefore w:val="0"/>
        <w:widowControl w:val="0"/>
        <w:kinsoku/>
        <w:overflowPunct/>
        <w:autoSpaceDE/>
        <w:autoSpaceDN/>
        <w:bidi w:val="0"/>
        <w:adjustRightInd/>
        <w:snapToGrid/>
        <w:spacing w:line="384"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8、是否接受进口产品：否</w:t>
      </w:r>
    </w:p>
    <w:p w14:paraId="17D7436C">
      <w:pPr>
        <w:keepNext w:val="0"/>
        <w:keepLines w:val="0"/>
        <w:pageBreakBefore w:val="0"/>
        <w:widowControl w:val="0"/>
        <w:kinsoku/>
        <w:overflowPunct/>
        <w:autoSpaceDE/>
        <w:autoSpaceDN/>
        <w:bidi w:val="0"/>
        <w:adjustRightInd/>
        <w:snapToGrid/>
        <w:spacing w:line="384"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9、是否专门面向中小企业：否。</w:t>
      </w:r>
    </w:p>
    <w:p w14:paraId="1EE98971">
      <w:pPr>
        <w:keepNext w:val="0"/>
        <w:keepLines w:val="0"/>
        <w:pageBreakBefore w:val="0"/>
        <w:widowControl w:val="0"/>
        <w:kinsoku/>
        <w:overflowPunct/>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二、申请人资格要求：</w:t>
      </w:r>
    </w:p>
    <w:p w14:paraId="560B242A">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1、满足《中华人民共和国政府采购法》第二十二条规定；</w:t>
      </w:r>
    </w:p>
    <w:p w14:paraId="712506BF">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2、落实政府采购政策满足的资格要求：</w:t>
      </w:r>
    </w:p>
    <w:p w14:paraId="0790C308">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本项目执行促进中小型企业发展政策（监狱企业、残疾人福利性企业视同小微企业）、强制采购节能产品、优先采购节能环保产品等政府采购政策。</w:t>
      </w:r>
    </w:p>
    <w:p w14:paraId="047B1460">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3、本项目的特定资格要求：</w:t>
      </w:r>
    </w:p>
    <w:p w14:paraId="3EF3B9D2">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w:t>
      </w:r>
      <w:r>
        <w:rPr>
          <w:rFonts w:hint="eastAsia" w:cs="宋体"/>
          <w:sz w:val="24"/>
          <w:szCs w:val="24"/>
          <w:lang w:val="en-US" w:eastAsia="zh-CN"/>
        </w:rPr>
        <w:t>具有有效的营业执照</w:t>
      </w:r>
      <w:r>
        <w:rPr>
          <w:rFonts w:hint="eastAsia" w:ascii="宋体" w:hAnsi="宋体" w:eastAsia="宋体" w:cs="宋体"/>
          <w:sz w:val="24"/>
          <w:szCs w:val="24"/>
          <w:lang w:val="en-US" w:eastAsia="zh-CN"/>
        </w:rPr>
        <w:t>；</w:t>
      </w:r>
    </w:p>
    <w:p w14:paraId="1F98B6BC">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3.2具</w:t>
      </w:r>
      <w:r>
        <w:rPr>
          <w:rFonts w:hint="eastAsia" w:ascii="宋体" w:hAnsi="宋体" w:eastAsia="宋体" w:cs="宋体"/>
          <w:sz w:val="24"/>
          <w:szCs w:val="24"/>
          <w:highlight w:val="none"/>
          <w:lang w:val="en-US" w:eastAsia="zh-CN"/>
        </w:rPr>
        <w:t>有桥梁养护乙级及以上资质，具有有效的安全生产许可证，并在人员、设备、资金等方面具有相应的施工能力；</w:t>
      </w:r>
    </w:p>
    <w:p w14:paraId="577D3B0F">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3.3</w:t>
      </w:r>
      <w:r>
        <w:rPr>
          <w:rFonts w:hint="eastAsia" w:cs="宋体"/>
          <w:sz w:val="24"/>
          <w:szCs w:val="24"/>
          <w:highlight w:val="none"/>
          <w:lang w:val="en-US" w:eastAsia="zh-CN"/>
        </w:rPr>
        <w:t>拟派项目经理须具备公路工程专业贰级及以上注册建造师资格、具备有效的安全生产考核合格证书；项目总工应具备相关专业的中级及以上技术职称</w:t>
      </w:r>
      <w:r>
        <w:rPr>
          <w:rFonts w:hint="eastAsia" w:ascii="宋体" w:hAnsi="宋体" w:eastAsia="宋体" w:cs="宋体"/>
          <w:sz w:val="24"/>
          <w:szCs w:val="24"/>
          <w:highlight w:val="none"/>
          <w:lang w:val="en-US" w:eastAsia="zh-CN"/>
        </w:rPr>
        <w:t>；</w:t>
      </w:r>
    </w:p>
    <w:p w14:paraId="3CA70C2F">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3.4供应商须自行承诺本企业无商业贿赂和不正当竞争行为；</w:t>
      </w:r>
    </w:p>
    <w:p w14:paraId="4F906BE3">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3.5供应商出具无行贿犯罪记录，在中国裁判文书网自行查询或自行承诺(查询/承诺对象：企业、法定代表人、拟派项目经理)；</w:t>
      </w:r>
    </w:p>
    <w:p w14:paraId="2396F24A">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3.6根据《关于在政府采购活动中查询及使用信用记录有关问题的通知》(财库[2016]125号)的规定，对列入“中国执行信息公开网”网站（http://zxgk.court.gov.cn/shixin/）的“失信被执行人”、“信用中国”网站（www.creditchina.gov.cn）的“重大税收违法失信主体”、“政府采购严重违法失信行为记录名单”及“中国政府采购网”www.ccgp.gov.cn网站的“政府采购严重违法失信行为记录名单”的供应商，将被拒绝参与本项目政府采购活动；供应商须提供查询截图并加盖公章（查询时间为自公告发布之日起至响应文件提交截止时间，在规定的查询时间之后，网站信息发生的任何变更均不再作为评标依据。供应商自行提供的与网站信息不一致的其他证明材料亦不作为资格审查的依据）；</w:t>
      </w:r>
    </w:p>
    <w:p w14:paraId="7B4B69D7">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3.7单位负责人为同一人或者存在直接控股、管理关系的不同供应商，不得参加同一合同项下的政府采购活动；</w:t>
      </w:r>
    </w:p>
    <w:p w14:paraId="3FE700A2">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3.8本项目不接受联合体投标；</w:t>
      </w:r>
    </w:p>
    <w:p w14:paraId="239EAA95">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3.9本次招标实行资格后审，资格审查的具体要求见竞争性磋商文件。</w:t>
      </w:r>
    </w:p>
    <w:p w14:paraId="1EC3655C">
      <w:pPr>
        <w:keepNext w:val="0"/>
        <w:keepLines w:val="0"/>
        <w:pageBreakBefore w:val="0"/>
        <w:widowControl w:val="0"/>
        <w:kinsoku/>
        <w:overflowPunct/>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三、获取磋商文件：</w:t>
      </w:r>
    </w:p>
    <w:p w14:paraId="576864A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1、时间：</w:t>
      </w:r>
      <w:r>
        <w:rPr>
          <w:rFonts w:hint="eastAsia" w:ascii="宋体" w:hAnsi="宋体" w:eastAsia="宋体" w:cs="宋体"/>
          <w:color w:val="auto"/>
          <w:kern w:val="0"/>
          <w:sz w:val="24"/>
          <w:szCs w:val="24"/>
          <w:highlight w:val="none"/>
          <w:lang w:eastAsia="zh-CN"/>
        </w:rPr>
        <w:t>202</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年</w:t>
      </w:r>
      <w:r>
        <w:rPr>
          <w:rStyle w:val="59"/>
          <w:rFonts w:hint="eastAsia" w:cs="宋体"/>
          <w:color w:val="auto"/>
          <w:kern w:val="0"/>
          <w:sz w:val="24"/>
          <w:szCs w:val="24"/>
          <w:highlight w:val="none"/>
          <w:lang w:val="en-US" w:eastAsia="zh-CN"/>
        </w:rPr>
        <w:t>10</w:t>
      </w:r>
      <w:r>
        <w:rPr>
          <w:rStyle w:val="59"/>
          <w:rFonts w:hint="eastAsia" w:ascii="宋体" w:hAnsi="宋体" w:eastAsia="宋体" w:cs="宋体"/>
          <w:color w:val="auto"/>
          <w:kern w:val="0"/>
          <w:sz w:val="24"/>
          <w:szCs w:val="24"/>
          <w:highlight w:val="none"/>
        </w:rPr>
        <w:t>月</w:t>
      </w:r>
      <w:r>
        <w:rPr>
          <w:rStyle w:val="59"/>
          <w:rFonts w:hint="eastAsia" w:cs="宋体"/>
          <w:color w:val="auto"/>
          <w:kern w:val="0"/>
          <w:sz w:val="24"/>
          <w:szCs w:val="24"/>
          <w:highlight w:val="none"/>
          <w:lang w:val="en-US" w:eastAsia="zh-CN"/>
        </w:rPr>
        <w:t>16</w:t>
      </w:r>
      <w:r>
        <w:rPr>
          <w:rStyle w:val="59"/>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rPr>
        <w:t xml:space="preserve">至 </w:t>
      </w:r>
      <w:r>
        <w:rPr>
          <w:rFonts w:hint="eastAsia" w:ascii="宋体" w:hAnsi="宋体" w:eastAsia="宋体" w:cs="宋体"/>
          <w:color w:val="auto"/>
          <w:kern w:val="0"/>
          <w:sz w:val="24"/>
          <w:szCs w:val="24"/>
          <w:highlight w:val="none"/>
          <w:lang w:eastAsia="zh-CN"/>
        </w:rPr>
        <w:t>202</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年</w:t>
      </w:r>
      <w:r>
        <w:rPr>
          <w:rFonts w:hint="eastAsia"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lang w:val="en-US" w:eastAsia="zh-CN"/>
        </w:rPr>
        <w:t>月</w:t>
      </w:r>
      <w:r>
        <w:rPr>
          <w:rFonts w:hint="eastAsia" w:cs="宋体"/>
          <w:color w:val="auto"/>
          <w:kern w:val="0"/>
          <w:sz w:val="24"/>
          <w:szCs w:val="24"/>
          <w:highlight w:val="none"/>
          <w:lang w:val="en-US" w:eastAsia="zh-CN"/>
        </w:rPr>
        <w:t>28</w:t>
      </w:r>
      <w:r>
        <w:rPr>
          <w:rFonts w:hint="eastAsia" w:ascii="宋体" w:hAnsi="宋体" w:eastAsia="宋体" w:cs="宋体"/>
          <w:color w:val="auto"/>
          <w:kern w:val="0"/>
          <w:sz w:val="24"/>
          <w:szCs w:val="24"/>
          <w:highlight w:val="none"/>
          <w:lang w:val="en-US" w:eastAsia="zh-CN"/>
        </w:rPr>
        <w:t>日</w:t>
      </w:r>
      <w:r>
        <w:rPr>
          <w:rFonts w:hint="eastAsia" w:ascii="宋体" w:hAnsi="宋体" w:eastAsia="宋体" w:cs="宋体"/>
          <w:color w:val="auto"/>
          <w:kern w:val="0"/>
          <w:sz w:val="24"/>
          <w:szCs w:val="24"/>
          <w:highlight w:val="none"/>
        </w:rPr>
        <w:t>，每天上午</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:00至12:00，下午12:00至</w:t>
      </w:r>
      <w:r>
        <w:rPr>
          <w:rFonts w:hint="eastAsia" w:ascii="宋体" w:hAnsi="宋体" w:eastAsia="宋体" w:cs="宋体"/>
          <w:color w:val="auto"/>
          <w:kern w:val="0"/>
          <w:sz w:val="24"/>
          <w:szCs w:val="24"/>
          <w:highlight w:val="none"/>
          <w:lang w:val="en-US" w:eastAsia="zh-CN"/>
        </w:rPr>
        <w:t>23</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59（北京时间）</w:t>
      </w:r>
      <w:r>
        <w:rPr>
          <w:rFonts w:hint="eastAsia" w:ascii="宋体" w:hAnsi="宋体" w:eastAsia="宋体" w:cs="宋体"/>
          <w:color w:val="auto"/>
          <w:sz w:val="24"/>
          <w:szCs w:val="24"/>
          <w:highlight w:val="none"/>
        </w:rPr>
        <w:t>。</w:t>
      </w:r>
    </w:p>
    <w:p w14:paraId="3883F1C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2、地点：三门峡市公共资源交易中心网</w:t>
      </w:r>
      <w:r>
        <w:rPr>
          <w:rFonts w:hint="eastAsia" w:ascii="宋体" w:hAnsi="宋体" w:eastAsia="宋体" w:cs="宋体"/>
          <w:color w:val="auto"/>
          <w:kern w:val="0"/>
          <w:sz w:val="24"/>
          <w:szCs w:val="24"/>
          <w:highlight w:val="none"/>
          <w:lang w:val="en-US" w:eastAsia="zh-CN"/>
        </w:rPr>
        <w:t>（网址：http://gzjy.smx.gov.cn）</w:t>
      </w:r>
    </w:p>
    <w:p w14:paraId="095A458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3、方式：</w:t>
      </w:r>
      <w:r>
        <w:rPr>
          <w:rFonts w:hint="eastAsia" w:ascii="宋体" w:hAnsi="宋体" w:eastAsia="宋体" w:cs="宋体"/>
          <w:color w:val="auto"/>
          <w:kern w:val="0"/>
          <w:sz w:val="24"/>
          <w:szCs w:val="24"/>
          <w:highlight w:val="none"/>
          <w:lang w:eastAsia="zh-CN"/>
        </w:rPr>
        <w:t>供应商凭CA数字证书通过三门峡市公共资源交易中心网（网址：</w:t>
      </w:r>
      <w:r>
        <w:rPr>
          <w:rFonts w:hint="eastAsia" w:ascii="宋体" w:hAnsi="宋体" w:eastAsia="宋体" w:cs="宋体"/>
          <w:color w:val="auto"/>
          <w:kern w:val="0"/>
          <w:sz w:val="24"/>
          <w:szCs w:val="24"/>
          <w:highlight w:val="none"/>
          <w:u w:val="none"/>
          <w:lang w:eastAsia="zh-CN"/>
        </w:rPr>
        <w:t>http://gzjy.smx.gov.cn/），点击交易平台选择“市场主体登录”，登陆系统后，点击采购业务-业务管理-竞争性磋商文件领取菜单-点击领取按钮-领取.smxzf格式的电子竞争性磋商文件。</w:t>
      </w:r>
    </w:p>
    <w:p w14:paraId="1A784EBD">
      <w:pPr>
        <w:keepNext w:val="0"/>
        <w:keepLines w:val="0"/>
        <w:pageBreakBefore w:val="0"/>
        <w:widowControl w:val="0"/>
        <w:kinsoku/>
        <w:wordWrap/>
        <w:overflowPunct/>
        <w:topLinePunct w:val="0"/>
        <w:autoSpaceDE/>
        <w:autoSpaceDN/>
        <w:bidi w:val="0"/>
        <w:adjustRightInd w:val="0"/>
        <w:snapToGrid/>
        <w:spacing w:line="360" w:lineRule="auto"/>
        <w:ind w:left="0" w:leftChars="0" w:firstLine="480" w:firstLineChars="200"/>
        <w:jc w:val="left"/>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办理CA证书：</w:t>
      </w:r>
    </w:p>
    <w:p w14:paraId="16E21458">
      <w:pPr>
        <w:keepNext w:val="0"/>
        <w:keepLines w:val="0"/>
        <w:pageBreakBefore w:val="0"/>
        <w:widowControl w:val="0"/>
        <w:kinsoku/>
        <w:wordWrap/>
        <w:overflowPunct/>
        <w:topLinePunct w:val="0"/>
        <w:autoSpaceDE/>
        <w:autoSpaceDN/>
        <w:bidi w:val="0"/>
        <w:adjustRightInd w:val="0"/>
        <w:snapToGrid/>
        <w:spacing w:line="360" w:lineRule="auto"/>
        <w:ind w:left="0" w:leftChars="0" w:firstLine="480" w:firstLineChars="200"/>
        <w:jc w:val="left"/>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http://gzjy.smx.gov.cn/bzzx/008001/20231102/4defc9b5-408e-47f2-9e9f-1f376a06ee1f.html</w:t>
      </w:r>
    </w:p>
    <w:p w14:paraId="14AD32D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4、售价：0元</w:t>
      </w:r>
    </w:p>
    <w:p w14:paraId="26BA382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四、响应文件提交</w:t>
      </w:r>
    </w:p>
    <w:p w14:paraId="16C9551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1、截止时间：</w:t>
      </w:r>
      <w:r>
        <w:rPr>
          <w:rStyle w:val="59"/>
          <w:rFonts w:hint="eastAsia" w:cs="宋体"/>
          <w:color w:val="auto"/>
          <w:kern w:val="0"/>
          <w:sz w:val="24"/>
          <w:szCs w:val="24"/>
          <w:highlight w:val="none"/>
          <w:lang w:eastAsia="zh-CN"/>
        </w:rPr>
        <w:t>2025年10月29日08时20分</w:t>
      </w:r>
      <w:r>
        <w:rPr>
          <w:rFonts w:hint="eastAsia" w:ascii="宋体" w:hAnsi="宋体" w:eastAsia="宋体" w:cs="宋体"/>
          <w:color w:val="auto"/>
          <w:kern w:val="0"/>
          <w:sz w:val="24"/>
          <w:szCs w:val="24"/>
          <w:highlight w:val="none"/>
        </w:rPr>
        <w:t>（北京时间）</w:t>
      </w:r>
    </w:p>
    <w:p w14:paraId="7712757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2、地点：在三门峡市公共资源交易中心网站上传加密响应文件</w:t>
      </w:r>
    </w:p>
    <w:p w14:paraId="33E9717C">
      <w:pPr>
        <w:keepNext w:val="0"/>
        <w:keepLines w:val="0"/>
        <w:pageBreakBefore w:val="0"/>
        <w:widowControl w:val="0"/>
        <w:kinsoku/>
        <w:overflowPunct/>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五、响应文件开启</w:t>
      </w:r>
    </w:p>
    <w:p w14:paraId="79B7B1DB">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1、时间：</w:t>
      </w:r>
      <w:r>
        <w:rPr>
          <w:rFonts w:hint="eastAsia" w:cs="宋体"/>
          <w:sz w:val="24"/>
          <w:szCs w:val="24"/>
          <w:lang w:val="en-US" w:eastAsia="zh-CN"/>
        </w:rPr>
        <w:t>2025年10月29日08时20分</w:t>
      </w:r>
      <w:r>
        <w:rPr>
          <w:rFonts w:hint="eastAsia" w:ascii="宋体" w:hAnsi="宋体" w:eastAsia="宋体" w:cs="宋体"/>
          <w:sz w:val="24"/>
          <w:szCs w:val="24"/>
          <w:lang w:val="en-US" w:eastAsia="zh-CN"/>
        </w:rPr>
        <w:t>（北京时间）</w:t>
      </w:r>
    </w:p>
    <w:p w14:paraId="13BDFEDA">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2、地点：三门峡市公共资源交易中心五楼开标区</w:t>
      </w:r>
    </w:p>
    <w:p w14:paraId="5250E2C4">
      <w:pPr>
        <w:keepNext w:val="0"/>
        <w:keepLines w:val="0"/>
        <w:pageBreakBefore w:val="0"/>
        <w:widowControl w:val="0"/>
        <w:kinsoku/>
        <w:overflowPunct/>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六、发布公告的媒介及公告期限</w:t>
      </w:r>
    </w:p>
    <w:p w14:paraId="3A13678D">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本次竞争性磋商公告同时在</w:t>
      </w:r>
      <w:r>
        <w:rPr>
          <w:rFonts w:hint="eastAsia" w:ascii="宋体" w:hAnsi="宋体" w:eastAsia="宋体" w:cs="宋体"/>
          <w:sz w:val="24"/>
          <w:szCs w:val="24"/>
          <w:lang w:val="en-US" w:eastAsia="zh-CN"/>
        </w:rPr>
        <w:t>《河南省政府采购网》、</w:t>
      </w:r>
      <w:r>
        <w:rPr>
          <w:rFonts w:hint="eastAsia" w:ascii="宋体" w:hAnsi="宋体" w:eastAsia="宋体" w:cs="宋体"/>
          <w:sz w:val="24"/>
          <w:szCs w:val="24"/>
          <w:lang w:val="en-US" w:eastAsia="zh-CN"/>
        </w:rPr>
        <w:t>《中国招标投标公共服务平台》、《三门峡市公共资源交易中心》、《三门峡市交通运输局》上发布</w:t>
      </w:r>
      <w:r>
        <w:rPr>
          <w:rFonts w:hint="eastAsia" w:ascii="宋体" w:hAnsi="宋体" w:eastAsia="宋体" w:cs="宋体"/>
          <w:bCs/>
          <w:color w:val="auto"/>
          <w:sz w:val="24"/>
          <w:szCs w:val="24"/>
          <w:highlight w:val="none"/>
        </w:rPr>
        <w:t>，公告期限为三个工作日</w:t>
      </w:r>
      <w:r>
        <w:rPr>
          <w:rFonts w:hint="eastAsia" w:ascii="宋体" w:hAnsi="宋体" w:eastAsia="宋体" w:cs="宋体"/>
          <w:sz w:val="24"/>
          <w:szCs w:val="24"/>
          <w:lang w:val="en-US" w:eastAsia="zh-CN"/>
        </w:rPr>
        <w:t xml:space="preserve">。 </w:t>
      </w:r>
    </w:p>
    <w:p w14:paraId="12AB7B1D">
      <w:pPr>
        <w:keepNext w:val="0"/>
        <w:keepLines w:val="0"/>
        <w:pageBreakBefore w:val="0"/>
        <w:widowControl w:val="0"/>
        <w:kinsoku/>
        <w:overflowPunct/>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七、其他事项</w:t>
      </w:r>
    </w:p>
    <w:p w14:paraId="65D252BF">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1、根据《河南省财政厅关于优化政府采购营商环境有关问题的通知》（豫财购【2019】4号）第6条的规定，本项目不收取磋商保证金。</w:t>
      </w:r>
    </w:p>
    <w:p w14:paraId="5E48F25C">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2、本项目资格评审和业绩以响应文件为准，投标人可使用电子营业执照：</w:t>
      </w:r>
    </w:p>
    <w:p w14:paraId="48DC1B9F">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highlight w:val="none"/>
          <w:lang w:val="en-US" w:eastAsia="zh-CN"/>
        </w:rPr>
        <w:t>资格评（预）审部分：资格评（预）以响应文件为准，其上传资料真实性由供应商自</w:t>
      </w:r>
      <w:r>
        <w:rPr>
          <w:rFonts w:hint="eastAsia" w:ascii="宋体" w:hAnsi="宋体" w:eastAsia="宋体" w:cs="宋体"/>
          <w:strike w:val="0"/>
          <w:dstrike w:val="0"/>
          <w:sz w:val="24"/>
          <w:szCs w:val="24"/>
          <w:highlight w:val="none"/>
          <w:lang w:val="en-US" w:eastAsia="zh-CN"/>
        </w:rPr>
        <w:t>行承担。</w:t>
      </w:r>
    </w:p>
    <w:p w14:paraId="74C6763F">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（2）评审打分部分：评审打分部分仍按照100分制原则进行，涉及到资格审查、企业荣誉、人员业绩、企业业绩等计分部分时，以投标单位自行上传到响应文件中的相应内容为准。</w:t>
      </w:r>
    </w:p>
    <w:p w14:paraId="73ECE7B2">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响应文件编制部分：供应商按照响应文件格式进行响应文件编制，在响应文件编制时，应明确将投标单位企业基本情况、资质情况、人员情况、财务情况、业绩情况编入响应文件，便于进行资格审查及评审打分。</w:t>
      </w:r>
    </w:p>
    <w:p w14:paraId="71F8C963">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本项目为资格后审，资格审查由采购人依法组建的磋商小组负责。审查内容以磋商截止时间前在三门峡市公共资源交易平台“响应文件”上传的信息为准。规定时间外上传或更改的信息不作为评审依据。响应文件中上传的信息真实有效，扫描件清晰可辨。否则，由此造成应得分而未得分或资格审查不合格等情况的，由供应商承担责任。</w:t>
      </w:r>
    </w:p>
    <w:p w14:paraId="246C143D">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4、本项目为电子化、无纸化交易项目，开标时不再接受任何纸质资料，为保证您能投标成功，请需仔细阅读磋商文件和三门峡市公共资源交易中心官网业务办理指南。</w:t>
      </w:r>
    </w:p>
    <w:p w14:paraId="0E467820">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5、我单位（采购人）严格按三财购（2021）9 号文要求的时限发布结果公告，发出成交通知书，签订采购合同，上传采购合同。</w:t>
      </w:r>
    </w:p>
    <w:p w14:paraId="2C2D38BB">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6、监督部门：三门峡市交通运输局建设管理科</w:t>
      </w:r>
    </w:p>
    <w:p w14:paraId="44C324FF">
      <w:pPr>
        <w:keepNext w:val="0"/>
        <w:keepLines w:val="0"/>
        <w:pageBreakBefore w:val="0"/>
        <w:widowControl w:val="0"/>
        <w:kinsoku/>
        <w:wordWrap w:val="0"/>
        <w:overflowPunct/>
        <w:topLinePunct/>
        <w:autoSpaceDE/>
        <w:autoSpaceDN/>
        <w:bidi w:val="0"/>
        <w:adjustRightInd/>
        <w:snapToGrid/>
        <w:spacing w:line="360" w:lineRule="auto"/>
        <w:ind w:firstLine="840" w:firstLineChars="35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    址：三门峡市崤山路中段</w:t>
      </w:r>
    </w:p>
    <w:p w14:paraId="3E7B2778">
      <w:pPr>
        <w:keepNext w:val="0"/>
        <w:keepLines w:val="0"/>
        <w:pageBreakBefore w:val="0"/>
        <w:widowControl w:val="0"/>
        <w:kinsoku/>
        <w:wordWrap w:val="0"/>
        <w:overflowPunct/>
        <w:topLinePunct/>
        <w:autoSpaceDE/>
        <w:autoSpaceDN/>
        <w:bidi w:val="0"/>
        <w:adjustRightInd/>
        <w:snapToGrid/>
        <w:spacing w:line="360" w:lineRule="auto"/>
        <w:ind w:firstLine="840" w:firstLineChars="35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联系电话：0398-2817693</w:t>
      </w:r>
    </w:p>
    <w:p w14:paraId="699710C8">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八、</w:t>
      </w:r>
      <w:r>
        <w:rPr>
          <w:rFonts w:hint="eastAsia" w:ascii="宋体" w:hAnsi="宋体" w:eastAsia="宋体" w:cs="宋体"/>
          <w:b/>
          <w:bCs/>
          <w:color w:val="auto"/>
          <w:kern w:val="0"/>
          <w:sz w:val="24"/>
          <w:szCs w:val="24"/>
          <w:highlight w:val="none"/>
        </w:rPr>
        <w:t>凡对本次磋商提出询问，请按照以下方式联系：</w:t>
      </w:r>
    </w:p>
    <w:p w14:paraId="5F389A82">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1、采购人信息</w:t>
      </w:r>
    </w:p>
    <w:p w14:paraId="4EA4CF0B">
      <w:pPr>
        <w:keepNext w:val="0"/>
        <w:keepLines w:val="0"/>
        <w:pageBreakBefore w:val="0"/>
        <w:widowControl w:val="0"/>
        <w:kinsoku/>
        <w:overflowPunct/>
        <w:autoSpaceDE/>
        <w:autoSpaceDN/>
        <w:bidi w:val="0"/>
        <w:adjustRightInd/>
        <w:snapToGrid/>
        <w:spacing w:line="360" w:lineRule="auto"/>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名称：三门峡市公路事业发展中心</w:t>
      </w:r>
    </w:p>
    <w:p w14:paraId="01D746B3">
      <w:pPr>
        <w:keepNext w:val="0"/>
        <w:keepLines w:val="0"/>
        <w:pageBreakBefore w:val="0"/>
        <w:widowControl w:val="0"/>
        <w:kinsoku/>
        <w:overflowPunct/>
        <w:autoSpaceDE/>
        <w:autoSpaceDN/>
        <w:bidi w:val="0"/>
        <w:adjustRightInd/>
        <w:snapToGrid/>
        <w:spacing w:line="360" w:lineRule="auto"/>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地址：三门峡市虢国路东段</w:t>
      </w:r>
    </w:p>
    <w:p w14:paraId="490E232D">
      <w:pPr>
        <w:keepNext w:val="0"/>
        <w:keepLines w:val="0"/>
        <w:pageBreakBefore w:val="0"/>
        <w:widowControl w:val="0"/>
        <w:kinsoku/>
        <w:overflowPunct/>
        <w:autoSpaceDE/>
        <w:autoSpaceDN/>
        <w:bidi w:val="0"/>
        <w:adjustRightInd/>
        <w:snapToGrid/>
        <w:spacing w:line="360" w:lineRule="auto"/>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联系人：岳女士</w:t>
      </w:r>
    </w:p>
    <w:p w14:paraId="5BB33B37">
      <w:pPr>
        <w:keepNext w:val="0"/>
        <w:keepLines w:val="0"/>
        <w:pageBreakBefore w:val="0"/>
        <w:widowControl w:val="0"/>
        <w:kinsoku/>
        <w:overflowPunct/>
        <w:autoSpaceDE/>
        <w:autoSpaceDN/>
        <w:bidi w:val="0"/>
        <w:adjustRightInd/>
        <w:snapToGrid/>
        <w:spacing w:line="360" w:lineRule="auto"/>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联系方式：0398-2817007</w:t>
      </w:r>
    </w:p>
    <w:p w14:paraId="02A7B1D6">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2、采购代理机构信息（如有）</w:t>
      </w:r>
    </w:p>
    <w:p w14:paraId="2CDA94A0">
      <w:pPr>
        <w:keepNext w:val="0"/>
        <w:keepLines w:val="0"/>
        <w:pageBreakBefore w:val="0"/>
        <w:widowControl w:val="0"/>
        <w:kinsoku/>
        <w:overflowPunct/>
        <w:autoSpaceDE/>
        <w:autoSpaceDN/>
        <w:bidi w:val="0"/>
        <w:adjustRightInd/>
        <w:snapToGrid/>
        <w:spacing w:line="360" w:lineRule="auto"/>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名称：河南省亿达工程管理咨询有限公司</w:t>
      </w:r>
    </w:p>
    <w:p w14:paraId="527E86FB">
      <w:pPr>
        <w:keepNext w:val="0"/>
        <w:keepLines w:val="0"/>
        <w:pageBreakBefore w:val="0"/>
        <w:widowControl w:val="0"/>
        <w:kinsoku/>
        <w:overflowPunct/>
        <w:autoSpaceDE/>
        <w:autoSpaceDN/>
        <w:bidi w:val="0"/>
        <w:adjustRightInd/>
        <w:snapToGrid/>
        <w:spacing w:line="360" w:lineRule="auto"/>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地址：郑州市青年路与玉凤路交叉口升龙环球大厦C座26楼</w:t>
      </w:r>
    </w:p>
    <w:p w14:paraId="275305B6">
      <w:pPr>
        <w:keepNext w:val="0"/>
        <w:keepLines w:val="0"/>
        <w:pageBreakBefore w:val="0"/>
        <w:widowControl w:val="0"/>
        <w:kinsoku/>
        <w:overflowPunct/>
        <w:autoSpaceDE/>
        <w:autoSpaceDN/>
        <w:bidi w:val="0"/>
        <w:adjustRightInd/>
        <w:snapToGrid/>
        <w:spacing w:line="360" w:lineRule="auto"/>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联系人：姚女士</w:t>
      </w:r>
    </w:p>
    <w:p w14:paraId="31DD9AB0">
      <w:pPr>
        <w:keepNext w:val="0"/>
        <w:keepLines w:val="0"/>
        <w:pageBreakBefore w:val="0"/>
        <w:widowControl w:val="0"/>
        <w:kinsoku/>
        <w:overflowPunct/>
        <w:autoSpaceDE/>
        <w:autoSpaceDN/>
        <w:bidi w:val="0"/>
        <w:adjustRightInd/>
        <w:snapToGrid/>
        <w:spacing w:line="360" w:lineRule="auto"/>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联系方式：13373967077</w:t>
      </w:r>
    </w:p>
    <w:p w14:paraId="362511A1">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3.项目联系方式</w:t>
      </w:r>
    </w:p>
    <w:p w14:paraId="0095F2FA">
      <w:pPr>
        <w:keepNext w:val="0"/>
        <w:keepLines w:val="0"/>
        <w:pageBreakBefore w:val="0"/>
        <w:widowControl w:val="0"/>
        <w:kinsoku/>
        <w:overflowPunct/>
        <w:autoSpaceDE/>
        <w:autoSpaceDN/>
        <w:bidi w:val="0"/>
        <w:adjustRightInd/>
        <w:snapToGrid/>
        <w:spacing w:line="360" w:lineRule="auto"/>
        <w:ind w:firstLine="720" w:firstLineChars="3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项目联系人：</w:t>
      </w:r>
      <w:r>
        <w:rPr>
          <w:rFonts w:hint="eastAsia" w:ascii="宋体" w:hAnsi="宋体" w:eastAsia="宋体" w:cs="宋体"/>
          <w:sz w:val="24"/>
          <w:szCs w:val="24"/>
          <w:lang w:val="en-US" w:eastAsia="zh-CN"/>
        </w:rPr>
        <w:t>姚女士</w:t>
      </w:r>
    </w:p>
    <w:p w14:paraId="184120B9">
      <w:pPr>
        <w:keepNext w:val="0"/>
        <w:keepLines w:val="0"/>
        <w:pageBreakBefore w:val="0"/>
        <w:widowControl w:val="0"/>
        <w:kinsoku/>
        <w:overflowPunct/>
        <w:autoSpaceDE/>
        <w:autoSpaceDN/>
        <w:bidi w:val="0"/>
        <w:adjustRightInd/>
        <w:snapToGrid/>
        <w:spacing w:line="360" w:lineRule="auto"/>
        <w:ind w:firstLine="720" w:firstLineChars="3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联系方式：</w:t>
      </w:r>
      <w:r>
        <w:rPr>
          <w:rFonts w:hint="eastAsia" w:ascii="宋体" w:hAnsi="宋体" w:eastAsia="宋体" w:cs="宋体"/>
          <w:sz w:val="24"/>
          <w:szCs w:val="24"/>
          <w:lang w:val="en-US" w:eastAsia="zh-CN"/>
        </w:rPr>
        <w:t>13373967077</w:t>
      </w:r>
    </w:p>
    <w:p w14:paraId="31143659">
      <w:pPr>
        <w:spacing w:line="360" w:lineRule="auto"/>
        <w:ind w:firstLine="480" w:firstLineChars="200"/>
        <w:rPr>
          <w:rFonts w:hint="eastAsia" w:ascii="宋体" w:hAnsi="宋体" w:eastAsia="宋体" w:cs="宋体"/>
          <w:sz w:val="24"/>
          <w:szCs w:val="24"/>
          <w:lang w:val="en-US" w:eastAsia="zh-CN"/>
        </w:rPr>
      </w:pPr>
    </w:p>
    <w:p w14:paraId="43F8761D">
      <w:pPr>
        <w:bidi w:val="0"/>
        <w:rPr>
          <w:rFonts w:hint="eastAsia"/>
          <w:lang w:val="en-US" w:eastAsia="zh-CN"/>
        </w:rPr>
      </w:pPr>
    </w:p>
    <w:p w14:paraId="0A1C2D0A">
      <w:pPr>
        <w:pStyle w:val="2"/>
        <w:bidi w:val="0"/>
        <w:rPr>
          <w:rFonts w:hint="eastAsia"/>
          <w:color w:val="auto"/>
          <w:highlight w:val="none"/>
        </w:rPr>
      </w:pPr>
      <w:bookmarkStart w:id="6" w:name="_Toc20317"/>
      <w:bookmarkStart w:id="7" w:name="_Toc287"/>
      <w:r>
        <w:rPr>
          <w:rFonts w:hint="eastAsia"/>
          <w:b/>
          <w:bCs/>
          <w:color w:val="auto"/>
          <w:sz w:val="32"/>
          <w:szCs w:val="32"/>
          <w:highlight w:val="none"/>
          <w:lang w:val="en-US" w:eastAsia="zh-CN"/>
        </w:rPr>
        <w:t xml:space="preserve">第二章 </w:t>
      </w:r>
      <w:r>
        <w:rPr>
          <w:rFonts w:hint="eastAsia" w:hAnsi="Courier New" w:cs="Courier New"/>
          <w:b/>
          <w:bCs/>
          <w:color w:val="auto"/>
          <w:sz w:val="32"/>
          <w:szCs w:val="32"/>
          <w:highlight w:val="none"/>
          <w:lang w:eastAsia="zh-CN"/>
        </w:rPr>
        <w:t>供应商</w:t>
      </w:r>
      <w:r>
        <w:rPr>
          <w:rFonts w:hint="eastAsia" w:hAnsi="Courier New" w:cs="Courier New"/>
          <w:b/>
          <w:bCs/>
          <w:color w:val="auto"/>
          <w:sz w:val="32"/>
          <w:szCs w:val="32"/>
          <w:highlight w:val="none"/>
        </w:rPr>
        <w:t>须知</w:t>
      </w:r>
      <w:bookmarkEnd w:id="1"/>
      <w:bookmarkEnd w:id="4"/>
      <w:bookmarkEnd w:id="5"/>
      <w:bookmarkEnd w:id="6"/>
      <w:bookmarkEnd w:id="7"/>
    </w:p>
    <w:p w14:paraId="6411A2F2">
      <w:pPr>
        <w:pStyle w:val="3"/>
        <w:bidi w:val="0"/>
        <w:rPr>
          <w:rFonts w:hint="eastAsia"/>
        </w:rPr>
      </w:pPr>
      <w:bookmarkStart w:id="8" w:name="_Toc17884"/>
      <w:bookmarkStart w:id="9" w:name="_Toc13329"/>
      <w:bookmarkStart w:id="10" w:name="_Toc18978"/>
      <w:bookmarkStart w:id="11" w:name="_Toc4540"/>
      <w:r>
        <w:rPr>
          <w:rFonts w:hint="eastAsia"/>
          <w:lang w:eastAsia="zh-CN"/>
        </w:rPr>
        <w:t>供应商须知前附表</w:t>
      </w:r>
      <w:bookmarkEnd w:id="8"/>
      <w:bookmarkEnd w:id="9"/>
      <w:bookmarkEnd w:id="10"/>
      <w:bookmarkEnd w:id="11"/>
    </w:p>
    <w:tbl>
      <w:tblPr>
        <w:tblStyle w:val="48"/>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2549"/>
        <w:gridCol w:w="5970"/>
      </w:tblGrid>
      <w:tr w14:paraId="4CDB0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974" w:type="dxa"/>
            <w:noWrap w:val="0"/>
            <w:vAlign w:val="center"/>
          </w:tcPr>
          <w:p w14:paraId="4173A12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4"/>
                <w:szCs w:val="24"/>
                <w:highlight w:val="none"/>
              </w:rPr>
            </w:pPr>
            <w:r>
              <w:rPr>
                <w:rFonts w:hint="eastAsia"/>
                <w:b/>
                <w:bCs/>
                <w:color w:val="auto"/>
                <w:sz w:val="24"/>
                <w:szCs w:val="24"/>
                <w:highlight w:val="none"/>
              </w:rPr>
              <w:t>序号</w:t>
            </w:r>
          </w:p>
        </w:tc>
        <w:tc>
          <w:tcPr>
            <w:tcW w:w="2549" w:type="dxa"/>
            <w:noWrap w:val="0"/>
            <w:vAlign w:val="center"/>
          </w:tcPr>
          <w:p w14:paraId="77DB1A0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4"/>
                <w:szCs w:val="24"/>
                <w:highlight w:val="none"/>
              </w:rPr>
            </w:pPr>
            <w:r>
              <w:rPr>
                <w:rFonts w:hint="eastAsia"/>
                <w:b/>
                <w:bCs/>
                <w:color w:val="auto"/>
                <w:sz w:val="24"/>
                <w:szCs w:val="24"/>
                <w:highlight w:val="none"/>
              </w:rPr>
              <w:t>条</w:t>
            </w:r>
            <w:r>
              <w:rPr>
                <w:b/>
                <w:bCs/>
                <w:color w:val="auto"/>
                <w:sz w:val="24"/>
                <w:szCs w:val="24"/>
                <w:highlight w:val="none"/>
              </w:rPr>
              <w:t xml:space="preserve"> </w:t>
            </w:r>
            <w:r>
              <w:rPr>
                <w:rFonts w:hint="eastAsia"/>
                <w:b/>
                <w:bCs/>
                <w:color w:val="auto"/>
                <w:sz w:val="24"/>
                <w:szCs w:val="24"/>
                <w:highlight w:val="none"/>
              </w:rPr>
              <w:t>款</w:t>
            </w:r>
            <w:r>
              <w:rPr>
                <w:b/>
                <w:bCs/>
                <w:color w:val="auto"/>
                <w:sz w:val="24"/>
                <w:szCs w:val="24"/>
                <w:highlight w:val="none"/>
              </w:rPr>
              <w:t xml:space="preserve"> </w:t>
            </w:r>
            <w:r>
              <w:rPr>
                <w:rFonts w:hint="eastAsia"/>
                <w:b/>
                <w:bCs/>
                <w:color w:val="auto"/>
                <w:sz w:val="24"/>
                <w:szCs w:val="24"/>
                <w:highlight w:val="none"/>
              </w:rPr>
              <w:t>名</w:t>
            </w:r>
            <w:r>
              <w:rPr>
                <w:b/>
                <w:bCs/>
                <w:color w:val="auto"/>
                <w:sz w:val="24"/>
                <w:szCs w:val="24"/>
                <w:highlight w:val="none"/>
              </w:rPr>
              <w:t xml:space="preserve"> </w:t>
            </w:r>
            <w:r>
              <w:rPr>
                <w:rFonts w:hint="eastAsia"/>
                <w:b/>
                <w:bCs/>
                <w:color w:val="auto"/>
                <w:sz w:val="24"/>
                <w:szCs w:val="24"/>
                <w:highlight w:val="none"/>
              </w:rPr>
              <w:t>称</w:t>
            </w:r>
          </w:p>
        </w:tc>
        <w:tc>
          <w:tcPr>
            <w:tcW w:w="5970" w:type="dxa"/>
            <w:noWrap w:val="0"/>
            <w:vAlign w:val="center"/>
          </w:tcPr>
          <w:p w14:paraId="2166120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4"/>
                <w:szCs w:val="24"/>
                <w:highlight w:val="none"/>
              </w:rPr>
            </w:pPr>
            <w:r>
              <w:rPr>
                <w:rFonts w:hint="eastAsia"/>
                <w:b/>
                <w:bCs/>
                <w:color w:val="auto"/>
                <w:sz w:val="24"/>
                <w:szCs w:val="24"/>
                <w:highlight w:val="none"/>
              </w:rPr>
              <w:t>编</w:t>
            </w:r>
            <w:r>
              <w:rPr>
                <w:b/>
                <w:bCs/>
                <w:color w:val="auto"/>
                <w:sz w:val="24"/>
                <w:szCs w:val="24"/>
                <w:highlight w:val="none"/>
              </w:rPr>
              <w:t xml:space="preserve"> </w:t>
            </w:r>
            <w:r>
              <w:rPr>
                <w:rFonts w:hint="eastAsia"/>
                <w:b/>
                <w:bCs/>
                <w:color w:val="auto"/>
                <w:sz w:val="24"/>
                <w:szCs w:val="24"/>
                <w:highlight w:val="none"/>
              </w:rPr>
              <w:t>列</w:t>
            </w:r>
            <w:r>
              <w:rPr>
                <w:b/>
                <w:bCs/>
                <w:color w:val="auto"/>
                <w:sz w:val="24"/>
                <w:szCs w:val="24"/>
                <w:highlight w:val="none"/>
              </w:rPr>
              <w:t xml:space="preserve"> </w:t>
            </w:r>
            <w:r>
              <w:rPr>
                <w:rFonts w:hint="eastAsia"/>
                <w:b/>
                <w:bCs/>
                <w:color w:val="auto"/>
                <w:sz w:val="24"/>
                <w:szCs w:val="24"/>
                <w:highlight w:val="none"/>
              </w:rPr>
              <w:t>内</w:t>
            </w:r>
            <w:r>
              <w:rPr>
                <w:b/>
                <w:bCs/>
                <w:color w:val="auto"/>
                <w:sz w:val="24"/>
                <w:szCs w:val="24"/>
                <w:highlight w:val="none"/>
              </w:rPr>
              <w:t xml:space="preserve"> </w:t>
            </w:r>
            <w:r>
              <w:rPr>
                <w:rFonts w:hint="eastAsia"/>
                <w:b/>
                <w:bCs/>
                <w:color w:val="auto"/>
                <w:sz w:val="24"/>
                <w:szCs w:val="24"/>
                <w:highlight w:val="none"/>
              </w:rPr>
              <w:t>容</w:t>
            </w:r>
          </w:p>
        </w:tc>
      </w:tr>
      <w:tr w14:paraId="5EA24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135C19C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eastAsia="宋体"/>
                <w:color w:val="auto"/>
                <w:sz w:val="24"/>
                <w:szCs w:val="24"/>
                <w:highlight w:val="none"/>
                <w:lang w:eastAsia="zh-CN"/>
              </w:rPr>
            </w:pPr>
            <w:r>
              <w:rPr>
                <w:rFonts w:hint="eastAsia"/>
                <w:color w:val="auto"/>
                <w:sz w:val="24"/>
                <w:szCs w:val="24"/>
                <w:highlight w:val="none"/>
              </w:rPr>
              <w:t>1.1.</w:t>
            </w:r>
            <w:r>
              <w:rPr>
                <w:rFonts w:hint="eastAsia"/>
                <w:color w:val="auto"/>
                <w:sz w:val="24"/>
                <w:szCs w:val="24"/>
                <w:highlight w:val="none"/>
                <w:lang w:val="en-US" w:eastAsia="zh-CN"/>
              </w:rPr>
              <w:t>2</w:t>
            </w:r>
          </w:p>
        </w:tc>
        <w:tc>
          <w:tcPr>
            <w:tcW w:w="2549" w:type="dxa"/>
            <w:noWrap w:val="0"/>
            <w:vAlign w:val="center"/>
          </w:tcPr>
          <w:p w14:paraId="36542A1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rPr>
            </w:pPr>
            <w:r>
              <w:rPr>
                <w:rFonts w:hint="eastAsia"/>
                <w:color w:val="auto"/>
                <w:sz w:val="24"/>
                <w:szCs w:val="24"/>
                <w:highlight w:val="none"/>
              </w:rPr>
              <w:t>采购人</w:t>
            </w:r>
          </w:p>
        </w:tc>
        <w:tc>
          <w:tcPr>
            <w:tcW w:w="5970" w:type="dxa"/>
            <w:noWrap w:val="0"/>
            <w:vAlign w:val="center"/>
          </w:tcPr>
          <w:p w14:paraId="55F60CB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eastAsia="宋体" w:cs="宋体"/>
                <w:color w:val="auto"/>
                <w:sz w:val="24"/>
                <w:szCs w:val="24"/>
                <w:highlight w:val="none"/>
              </w:rPr>
            </w:pPr>
            <w:r>
              <w:rPr>
                <w:color w:val="auto"/>
                <w:sz w:val="24"/>
                <w:szCs w:val="24"/>
                <w:highlight w:val="none"/>
              </w:rPr>
              <w:t>名称</w:t>
            </w:r>
            <w:r>
              <w:rPr>
                <w:rFonts w:ascii="宋体" w:hAnsi="宋体" w:eastAsia="宋体" w:cs="宋体"/>
                <w:color w:val="auto"/>
                <w:sz w:val="24"/>
                <w:szCs w:val="24"/>
                <w:highlight w:val="none"/>
              </w:rPr>
              <w:t>：</w:t>
            </w:r>
            <w:r>
              <w:rPr>
                <w:rFonts w:hint="eastAsia" w:ascii="宋体" w:hAnsi="宋体" w:eastAsia="宋体" w:cs="宋体"/>
                <w:color w:val="auto"/>
                <w:sz w:val="24"/>
                <w:szCs w:val="24"/>
                <w:highlight w:val="none"/>
              </w:rPr>
              <w:t>三门峡市公路事业发展中心</w:t>
            </w:r>
          </w:p>
          <w:p w14:paraId="2341D7BA">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eastAsia="宋体" w:cs="宋体"/>
                <w:color w:val="auto"/>
                <w:sz w:val="24"/>
                <w:szCs w:val="24"/>
                <w:highlight w:val="none"/>
              </w:rPr>
            </w:pPr>
            <w:r>
              <w:rPr>
                <w:color w:val="auto"/>
                <w:sz w:val="24"/>
                <w:szCs w:val="24"/>
                <w:highlight w:val="none"/>
              </w:rPr>
              <w:t>地址：</w:t>
            </w:r>
            <w:r>
              <w:rPr>
                <w:rFonts w:hint="eastAsia" w:ascii="宋体" w:hAnsi="宋体" w:eastAsia="宋体" w:cs="宋体"/>
                <w:color w:val="auto"/>
                <w:sz w:val="24"/>
                <w:szCs w:val="24"/>
                <w:highlight w:val="none"/>
              </w:rPr>
              <w:t>三门峡市虢国路东段</w:t>
            </w:r>
          </w:p>
          <w:p w14:paraId="1D71DCD6">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color w:val="auto"/>
                <w:sz w:val="24"/>
                <w:szCs w:val="24"/>
                <w:highlight w:val="none"/>
              </w:rPr>
            </w:pPr>
            <w:r>
              <w:rPr>
                <w:color w:val="auto"/>
                <w:sz w:val="24"/>
                <w:szCs w:val="24"/>
                <w:highlight w:val="none"/>
              </w:rPr>
              <w:t>联系人：</w:t>
            </w:r>
            <w:r>
              <w:rPr>
                <w:rFonts w:hint="eastAsia" w:ascii="宋体" w:hAnsi="宋体" w:eastAsia="宋体" w:cs="宋体"/>
                <w:color w:val="auto"/>
                <w:sz w:val="24"/>
                <w:szCs w:val="24"/>
                <w:highlight w:val="none"/>
              </w:rPr>
              <w:t>岳女士</w:t>
            </w:r>
            <w:r>
              <w:rPr>
                <w:rFonts w:hint="eastAsia" w:ascii="宋体" w:hAnsi="宋体" w:eastAsia="宋体" w:cs="宋体"/>
                <w:color w:val="auto"/>
                <w:sz w:val="24"/>
                <w:szCs w:val="24"/>
                <w:highlight w:val="none"/>
                <w:lang w:val="en-US" w:eastAsia="zh-CN"/>
              </w:rPr>
              <w:t xml:space="preserve">   </w:t>
            </w:r>
          </w:p>
          <w:p w14:paraId="400E86A6">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color w:val="auto"/>
                <w:sz w:val="24"/>
                <w:szCs w:val="24"/>
                <w:highlight w:val="none"/>
              </w:rPr>
            </w:pPr>
            <w:r>
              <w:rPr>
                <w:rFonts w:hint="eastAsia" w:cs="宋体"/>
                <w:color w:val="auto"/>
                <w:sz w:val="24"/>
                <w:szCs w:val="24"/>
                <w:highlight w:val="none"/>
                <w:lang w:eastAsia="zh-CN"/>
              </w:rPr>
              <w:t>联系方式</w:t>
            </w:r>
            <w:r>
              <w:rPr>
                <w:color w:val="auto"/>
                <w:sz w:val="24"/>
                <w:szCs w:val="24"/>
                <w:highlight w:val="none"/>
              </w:rPr>
              <w:t>：</w:t>
            </w:r>
            <w:r>
              <w:rPr>
                <w:rFonts w:hint="eastAsia" w:ascii="宋体" w:hAnsi="宋体" w:eastAsia="宋体" w:cs="宋体"/>
                <w:color w:val="auto"/>
                <w:sz w:val="24"/>
                <w:szCs w:val="24"/>
                <w:highlight w:val="none"/>
              </w:rPr>
              <w:t>0398-2817007</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p>
        </w:tc>
      </w:tr>
      <w:tr w14:paraId="7A61F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14124C5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eastAsia="宋体"/>
                <w:color w:val="auto"/>
                <w:sz w:val="24"/>
                <w:szCs w:val="24"/>
                <w:highlight w:val="none"/>
                <w:lang w:eastAsia="zh-CN"/>
              </w:rPr>
            </w:pPr>
            <w:r>
              <w:rPr>
                <w:rFonts w:hint="eastAsia"/>
                <w:color w:val="auto"/>
                <w:sz w:val="24"/>
                <w:szCs w:val="24"/>
                <w:highlight w:val="none"/>
              </w:rPr>
              <w:t>1.1.</w:t>
            </w:r>
            <w:r>
              <w:rPr>
                <w:rFonts w:hint="eastAsia"/>
                <w:color w:val="auto"/>
                <w:sz w:val="24"/>
                <w:szCs w:val="24"/>
                <w:highlight w:val="none"/>
                <w:lang w:val="en-US" w:eastAsia="zh-CN"/>
              </w:rPr>
              <w:t>3</w:t>
            </w:r>
          </w:p>
        </w:tc>
        <w:tc>
          <w:tcPr>
            <w:tcW w:w="2549" w:type="dxa"/>
            <w:noWrap w:val="0"/>
            <w:vAlign w:val="center"/>
          </w:tcPr>
          <w:p w14:paraId="7D76CAF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rPr>
            </w:pPr>
            <w:r>
              <w:rPr>
                <w:rFonts w:hint="eastAsia"/>
                <w:color w:val="auto"/>
                <w:sz w:val="24"/>
                <w:szCs w:val="24"/>
                <w:highlight w:val="none"/>
              </w:rPr>
              <w:t>采购代理机构</w:t>
            </w:r>
          </w:p>
        </w:tc>
        <w:tc>
          <w:tcPr>
            <w:tcW w:w="5970" w:type="dxa"/>
            <w:noWrap w:val="0"/>
            <w:vAlign w:val="center"/>
          </w:tcPr>
          <w:p w14:paraId="418219F7">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lang w:eastAsia="zh-CN"/>
              </w:rPr>
              <w:t>河南省亿达工程管理咨询有限公司</w:t>
            </w:r>
          </w:p>
          <w:p w14:paraId="32A9C80E">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地址：</w:t>
            </w:r>
            <w:r>
              <w:rPr>
                <w:rFonts w:hint="eastAsia" w:ascii="宋体" w:hAnsi="宋体" w:eastAsia="宋体"/>
                <w:sz w:val="24"/>
                <w:szCs w:val="24"/>
                <w:lang w:eastAsia="zh-CN"/>
              </w:rPr>
              <w:t>郑州市青年路与玉凤路交叉口升龙环球大厦C座26楼</w:t>
            </w:r>
          </w:p>
          <w:p w14:paraId="4E51DA9B">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lang w:eastAsia="zh-CN"/>
              </w:rPr>
              <w:t>姚女士</w:t>
            </w:r>
            <w:r>
              <w:rPr>
                <w:rFonts w:hint="eastAsia" w:ascii="宋体" w:hAnsi="宋体" w:eastAsia="宋体" w:cs="宋体"/>
                <w:color w:val="auto"/>
                <w:sz w:val="24"/>
                <w:szCs w:val="24"/>
                <w:highlight w:val="none"/>
                <w:lang w:val="en-US" w:eastAsia="zh-CN"/>
              </w:rPr>
              <w:t xml:space="preserve">   </w:t>
            </w:r>
          </w:p>
          <w:p w14:paraId="34C89C89">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联系方式</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13373967077</w:t>
            </w:r>
          </w:p>
        </w:tc>
      </w:tr>
      <w:tr w14:paraId="4CCE3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34BDDA4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eastAsia="宋体"/>
                <w:color w:val="auto"/>
                <w:sz w:val="24"/>
                <w:szCs w:val="24"/>
                <w:highlight w:val="none"/>
                <w:lang w:eastAsia="zh-CN"/>
              </w:rPr>
            </w:pPr>
            <w:r>
              <w:rPr>
                <w:rFonts w:hint="eastAsia"/>
                <w:color w:val="auto"/>
                <w:sz w:val="24"/>
                <w:szCs w:val="24"/>
                <w:highlight w:val="none"/>
              </w:rPr>
              <w:t>1.1.</w:t>
            </w:r>
            <w:r>
              <w:rPr>
                <w:rFonts w:hint="eastAsia"/>
                <w:color w:val="auto"/>
                <w:sz w:val="24"/>
                <w:szCs w:val="24"/>
                <w:highlight w:val="none"/>
                <w:lang w:val="en-US" w:eastAsia="zh-CN"/>
              </w:rPr>
              <w:t>4</w:t>
            </w:r>
          </w:p>
        </w:tc>
        <w:tc>
          <w:tcPr>
            <w:tcW w:w="2549" w:type="dxa"/>
            <w:noWrap w:val="0"/>
            <w:vAlign w:val="center"/>
          </w:tcPr>
          <w:p w14:paraId="05CE0CD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rPr>
            </w:pPr>
            <w:r>
              <w:rPr>
                <w:rFonts w:hint="eastAsia"/>
                <w:color w:val="auto"/>
                <w:sz w:val="24"/>
                <w:szCs w:val="24"/>
                <w:highlight w:val="none"/>
              </w:rPr>
              <w:t>采购方式</w:t>
            </w:r>
          </w:p>
        </w:tc>
        <w:tc>
          <w:tcPr>
            <w:tcW w:w="5970" w:type="dxa"/>
            <w:noWrap w:val="0"/>
            <w:vAlign w:val="center"/>
          </w:tcPr>
          <w:p w14:paraId="14708C44">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color w:val="auto"/>
                <w:sz w:val="24"/>
                <w:szCs w:val="24"/>
                <w:highlight w:val="none"/>
              </w:rPr>
            </w:pPr>
            <w:r>
              <w:rPr>
                <w:rFonts w:hint="eastAsia"/>
                <w:color w:val="auto"/>
                <w:sz w:val="24"/>
                <w:szCs w:val="24"/>
                <w:highlight w:val="none"/>
              </w:rPr>
              <w:t>竞争性磋商</w:t>
            </w:r>
          </w:p>
        </w:tc>
      </w:tr>
      <w:tr w14:paraId="0C594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974" w:type="dxa"/>
            <w:noWrap w:val="0"/>
            <w:vAlign w:val="center"/>
          </w:tcPr>
          <w:p w14:paraId="1B9A529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eastAsia="宋体"/>
                <w:color w:val="auto"/>
                <w:sz w:val="24"/>
                <w:szCs w:val="24"/>
                <w:highlight w:val="none"/>
                <w:lang w:eastAsia="zh-CN"/>
              </w:rPr>
            </w:pPr>
            <w:r>
              <w:rPr>
                <w:rFonts w:hint="eastAsia"/>
                <w:color w:val="auto"/>
                <w:sz w:val="24"/>
                <w:szCs w:val="24"/>
                <w:highlight w:val="none"/>
              </w:rPr>
              <w:t>1.1.</w:t>
            </w:r>
            <w:r>
              <w:rPr>
                <w:rFonts w:hint="eastAsia"/>
                <w:color w:val="auto"/>
                <w:sz w:val="24"/>
                <w:szCs w:val="24"/>
                <w:highlight w:val="none"/>
                <w:lang w:val="en-US" w:eastAsia="zh-CN"/>
              </w:rPr>
              <w:t>5</w:t>
            </w:r>
          </w:p>
        </w:tc>
        <w:tc>
          <w:tcPr>
            <w:tcW w:w="2549" w:type="dxa"/>
            <w:noWrap w:val="0"/>
            <w:vAlign w:val="center"/>
          </w:tcPr>
          <w:p w14:paraId="7226A48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lang w:eastAsia="zh-CN"/>
              </w:rPr>
            </w:pPr>
            <w:r>
              <w:rPr>
                <w:rFonts w:hint="eastAsia"/>
                <w:color w:val="auto"/>
                <w:sz w:val="24"/>
                <w:szCs w:val="24"/>
                <w:highlight w:val="none"/>
              </w:rPr>
              <w:t>项目名称</w:t>
            </w:r>
            <w:r>
              <w:rPr>
                <w:rFonts w:hint="eastAsia"/>
                <w:color w:val="auto"/>
                <w:sz w:val="24"/>
                <w:szCs w:val="24"/>
                <w:highlight w:val="none"/>
                <w:lang w:eastAsia="zh-CN"/>
              </w:rPr>
              <w:t>及采购编号</w:t>
            </w:r>
          </w:p>
        </w:tc>
        <w:tc>
          <w:tcPr>
            <w:tcW w:w="5970" w:type="dxa"/>
            <w:noWrap w:val="0"/>
            <w:vAlign w:val="center"/>
          </w:tcPr>
          <w:p w14:paraId="01C37AD9">
            <w:pPr>
              <w:tabs>
                <w:tab w:val="left" w:pos="1737"/>
                <w:tab w:val="left" w:pos="2217"/>
                <w:tab w:val="left" w:pos="3478"/>
                <w:tab w:val="left" w:pos="4535"/>
                <w:tab w:val="left" w:pos="4771"/>
                <w:tab w:val="left" w:pos="5990"/>
                <w:tab w:val="left" w:pos="6903"/>
              </w:tabs>
              <w:spacing w:line="360" w:lineRule="auto"/>
              <w:ind w:right="-45"/>
              <w:rPr>
                <w:rFonts w:hint="eastAsia" w:ascii="宋体" w:hAnsi="宋体" w:eastAsia="宋体" w:cs="Times New Roman"/>
                <w:sz w:val="24"/>
                <w:szCs w:val="24"/>
                <w:lang w:eastAsia="zh-CN"/>
              </w:rPr>
            </w:pPr>
            <w:r>
              <w:rPr>
                <w:rFonts w:hint="eastAsia"/>
                <w:color w:val="auto"/>
                <w:sz w:val="24"/>
                <w:szCs w:val="24"/>
                <w:highlight w:val="none"/>
              </w:rPr>
              <w:t>项目名称</w:t>
            </w:r>
            <w:r>
              <w:rPr>
                <w:rFonts w:hint="eastAsia" w:ascii="宋体" w:hAnsi="宋体" w:eastAsia="宋体" w:cs="宋体"/>
                <w:color w:val="auto"/>
                <w:sz w:val="24"/>
                <w:szCs w:val="24"/>
                <w:highlight w:val="none"/>
              </w:rPr>
              <w:t>：</w:t>
            </w:r>
            <w:r>
              <w:rPr>
                <w:rFonts w:hint="eastAsia" w:ascii="宋体" w:hAnsi="宋体" w:eastAsia="宋体" w:cs="Times New Roman"/>
                <w:sz w:val="24"/>
                <w:szCs w:val="24"/>
                <w:lang w:eastAsia="zh-CN"/>
              </w:rPr>
              <w:t>陕州区S312线桥头沟大桥预防性养护项目</w:t>
            </w:r>
          </w:p>
          <w:p w14:paraId="362BE672">
            <w:pPr>
              <w:tabs>
                <w:tab w:val="left" w:pos="1737"/>
                <w:tab w:val="left" w:pos="2217"/>
                <w:tab w:val="left" w:pos="3478"/>
                <w:tab w:val="left" w:pos="4535"/>
                <w:tab w:val="left" w:pos="4771"/>
                <w:tab w:val="left" w:pos="5990"/>
                <w:tab w:val="left" w:pos="6903"/>
              </w:tabs>
              <w:spacing w:line="360" w:lineRule="auto"/>
              <w:ind w:right="-45"/>
              <w:rPr>
                <w:rFonts w:hint="eastAsia"/>
                <w:color w:val="auto"/>
                <w:sz w:val="24"/>
                <w:szCs w:val="24"/>
                <w:highlight w:val="none"/>
                <w:lang w:eastAsia="zh-CN"/>
              </w:rPr>
            </w:pPr>
            <w:r>
              <w:rPr>
                <w:rFonts w:hint="eastAsia"/>
                <w:color w:val="auto"/>
                <w:sz w:val="24"/>
                <w:szCs w:val="24"/>
                <w:highlight w:val="none"/>
              </w:rPr>
              <w:t>采购编号：</w:t>
            </w:r>
            <w:r>
              <w:rPr>
                <w:rFonts w:hint="eastAsia" w:ascii="宋体" w:hAnsi="宋体" w:eastAsia="宋体" w:cs="宋体"/>
                <w:color w:val="auto"/>
                <w:sz w:val="22"/>
                <w:szCs w:val="22"/>
                <w:lang w:val="en-US" w:eastAsia="zh-CN"/>
              </w:rPr>
              <w:t>三财竞磋采</w:t>
            </w:r>
            <w:r>
              <w:rPr>
                <w:rFonts w:hint="eastAsia" w:ascii="宋体" w:hAnsi="宋体" w:eastAsia="宋体" w:cs="宋体"/>
                <w:color w:val="auto"/>
                <w:sz w:val="22"/>
                <w:szCs w:val="22"/>
                <w:highlight w:val="none"/>
                <w:lang w:val="en-US" w:eastAsia="zh-CN"/>
              </w:rPr>
              <w:t>购-2025-69</w:t>
            </w:r>
            <w:r>
              <w:rPr>
                <w:rFonts w:hint="eastAsia" w:ascii="宋体" w:hAnsi="宋体" w:eastAsia="宋体" w:cs="Times New Roman"/>
                <w:sz w:val="22"/>
                <w:szCs w:val="22"/>
                <w:highlight w:val="none"/>
                <w:lang w:val="en-US" w:eastAsia="zh-CN"/>
              </w:rPr>
              <w:t>、SGZ[2025]440-ZC294</w:t>
            </w:r>
          </w:p>
        </w:tc>
      </w:tr>
      <w:tr w14:paraId="179A8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4B3BBB1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eastAsia="宋体"/>
                <w:color w:val="auto"/>
                <w:sz w:val="24"/>
                <w:szCs w:val="24"/>
                <w:highlight w:val="none"/>
                <w:lang w:eastAsia="zh-CN"/>
              </w:rPr>
            </w:pPr>
            <w:r>
              <w:rPr>
                <w:rFonts w:hint="eastAsia"/>
                <w:color w:val="auto"/>
                <w:sz w:val="24"/>
                <w:szCs w:val="24"/>
                <w:highlight w:val="none"/>
              </w:rPr>
              <w:t>1.1.</w:t>
            </w:r>
            <w:r>
              <w:rPr>
                <w:rFonts w:hint="eastAsia"/>
                <w:color w:val="auto"/>
                <w:sz w:val="24"/>
                <w:szCs w:val="24"/>
                <w:highlight w:val="none"/>
                <w:lang w:val="en-US" w:eastAsia="zh-CN"/>
              </w:rPr>
              <w:t>6</w:t>
            </w:r>
          </w:p>
        </w:tc>
        <w:tc>
          <w:tcPr>
            <w:tcW w:w="2549" w:type="dxa"/>
            <w:noWrap w:val="0"/>
            <w:vAlign w:val="center"/>
          </w:tcPr>
          <w:p w14:paraId="6C22E46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rPr>
            </w:pPr>
            <w:r>
              <w:rPr>
                <w:rFonts w:hint="eastAsia"/>
                <w:color w:val="auto"/>
                <w:sz w:val="24"/>
                <w:szCs w:val="24"/>
                <w:highlight w:val="none"/>
                <w:lang w:val="en-US" w:eastAsia="zh-CN"/>
              </w:rPr>
              <w:t>项目</w:t>
            </w:r>
            <w:r>
              <w:rPr>
                <w:rFonts w:hint="eastAsia"/>
                <w:color w:val="auto"/>
                <w:sz w:val="24"/>
                <w:szCs w:val="24"/>
                <w:highlight w:val="none"/>
              </w:rPr>
              <w:t>地点</w:t>
            </w:r>
          </w:p>
        </w:tc>
        <w:tc>
          <w:tcPr>
            <w:tcW w:w="5970" w:type="dxa"/>
            <w:noWrap w:val="0"/>
            <w:vAlign w:val="center"/>
          </w:tcPr>
          <w:p w14:paraId="7326BE90">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eastAsia="宋体"/>
                <w:color w:val="auto"/>
                <w:sz w:val="24"/>
                <w:szCs w:val="24"/>
                <w:highlight w:val="none"/>
                <w:lang w:eastAsia="zh-CN"/>
              </w:rPr>
            </w:pPr>
            <w:r>
              <w:rPr>
                <w:rFonts w:hint="eastAsia" w:ascii="宋体" w:hAnsi="宋体"/>
                <w:sz w:val="24"/>
                <w:szCs w:val="24"/>
                <w:lang w:eastAsia="zh-CN"/>
              </w:rPr>
              <w:t>本项目位于S312线陕州区</w:t>
            </w:r>
          </w:p>
        </w:tc>
      </w:tr>
      <w:tr w14:paraId="5F61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7091F89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rPr>
            </w:pPr>
            <w:r>
              <w:rPr>
                <w:rFonts w:hint="eastAsia"/>
                <w:color w:val="auto"/>
                <w:sz w:val="24"/>
                <w:szCs w:val="24"/>
                <w:highlight w:val="none"/>
              </w:rPr>
              <w:t>1.2.1</w:t>
            </w:r>
          </w:p>
        </w:tc>
        <w:tc>
          <w:tcPr>
            <w:tcW w:w="2549" w:type="dxa"/>
            <w:noWrap w:val="0"/>
            <w:vAlign w:val="center"/>
          </w:tcPr>
          <w:p w14:paraId="3495710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rPr>
            </w:pPr>
            <w:r>
              <w:rPr>
                <w:rFonts w:hint="eastAsia"/>
                <w:color w:val="auto"/>
                <w:sz w:val="24"/>
                <w:szCs w:val="24"/>
                <w:highlight w:val="none"/>
              </w:rPr>
              <w:t>资金来源</w:t>
            </w:r>
          </w:p>
        </w:tc>
        <w:tc>
          <w:tcPr>
            <w:tcW w:w="5970" w:type="dxa"/>
            <w:noWrap w:val="0"/>
            <w:vAlign w:val="center"/>
          </w:tcPr>
          <w:p w14:paraId="67CD437C">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color w:val="auto"/>
                <w:sz w:val="24"/>
                <w:szCs w:val="24"/>
                <w:highlight w:val="none"/>
              </w:rPr>
            </w:pPr>
            <w:r>
              <w:rPr>
                <w:rFonts w:hint="eastAsia" w:ascii="宋体" w:hAnsi="宋体" w:eastAsia="宋体" w:cs="Times New Roman"/>
                <w:sz w:val="24"/>
                <w:szCs w:val="24"/>
                <w:lang w:val="en-US" w:eastAsia="zh-CN"/>
              </w:rPr>
              <w:t>省补资金和地方自筹</w:t>
            </w:r>
          </w:p>
        </w:tc>
      </w:tr>
      <w:tr w14:paraId="0FC9E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4DF7A3F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rPr>
            </w:pPr>
            <w:r>
              <w:rPr>
                <w:rFonts w:hint="eastAsia"/>
                <w:color w:val="auto"/>
                <w:sz w:val="24"/>
                <w:szCs w:val="24"/>
                <w:highlight w:val="none"/>
              </w:rPr>
              <w:t>1.2.2</w:t>
            </w:r>
          </w:p>
        </w:tc>
        <w:tc>
          <w:tcPr>
            <w:tcW w:w="2549" w:type="dxa"/>
            <w:noWrap w:val="0"/>
            <w:vAlign w:val="center"/>
          </w:tcPr>
          <w:p w14:paraId="7906AAA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color w:val="auto"/>
                <w:sz w:val="24"/>
                <w:szCs w:val="24"/>
                <w:highlight w:val="none"/>
              </w:rPr>
              <w:t>资金落实情况</w:t>
            </w:r>
          </w:p>
        </w:tc>
        <w:tc>
          <w:tcPr>
            <w:tcW w:w="5970" w:type="dxa"/>
            <w:noWrap w:val="0"/>
            <w:vAlign w:val="center"/>
          </w:tcPr>
          <w:p w14:paraId="7267C680">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资金已落实</w:t>
            </w:r>
          </w:p>
        </w:tc>
      </w:tr>
      <w:tr w14:paraId="0E67F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2F52DB6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color w:val="auto"/>
                <w:sz w:val="24"/>
                <w:szCs w:val="24"/>
                <w:highlight w:val="none"/>
              </w:rPr>
              <w:t>1.2.3</w:t>
            </w:r>
          </w:p>
        </w:tc>
        <w:tc>
          <w:tcPr>
            <w:tcW w:w="2549" w:type="dxa"/>
            <w:noWrap w:val="0"/>
            <w:vAlign w:val="center"/>
          </w:tcPr>
          <w:p w14:paraId="445CAAF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rPr>
            </w:pPr>
            <w:r>
              <w:rPr>
                <w:rFonts w:hint="eastAsia"/>
                <w:color w:val="auto"/>
                <w:sz w:val="24"/>
                <w:szCs w:val="24"/>
                <w:highlight w:val="none"/>
              </w:rPr>
              <w:t>采购预算金额</w:t>
            </w:r>
          </w:p>
        </w:tc>
        <w:tc>
          <w:tcPr>
            <w:tcW w:w="5970" w:type="dxa"/>
            <w:noWrap w:val="0"/>
            <w:vAlign w:val="center"/>
          </w:tcPr>
          <w:p w14:paraId="6538CA2E">
            <w:pPr>
              <w:keepNext w:val="0"/>
              <w:keepLines w:val="0"/>
              <w:pageBreakBefore w:val="0"/>
              <w:widowControl w:val="0"/>
              <w:tabs>
                <w:tab w:val="left" w:pos="1737"/>
                <w:tab w:val="left" w:pos="2217"/>
                <w:tab w:val="left" w:pos="3478"/>
                <w:tab w:val="left" w:pos="4535"/>
                <w:tab w:val="left" w:pos="4771"/>
                <w:tab w:val="left" w:pos="5990"/>
                <w:tab w:val="left" w:pos="6903"/>
              </w:tabs>
              <w:kinsoku/>
              <w:overflowPunct/>
              <w:autoSpaceDE/>
              <w:autoSpaceDN/>
              <w:bidi w:val="0"/>
              <w:adjustRightInd/>
              <w:snapToGrid/>
              <w:spacing w:line="240" w:lineRule="auto"/>
              <w:ind w:right="-45"/>
              <w:jc w:val="both"/>
              <w:textAlignment w:val="auto"/>
              <w:rPr>
                <w:rFonts w:hint="eastAsia"/>
                <w:color w:val="auto"/>
                <w:sz w:val="24"/>
                <w:szCs w:val="24"/>
                <w:highlight w:val="none"/>
              </w:rPr>
            </w:pPr>
            <w:r>
              <w:rPr>
                <w:rFonts w:hint="eastAsia" w:ascii="宋体" w:hAnsi="宋体"/>
                <w:kern w:val="0"/>
                <w:sz w:val="24"/>
                <w:szCs w:val="24"/>
                <w:highlight w:val="none"/>
                <w:u w:val="none"/>
                <w:lang w:eastAsia="zh-CN"/>
              </w:rPr>
              <w:t>2640407.11</w:t>
            </w:r>
            <w:r>
              <w:rPr>
                <w:rFonts w:hint="eastAsia" w:ascii="宋体" w:hAnsi="宋体"/>
                <w:kern w:val="0"/>
                <w:sz w:val="24"/>
                <w:szCs w:val="24"/>
                <w:highlight w:val="none"/>
                <w:u w:val="none"/>
              </w:rPr>
              <w:t>元</w:t>
            </w:r>
          </w:p>
        </w:tc>
      </w:tr>
      <w:tr w14:paraId="6CD22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3F7A08F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color w:val="auto"/>
                <w:sz w:val="24"/>
                <w:szCs w:val="24"/>
                <w:highlight w:val="none"/>
              </w:rPr>
              <w:t>1.2.4</w:t>
            </w:r>
          </w:p>
        </w:tc>
        <w:tc>
          <w:tcPr>
            <w:tcW w:w="2549" w:type="dxa"/>
            <w:noWrap w:val="0"/>
            <w:vAlign w:val="center"/>
          </w:tcPr>
          <w:p w14:paraId="3E164E4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color w:val="auto"/>
                <w:sz w:val="24"/>
                <w:szCs w:val="24"/>
                <w:highlight w:val="none"/>
              </w:rPr>
              <w:t>采购项目性质</w:t>
            </w:r>
          </w:p>
        </w:tc>
        <w:tc>
          <w:tcPr>
            <w:tcW w:w="5970" w:type="dxa"/>
            <w:noWrap w:val="0"/>
            <w:vAlign w:val="center"/>
          </w:tcPr>
          <w:p w14:paraId="0C94B88A">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color w:val="auto"/>
                <w:sz w:val="24"/>
                <w:szCs w:val="24"/>
                <w:highlight w:val="none"/>
                <w:lang w:eastAsia="zh-CN"/>
              </w:rPr>
              <w:t>工程</w:t>
            </w:r>
          </w:p>
        </w:tc>
      </w:tr>
      <w:tr w14:paraId="7D9CB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74" w:type="dxa"/>
            <w:noWrap w:val="0"/>
            <w:vAlign w:val="center"/>
          </w:tcPr>
          <w:p w14:paraId="405FEC7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rPr>
            </w:pPr>
            <w:r>
              <w:rPr>
                <w:rFonts w:hint="eastAsia"/>
                <w:color w:val="auto"/>
                <w:sz w:val="24"/>
                <w:szCs w:val="24"/>
                <w:highlight w:val="none"/>
              </w:rPr>
              <w:t>1.3.1</w:t>
            </w:r>
          </w:p>
        </w:tc>
        <w:tc>
          <w:tcPr>
            <w:tcW w:w="2549" w:type="dxa"/>
            <w:noWrap w:val="0"/>
            <w:vAlign w:val="center"/>
          </w:tcPr>
          <w:p w14:paraId="3A5738D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rPr>
            </w:pPr>
            <w:r>
              <w:rPr>
                <w:rFonts w:hint="eastAsia"/>
                <w:color w:val="auto"/>
                <w:sz w:val="24"/>
                <w:szCs w:val="24"/>
                <w:highlight w:val="none"/>
              </w:rPr>
              <w:t>采购范围</w:t>
            </w:r>
          </w:p>
        </w:tc>
        <w:tc>
          <w:tcPr>
            <w:tcW w:w="5970" w:type="dxa"/>
            <w:noWrap w:val="0"/>
            <w:vAlign w:val="top"/>
          </w:tcPr>
          <w:p w14:paraId="0C65D9AD">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本项目竞争性磋商文件、工程量清单、补充文件及答疑文件（如有）等列明的所有内容。</w:t>
            </w:r>
          </w:p>
        </w:tc>
      </w:tr>
      <w:tr w14:paraId="74A15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0EC9B49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rPr>
            </w:pPr>
            <w:r>
              <w:rPr>
                <w:rFonts w:hint="eastAsia"/>
                <w:color w:val="auto"/>
                <w:sz w:val="24"/>
                <w:szCs w:val="24"/>
                <w:highlight w:val="none"/>
              </w:rPr>
              <w:t>1.3.</w:t>
            </w:r>
            <w:r>
              <w:rPr>
                <w:rFonts w:hint="eastAsia"/>
                <w:color w:val="auto"/>
                <w:sz w:val="24"/>
                <w:szCs w:val="24"/>
                <w:highlight w:val="none"/>
                <w:lang w:val="en-US" w:eastAsia="zh-CN"/>
              </w:rPr>
              <w:t>2</w:t>
            </w:r>
          </w:p>
        </w:tc>
        <w:tc>
          <w:tcPr>
            <w:tcW w:w="2549" w:type="dxa"/>
            <w:noWrap w:val="0"/>
            <w:vAlign w:val="center"/>
          </w:tcPr>
          <w:p w14:paraId="0273C74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lang w:eastAsia="zh-CN"/>
              </w:rPr>
            </w:pPr>
            <w:r>
              <w:rPr>
                <w:rFonts w:hint="eastAsia"/>
                <w:color w:val="auto"/>
                <w:sz w:val="24"/>
                <w:szCs w:val="24"/>
                <w:highlight w:val="none"/>
                <w:lang w:eastAsia="zh-CN"/>
              </w:rPr>
              <w:t>计划工期</w:t>
            </w:r>
          </w:p>
        </w:tc>
        <w:tc>
          <w:tcPr>
            <w:tcW w:w="5970" w:type="dxa"/>
            <w:noWrap w:val="0"/>
            <w:vAlign w:val="center"/>
          </w:tcPr>
          <w:p w14:paraId="7113D21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50日历天</w:t>
            </w:r>
          </w:p>
        </w:tc>
      </w:tr>
      <w:tr w14:paraId="4F5CF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jc w:val="center"/>
        </w:trPr>
        <w:tc>
          <w:tcPr>
            <w:tcW w:w="974" w:type="dxa"/>
            <w:noWrap w:val="0"/>
            <w:vAlign w:val="center"/>
          </w:tcPr>
          <w:p w14:paraId="7D10FE3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rPr>
            </w:pPr>
            <w:r>
              <w:rPr>
                <w:rFonts w:hint="eastAsia"/>
                <w:color w:val="auto"/>
                <w:sz w:val="24"/>
                <w:szCs w:val="24"/>
                <w:highlight w:val="none"/>
              </w:rPr>
              <w:t>1.3.</w:t>
            </w:r>
            <w:r>
              <w:rPr>
                <w:rFonts w:hint="eastAsia"/>
                <w:color w:val="auto"/>
                <w:sz w:val="24"/>
                <w:szCs w:val="24"/>
                <w:highlight w:val="none"/>
                <w:lang w:val="en-US" w:eastAsia="zh-CN"/>
              </w:rPr>
              <w:t>3</w:t>
            </w:r>
          </w:p>
        </w:tc>
        <w:tc>
          <w:tcPr>
            <w:tcW w:w="2549" w:type="dxa"/>
            <w:noWrap w:val="0"/>
            <w:vAlign w:val="center"/>
          </w:tcPr>
          <w:p w14:paraId="0AB2674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lang w:eastAsia="zh-CN"/>
              </w:rPr>
            </w:pPr>
            <w:r>
              <w:rPr>
                <w:rFonts w:hint="eastAsia"/>
                <w:color w:val="auto"/>
                <w:sz w:val="24"/>
                <w:szCs w:val="24"/>
                <w:highlight w:val="none"/>
              </w:rPr>
              <w:t>质量</w:t>
            </w:r>
            <w:r>
              <w:rPr>
                <w:rFonts w:hint="eastAsia"/>
                <w:color w:val="auto"/>
                <w:sz w:val="24"/>
                <w:szCs w:val="24"/>
                <w:highlight w:val="none"/>
                <w:lang w:eastAsia="zh-CN"/>
              </w:rPr>
              <w:t>标准</w:t>
            </w:r>
          </w:p>
        </w:tc>
        <w:tc>
          <w:tcPr>
            <w:tcW w:w="5970" w:type="dxa"/>
            <w:noWrap w:val="0"/>
            <w:vAlign w:val="bottom"/>
          </w:tcPr>
          <w:p w14:paraId="16FDDD4A">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工程交工验收的质量评定：合格；</w:t>
            </w:r>
          </w:p>
          <w:p w14:paraId="3817A25C">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竣工验收的质量评定：优良。</w:t>
            </w:r>
          </w:p>
        </w:tc>
      </w:tr>
      <w:tr w14:paraId="368A5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6D5BC66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lang w:val="en-US" w:eastAsia="zh-CN"/>
              </w:rPr>
            </w:pPr>
            <w:r>
              <w:rPr>
                <w:rFonts w:hint="eastAsia"/>
                <w:color w:val="auto"/>
                <w:sz w:val="24"/>
                <w:szCs w:val="24"/>
                <w:highlight w:val="none"/>
              </w:rPr>
              <w:t>1.4</w:t>
            </w:r>
            <w:r>
              <w:rPr>
                <w:rFonts w:hint="eastAsia"/>
                <w:color w:val="auto"/>
                <w:sz w:val="24"/>
                <w:szCs w:val="24"/>
                <w:highlight w:val="none"/>
                <w:lang w:val="en-US" w:eastAsia="zh-CN"/>
              </w:rPr>
              <w:t>.1</w:t>
            </w:r>
          </w:p>
        </w:tc>
        <w:tc>
          <w:tcPr>
            <w:tcW w:w="2549" w:type="dxa"/>
            <w:noWrap w:val="0"/>
            <w:vAlign w:val="center"/>
          </w:tcPr>
          <w:p w14:paraId="6487D9C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rPr>
            </w:pPr>
            <w:r>
              <w:rPr>
                <w:rFonts w:hint="eastAsia"/>
                <w:i w:val="0"/>
                <w:iCs w:val="0"/>
                <w:color w:val="auto"/>
                <w:sz w:val="24"/>
                <w:szCs w:val="24"/>
                <w:highlight w:val="none"/>
                <w:lang w:eastAsia="zh-CN"/>
              </w:rPr>
              <w:t>供应商</w:t>
            </w:r>
            <w:r>
              <w:rPr>
                <w:rFonts w:hint="eastAsia"/>
                <w:i w:val="0"/>
                <w:iCs w:val="0"/>
                <w:color w:val="auto"/>
                <w:sz w:val="24"/>
                <w:szCs w:val="24"/>
                <w:highlight w:val="none"/>
              </w:rPr>
              <w:t>资质条件</w:t>
            </w:r>
          </w:p>
        </w:tc>
        <w:tc>
          <w:tcPr>
            <w:tcW w:w="5970" w:type="dxa"/>
            <w:noWrap w:val="0"/>
            <w:vAlign w:val="top"/>
          </w:tcPr>
          <w:p w14:paraId="0E43591E">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见竞争性磋商公告 二、申请人资格要求</w:t>
            </w:r>
          </w:p>
          <w:p w14:paraId="1AF47485">
            <w:pPr>
              <w:pStyle w:val="137"/>
              <w:rPr>
                <w:rFonts w:hint="default"/>
                <w:sz w:val="24"/>
                <w:szCs w:val="24"/>
                <w:lang w:val="en-US" w:eastAsia="zh-CN"/>
              </w:rPr>
            </w:pPr>
            <w:r>
              <w:rPr>
                <w:rFonts w:hint="eastAsia" w:ascii="宋体" w:hAnsi="宋体" w:eastAsia="宋体" w:cs="宋体"/>
                <w:b/>
                <w:bCs/>
                <w:color w:val="auto"/>
                <w:kern w:val="2"/>
                <w:sz w:val="24"/>
                <w:szCs w:val="24"/>
                <w:highlight w:val="none"/>
                <w:lang w:val="en-US" w:eastAsia="zh-CN" w:bidi="ar-SA"/>
              </w:rPr>
              <w:t>注：本项目实行资格后审，资格评审以响应文件为准，其资料真实性由供应商自行承担。</w:t>
            </w:r>
          </w:p>
        </w:tc>
      </w:tr>
      <w:tr w14:paraId="5484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59B98DA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t>1.4.2</w:t>
            </w:r>
          </w:p>
        </w:tc>
        <w:tc>
          <w:tcPr>
            <w:tcW w:w="2549" w:type="dxa"/>
            <w:noWrap w:val="0"/>
            <w:vAlign w:val="center"/>
          </w:tcPr>
          <w:p w14:paraId="6D38B1B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lang w:eastAsia="zh-CN"/>
              </w:rPr>
            </w:pPr>
            <w:r>
              <w:rPr>
                <w:rFonts w:hint="eastAsia"/>
                <w:color w:val="auto"/>
                <w:sz w:val="24"/>
                <w:szCs w:val="24"/>
                <w:highlight w:val="none"/>
                <w:lang w:eastAsia="zh-CN"/>
              </w:rPr>
              <w:t>是否接受联合体参加磋商</w:t>
            </w:r>
          </w:p>
        </w:tc>
        <w:tc>
          <w:tcPr>
            <w:tcW w:w="5970" w:type="dxa"/>
            <w:noWrap w:val="0"/>
            <w:vAlign w:val="center"/>
          </w:tcPr>
          <w:p w14:paraId="72CACBF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color w:val="auto"/>
                <w:sz w:val="24"/>
                <w:szCs w:val="24"/>
                <w:highlight w:val="none"/>
              </w:rPr>
            </w:pPr>
            <w:r>
              <w:rPr>
                <w:rFonts w:hint="eastAsia"/>
                <w:color w:val="auto"/>
                <w:sz w:val="24"/>
                <w:szCs w:val="24"/>
                <w:highlight w:val="none"/>
                <w:lang w:val="en-US" w:eastAsia="zh-CN"/>
              </w:rPr>
              <w:t>不接受</w:t>
            </w:r>
          </w:p>
        </w:tc>
      </w:tr>
      <w:tr w14:paraId="51917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974" w:type="dxa"/>
            <w:noWrap w:val="0"/>
            <w:vAlign w:val="center"/>
          </w:tcPr>
          <w:p w14:paraId="19123B7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rPr>
            </w:pPr>
            <w:r>
              <w:rPr>
                <w:rFonts w:hint="eastAsia"/>
                <w:color w:val="auto"/>
                <w:sz w:val="24"/>
                <w:szCs w:val="24"/>
                <w:highlight w:val="none"/>
              </w:rPr>
              <w:t>1.9.1</w:t>
            </w:r>
          </w:p>
        </w:tc>
        <w:tc>
          <w:tcPr>
            <w:tcW w:w="2549" w:type="dxa"/>
            <w:noWrap w:val="0"/>
            <w:vAlign w:val="center"/>
          </w:tcPr>
          <w:p w14:paraId="7BF07B2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rPr>
            </w:pPr>
            <w:r>
              <w:rPr>
                <w:rFonts w:hint="eastAsia"/>
                <w:color w:val="auto"/>
                <w:sz w:val="24"/>
                <w:szCs w:val="24"/>
                <w:highlight w:val="none"/>
              </w:rPr>
              <w:t>现场考察</w:t>
            </w:r>
          </w:p>
        </w:tc>
        <w:tc>
          <w:tcPr>
            <w:tcW w:w="5970" w:type="dxa"/>
            <w:noWrap w:val="0"/>
            <w:vAlign w:val="center"/>
          </w:tcPr>
          <w:p w14:paraId="0A78708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color w:val="auto"/>
                <w:sz w:val="24"/>
                <w:szCs w:val="24"/>
                <w:highlight w:val="none"/>
              </w:rPr>
            </w:pPr>
            <w:r>
              <w:rPr>
                <w:rFonts w:hint="eastAsia"/>
                <w:color w:val="auto"/>
                <w:sz w:val="24"/>
                <w:szCs w:val="24"/>
                <w:highlight w:val="none"/>
              </w:rPr>
              <w:t>不组织</w:t>
            </w:r>
          </w:p>
        </w:tc>
      </w:tr>
      <w:tr w14:paraId="617CB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3335F50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eastAsia="宋体"/>
                <w:color w:val="auto"/>
                <w:sz w:val="24"/>
                <w:szCs w:val="24"/>
                <w:highlight w:val="none"/>
                <w:lang w:val="en-US" w:eastAsia="zh-CN"/>
              </w:rPr>
            </w:pPr>
            <w:r>
              <w:rPr>
                <w:rFonts w:hint="eastAsia"/>
                <w:color w:val="auto"/>
                <w:sz w:val="24"/>
                <w:szCs w:val="24"/>
                <w:highlight w:val="none"/>
                <w:lang w:val="en-US" w:eastAsia="zh-CN"/>
              </w:rPr>
              <w:t>1.9.5</w:t>
            </w:r>
          </w:p>
        </w:tc>
        <w:tc>
          <w:tcPr>
            <w:tcW w:w="2549" w:type="dxa"/>
            <w:noWrap w:val="0"/>
            <w:vAlign w:val="center"/>
          </w:tcPr>
          <w:p w14:paraId="30CB4111">
            <w:pPr>
              <w:keepNext w:val="0"/>
              <w:keepLines w:val="0"/>
              <w:pageBreakBefore w:val="0"/>
              <w:widowControl w:val="0"/>
              <w:kinsoku/>
              <w:wordWrap/>
              <w:overflowPunct/>
              <w:topLinePunct w:val="0"/>
              <w:autoSpaceDE/>
              <w:autoSpaceDN/>
              <w:bidi w:val="0"/>
              <w:adjustRightInd/>
              <w:snapToGrid/>
              <w:spacing w:line="240" w:lineRule="auto"/>
              <w:ind w:left="43" w:leftChars="18"/>
              <w:jc w:val="center"/>
              <w:textAlignment w:val="auto"/>
              <w:outlineLvl w:val="9"/>
              <w:rPr>
                <w:rFonts w:hint="eastAsia"/>
                <w:color w:val="auto"/>
                <w:sz w:val="24"/>
                <w:szCs w:val="24"/>
                <w:highlight w:val="none"/>
              </w:rPr>
            </w:pPr>
            <w:r>
              <w:rPr>
                <w:rFonts w:hint="eastAsia" w:ascii="宋体" w:hAnsi="宋体"/>
                <w:color w:val="000000"/>
                <w:sz w:val="24"/>
                <w:szCs w:val="24"/>
                <w:highlight w:val="none"/>
                <w:shd w:val="clear" w:color="auto" w:fill="auto"/>
              </w:rPr>
              <w:t>答 疑 会</w:t>
            </w:r>
          </w:p>
        </w:tc>
        <w:tc>
          <w:tcPr>
            <w:tcW w:w="5970" w:type="dxa"/>
            <w:noWrap w:val="0"/>
            <w:vAlign w:val="center"/>
          </w:tcPr>
          <w:p w14:paraId="4140A206">
            <w:pPr>
              <w:keepNext w:val="0"/>
              <w:keepLines w:val="0"/>
              <w:pageBreakBefore w:val="0"/>
              <w:widowControl w:val="0"/>
              <w:tabs>
                <w:tab w:val="left" w:pos="720"/>
                <w:tab w:val="left" w:pos="1904"/>
              </w:tabs>
              <w:kinsoku/>
              <w:wordWrap/>
              <w:overflowPunct/>
              <w:topLinePunct w:val="0"/>
              <w:autoSpaceDE/>
              <w:autoSpaceDN/>
              <w:bidi w:val="0"/>
              <w:adjustRightInd/>
              <w:snapToGrid/>
              <w:spacing w:line="240" w:lineRule="auto"/>
              <w:jc w:val="both"/>
              <w:textAlignment w:val="auto"/>
              <w:outlineLvl w:val="9"/>
              <w:rPr>
                <w:rFonts w:hint="eastAsia"/>
                <w:color w:val="auto"/>
                <w:sz w:val="24"/>
                <w:szCs w:val="24"/>
                <w:highlight w:val="none"/>
              </w:rPr>
            </w:pPr>
            <w:r>
              <w:rPr>
                <w:rFonts w:hint="eastAsia" w:ascii="宋体" w:hAnsi="宋体"/>
                <w:color w:val="000000"/>
                <w:sz w:val="24"/>
                <w:szCs w:val="24"/>
                <w:highlight w:val="none"/>
                <w:shd w:val="clear" w:color="auto" w:fill="auto"/>
              </w:rPr>
              <w:t>不召开</w:t>
            </w:r>
          </w:p>
        </w:tc>
      </w:tr>
      <w:tr w14:paraId="09696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01FC5DF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lang w:val="en-US" w:eastAsia="zh-CN"/>
              </w:rPr>
            </w:pPr>
            <w:r>
              <w:rPr>
                <w:rFonts w:hint="eastAsia"/>
                <w:color w:val="auto"/>
                <w:sz w:val="24"/>
                <w:szCs w:val="24"/>
                <w:highlight w:val="none"/>
              </w:rPr>
              <w:t>1.</w:t>
            </w:r>
            <w:r>
              <w:rPr>
                <w:rFonts w:hint="eastAsia"/>
                <w:color w:val="auto"/>
                <w:sz w:val="24"/>
                <w:szCs w:val="24"/>
                <w:highlight w:val="none"/>
                <w:lang w:val="en-US" w:eastAsia="zh-CN"/>
              </w:rPr>
              <w:t>10</w:t>
            </w:r>
          </w:p>
        </w:tc>
        <w:tc>
          <w:tcPr>
            <w:tcW w:w="2549" w:type="dxa"/>
            <w:noWrap w:val="0"/>
            <w:vAlign w:val="center"/>
          </w:tcPr>
          <w:p w14:paraId="645FBD2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rPr>
            </w:pPr>
            <w:r>
              <w:rPr>
                <w:rFonts w:hint="eastAsia"/>
                <w:color w:val="auto"/>
                <w:sz w:val="24"/>
                <w:szCs w:val="24"/>
                <w:highlight w:val="none"/>
              </w:rPr>
              <w:t>分包</w:t>
            </w:r>
          </w:p>
        </w:tc>
        <w:tc>
          <w:tcPr>
            <w:tcW w:w="5970" w:type="dxa"/>
            <w:noWrap w:val="0"/>
            <w:vAlign w:val="center"/>
          </w:tcPr>
          <w:p w14:paraId="70E7269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color w:val="auto"/>
                <w:sz w:val="24"/>
                <w:szCs w:val="24"/>
                <w:highlight w:val="none"/>
              </w:rPr>
            </w:pPr>
            <w:r>
              <w:rPr>
                <w:rFonts w:hint="eastAsia"/>
                <w:color w:val="auto"/>
                <w:sz w:val="24"/>
                <w:szCs w:val="24"/>
                <w:highlight w:val="none"/>
              </w:rPr>
              <w:t>不允许</w:t>
            </w:r>
          </w:p>
        </w:tc>
      </w:tr>
      <w:tr w14:paraId="46B1D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581D5BC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lang w:val="en-US" w:eastAsia="zh-CN"/>
              </w:rPr>
            </w:pPr>
            <w:r>
              <w:rPr>
                <w:rFonts w:hint="eastAsia"/>
                <w:color w:val="auto"/>
                <w:sz w:val="24"/>
                <w:szCs w:val="24"/>
                <w:highlight w:val="none"/>
              </w:rPr>
              <w:t>1.1</w:t>
            </w:r>
            <w:r>
              <w:rPr>
                <w:rFonts w:hint="eastAsia"/>
                <w:color w:val="auto"/>
                <w:sz w:val="24"/>
                <w:szCs w:val="24"/>
                <w:highlight w:val="none"/>
                <w:lang w:val="en-US" w:eastAsia="zh-CN"/>
              </w:rPr>
              <w:t>1.1</w:t>
            </w:r>
          </w:p>
        </w:tc>
        <w:tc>
          <w:tcPr>
            <w:tcW w:w="2549" w:type="dxa"/>
            <w:noWrap w:val="0"/>
            <w:vAlign w:val="center"/>
          </w:tcPr>
          <w:p w14:paraId="76DF64E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lang w:val="en-US" w:eastAsia="zh-CN"/>
              </w:rPr>
            </w:pPr>
            <w:r>
              <w:rPr>
                <w:rFonts w:hint="eastAsia" w:ascii="宋体" w:hAnsi="宋体" w:cs="宋体"/>
                <w:kern w:val="0"/>
                <w:sz w:val="24"/>
                <w:szCs w:val="24"/>
                <w:highlight w:val="none"/>
                <w:lang w:eastAsia="zh-CN"/>
              </w:rPr>
              <w:t>实质性</w:t>
            </w:r>
            <w:r>
              <w:rPr>
                <w:rFonts w:hint="eastAsia" w:ascii="宋体" w:hAnsi="宋体" w:cs="宋体"/>
                <w:kern w:val="0"/>
                <w:sz w:val="24"/>
                <w:szCs w:val="24"/>
                <w:highlight w:val="none"/>
              </w:rPr>
              <w:t>偏差</w:t>
            </w:r>
          </w:p>
        </w:tc>
        <w:tc>
          <w:tcPr>
            <w:tcW w:w="5970" w:type="dxa"/>
            <w:noWrap w:val="0"/>
            <w:vAlign w:val="center"/>
          </w:tcPr>
          <w:p w14:paraId="50099F9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color w:val="auto"/>
                <w:sz w:val="24"/>
                <w:szCs w:val="24"/>
                <w:highlight w:val="none"/>
              </w:rPr>
            </w:pPr>
            <w:r>
              <w:rPr>
                <w:rFonts w:hint="eastAsia"/>
                <w:color w:val="auto"/>
                <w:sz w:val="24"/>
                <w:szCs w:val="24"/>
                <w:highlight w:val="none"/>
              </w:rPr>
              <w:t>不允许</w:t>
            </w:r>
          </w:p>
        </w:tc>
      </w:tr>
      <w:tr w14:paraId="46F42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5EE81CD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lang w:val="en-US" w:eastAsia="zh-CN"/>
              </w:rPr>
            </w:pPr>
            <w:r>
              <w:rPr>
                <w:rFonts w:hint="eastAsia"/>
                <w:color w:val="auto"/>
                <w:sz w:val="24"/>
                <w:szCs w:val="24"/>
                <w:highlight w:val="none"/>
              </w:rPr>
              <w:t>1.</w:t>
            </w:r>
            <w:r>
              <w:rPr>
                <w:rFonts w:hint="eastAsia"/>
                <w:color w:val="auto"/>
                <w:sz w:val="24"/>
                <w:szCs w:val="24"/>
                <w:highlight w:val="none"/>
                <w:lang w:val="en-US" w:eastAsia="zh-CN"/>
              </w:rPr>
              <w:t>12</w:t>
            </w:r>
          </w:p>
        </w:tc>
        <w:tc>
          <w:tcPr>
            <w:tcW w:w="2549" w:type="dxa"/>
            <w:noWrap w:val="0"/>
            <w:vAlign w:val="center"/>
          </w:tcPr>
          <w:p w14:paraId="2DCF249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lang w:val="en-US" w:eastAsia="zh-CN"/>
              </w:rPr>
            </w:pPr>
            <w:r>
              <w:rPr>
                <w:rFonts w:hint="eastAsia"/>
                <w:color w:val="auto"/>
                <w:sz w:val="24"/>
                <w:szCs w:val="24"/>
                <w:highlight w:val="none"/>
              </w:rPr>
              <w:t>是否接受选择性报价方案</w:t>
            </w:r>
          </w:p>
        </w:tc>
        <w:tc>
          <w:tcPr>
            <w:tcW w:w="5970" w:type="dxa"/>
            <w:noWrap w:val="0"/>
            <w:vAlign w:val="center"/>
          </w:tcPr>
          <w:p w14:paraId="37AA06E4">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color w:val="auto"/>
                <w:sz w:val="24"/>
                <w:szCs w:val="24"/>
                <w:highlight w:val="none"/>
              </w:rPr>
            </w:pPr>
            <w:r>
              <w:rPr>
                <w:rFonts w:hint="eastAsia"/>
                <w:color w:val="auto"/>
                <w:sz w:val="24"/>
                <w:szCs w:val="24"/>
                <w:highlight w:val="none"/>
              </w:rPr>
              <w:t>不接受：首次响应文件只允许一个报价方案</w:t>
            </w:r>
          </w:p>
        </w:tc>
      </w:tr>
      <w:tr w14:paraId="21A01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noWrap w:val="0"/>
            <w:vAlign w:val="center"/>
          </w:tcPr>
          <w:p w14:paraId="72EF46E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rPr>
            </w:pPr>
            <w:r>
              <w:rPr>
                <w:rFonts w:hint="eastAsia"/>
                <w:color w:val="auto"/>
                <w:sz w:val="24"/>
                <w:szCs w:val="24"/>
                <w:highlight w:val="none"/>
              </w:rPr>
              <w:t>2.1</w:t>
            </w:r>
          </w:p>
        </w:tc>
        <w:tc>
          <w:tcPr>
            <w:tcW w:w="2549" w:type="dxa"/>
            <w:noWrap w:val="0"/>
            <w:vAlign w:val="center"/>
          </w:tcPr>
          <w:p w14:paraId="3D3DEF7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color w:val="auto"/>
                <w:sz w:val="24"/>
                <w:szCs w:val="24"/>
                <w:highlight w:val="none"/>
                <w:lang w:val="en-US" w:eastAsia="zh-CN"/>
              </w:rPr>
            </w:pPr>
            <w:r>
              <w:rPr>
                <w:rFonts w:hint="eastAsia"/>
                <w:color w:val="auto"/>
                <w:sz w:val="24"/>
                <w:szCs w:val="24"/>
                <w:highlight w:val="none"/>
              </w:rPr>
              <w:t>构成竞争性磋商文件的其他材料</w:t>
            </w:r>
          </w:p>
        </w:tc>
        <w:tc>
          <w:tcPr>
            <w:tcW w:w="5970" w:type="dxa"/>
            <w:noWrap w:val="0"/>
            <w:vAlign w:val="center"/>
          </w:tcPr>
          <w:p w14:paraId="39449492">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color w:val="auto"/>
                <w:sz w:val="24"/>
                <w:szCs w:val="24"/>
                <w:highlight w:val="none"/>
              </w:rPr>
            </w:pPr>
            <w:r>
              <w:rPr>
                <w:rFonts w:hint="eastAsia"/>
                <w:color w:val="auto"/>
                <w:sz w:val="24"/>
                <w:szCs w:val="24"/>
                <w:highlight w:val="none"/>
              </w:rPr>
              <w:t>无</w:t>
            </w:r>
          </w:p>
        </w:tc>
      </w:tr>
      <w:tr w14:paraId="0609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Merge w:val="restart"/>
            <w:noWrap w:val="0"/>
            <w:vAlign w:val="center"/>
          </w:tcPr>
          <w:p w14:paraId="2106D13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t>2.2.1</w:t>
            </w:r>
          </w:p>
        </w:tc>
        <w:tc>
          <w:tcPr>
            <w:tcW w:w="2549" w:type="dxa"/>
            <w:vMerge w:val="restart"/>
            <w:noWrap w:val="0"/>
            <w:vAlign w:val="center"/>
          </w:tcPr>
          <w:p w14:paraId="7237946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供应商</w:t>
            </w:r>
            <w:r>
              <w:rPr>
                <w:rFonts w:hint="eastAsia"/>
                <w:color w:val="auto"/>
                <w:sz w:val="24"/>
                <w:szCs w:val="24"/>
                <w:highlight w:val="none"/>
              </w:rPr>
              <w:t>要求澄清</w:t>
            </w:r>
            <w:r>
              <w:rPr>
                <w:rFonts w:hint="eastAsia"/>
                <w:color w:val="auto"/>
                <w:sz w:val="24"/>
                <w:szCs w:val="24"/>
                <w:highlight w:val="none"/>
                <w:lang w:eastAsia="zh-CN"/>
              </w:rPr>
              <w:t>竞争性磋商文件</w:t>
            </w:r>
          </w:p>
        </w:tc>
        <w:tc>
          <w:tcPr>
            <w:tcW w:w="5970" w:type="dxa"/>
            <w:noWrap w:val="0"/>
            <w:vAlign w:val="center"/>
          </w:tcPr>
          <w:p w14:paraId="464AC25F">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color w:val="auto"/>
                <w:sz w:val="24"/>
                <w:szCs w:val="24"/>
                <w:highlight w:val="none"/>
              </w:rPr>
            </w:pPr>
            <w:r>
              <w:rPr>
                <w:rFonts w:hint="eastAsia"/>
                <w:color w:val="auto"/>
                <w:sz w:val="24"/>
                <w:szCs w:val="24"/>
                <w:highlight w:val="none"/>
              </w:rPr>
              <w:t>时间：</w:t>
            </w:r>
            <w:r>
              <w:rPr>
                <w:rFonts w:hint="eastAsia"/>
                <w:color w:val="auto"/>
                <w:sz w:val="24"/>
                <w:szCs w:val="24"/>
                <w:highlight w:val="none"/>
                <w:lang w:eastAsia="zh-CN"/>
              </w:rPr>
              <w:t>提交首次响应文件截止时间前</w:t>
            </w:r>
            <w:r>
              <w:rPr>
                <w:rFonts w:hint="eastAsia"/>
                <w:color w:val="auto"/>
                <w:sz w:val="24"/>
                <w:szCs w:val="24"/>
                <w:highlight w:val="none"/>
                <w:u w:val="single"/>
                <w:lang w:val="en-US" w:eastAsia="zh-CN"/>
              </w:rPr>
              <w:t xml:space="preserve"> 5 </w:t>
            </w:r>
            <w:r>
              <w:rPr>
                <w:rFonts w:hint="eastAsia"/>
                <w:color w:val="auto"/>
                <w:sz w:val="24"/>
                <w:szCs w:val="24"/>
                <w:highlight w:val="none"/>
                <w:lang w:val="en-US" w:eastAsia="zh-CN"/>
              </w:rPr>
              <w:t>日</w:t>
            </w:r>
          </w:p>
        </w:tc>
      </w:tr>
      <w:tr w14:paraId="1A584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Merge w:val="continue"/>
            <w:noWrap w:val="0"/>
            <w:vAlign w:val="center"/>
          </w:tcPr>
          <w:p w14:paraId="21EF630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rPr>
            </w:pPr>
          </w:p>
        </w:tc>
        <w:tc>
          <w:tcPr>
            <w:tcW w:w="2549" w:type="dxa"/>
            <w:vMerge w:val="continue"/>
            <w:noWrap w:val="0"/>
            <w:vAlign w:val="center"/>
          </w:tcPr>
          <w:p w14:paraId="0782099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color w:val="auto"/>
                <w:sz w:val="24"/>
                <w:szCs w:val="24"/>
                <w:highlight w:val="none"/>
                <w:lang w:val="en-US" w:eastAsia="zh-CN"/>
              </w:rPr>
            </w:pPr>
          </w:p>
        </w:tc>
        <w:tc>
          <w:tcPr>
            <w:tcW w:w="5970" w:type="dxa"/>
            <w:noWrap w:val="0"/>
            <w:vAlign w:val="center"/>
          </w:tcPr>
          <w:p w14:paraId="248DC700">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color w:val="auto"/>
                <w:sz w:val="24"/>
                <w:szCs w:val="24"/>
                <w:highlight w:val="none"/>
              </w:rPr>
            </w:pPr>
            <w:r>
              <w:rPr>
                <w:rFonts w:hint="eastAsia"/>
                <w:color w:val="auto"/>
                <w:sz w:val="24"/>
                <w:szCs w:val="24"/>
                <w:highlight w:val="none"/>
              </w:rPr>
              <w:t>形式：</w:t>
            </w:r>
            <w:r>
              <w:rPr>
                <w:rFonts w:hint="eastAsia"/>
                <w:sz w:val="24"/>
                <w:szCs w:val="24"/>
              </w:rPr>
              <w:t>在三门峡市公共资源交易中心系统内提出</w:t>
            </w:r>
          </w:p>
        </w:tc>
      </w:tr>
      <w:tr w14:paraId="022C5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noWrap w:val="0"/>
            <w:vAlign w:val="center"/>
          </w:tcPr>
          <w:p w14:paraId="33F1D2F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t>2.2.2</w:t>
            </w:r>
          </w:p>
        </w:tc>
        <w:tc>
          <w:tcPr>
            <w:tcW w:w="2549" w:type="dxa"/>
            <w:noWrap w:val="0"/>
            <w:vAlign w:val="center"/>
          </w:tcPr>
          <w:p w14:paraId="26A63E7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竞争性磋商文件</w:t>
            </w:r>
            <w:r>
              <w:rPr>
                <w:rFonts w:hint="eastAsia"/>
                <w:color w:val="auto"/>
                <w:sz w:val="24"/>
                <w:szCs w:val="24"/>
                <w:highlight w:val="none"/>
              </w:rPr>
              <w:t>澄清发出的形式</w:t>
            </w:r>
          </w:p>
        </w:tc>
        <w:tc>
          <w:tcPr>
            <w:tcW w:w="5970" w:type="dxa"/>
            <w:noWrap w:val="0"/>
            <w:vAlign w:val="center"/>
          </w:tcPr>
          <w:p w14:paraId="70C73EDF">
            <w:pPr>
              <w:spacing w:line="288" w:lineRule="auto"/>
              <w:rPr>
                <w:rFonts w:hint="eastAsia" w:ascii="新宋体" w:hAnsi="新宋体" w:eastAsia="新宋体" w:cs="宋体"/>
                <w:b/>
                <w:bCs/>
                <w:kern w:val="2"/>
                <w:sz w:val="24"/>
                <w:szCs w:val="24"/>
                <w:lang w:val="en-US" w:eastAsia="zh-CN" w:bidi="ar-SA"/>
              </w:rPr>
            </w:pPr>
            <w:r>
              <w:rPr>
                <w:rFonts w:hint="eastAsia"/>
                <w:sz w:val="24"/>
                <w:szCs w:val="24"/>
              </w:rPr>
              <w:t>在三门峡市公共资源交易中心系统内回复</w:t>
            </w:r>
          </w:p>
        </w:tc>
      </w:tr>
      <w:tr w14:paraId="41428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Merge w:val="restart"/>
            <w:noWrap w:val="0"/>
            <w:vAlign w:val="center"/>
          </w:tcPr>
          <w:p w14:paraId="3B88C1B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t>2.2.3</w:t>
            </w:r>
          </w:p>
        </w:tc>
        <w:tc>
          <w:tcPr>
            <w:tcW w:w="2549" w:type="dxa"/>
            <w:vMerge w:val="restart"/>
            <w:noWrap w:val="0"/>
            <w:vAlign w:val="center"/>
          </w:tcPr>
          <w:p w14:paraId="2AC9770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供应商</w:t>
            </w:r>
            <w:r>
              <w:rPr>
                <w:rFonts w:hint="eastAsia"/>
                <w:color w:val="auto"/>
                <w:sz w:val="24"/>
                <w:szCs w:val="24"/>
                <w:highlight w:val="none"/>
              </w:rPr>
              <w:t>确认收到</w:t>
            </w:r>
            <w:r>
              <w:rPr>
                <w:rFonts w:hint="eastAsia"/>
                <w:color w:val="auto"/>
                <w:sz w:val="24"/>
                <w:szCs w:val="24"/>
                <w:highlight w:val="none"/>
                <w:lang w:eastAsia="zh-CN"/>
              </w:rPr>
              <w:t>竞争性磋商文件</w:t>
            </w:r>
            <w:r>
              <w:rPr>
                <w:rFonts w:hint="eastAsia"/>
                <w:color w:val="auto"/>
                <w:sz w:val="24"/>
                <w:szCs w:val="24"/>
                <w:highlight w:val="none"/>
              </w:rPr>
              <w:t>澄清</w:t>
            </w:r>
          </w:p>
        </w:tc>
        <w:tc>
          <w:tcPr>
            <w:tcW w:w="5970" w:type="dxa"/>
            <w:noWrap w:val="0"/>
            <w:vAlign w:val="center"/>
          </w:tcPr>
          <w:p w14:paraId="7C3F8397">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color w:val="auto"/>
                <w:sz w:val="24"/>
                <w:szCs w:val="24"/>
                <w:highlight w:val="none"/>
              </w:rPr>
            </w:pPr>
            <w:r>
              <w:rPr>
                <w:rFonts w:hint="eastAsia"/>
                <w:color w:val="auto"/>
                <w:sz w:val="24"/>
                <w:szCs w:val="24"/>
                <w:highlight w:val="none"/>
              </w:rPr>
              <w:t>时间：在收到相应澄清文件后 24 小时内</w:t>
            </w:r>
          </w:p>
        </w:tc>
      </w:tr>
      <w:tr w14:paraId="1F179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Merge w:val="continue"/>
            <w:noWrap w:val="0"/>
            <w:vAlign w:val="center"/>
          </w:tcPr>
          <w:p w14:paraId="4F5846A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rPr>
            </w:pPr>
          </w:p>
        </w:tc>
        <w:tc>
          <w:tcPr>
            <w:tcW w:w="2549" w:type="dxa"/>
            <w:vMerge w:val="continue"/>
            <w:noWrap w:val="0"/>
            <w:vAlign w:val="center"/>
          </w:tcPr>
          <w:p w14:paraId="44FC4AC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color w:val="auto"/>
                <w:sz w:val="24"/>
                <w:szCs w:val="24"/>
                <w:highlight w:val="none"/>
                <w:lang w:val="en-US" w:eastAsia="zh-CN"/>
              </w:rPr>
            </w:pPr>
          </w:p>
        </w:tc>
        <w:tc>
          <w:tcPr>
            <w:tcW w:w="5970" w:type="dxa"/>
            <w:noWrap w:val="0"/>
            <w:vAlign w:val="center"/>
          </w:tcPr>
          <w:p w14:paraId="4389D78F">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color w:val="auto"/>
                <w:sz w:val="24"/>
                <w:szCs w:val="24"/>
                <w:highlight w:val="none"/>
              </w:rPr>
            </w:pPr>
            <w:r>
              <w:rPr>
                <w:rFonts w:hint="eastAsia"/>
                <w:color w:val="auto"/>
                <w:sz w:val="24"/>
                <w:szCs w:val="24"/>
                <w:highlight w:val="none"/>
              </w:rPr>
              <w:t>形式：</w:t>
            </w:r>
            <w:r>
              <w:rPr>
                <w:rFonts w:hint="eastAsia"/>
                <w:sz w:val="24"/>
                <w:szCs w:val="24"/>
              </w:rPr>
              <w:t>在三门峡市公共资源交易中心系统内回复</w:t>
            </w:r>
          </w:p>
        </w:tc>
      </w:tr>
      <w:tr w14:paraId="46501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noWrap w:val="0"/>
            <w:vAlign w:val="center"/>
          </w:tcPr>
          <w:p w14:paraId="7CF8FA9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t>2.3.2</w:t>
            </w:r>
          </w:p>
        </w:tc>
        <w:tc>
          <w:tcPr>
            <w:tcW w:w="2549" w:type="dxa"/>
            <w:noWrap w:val="0"/>
            <w:vAlign w:val="center"/>
          </w:tcPr>
          <w:p w14:paraId="0541C8B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竞争性磋商文件</w:t>
            </w:r>
            <w:r>
              <w:rPr>
                <w:rFonts w:hint="eastAsia"/>
                <w:color w:val="auto"/>
                <w:sz w:val="24"/>
                <w:szCs w:val="24"/>
                <w:highlight w:val="none"/>
              </w:rPr>
              <w:t>修改发出的形式</w:t>
            </w:r>
          </w:p>
        </w:tc>
        <w:tc>
          <w:tcPr>
            <w:tcW w:w="5970" w:type="dxa"/>
            <w:noWrap w:val="0"/>
            <w:vAlign w:val="center"/>
          </w:tcPr>
          <w:p w14:paraId="56A6C1CB">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eastAsia="宋体"/>
                <w:color w:val="auto"/>
                <w:sz w:val="24"/>
                <w:szCs w:val="24"/>
                <w:highlight w:val="none"/>
                <w:lang w:val="en-US" w:eastAsia="zh-CN"/>
              </w:rPr>
            </w:pPr>
            <w:r>
              <w:rPr>
                <w:rFonts w:hint="eastAsia"/>
                <w:sz w:val="24"/>
                <w:szCs w:val="24"/>
              </w:rPr>
              <w:t>在三门峡市公共资源交易中心系统内</w:t>
            </w:r>
            <w:r>
              <w:rPr>
                <w:rFonts w:hint="eastAsia"/>
                <w:sz w:val="24"/>
                <w:szCs w:val="24"/>
                <w:lang w:val="en-US" w:eastAsia="zh-CN"/>
              </w:rPr>
              <w:t>发出</w:t>
            </w:r>
          </w:p>
        </w:tc>
      </w:tr>
      <w:tr w14:paraId="475AB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Merge w:val="restart"/>
            <w:noWrap w:val="0"/>
            <w:vAlign w:val="center"/>
          </w:tcPr>
          <w:p w14:paraId="3BE8A46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t>2.3.3</w:t>
            </w:r>
          </w:p>
        </w:tc>
        <w:tc>
          <w:tcPr>
            <w:tcW w:w="2549" w:type="dxa"/>
            <w:vMerge w:val="restart"/>
            <w:noWrap w:val="0"/>
            <w:vAlign w:val="center"/>
          </w:tcPr>
          <w:p w14:paraId="480EDA9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供应商</w:t>
            </w:r>
            <w:r>
              <w:rPr>
                <w:rFonts w:hint="eastAsia"/>
                <w:color w:val="auto"/>
                <w:sz w:val="24"/>
                <w:szCs w:val="24"/>
                <w:highlight w:val="none"/>
              </w:rPr>
              <w:t>确认收到</w:t>
            </w:r>
            <w:r>
              <w:rPr>
                <w:rFonts w:hint="eastAsia"/>
                <w:color w:val="auto"/>
                <w:sz w:val="24"/>
                <w:szCs w:val="24"/>
                <w:highlight w:val="none"/>
                <w:lang w:eastAsia="zh-CN"/>
              </w:rPr>
              <w:t>竞争性磋商文件</w:t>
            </w:r>
            <w:r>
              <w:rPr>
                <w:rFonts w:hint="eastAsia"/>
                <w:color w:val="auto"/>
                <w:sz w:val="24"/>
                <w:szCs w:val="24"/>
                <w:highlight w:val="none"/>
              </w:rPr>
              <w:t>修改</w:t>
            </w:r>
          </w:p>
        </w:tc>
        <w:tc>
          <w:tcPr>
            <w:tcW w:w="5970" w:type="dxa"/>
            <w:noWrap w:val="0"/>
            <w:vAlign w:val="center"/>
          </w:tcPr>
          <w:p w14:paraId="2EB71F91">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color w:val="auto"/>
                <w:sz w:val="24"/>
                <w:szCs w:val="24"/>
                <w:highlight w:val="none"/>
              </w:rPr>
            </w:pPr>
            <w:r>
              <w:rPr>
                <w:rFonts w:hint="eastAsia"/>
                <w:color w:val="auto"/>
                <w:sz w:val="24"/>
                <w:szCs w:val="24"/>
                <w:highlight w:val="none"/>
              </w:rPr>
              <w:t>时间：在收到相应修改文件后 24 小时内</w:t>
            </w:r>
          </w:p>
        </w:tc>
      </w:tr>
      <w:tr w14:paraId="56FB9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Merge w:val="continue"/>
            <w:noWrap w:val="0"/>
            <w:vAlign w:val="center"/>
          </w:tcPr>
          <w:p w14:paraId="17B3A4B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rPr>
            </w:pPr>
          </w:p>
        </w:tc>
        <w:tc>
          <w:tcPr>
            <w:tcW w:w="2549" w:type="dxa"/>
            <w:vMerge w:val="continue"/>
            <w:noWrap w:val="0"/>
            <w:vAlign w:val="center"/>
          </w:tcPr>
          <w:p w14:paraId="73538E0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color w:val="auto"/>
                <w:sz w:val="24"/>
                <w:szCs w:val="24"/>
                <w:highlight w:val="none"/>
                <w:lang w:val="en-US" w:eastAsia="zh-CN"/>
              </w:rPr>
            </w:pPr>
          </w:p>
        </w:tc>
        <w:tc>
          <w:tcPr>
            <w:tcW w:w="5970" w:type="dxa"/>
            <w:noWrap w:val="0"/>
            <w:vAlign w:val="center"/>
          </w:tcPr>
          <w:p w14:paraId="06A68B75">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color w:val="auto"/>
                <w:sz w:val="24"/>
                <w:szCs w:val="24"/>
                <w:highlight w:val="none"/>
              </w:rPr>
            </w:pPr>
            <w:r>
              <w:rPr>
                <w:rFonts w:hint="eastAsia"/>
                <w:color w:val="auto"/>
                <w:sz w:val="24"/>
                <w:szCs w:val="24"/>
                <w:highlight w:val="none"/>
              </w:rPr>
              <w:t>形式：</w:t>
            </w:r>
            <w:r>
              <w:rPr>
                <w:rFonts w:hint="eastAsia"/>
                <w:sz w:val="24"/>
                <w:szCs w:val="24"/>
              </w:rPr>
              <w:t>在三门峡市公共资源交易中心系统内回复</w:t>
            </w:r>
          </w:p>
        </w:tc>
      </w:tr>
      <w:tr w14:paraId="7A5A3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5EF67E0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eastAsia="宋体"/>
                <w:color w:val="auto"/>
                <w:sz w:val="24"/>
                <w:szCs w:val="24"/>
                <w:highlight w:val="none"/>
                <w:lang w:val="en-US" w:eastAsia="zh-CN"/>
              </w:rPr>
            </w:pPr>
            <w:r>
              <w:rPr>
                <w:rFonts w:hint="eastAsia"/>
                <w:color w:val="auto"/>
                <w:sz w:val="24"/>
                <w:szCs w:val="24"/>
                <w:highlight w:val="none"/>
                <w:lang w:val="en-US" w:eastAsia="zh-CN"/>
              </w:rPr>
              <w:t>3.2.3</w:t>
            </w:r>
          </w:p>
        </w:tc>
        <w:tc>
          <w:tcPr>
            <w:tcW w:w="2549" w:type="dxa"/>
            <w:noWrap w:val="0"/>
            <w:vAlign w:val="center"/>
          </w:tcPr>
          <w:p w14:paraId="275EEAE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t>报价方式</w:t>
            </w:r>
          </w:p>
        </w:tc>
        <w:tc>
          <w:tcPr>
            <w:tcW w:w="5970" w:type="dxa"/>
            <w:noWrap w:val="0"/>
            <w:vAlign w:val="center"/>
          </w:tcPr>
          <w:p w14:paraId="206CFB95">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color w:val="auto"/>
                <w:sz w:val="24"/>
                <w:szCs w:val="24"/>
                <w:highlight w:val="none"/>
              </w:rPr>
            </w:pPr>
            <w:r>
              <w:rPr>
                <w:rFonts w:hint="eastAsia" w:ascii="宋体" w:hAnsi="宋体" w:eastAsia="宋体" w:cs="宋体"/>
                <w:sz w:val="24"/>
                <w:szCs w:val="24"/>
              </w:rPr>
              <w:t>√固定单价</w:t>
            </w:r>
          </w:p>
        </w:tc>
      </w:tr>
      <w:tr w14:paraId="60D72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23E370D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eastAsia="宋体"/>
                <w:color w:val="auto"/>
                <w:sz w:val="24"/>
                <w:szCs w:val="24"/>
                <w:highlight w:val="none"/>
                <w:lang w:val="en-US" w:eastAsia="zh-CN"/>
              </w:rPr>
            </w:pPr>
            <w:r>
              <w:rPr>
                <w:rFonts w:hint="eastAsia"/>
                <w:color w:val="auto"/>
                <w:sz w:val="24"/>
                <w:szCs w:val="24"/>
                <w:highlight w:val="none"/>
              </w:rPr>
              <w:t>3.3</w:t>
            </w:r>
            <w:r>
              <w:rPr>
                <w:rFonts w:hint="eastAsia"/>
                <w:color w:val="auto"/>
                <w:sz w:val="24"/>
                <w:szCs w:val="24"/>
                <w:highlight w:val="none"/>
                <w:lang w:val="en-US" w:eastAsia="zh-CN"/>
              </w:rPr>
              <w:t>.1</w:t>
            </w:r>
          </w:p>
        </w:tc>
        <w:tc>
          <w:tcPr>
            <w:tcW w:w="2549" w:type="dxa"/>
            <w:noWrap w:val="0"/>
            <w:vAlign w:val="center"/>
          </w:tcPr>
          <w:p w14:paraId="5719B5D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rPr>
            </w:pPr>
            <w:r>
              <w:rPr>
                <w:rFonts w:hint="eastAsia"/>
                <w:color w:val="auto"/>
                <w:sz w:val="24"/>
                <w:szCs w:val="24"/>
                <w:highlight w:val="none"/>
              </w:rPr>
              <w:t>磋商有效期</w:t>
            </w:r>
          </w:p>
        </w:tc>
        <w:tc>
          <w:tcPr>
            <w:tcW w:w="5970" w:type="dxa"/>
            <w:noWrap w:val="0"/>
            <w:vAlign w:val="center"/>
          </w:tcPr>
          <w:p w14:paraId="3DA00F01">
            <w:pPr>
              <w:keepNext w:val="0"/>
              <w:keepLines w:val="0"/>
              <w:pageBreakBefore w:val="0"/>
              <w:widowControl w:val="0"/>
              <w:kinsoku/>
              <w:wordWrap/>
              <w:overflowPunct/>
              <w:topLinePunct w:val="0"/>
              <w:autoSpaceDE/>
              <w:autoSpaceDN/>
              <w:bidi w:val="0"/>
              <w:adjustRightInd/>
              <w:snapToGrid w:val="0"/>
              <w:spacing w:line="240" w:lineRule="auto"/>
              <w:jc w:val="both"/>
              <w:textAlignment w:val="auto"/>
              <w:outlineLvl w:val="9"/>
              <w:rPr>
                <w:rFonts w:hint="eastAsia"/>
                <w:color w:val="auto"/>
                <w:sz w:val="24"/>
                <w:szCs w:val="24"/>
                <w:highlight w:val="none"/>
              </w:rPr>
            </w:pPr>
            <w:r>
              <w:rPr>
                <w:rFonts w:hint="eastAsia" w:cs="黑体"/>
                <w:color w:val="auto"/>
                <w:sz w:val="24"/>
                <w:szCs w:val="24"/>
                <w:highlight w:val="none"/>
                <w:lang w:eastAsia="zh-CN"/>
              </w:rPr>
              <w:t>提交首次</w:t>
            </w:r>
            <w:r>
              <w:rPr>
                <w:rFonts w:hint="eastAsia" w:hAnsi="宋体" w:cs="黑体"/>
                <w:color w:val="auto"/>
                <w:sz w:val="24"/>
                <w:szCs w:val="24"/>
                <w:highlight w:val="none"/>
                <w:lang w:eastAsia="zh-CN"/>
              </w:rPr>
              <w:t>响应文件的截止之日起</w:t>
            </w:r>
            <w:r>
              <w:rPr>
                <w:rFonts w:hint="eastAsia"/>
                <w:color w:val="auto"/>
                <w:sz w:val="24"/>
                <w:szCs w:val="24"/>
                <w:highlight w:val="none"/>
                <w:u w:val="single"/>
                <w:lang w:val="en-US" w:eastAsia="zh-CN"/>
              </w:rPr>
              <w:t xml:space="preserve"> </w:t>
            </w:r>
            <w:r>
              <w:rPr>
                <w:rFonts w:hint="eastAsia"/>
                <w:b/>
                <w:bCs/>
                <w:color w:val="auto"/>
                <w:sz w:val="24"/>
                <w:szCs w:val="24"/>
                <w:highlight w:val="none"/>
                <w:u w:val="single"/>
                <w:lang w:val="en-US" w:eastAsia="zh-CN"/>
              </w:rPr>
              <w:t>60</w:t>
            </w:r>
            <w:r>
              <w:rPr>
                <w:rFonts w:hint="eastAsia"/>
                <w:color w:val="auto"/>
                <w:sz w:val="24"/>
                <w:szCs w:val="24"/>
                <w:highlight w:val="none"/>
                <w:u w:val="single"/>
                <w:lang w:val="en-US" w:eastAsia="zh-CN"/>
              </w:rPr>
              <w:t xml:space="preserve"> </w:t>
            </w:r>
            <w:r>
              <w:rPr>
                <w:rFonts w:hint="eastAsia"/>
                <w:color w:val="auto"/>
                <w:sz w:val="24"/>
                <w:szCs w:val="24"/>
                <w:highlight w:val="none"/>
              </w:rPr>
              <w:t>日历天</w:t>
            </w:r>
          </w:p>
        </w:tc>
      </w:tr>
      <w:tr w14:paraId="69510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974" w:type="dxa"/>
            <w:noWrap w:val="0"/>
            <w:vAlign w:val="center"/>
          </w:tcPr>
          <w:p w14:paraId="1395A43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eastAsia="宋体"/>
                <w:color w:val="auto"/>
                <w:sz w:val="24"/>
                <w:szCs w:val="24"/>
                <w:highlight w:val="none"/>
                <w:lang w:val="en-US" w:eastAsia="zh-CN"/>
              </w:rPr>
            </w:pPr>
            <w:r>
              <w:rPr>
                <w:rFonts w:hint="eastAsia"/>
                <w:color w:val="auto"/>
                <w:sz w:val="24"/>
                <w:szCs w:val="24"/>
                <w:highlight w:val="none"/>
              </w:rPr>
              <w:t>3.4</w:t>
            </w:r>
            <w:r>
              <w:rPr>
                <w:rFonts w:hint="eastAsia"/>
                <w:color w:val="auto"/>
                <w:sz w:val="24"/>
                <w:szCs w:val="24"/>
                <w:highlight w:val="none"/>
                <w:lang w:val="en-US" w:eastAsia="zh-CN"/>
              </w:rPr>
              <w:t>.1</w:t>
            </w:r>
          </w:p>
        </w:tc>
        <w:tc>
          <w:tcPr>
            <w:tcW w:w="2549" w:type="dxa"/>
            <w:noWrap w:val="0"/>
            <w:vAlign w:val="center"/>
          </w:tcPr>
          <w:p w14:paraId="1F9E0BE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color w:val="auto"/>
                <w:sz w:val="24"/>
                <w:szCs w:val="24"/>
                <w:highlight w:val="none"/>
              </w:rPr>
            </w:pPr>
            <w:r>
              <w:rPr>
                <w:rFonts w:hint="eastAsia"/>
                <w:color w:val="auto"/>
                <w:sz w:val="24"/>
                <w:szCs w:val="24"/>
                <w:highlight w:val="none"/>
              </w:rPr>
              <w:t>磋商保证金</w:t>
            </w:r>
          </w:p>
        </w:tc>
        <w:tc>
          <w:tcPr>
            <w:tcW w:w="5970" w:type="dxa"/>
            <w:noWrap w:val="0"/>
            <w:vAlign w:val="top"/>
          </w:tcPr>
          <w:p w14:paraId="185A9C0A">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color w:val="auto"/>
                <w:sz w:val="24"/>
                <w:szCs w:val="24"/>
                <w:highlight w:val="none"/>
              </w:rPr>
            </w:pPr>
            <w:r>
              <w:rPr>
                <w:rFonts w:hint="eastAsia"/>
                <w:color w:val="auto"/>
                <w:sz w:val="24"/>
                <w:szCs w:val="24"/>
                <w:highlight w:val="none"/>
                <w:lang w:eastAsia="zh-CN"/>
              </w:rPr>
              <w:t>根据豫财购</w:t>
            </w:r>
            <w:r>
              <w:rPr>
                <w:rFonts w:hint="eastAsia"/>
                <w:color w:val="auto"/>
                <w:sz w:val="24"/>
                <w:szCs w:val="24"/>
                <w:highlight w:val="none"/>
                <w:lang w:val="en-US" w:eastAsia="zh-CN"/>
              </w:rPr>
              <w:t>[2019]4号文件的相关规定，本次磋商不收取磋商保证金。</w:t>
            </w:r>
          </w:p>
        </w:tc>
      </w:tr>
      <w:tr w14:paraId="6617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974" w:type="dxa"/>
            <w:noWrap w:val="0"/>
            <w:vAlign w:val="center"/>
          </w:tcPr>
          <w:p w14:paraId="2675D91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3.4.2</w:t>
            </w:r>
          </w:p>
        </w:tc>
        <w:tc>
          <w:tcPr>
            <w:tcW w:w="2549" w:type="dxa"/>
            <w:noWrap w:val="0"/>
            <w:vAlign w:val="center"/>
          </w:tcPr>
          <w:p w14:paraId="5122341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近年财务状况的年份要求</w:t>
            </w:r>
          </w:p>
        </w:tc>
        <w:tc>
          <w:tcPr>
            <w:tcW w:w="5970" w:type="dxa"/>
            <w:noWrap w:val="0"/>
            <w:vAlign w:val="center"/>
          </w:tcPr>
          <w:p w14:paraId="0A3A1471">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2023年或2024年的财务状况表，</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lang w:eastAsia="zh-CN"/>
              </w:rPr>
              <w:t>的成立时间少于</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lang w:eastAsia="zh-CN"/>
              </w:rPr>
              <w:t>须知前附表规定年份的，应提供成立以来的财务状况表。</w:t>
            </w:r>
          </w:p>
        </w:tc>
      </w:tr>
      <w:tr w14:paraId="657DD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19DFA3E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rPr>
            </w:pPr>
            <w:r>
              <w:rPr>
                <w:color w:val="auto"/>
                <w:sz w:val="24"/>
                <w:szCs w:val="24"/>
                <w:highlight w:val="none"/>
              </w:rPr>
              <w:t>3.</w:t>
            </w:r>
            <w:r>
              <w:rPr>
                <w:rFonts w:hint="eastAsia"/>
                <w:color w:val="auto"/>
                <w:sz w:val="24"/>
                <w:szCs w:val="24"/>
                <w:highlight w:val="none"/>
                <w:lang w:val="en-US" w:eastAsia="zh-CN"/>
              </w:rPr>
              <w:t>5</w:t>
            </w:r>
            <w:r>
              <w:rPr>
                <w:color w:val="auto"/>
                <w:sz w:val="24"/>
                <w:szCs w:val="24"/>
                <w:highlight w:val="none"/>
              </w:rPr>
              <w:t>.3</w:t>
            </w:r>
          </w:p>
        </w:tc>
        <w:tc>
          <w:tcPr>
            <w:tcW w:w="2549" w:type="dxa"/>
            <w:noWrap w:val="0"/>
            <w:vAlign w:val="center"/>
          </w:tcPr>
          <w:p w14:paraId="66D157E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color w:val="auto"/>
                <w:sz w:val="24"/>
                <w:szCs w:val="24"/>
                <w:highlight w:val="none"/>
              </w:rPr>
            </w:pPr>
            <w:r>
              <w:rPr>
                <w:rFonts w:hint="eastAsia"/>
                <w:color w:val="auto"/>
                <w:sz w:val="24"/>
                <w:szCs w:val="24"/>
                <w:highlight w:val="none"/>
                <w:lang w:eastAsia="zh-CN"/>
              </w:rPr>
              <w:t>响应文件</w:t>
            </w:r>
            <w:r>
              <w:rPr>
                <w:rFonts w:hint="eastAsia"/>
                <w:color w:val="auto"/>
                <w:sz w:val="24"/>
                <w:szCs w:val="24"/>
                <w:highlight w:val="none"/>
              </w:rPr>
              <w:t>签字或盖章要求</w:t>
            </w:r>
          </w:p>
        </w:tc>
        <w:tc>
          <w:tcPr>
            <w:tcW w:w="5970" w:type="dxa"/>
            <w:noWrap w:val="0"/>
            <w:vAlign w:val="center"/>
          </w:tcPr>
          <w:p w14:paraId="10235BCC">
            <w:pPr>
              <w:spacing w:line="360" w:lineRule="auto"/>
              <w:jc w:val="left"/>
              <w:rPr>
                <w:rFonts w:ascii="宋体" w:hAnsi="宋体"/>
                <w:color w:val="auto"/>
                <w:sz w:val="24"/>
                <w:szCs w:val="24"/>
              </w:rPr>
            </w:pPr>
            <w:r>
              <w:rPr>
                <w:rFonts w:hint="eastAsia" w:ascii="宋体" w:hAnsi="宋体"/>
                <w:color w:val="auto"/>
                <w:sz w:val="24"/>
                <w:szCs w:val="24"/>
              </w:rPr>
              <w:t>1、</w:t>
            </w:r>
            <w:r>
              <w:rPr>
                <w:rFonts w:hint="eastAsia" w:ascii="宋体" w:hAnsi="宋体"/>
                <w:color w:val="auto"/>
                <w:sz w:val="24"/>
                <w:szCs w:val="24"/>
                <w:lang w:eastAsia="zh-CN"/>
              </w:rPr>
              <w:t>供应商</w:t>
            </w:r>
            <w:r>
              <w:rPr>
                <w:rFonts w:hint="eastAsia" w:ascii="宋体" w:hAnsi="宋体"/>
                <w:color w:val="auto"/>
                <w:sz w:val="24"/>
                <w:szCs w:val="24"/>
              </w:rPr>
              <w:t>在生成电子化</w:t>
            </w:r>
            <w:r>
              <w:rPr>
                <w:rFonts w:hint="eastAsia" w:ascii="宋体" w:hAnsi="宋体"/>
                <w:color w:val="auto"/>
                <w:sz w:val="24"/>
                <w:szCs w:val="24"/>
                <w:lang w:eastAsia="zh-CN"/>
              </w:rPr>
              <w:t>响应文件</w:t>
            </w:r>
            <w:r>
              <w:rPr>
                <w:rFonts w:hint="eastAsia" w:ascii="宋体" w:hAnsi="宋体"/>
                <w:color w:val="auto"/>
                <w:sz w:val="24"/>
                <w:szCs w:val="24"/>
              </w:rPr>
              <w:t>后，应对电子化</w:t>
            </w:r>
            <w:r>
              <w:rPr>
                <w:rFonts w:hint="eastAsia" w:ascii="宋体" w:hAnsi="宋体"/>
                <w:color w:val="auto"/>
                <w:sz w:val="24"/>
                <w:szCs w:val="24"/>
                <w:lang w:eastAsia="zh-CN"/>
              </w:rPr>
              <w:t>响应文件</w:t>
            </w:r>
            <w:r>
              <w:rPr>
                <w:rFonts w:hint="eastAsia" w:ascii="宋体" w:hAnsi="宋体"/>
                <w:color w:val="auto"/>
                <w:sz w:val="24"/>
                <w:szCs w:val="24"/>
              </w:rPr>
              <w:t>进行签章。</w:t>
            </w:r>
          </w:p>
          <w:p w14:paraId="392B36E8">
            <w:pPr>
              <w:spacing w:line="360" w:lineRule="auto"/>
              <w:jc w:val="left"/>
              <w:rPr>
                <w:rFonts w:hint="eastAsia" w:ascii="宋体" w:hAnsi="宋体" w:eastAsia="宋体" w:cs="宋体"/>
                <w:color w:val="auto"/>
                <w:kern w:val="2"/>
                <w:sz w:val="24"/>
                <w:szCs w:val="24"/>
                <w:lang w:val="en-US" w:eastAsia="zh-CN" w:bidi="ar-SA"/>
              </w:rPr>
            </w:pPr>
            <w:r>
              <w:rPr>
                <w:rFonts w:hint="eastAsia" w:ascii="宋体" w:hAnsi="宋体"/>
                <w:color w:val="auto"/>
                <w:sz w:val="24"/>
                <w:szCs w:val="24"/>
              </w:rPr>
              <w:t>2、竞争性磋商文件中要求</w:t>
            </w:r>
            <w:r>
              <w:rPr>
                <w:rFonts w:hint="eastAsia" w:ascii="宋体" w:hAnsi="宋体"/>
                <w:b/>
                <w:bCs/>
                <w:color w:val="auto"/>
                <w:sz w:val="24"/>
                <w:szCs w:val="24"/>
              </w:rPr>
              <w:t>法定代表人或授权委托人签字或盖章的，</w:t>
            </w:r>
            <w:r>
              <w:rPr>
                <w:rFonts w:hint="eastAsia" w:ascii="宋体" w:hAnsi="宋体"/>
                <w:b/>
                <w:bCs/>
                <w:color w:val="auto"/>
                <w:sz w:val="24"/>
                <w:szCs w:val="24"/>
                <w:lang w:eastAsia="zh-CN"/>
              </w:rPr>
              <w:t>供应商</w:t>
            </w:r>
            <w:r>
              <w:rPr>
                <w:rFonts w:hint="eastAsia" w:ascii="宋体" w:hAnsi="宋体"/>
                <w:b/>
                <w:bCs/>
                <w:color w:val="auto"/>
                <w:sz w:val="24"/>
                <w:szCs w:val="24"/>
              </w:rPr>
              <w:t>在进行电子化</w:t>
            </w:r>
            <w:r>
              <w:rPr>
                <w:rFonts w:hint="eastAsia" w:ascii="宋体" w:hAnsi="宋体"/>
                <w:b/>
                <w:bCs/>
                <w:color w:val="auto"/>
                <w:sz w:val="24"/>
                <w:szCs w:val="24"/>
                <w:lang w:eastAsia="zh-CN"/>
              </w:rPr>
              <w:t>响应文件</w:t>
            </w:r>
            <w:r>
              <w:rPr>
                <w:rFonts w:hint="eastAsia" w:ascii="宋体" w:hAnsi="宋体"/>
                <w:b/>
                <w:bCs/>
                <w:color w:val="auto"/>
                <w:sz w:val="24"/>
                <w:szCs w:val="24"/>
              </w:rPr>
              <w:t>签章时，以签盖法定代表人签章为准</w:t>
            </w:r>
            <w:r>
              <w:rPr>
                <w:rFonts w:hint="eastAsia" w:ascii="宋体" w:hAnsi="宋体"/>
                <w:color w:val="auto"/>
                <w:sz w:val="24"/>
                <w:szCs w:val="24"/>
              </w:rPr>
              <w:t>。电子化</w:t>
            </w:r>
            <w:r>
              <w:rPr>
                <w:rFonts w:hint="eastAsia" w:ascii="宋体" w:hAnsi="宋体"/>
                <w:color w:val="auto"/>
                <w:sz w:val="24"/>
                <w:szCs w:val="24"/>
                <w:lang w:eastAsia="zh-CN"/>
              </w:rPr>
              <w:t>响应文件</w:t>
            </w:r>
            <w:r>
              <w:rPr>
                <w:rFonts w:hint="eastAsia" w:ascii="宋体" w:hAnsi="宋体"/>
                <w:color w:val="auto"/>
                <w:sz w:val="24"/>
                <w:szCs w:val="24"/>
              </w:rPr>
              <w:t>具体制作教材请</w:t>
            </w:r>
            <w:r>
              <w:rPr>
                <w:rFonts w:hint="eastAsia" w:ascii="宋体" w:hAnsi="宋体"/>
                <w:color w:val="auto"/>
                <w:sz w:val="24"/>
                <w:szCs w:val="24"/>
                <w:lang w:eastAsia="zh-CN"/>
              </w:rPr>
              <w:t>供应商</w:t>
            </w:r>
            <w:r>
              <w:rPr>
                <w:rFonts w:hint="eastAsia" w:ascii="宋体" w:hAnsi="宋体"/>
                <w:color w:val="auto"/>
                <w:sz w:val="24"/>
                <w:szCs w:val="24"/>
              </w:rPr>
              <w:t>通过CA证书登录三门峡市公共资源电子化交易系统在右上角“组建下载”中查看。</w:t>
            </w:r>
          </w:p>
        </w:tc>
      </w:tr>
      <w:tr w14:paraId="7B0C7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13750AA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rPr>
            </w:pPr>
            <w:r>
              <w:rPr>
                <w:rFonts w:hint="eastAsia"/>
                <w:color w:val="auto"/>
                <w:sz w:val="24"/>
                <w:szCs w:val="24"/>
                <w:highlight w:val="none"/>
              </w:rPr>
              <w:t>4.2.1</w:t>
            </w:r>
          </w:p>
        </w:tc>
        <w:tc>
          <w:tcPr>
            <w:tcW w:w="2549" w:type="dxa"/>
            <w:noWrap w:val="0"/>
            <w:vAlign w:val="center"/>
          </w:tcPr>
          <w:p w14:paraId="64EB319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color w:val="auto"/>
                <w:sz w:val="24"/>
                <w:szCs w:val="24"/>
                <w:highlight w:val="none"/>
              </w:rPr>
            </w:pPr>
            <w:r>
              <w:rPr>
                <w:rFonts w:hint="eastAsia"/>
                <w:color w:val="auto"/>
                <w:sz w:val="24"/>
                <w:szCs w:val="24"/>
                <w:highlight w:val="none"/>
                <w:lang w:val="en-US" w:eastAsia="zh-CN"/>
              </w:rPr>
              <w:t>首次</w:t>
            </w:r>
            <w:r>
              <w:rPr>
                <w:rFonts w:hint="eastAsia"/>
                <w:color w:val="auto"/>
                <w:sz w:val="24"/>
                <w:szCs w:val="24"/>
                <w:highlight w:val="none"/>
                <w:lang w:eastAsia="zh-CN"/>
              </w:rPr>
              <w:t>提交</w:t>
            </w:r>
            <w:r>
              <w:rPr>
                <w:rFonts w:hint="eastAsia"/>
                <w:color w:val="auto"/>
                <w:sz w:val="24"/>
                <w:szCs w:val="24"/>
                <w:highlight w:val="none"/>
              </w:rPr>
              <w:t>响应文件截止时间</w:t>
            </w:r>
          </w:p>
        </w:tc>
        <w:tc>
          <w:tcPr>
            <w:tcW w:w="5970" w:type="dxa"/>
            <w:noWrap w:val="0"/>
            <w:vAlign w:val="center"/>
          </w:tcPr>
          <w:p w14:paraId="1E3A5E81">
            <w:pPr>
              <w:spacing w:line="360" w:lineRule="auto"/>
              <w:jc w:val="both"/>
              <w:rPr>
                <w:rFonts w:hint="eastAsia"/>
                <w:color w:val="auto"/>
                <w:sz w:val="24"/>
                <w:szCs w:val="24"/>
                <w:highlight w:val="none"/>
              </w:rPr>
            </w:pPr>
            <w:r>
              <w:rPr>
                <w:rFonts w:hint="eastAsia" w:ascii="宋体" w:hAnsi="宋体" w:eastAsia="宋体" w:cs="宋体"/>
                <w:color w:val="auto"/>
                <w:sz w:val="24"/>
                <w:szCs w:val="24"/>
                <w:lang w:val="en-US" w:eastAsia="zh-CN"/>
              </w:rPr>
              <w:t>2025年10月29日08时20分（北京时间）</w:t>
            </w:r>
          </w:p>
        </w:tc>
      </w:tr>
      <w:tr w14:paraId="4E6AF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2471B4B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rPr>
            </w:pPr>
            <w:r>
              <w:rPr>
                <w:rFonts w:hint="eastAsia"/>
                <w:color w:val="auto"/>
                <w:sz w:val="24"/>
                <w:szCs w:val="24"/>
                <w:highlight w:val="none"/>
              </w:rPr>
              <w:t>4.2.2</w:t>
            </w:r>
          </w:p>
        </w:tc>
        <w:tc>
          <w:tcPr>
            <w:tcW w:w="2549" w:type="dxa"/>
            <w:noWrap w:val="0"/>
            <w:vAlign w:val="center"/>
          </w:tcPr>
          <w:p w14:paraId="3303EE3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lang w:eastAsia="zh-CN"/>
              </w:rPr>
            </w:pPr>
            <w:r>
              <w:rPr>
                <w:rFonts w:hint="eastAsia"/>
                <w:color w:val="auto"/>
                <w:sz w:val="24"/>
                <w:szCs w:val="24"/>
                <w:highlight w:val="none"/>
                <w:lang w:val="en-US" w:eastAsia="zh-CN"/>
              </w:rPr>
              <w:t>首次</w:t>
            </w:r>
            <w:r>
              <w:rPr>
                <w:rFonts w:hint="eastAsia"/>
                <w:color w:val="auto"/>
                <w:sz w:val="24"/>
                <w:szCs w:val="24"/>
                <w:highlight w:val="none"/>
                <w:lang w:eastAsia="zh-CN"/>
              </w:rPr>
              <w:t>提交</w:t>
            </w:r>
            <w:r>
              <w:rPr>
                <w:rFonts w:hint="eastAsia"/>
                <w:color w:val="auto"/>
                <w:sz w:val="24"/>
                <w:szCs w:val="24"/>
                <w:highlight w:val="none"/>
              </w:rPr>
              <w:t>响应文件地点</w:t>
            </w:r>
          </w:p>
        </w:tc>
        <w:tc>
          <w:tcPr>
            <w:tcW w:w="5970" w:type="dxa"/>
            <w:noWrap w:val="0"/>
            <w:vAlign w:val="center"/>
          </w:tcPr>
          <w:p w14:paraId="5BE1682F">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color w:val="auto"/>
                <w:sz w:val="24"/>
                <w:szCs w:val="24"/>
                <w:highlight w:val="none"/>
                <w:lang w:val="en-US" w:eastAsia="zh-CN"/>
              </w:rPr>
            </w:pPr>
            <w:r>
              <w:rPr>
                <w:rFonts w:hint="eastAsia" w:ascii="宋体" w:hAnsi="宋体"/>
                <w:color w:val="auto"/>
                <w:sz w:val="24"/>
                <w:szCs w:val="24"/>
              </w:rPr>
              <w:t>三门峡市公共资源电子化交易系统</w:t>
            </w:r>
          </w:p>
        </w:tc>
      </w:tr>
      <w:tr w14:paraId="31719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37F732F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lang w:eastAsia="zh-CN"/>
              </w:rPr>
            </w:pPr>
            <w:r>
              <w:rPr>
                <w:rFonts w:hint="eastAsia"/>
                <w:color w:val="auto"/>
                <w:sz w:val="24"/>
                <w:szCs w:val="24"/>
                <w:highlight w:val="none"/>
              </w:rPr>
              <w:t>4.2.</w:t>
            </w:r>
            <w:r>
              <w:rPr>
                <w:rFonts w:hint="eastAsia"/>
                <w:color w:val="auto"/>
                <w:sz w:val="24"/>
                <w:szCs w:val="24"/>
                <w:highlight w:val="none"/>
                <w:lang w:val="en-US" w:eastAsia="zh-CN"/>
              </w:rPr>
              <w:t>3</w:t>
            </w:r>
          </w:p>
        </w:tc>
        <w:tc>
          <w:tcPr>
            <w:tcW w:w="2549" w:type="dxa"/>
            <w:noWrap w:val="0"/>
            <w:vAlign w:val="center"/>
          </w:tcPr>
          <w:p w14:paraId="4D6AA53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eastAsia="宋体"/>
                <w:color w:val="auto"/>
                <w:sz w:val="24"/>
                <w:szCs w:val="24"/>
                <w:highlight w:val="none"/>
                <w:lang w:eastAsia="zh-CN"/>
              </w:rPr>
            </w:pPr>
            <w:r>
              <w:rPr>
                <w:rFonts w:hint="eastAsia"/>
                <w:color w:val="auto"/>
                <w:sz w:val="24"/>
                <w:szCs w:val="24"/>
                <w:highlight w:val="none"/>
              </w:rPr>
              <w:t>是否退还</w:t>
            </w:r>
            <w:r>
              <w:rPr>
                <w:rFonts w:hint="eastAsia"/>
                <w:color w:val="auto"/>
                <w:sz w:val="24"/>
                <w:szCs w:val="24"/>
                <w:highlight w:val="none"/>
                <w:lang w:eastAsia="zh-CN"/>
              </w:rPr>
              <w:t>响应文件</w:t>
            </w:r>
          </w:p>
        </w:tc>
        <w:tc>
          <w:tcPr>
            <w:tcW w:w="5970" w:type="dxa"/>
            <w:noWrap w:val="0"/>
            <w:vAlign w:val="center"/>
          </w:tcPr>
          <w:p w14:paraId="38EF91E5">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color w:val="auto"/>
                <w:sz w:val="24"/>
                <w:szCs w:val="24"/>
                <w:highlight w:val="none"/>
              </w:rPr>
            </w:pPr>
            <w:r>
              <w:rPr>
                <w:rFonts w:hint="eastAsia"/>
                <w:color w:val="auto"/>
                <w:sz w:val="24"/>
                <w:szCs w:val="24"/>
                <w:highlight w:val="none"/>
              </w:rPr>
              <w:t>否</w:t>
            </w:r>
          </w:p>
        </w:tc>
      </w:tr>
      <w:tr w14:paraId="2A7C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01FD485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lang w:eastAsia="zh-CN"/>
              </w:rPr>
            </w:pPr>
            <w:r>
              <w:rPr>
                <w:rFonts w:hint="eastAsia"/>
                <w:color w:val="auto"/>
                <w:sz w:val="24"/>
                <w:szCs w:val="24"/>
                <w:highlight w:val="none"/>
              </w:rPr>
              <w:t>5.1</w:t>
            </w:r>
          </w:p>
        </w:tc>
        <w:tc>
          <w:tcPr>
            <w:tcW w:w="2549" w:type="dxa"/>
            <w:noWrap w:val="0"/>
            <w:vAlign w:val="center"/>
          </w:tcPr>
          <w:p w14:paraId="3E2B515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rPr>
            </w:pPr>
            <w:r>
              <w:rPr>
                <w:rFonts w:hint="eastAsia"/>
                <w:color w:val="auto"/>
                <w:sz w:val="24"/>
                <w:szCs w:val="24"/>
                <w:highlight w:val="none"/>
                <w:lang w:eastAsia="zh-CN"/>
              </w:rPr>
              <w:t>开启</w:t>
            </w:r>
            <w:r>
              <w:rPr>
                <w:rFonts w:hint="eastAsia"/>
                <w:color w:val="auto"/>
                <w:sz w:val="24"/>
                <w:szCs w:val="24"/>
                <w:highlight w:val="none"/>
              </w:rPr>
              <w:t>时间和地点</w:t>
            </w:r>
          </w:p>
        </w:tc>
        <w:tc>
          <w:tcPr>
            <w:tcW w:w="5970" w:type="dxa"/>
            <w:noWrap w:val="0"/>
            <w:vAlign w:val="top"/>
          </w:tcPr>
          <w:p w14:paraId="1520F6F2">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color w:val="auto"/>
                <w:sz w:val="24"/>
                <w:szCs w:val="24"/>
                <w:highlight w:val="none"/>
              </w:rPr>
            </w:pPr>
            <w:r>
              <w:rPr>
                <w:rFonts w:hint="eastAsia"/>
                <w:color w:val="auto"/>
                <w:sz w:val="24"/>
                <w:szCs w:val="24"/>
                <w:highlight w:val="none"/>
                <w:lang w:eastAsia="zh-CN"/>
              </w:rPr>
              <w:t>开启</w:t>
            </w:r>
            <w:r>
              <w:rPr>
                <w:rFonts w:hint="eastAsia"/>
                <w:color w:val="auto"/>
                <w:sz w:val="24"/>
                <w:szCs w:val="24"/>
                <w:highlight w:val="none"/>
              </w:rPr>
              <w:t>时间：同</w:t>
            </w:r>
            <w:r>
              <w:rPr>
                <w:rFonts w:hint="eastAsia"/>
                <w:color w:val="auto"/>
                <w:sz w:val="24"/>
                <w:szCs w:val="24"/>
                <w:highlight w:val="none"/>
                <w:lang w:eastAsia="zh-CN"/>
              </w:rPr>
              <w:t>提交</w:t>
            </w:r>
            <w:r>
              <w:rPr>
                <w:rFonts w:hint="eastAsia"/>
                <w:color w:val="auto"/>
                <w:sz w:val="24"/>
                <w:szCs w:val="24"/>
                <w:highlight w:val="none"/>
              </w:rPr>
              <w:t>首次响应文件截止时间</w:t>
            </w:r>
          </w:p>
          <w:p w14:paraId="184A943E">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color w:val="auto"/>
                <w:sz w:val="24"/>
                <w:szCs w:val="24"/>
                <w:highlight w:val="none"/>
              </w:rPr>
            </w:pPr>
            <w:r>
              <w:rPr>
                <w:rFonts w:hint="eastAsia"/>
                <w:color w:val="auto"/>
                <w:sz w:val="24"/>
                <w:szCs w:val="24"/>
                <w:highlight w:val="none"/>
                <w:lang w:eastAsia="zh-CN"/>
              </w:rPr>
              <w:t>开启</w:t>
            </w:r>
            <w:r>
              <w:rPr>
                <w:rFonts w:hint="eastAsia"/>
                <w:color w:val="auto"/>
                <w:sz w:val="24"/>
                <w:szCs w:val="24"/>
                <w:highlight w:val="none"/>
              </w:rPr>
              <w:t>地点：同</w:t>
            </w:r>
            <w:r>
              <w:rPr>
                <w:rFonts w:hint="eastAsia"/>
                <w:color w:val="auto"/>
                <w:sz w:val="24"/>
                <w:szCs w:val="24"/>
                <w:highlight w:val="none"/>
                <w:lang w:eastAsia="zh-CN"/>
              </w:rPr>
              <w:t>提交</w:t>
            </w:r>
            <w:r>
              <w:rPr>
                <w:rFonts w:hint="eastAsia"/>
                <w:color w:val="auto"/>
                <w:sz w:val="24"/>
                <w:szCs w:val="24"/>
                <w:highlight w:val="none"/>
              </w:rPr>
              <w:t>首次响应文件地点</w:t>
            </w:r>
          </w:p>
        </w:tc>
      </w:tr>
      <w:tr w14:paraId="3105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6BEC45B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rPr>
            </w:pPr>
            <w:r>
              <w:rPr>
                <w:rFonts w:hint="eastAsia"/>
                <w:color w:val="auto"/>
                <w:sz w:val="24"/>
                <w:szCs w:val="24"/>
                <w:highlight w:val="none"/>
              </w:rPr>
              <w:t>5.3.1</w:t>
            </w:r>
          </w:p>
        </w:tc>
        <w:tc>
          <w:tcPr>
            <w:tcW w:w="2549" w:type="dxa"/>
            <w:noWrap w:val="0"/>
            <w:vAlign w:val="center"/>
          </w:tcPr>
          <w:p w14:paraId="60E32FC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rPr>
            </w:pPr>
            <w:r>
              <w:rPr>
                <w:rFonts w:hint="eastAsia"/>
                <w:color w:val="auto"/>
                <w:sz w:val="24"/>
                <w:szCs w:val="24"/>
                <w:highlight w:val="none"/>
              </w:rPr>
              <w:t>磋商小组的组建</w:t>
            </w:r>
          </w:p>
        </w:tc>
        <w:tc>
          <w:tcPr>
            <w:tcW w:w="5970" w:type="dxa"/>
            <w:noWrap w:val="0"/>
            <w:vAlign w:val="top"/>
          </w:tcPr>
          <w:p w14:paraId="524F3DD5">
            <w:pPr>
              <w:spacing w:line="360" w:lineRule="auto"/>
              <w:jc w:val="left"/>
              <w:rPr>
                <w:rFonts w:ascii="宋体" w:hAnsi="宋体"/>
                <w:color w:val="auto"/>
                <w:sz w:val="24"/>
                <w:szCs w:val="24"/>
              </w:rPr>
            </w:pPr>
            <w:r>
              <w:rPr>
                <w:rFonts w:hint="eastAsia" w:ascii="宋体" w:hAnsi="宋体"/>
                <w:color w:val="auto"/>
                <w:sz w:val="24"/>
                <w:szCs w:val="24"/>
              </w:rPr>
              <w:t>磋商小组构成:磋商小组由</w:t>
            </w:r>
            <w:r>
              <w:rPr>
                <w:rFonts w:hint="eastAsia"/>
                <w:color w:val="auto"/>
                <w:sz w:val="24"/>
                <w:szCs w:val="24"/>
                <w:lang w:eastAsia="zh-CN"/>
              </w:rPr>
              <w:t>采购人</w:t>
            </w:r>
            <w:r>
              <w:rPr>
                <w:rFonts w:hint="eastAsia" w:ascii="宋体" w:hAnsi="宋体"/>
                <w:color w:val="auto"/>
                <w:sz w:val="24"/>
                <w:szCs w:val="24"/>
              </w:rPr>
              <w:t>代表1人和有关技术、经济方面的专家2人</w:t>
            </w:r>
            <w:r>
              <w:rPr>
                <w:rFonts w:hint="eastAsia"/>
                <w:color w:val="auto"/>
                <w:sz w:val="24"/>
                <w:szCs w:val="24"/>
                <w:lang w:eastAsia="zh-CN"/>
              </w:rPr>
              <w:t>，</w:t>
            </w:r>
            <w:r>
              <w:rPr>
                <w:rFonts w:hint="eastAsia" w:ascii="宋体" w:hAnsi="宋体"/>
                <w:color w:val="auto"/>
                <w:sz w:val="24"/>
                <w:szCs w:val="24"/>
              </w:rPr>
              <w:t>共3人组成；</w:t>
            </w:r>
          </w:p>
          <w:p w14:paraId="7F3468F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eastAsia="宋体"/>
                <w:color w:val="auto"/>
                <w:sz w:val="24"/>
                <w:szCs w:val="24"/>
                <w:highlight w:val="none"/>
                <w:lang w:eastAsia="zh-CN"/>
              </w:rPr>
            </w:pPr>
            <w:r>
              <w:rPr>
                <w:rFonts w:hint="eastAsia" w:ascii="宋体" w:hAnsi="宋体"/>
                <w:color w:val="auto"/>
                <w:sz w:val="24"/>
                <w:szCs w:val="24"/>
              </w:rPr>
              <w:t>磋商小组确定方式：依据相关规定依法组建磋商小组，相关技术、经济方面专于开标前在</w:t>
            </w:r>
            <w:r>
              <w:rPr>
                <w:rFonts w:hint="eastAsia"/>
                <w:color w:val="auto"/>
                <w:sz w:val="24"/>
                <w:szCs w:val="24"/>
                <w:lang w:val="en-US" w:eastAsia="zh-CN"/>
              </w:rPr>
              <w:t>相关</w:t>
            </w:r>
            <w:r>
              <w:rPr>
                <w:rFonts w:hint="eastAsia"/>
                <w:color w:val="auto"/>
                <w:sz w:val="24"/>
                <w:szCs w:val="24"/>
                <w:lang w:eastAsia="zh-CN"/>
              </w:rPr>
              <w:t>评审</w:t>
            </w:r>
            <w:r>
              <w:rPr>
                <w:rFonts w:hint="eastAsia" w:ascii="宋体" w:hAnsi="宋体"/>
                <w:color w:val="auto"/>
                <w:sz w:val="24"/>
                <w:szCs w:val="24"/>
              </w:rPr>
              <w:t>专家库中随机抽取</w:t>
            </w:r>
            <w:r>
              <w:rPr>
                <w:rFonts w:hint="eastAsia"/>
                <w:color w:val="auto"/>
                <w:sz w:val="24"/>
                <w:szCs w:val="24"/>
                <w:lang w:eastAsia="zh-CN"/>
              </w:rPr>
              <w:t>。</w:t>
            </w:r>
          </w:p>
        </w:tc>
      </w:tr>
      <w:tr w14:paraId="42D8D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59FD294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eastAsia="宋体"/>
                <w:color w:val="auto"/>
                <w:sz w:val="24"/>
                <w:szCs w:val="24"/>
                <w:highlight w:val="none"/>
                <w:lang w:eastAsia="zh-CN"/>
              </w:rPr>
            </w:pPr>
            <w:r>
              <w:rPr>
                <w:rFonts w:hint="eastAsia"/>
                <w:color w:val="auto"/>
                <w:sz w:val="24"/>
                <w:szCs w:val="24"/>
                <w:highlight w:val="none"/>
              </w:rPr>
              <w:t>5.3.</w:t>
            </w:r>
            <w:r>
              <w:rPr>
                <w:rFonts w:hint="eastAsia"/>
                <w:color w:val="auto"/>
                <w:sz w:val="24"/>
                <w:szCs w:val="24"/>
                <w:highlight w:val="none"/>
                <w:lang w:val="en-US" w:eastAsia="zh-CN"/>
              </w:rPr>
              <w:t>3</w:t>
            </w:r>
          </w:p>
        </w:tc>
        <w:tc>
          <w:tcPr>
            <w:tcW w:w="2549" w:type="dxa"/>
            <w:noWrap w:val="0"/>
            <w:vAlign w:val="center"/>
          </w:tcPr>
          <w:p w14:paraId="3A4A976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color w:val="auto"/>
                <w:sz w:val="24"/>
                <w:szCs w:val="24"/>
                <w:highlight w:val="none"/>
              </w:rPr>
            </w:pPr>
            <w:r>
              <w:rPr>
                <w:rFonts w:hint="eastAsia"/>
                <w:color w:val="auto"/>
                <w:sz w:val="24"/>
                <w:szCs w:val="24"/>
                <w:highlight w:val="none"/>
              </w:rPr>
              <w:t>是否授权磋商小组确定成交人</w:t>
            </w:r>
          </w:p>
        </w:tc>
        <w:tc>
          <w:tcPr>
            <w:tcW w:w="5970" w:type="dxa"/>
            <w:noWrap w:val="0"/>
            <w:vAlign w:val="center"/>
          </w:tcPr>
          <w:p w14:paraId="38F3F1F0">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eastAsia="宋体"/>
                <w:color w:val="auto"/>
                <w:sz w:val="24"/>
                <w:szCs w:val="24"/>
                <w:highlight w:val="none"/>
                <w:lang w:eastAsia="zh-CN"/>
              </w:rPr>
            </w:pPr>
            <w:r>
              <w:rPr>
                <w:rFonts w:hint="eastAsia" w:ascii="宋体" w:hAnsi="宋体"/>
                <w:color w:val="auto"/>
                <w:sz w:val="24"/>
                <w:szCs w:val="24"/>
              </w:rPr>
              <w:t>否，按顺序推荐的成交候选人数：</w:t>
            </w:r>
            <w:r>
              <w:rPr>
                <w:rFonts w:hint="eastAsia"/>
                <w:color w:val="auto"/>
                <w:sz w:val="24"/>
                <w:szCs w:val="24"/>
                <w:u w:val="single"/>
                <w:lang w:val="en-US" w:eastAsia="zh-CN"/>
              </w:rPr>
              <w:t>1-</w:t>
            </w:r>
            <w:r>
              <w:rPr>
                <w:rFonts w:hint="eastAsia" w:ascii="宋体" w:hAnsi="宋体"/>
                <w:color w:val="auto"/>
                <w:sz w:val="24"/>
                <w:szCs w:val="24"/>
                <w:u w:val="single"/>
              </w:rPr>
              <w:t>3名，并排序</w:t>
            </w:r>
          </w:p>
        </w:tc>
      </w:tr>
      <w:tr w14:paraId="6CFB4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495EA80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lang w:eastAsia="zh-CN"/>
              </w:rPr>
            </w:pPr>
            <w:r>
              <w:rPr>
                <w:rFonts w:hint="eastAsia"/>
                <w:color w:val="auto"/>
                <w:sz w:val="24"/>
                <w:szCs w:val="24"/>
                <w:highlight w:val="none"/>
                <w:lang w:val="en-US" w:eastAsia="zh-CN"/>
              </w:rPr>
              <w:t>5</w:t>
            </w:r>
            <w:r>
              <w:rPr>
                <w:rFonts w:hint="eastAsia"/>
                <w:color w:val="auto"/>
                <w:sz w:val="24"/>
                <w:szCs w:val="24"/>
                <w:highlight w:val="none"/>
              </w:rPr>
              <w:t>.</w:t>
            </w:r>
            <w:r>
              <w:rPr>
                <w:rFonts w:hint="eastAsia"/>
                <w:color w:val="auto"/>
                <w:sz w:val="24"/>
                <w:szCs w:val="24"/>
                <w:highlight w:val="none"/>
                <w:lang w:val="en-US" w:eastAsia="zh-CN"/>
              </w:rPr>
              <w:t>9</w:t>
            </w:r>
          </w:p>
        </w:tc>
        <w:tc>
          <w:tcPr>
            <w:tcW w:w="2549" w:type="dxa"/>
            <w:noWrap w:val="0"/>
            <w:vAlign w:val="center"/>
          </w:tcPr>
          <w:p w14:paraId="124C881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rPr>
            </w:pPr>
            <w:r>
              <w:rPr>
                <w:rFonts w:hint="eastAsia"/>
                <w:color w:val="auto"/>
                <w:sz w:val="24"/>
                <w:szCs w:val="24"/>
                <w:highlight w:val="none"/>
              </w:rPr>
              <w:t>履约保证金</w:t>
            </w:r>
          </w:p>
        </w:tc>
        <w:tc>
          <w:tcPr>
            <w:tcW w:w="5970" w:type="dxa"/>
            <w:noWrap w:val="0"/>
            <w:vAlign w:val="center"/>
          </w:tcPr>
          <w:p w14:paraId="0D74B984">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color w:val="auto"/>
                <w:sz w:val="24"/>
                <w:szCs w:val="24"/>
                <w:highlight w:val="none"/>
              </w:rPr>
            </w:pPr>
            <w:r>
              <w:rPr>
                <w:rFonts w:hint="eastAsia" w:ascii="宋体" w:hAnsi="宋体" w:eastAsia="宋体" w:cs="宋体"/>
                <w:color w:val="auto"/>
                <w:sz w:val="24"/>
                <w:szCs w:val="24"/>
                <w:highlight w:val="none"/>
                <w:lang w:eastAsia="zh-CN"/>
              </w:rPr>
              <w:t>履约保证金：不要求</w:t>
            </w:r>
          </w:p>
        </w:tc>
      </w:tr>
      <w:tr w14:paraId="252D7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62CE88B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color w:val="auto"/>
                <w:sz w:val="24"/>
                <w:szCs w:val="24"/>
                <w:highlight w:val="none"/>
                <w:lang w:val="en-US" w:eastAsia="zh-CN"/>
              </w:rPr>
            </w:pPr>
            <w:r>
              <w:rPr>
                <w:rFonts w:hint="eastAsia"/>
                <w:color w:val="auto"/>
                <w:sz w:val="24"/>
                <w:szCs w:val="24"/>
                <w:highlight w:val="none"/>
                <w:lang w:val="en-US" w:eastAsia="zh-CN"/>
              </w:rPr>
              <w:t>10</w:t>
            </w:r>
          </w:p>
        </w:tc>
        <w:tc>
          <w:tcPr>
            <w:tcW w:w="8519" w:type="dxa"/>
            <w:gridSpan w:val="2"/>
            <w:noWrap w:val="0"/>
            <w:vAlign w:val="center"/>
          </w:tcPr>
          <w:p w14:paraId="75A26F6F">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需要补充的其他内容</w:t>
            </w:r>
          </w:p>
        </w:tc>
      </w:tr>
      <w:tr w14:paraId="4900C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974" w:type="dxa"/>
            <w:noWrap w:val="0"/>
            <w:vAlign w:val="center"/>
          </w:tcPr>
          <w:p w14:paraId="5476ABE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t>10</w:t>
            </w:r>
            <w:r>
              <w:rPr>
                <w:rFonts w:hint="eastAsia"/>
                <w:color w:val="auto"/>
                <w:sz w:val="24"/>
                <w:szCs w:val="24"/>
                <w:highlight w:val="none"/>
              </w:rPr>
              <w:t>.</w:t>
            </w:r>
            <w:r>
              <w:rPr>
                <w:rFonts w:hint="eastAsia"/>
                <w:color w:val="auto"/>
                <w:sz w:val="24"/>
                <w:szCs w:val="24"/>
                <w:highlight w:val="none"/>
                <w:lang w:val="en-US" w:eastAsia="zh-CN"/>
              </w:rPr>
              <w:t>1</w:t>
            </w:r>
          </w:p>
        </w:tc>
        <w:tc>
          <w:tcPr>
            <w:tcW w:w="2549" w:type="dxa"/>
            <w:noWrap w:val="0"/>
            <w:vAlign w:val="center"/>
          </w:tcPr>
          <w:p w14:paraId="6E73E757">
            <w:pPr>
              <w:spacing w:line="360" w:lineRule="auto"/>
              <w:jc w:val="center"/>
              <w:rPr>
                <w:rFonts w:hint="eastAsia"/>
                <w:color w:val="auto"/>
                <w:sz w:val="24"/>
                <w:szCs w:val="24"/>
                <w:highlight w:val="none"/>
              </w:rPr>
            </w:pPr>
            <w:r>
              <w:rPr>
                <w:rFonts w:hint="eastAsia" w:ascii="宋体" w:hAnsi="宋体" w:eastAsia="宋体" w:cs="宋体"/>
                <w:color w:val="auto"/>
                <w:sz w:val="24"/>
                <w:szCs w:val="24"/>
                <w:highlight w:val="none"/>
              </w:rPr>
              <w:t>招标控制价</w:t>
            </w:r>
          </w:p>
        </w:tc>
        <w:tc>
          <w:tcPr>
            <w:tcW w:w="5970" w:type="dxa"/>
            <w:noWrap w:val="0"/>
            <w:vAlign w:val="center"/>
          </w:tcPr>
          <w:p w14:paraId="2D157112">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招标控制价</w:t>
            </w:r>
            <w:r>
              <w:rPr>
                <w:rFonts w:hint="eastAsia" w:ascii="宋体" w:hAnsi="宋体" w:eastAsia="宋体" w:cs="宋体"/>
                <w:b/>
                <w:bCs/>
                <w:color w:val="auto"/>
                <w:sz w:val="24"/>
                <w:szCs w:val="24"/>
                <w:highlight w:val="none"/>
                <w:lang w:eastAsia="zh-CN"/>
              </w:rPr>
              <w:t>：</w:t>
            </w:r>
            <w:r>
              <w:rPr>
                <w:rFonts w:hint="eastAsia" w:ascii="宋体" w:hAnsi="宋体"/>
                <w:b/>
                <w:bCs/>
                <w:color w:val="auto"/>
                <w:kern w:val="0"/>
                <w:sz w:val="24"/>
                <w:szCs w:val="24"/>
                <w:highlight w:val="none"/>
                <w:u w:val="single"/>
                <w:lang w:val="en-US" w:eastAsia="zh-CN"/>
              </w:rPr>
              <w:t>2640407.11</w:t>
            </w:r>
            <w:r>
              <w:rPr>
                <w:rFonts w:hint="eastAsia" w:ascii="宋体" w:hAnsi="宋体"/>
                <w:b/>
                <w:bCs/>
                <w:color w:val="auto"/>
                <w:kern w:val="0"/>
                <w:sz w:val="24"/>
                <w:szCs w:val="24"/>
                <w:highlight w:val="none"/>
                <w:u w:val="single"/>
              </w:rPr>
              <w:t>元</w:t>
            </w:r>
          </w:p>
          <w:p w14:paraId="719083B3">
            <w:pPr>
              <w:spacing w:line="360" w:lineRule="auto"/>
              <w:rPr>
                <w:color w:val="auto"/>
                <w:sz w:val="24"/>
                <w:szCs w:val="24"/>
                <w:highlight w:val="none"/>
              </w:rPr>
            </w:pPr>
            <w:r>
              <w:rPr>
                <w:rFonts w:hint="eastAsia" w:ascii="宋体" w:hAnsi="宋体" w:eastAsia="宋体" w:cs="宋体"/>
                <w:color w:val="auto"/>
                <w:sz w:val="24"/>
                <w:szCs w:val="24"/>
                <w:highlight w:val="none"/>
              </w:rPr>
              <w:t>招标控制价是</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人</w:t>
            </w:r>
            <w:r>
              <w:rPr>
                <w:rFonts w:hint="eastAsia" w:ascii="宋体" w:hAnsi="宋体" w:eastAsia="宋体" w:cs="宋体"/>
                <w:color w:val="auto"/>
                <w:sz w:val="24"/>
                <w:szCs w:val="24"/>
                <w:highlight w:val="none"/>
                <w:lang w:val="en-US" w:eastAsia="zh-CN"/>
              </w:rPr>
              <w:t>公布</w:t>
            </w:r>
            <w:r>
              <w:rPr>
                <w:rFonts w:hint="eastAsia" w:ascii="宋体" w:hAnsi="宋体" w:eastAsia="宋体" w:cs="宋体"/>
                <w:color w:val="auto"/>
                <w:sz w:val="24"/>
                <w:szCs w:val="24"/>
                <w:highlight w:val="none"/>
              </w:rPr>
              <w:t>的最高限价，大于招标控制价的报价视为无效报价，其投标将予否决。</w:t>
            </w:r>
          </w:p>
        </w:tc>
      </w:tr>
      <w:tr w14:paraId="13810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974" w:type="dxa"/>
            <w:noWrap w:val="0"/>
            <w:vAlign w:val="center"/>
          </w:tcPr>
          <w:p w14:paraId="2EFE1E7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t>10.2</w:t>
            </w:r>
          </w:p>
        </w:tc>
        <w:tc>
          <w:tcPr>
            <w:tcW w:w="2549" w:type="dxa"/>
            <w:noWrap w:val="0"/>
            <w:vAlign w:val="center"/>
          </w:tcPr>
          <w:p w14:paraId="13F2580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color w:val="auto"/>
                <w:sz w:val="24"/>
                <w:szCs w:val="24"/>
                <w:highlight w:val="none"/>
              </w:rPr>
              <w:t>采购程序</w:t>
            </w:r>
          </w:p>
        </w:tc>
        <w:tc>
          <w:tcPr>
            <w:tcW w:w="5970" w:type="dxa"/>
            <w:noWrap w:val="0"/>
            <w:vAlign w:val="center"/>
          </w:tcPr>
          <w:p w14:paraId="006AA7DD">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outlineLvl w:val="9"/>
              <w:rPr>
                <w:rFonts w:hint="eastAsia"/>
                <w:color w:val="auto"/>
                <w:sz w:val="24"/>
                <w:szCs w:val="24"/>
                <w:highlight w:val="none"/>
                <w:lang w:eastAsia="zh-CN"/>
              </w:rPr>
            </w:pPr>
            <w:r>
              <w:rPr>
                <w:rFonts w:hint="eastAsia"/>
                <w:color w:val="auto"/>
                <w:sz w:val="24"/>
                <w:szCs w:val="24"/>
                <w:highlight w:val="none"/>
                <w:lang w:eastAsia="zh-CN"/>
              </w:rPr>
              <w:t>制定磋商文件</w:t>
            </w:r>
          </w:p>
          <w:p w14:paraId="6CEE9BC1">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outlineLvl w:val="9"/>
              <w:rPr>
                <w:rFonts w:hint="eastAsia"/>
                <w:color w:val="auto"/>
                <w:sz w:val="24"/>
                <w:szCs w:val="24"/>
                <w:highlight w:val="none"/>
              </w:rPr>
            </w:pPr>
            <w:r>
              <w:rPr>
                <w:rFonts w:hint="eastAsia"/>
                <w:color w:val="auto"/>
                <w:sz w:val="24"/>
                <w:szCs w:val="24"/>
                <w:highlight w:val="none"/>
              </w:rPr>
              <w:t>确定不少于3家的供应商参加磋商</w:t>
            </w:r>
          </w:p>
          <w:p w14:paraId="4B3712C5">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outlineLvl w:val="9"/>
              <w:rPr>
                <w:rFonts w:hint="eastAsia"/>
                <w:color w:val="auto"/>
                <w:sz w:val="24"/>
                <w:szCs w:val="24"/>
                <w:highlight w:val="none"/>
              </w:rPr>
            </w:pPr>
            <w:r>
              <w:rPr>
                <w:rFonts w:hint="eastAsia"/>
                <w:color w:val="auto"/>
                <w:sz w:val="24"/>
                <w:szCs w:val="24"/>
                <w:highlight w:val="none"/>
              </w:rPr>
              <w:t>成立磋商小组</w:t>
            </w:r>
          </w:p>
          <w:p w14:paraId="3C71B2EC">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outlineLvl w:val="9"/>
              <w:rPr>
                <w:rFonts w:hint="eastAsia"/>
                <w:color w:val="auto"/>
                <w:sz w:val="24"/>
                <w:szCs w:val="24"/>
                <w:highlight w:val="none"/>
              </w:rPr>
            </w:pPr>
            <w:r>
              <w:rPr>
                <w:rFonts w:hint="eastAsia"/>
                <w:color w:val="auto"/>
                <w:sz w:val="24"/>
                <w:szCs w:val="24"/>
                <w:highlight w:val="none"/>
              </w:rPr>
              <w:t>磋商</w:t>
            </w:r>
          </w:p>
          <w:p w14:paraId="77FBEB13">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outlineLvl w:val="9"/>
              <w:rPr>
                <w:color w:val="auto"/>
                <w:sz w:val="24"/>
                <w:szCs w:val="24"/>
                <w:highlight w:val="none"/>
              </w:rPr>
            </w:pPr>
            <w:r>
              <w:rPr>
                <w:rFonts w:hint="eastAsia"/>
                <w:color w:val="auto"/>
                <w:sz w:val="24"/>
                <w:szCs w:val="24"/>
                <w:highlight w:val="none"/>
              </w:rPr>
              <w:t>确定供应商</w:t>
            </w:r>
          </w:p>
          <w:p w14:paraId="4EB3C66A">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kern w:val="2"/>
                <w:sz w:val="24"/>
                <w:szCs w:val="24"/>
                <w:highlight w:val="none"/>
                <w:lang w:val="en-US" w:eastAsia="zh-CN" w:bidi="ar-SA"/>
              </w:rPr>
            </w:pPr>
            <w:r>
              <w:rPr>
                <w:rFonts w:hint="eastAsia"/>
                <w:color w:val="auto"/>
                <w:sz w:val="24"/>
                <w:szCs w:val="24"/>
                <w:highlight w:val="none"/>
              </w:rPr>
              <w:t>在指定媒体公布结果</w:t>
            </w:r>
          </w:p>
        </w:tc>
      </w:tr>
      <w:tr w14:paraId="4E934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974" w:type="dxa"/>
            <w:noWrap w:val="0"/>
            <w:vAlign w:val="center"/>
          </w:tcPr>
          <w:p w14:paraId="412092F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color w:val="auto"/>
                <w:sz w:val="24"/>
                <w:szCs w:val="24"/>
                <w:highlight w:val="none"/>
                <w:lang w:val="en-US" w:eastAsia="zh-CN"/>
              </w:rPr>
            </w:pPr>
            <w:r>
              <w:rPr>
                <w:rFonts w:hint="eastAsia"/>
                <w:color w:val="auto"/>
                <w:sz w:val="24"/>
                <w:szCs w:val="24"/>
                <w:highlight w:val="none"/>
                <w:lang w:val="en-US" w:eastAsia="zh-CN"/>
              </w:rPr>
              <w:t>10.3</w:t>
            </w:r>
          </w:p>
        </w:tc>
        <w:tc>
          <w:tcPr>
            <w:tcW w:w="2549" w:type="dxa"/>
            <w:noWrap w:val="0"/>
            <w:vAlign w:val="center"/>
          </w:tcPr>
          <w:p w14:paraId="3B4CC15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color w:val="auto"/>
                <w:sz w:val="24"/>
                <w:szCs w:val="24"/>
                <w:highlight w:val="none"/>
                <w:lang w:eastAsia="zh-CN"/>
              </w:rPr>
            </w:pPr>
            <w:r>
              <w:rPr>
                <w:rFonts w:hint="eastAsia" w:ascii="宋体" w:hAnsi="宋体" w:cs="微软雅黑"/>
                <w:kern w:val="0"/>
                <w:sz w:val="24"/>
                <w:szCs w:val="24"/>
              </w:rPr>
              <w:t>是否</w:t>
            </w:r>
            <w:r>
              <w:rPr>
                <w:rFonts w:hint="eastAsia" w:ascii="宋体" w:hAnsi="宋体" w:cs="微软雅黑"/>
                <w:spacing w:val="-2"/>
                <w:kern w:val="0"/>
                <w:sz w:val="24"/>
                <w:szCs w:val="24"/>
              </w:rPr>
              <w:t>采</w:t>
            </w:r>
            <w:r>
              <w:rPr>
                <w:rFonts w:hint="eastAsia" w:ascii="宋体" w:hAnsi="宋体" w:cs="微软雅黑"/>
                <w:kern w:val="0"/>
                <w:sz w:val="24"/>
                <w:szCs w:val="24"/>
              </w:rPr>
              <w:t>用</w:t>
            </w:r>
            <w:r>
              <w:rPr>
                <w:rFonts w:hint="eastAsia" w:ascii="宋体" w:hAnsi="宋体" w:cs="微软雅黑"/>
                <w:spacing w:val="-2"/>
                <w:kern w:val="0"/>
                <w:sz w:val="24"/>
                <w:szCs w:val="24"/>
              </w:rPr>
              <w:t>电</w:t>
            </w:r>
            <w:r>
              <w:rPr>
                <w:rFonts w:hint="eastAsia" w:ascii="宋体" w:hAnsi="宋体" w:cs="微软雅黑"/>
                <w:kern w:val="0"/>
                <w:sz w:val="24"/>
                <w:szCs w:val="24"/>
              </w:rPr>
              <w:t>子</w:t>
            </w:r>
            <w:r>
              <w:rPr>
                <w:rFonts w:hint="eastAsia" w:ascii="宋体" w:hAnsi="宋体" w:cs="微软雅黑"/>
                <w:spacing w:val="-2"/>
                <w:kern w:val="0"/>
                <w:sz w:val="24"/>
                <w:szCs w:val="24"/>
              </w:rPr>
              <w:t>招</w:t>
            </w:r>
            <w:r>
              <w:rPr>
                <w:rFonts w:hint="eastAsia" w:ascii="宋体" w:hAnsi="宋体" w:cs="微软雅黑"/>
                <w:kern w:val="0"/>
                <w:sz w:val="24"/>
                <w:szCs w:val="24"/>
              </w:rPr>
              <w:t>标</w:t>
            </w:r>
            <w:r>
              <w:rPr>
                <w:rFonts w:hint="eastAsia" w:ascii="宋体" w:hAnsi="宋体" w:cs="微软雅黑"/>
                <w:spacing w:val="-2"/>
                <w:kern w:val="0"/>
                <w:sz w:val="24"/>
                <w:szCs w:val="24"/>
              </w:rPr>
              <w:t>投</w:t>
            </w:r>
            <w:r>
              <w:rPr>
                <w:rFonts w:hint="eastAsia" w:ascii="宋体" w:hAnsi="宋体" w:cs="微软雅黑"/>
                <w:kern w:val="0"/>
                <w:sz w:val="24"/>
                <w:szCs w:val="24"/>
              </w:rPr>
              <w:t>标</w:t>
            </w:r>
          </w:p>
        </w:tc>
        <w:tc>
          <w:tcPr>
            <w:tcW w:w="5970" w:type="dxa"/>
            <w:noWrap w:val="0"/>
            <w:vAlign w:val="center"/>
          </w:tcPr>
          <w:p w14:paraId="02CA64C9">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本项目为电子化交易项目，投标文件是投标人、投标人（以下简称“投标人”）通过中心投标文件制作系统制作，并经过电子签章和加密后生成的电子版投标文件。投标人投标时，不须提交纸质文件资料。电子化投标文件具体制作教材请投标人通过CA证书登录三门峡市公共资源电子化交易系统在 “交易智库”中下载操作流程</w:t>
            </w:r>
          </w:p>
          <w:p w14:paraId="596DD2D8">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温馨提示：本项目为电子化、无纸化交易项目，投标人时不接受任何纸质资料，为保证您能投标成功，请需仔细阅读以下条款。</w:t>
            </w:r>
          </w:p>
          <w:p w14:paraId="4CF8F515">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一、电子化投标</w:t>
            </w:r>
          </w:p>
          <w:p w14:paraId="23C4D0A4">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（一）电子化投标文件的签章</w:t>
            </w:r>
          </w:p>
          <w:p w14:paraId="4761C462">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1、投标人在生成电子化投标文件后，</w:t>
            </w:r>
            <w:r>
              <w:rPr>
                <w:rFonts w:hint="eastAsia" w:ascii="宋体" w:hAnsi="宋体" w:eastAsia="宋体" w:cs="宋体"/>
                <w:kern w:val="2"/>
                <w:sz w:val="24"/>
                <w:szCs w:val="24"/>
                <w:lang w:eastAsia="zh-CN"/>
              </w:rPr>
              <w:t>按投标文件格式，</w:t>
            </w:r>
            <w:r>
              <w:rPr>
                <w:rFonts w:hint="eastAsia" w:ascii="宋体" w:hAnsi="宋体" w:eastAsia="宋体" w:cs="宋体"/>
                <w:kern w:val="2"/>
                <w:sz w:val="24"/>
                <w:szCs w:val="24"/>
              </w:rPr>
              <w:t>对电子化投标文件进行签章。</w:t>
            </w:r>
          </w:p>
          <w:p w14:paraId="77BAFE25">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2、招标文件中要求法定代表人或授权委托人签字或盖章的，投标人在进行电子化投标文件签章时，以签盖法定代表人签章为准。电子化投标文件具体制作教材请投标人通过CA证书登录三门峡市公共资源电子化交易系统在右上角“交易智库”中查看。电子化投标文件工具请点击http://t.cn/A6ZvtVob进行下载。</w:t>
            </w:r>
          </w:p>
          <w:p w14:paraId="7F486CDB">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（二）电子化投标文件的格式及上传投标</w:t>
            </w:r>
          </w:p>
          <w:p w14:paraId="6A9AED47">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1、投标人所上传的电子化投标文件，应是通过中心投标文件制作系统制作的（投标文件制作工具下载地址：http://t.cn/A6ZvtVob），经过签章和加密后生成的电子版投标文件。其中包含用于投标文件上传的主文件（后缀为.smxtf）和用于应急补救的投标文件备份文件（后缀为.nsmxtf）。备份文件主要用于电子化开标出现技术问题后的补救，请投标人随身携带。</w:t>
            </w:r>
          </w:p>
          <w:p w14:paraId="387693E2">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2、电子化投标文件应在投标截止时间前成功上传至三门峡市公共资源电子化交易系统。至投标截止时间止，仍未上传成功的电子化投标文件将不予接收。</w:t>
            </w:r>
          </w:p>
          <w:p w14:paraId="709EC091">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注：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p w14:paraId="68B80EA9">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技术联系电话：4009980000</w:t>
            </w:r>
          </w:p>
          <w:p w14:paraId="2C87FF40">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（三）电子化项目开标、解密、唱标、</w:t>
            </w:r>
            <w:r>
              <w:rPr>
                <w:rFonts w:hint="eastAsia" w:cs="宋体"/>
                <w:kern w:val="2"/>
                <w:sz w:val="24"/>
                <w:szCs w:val="24"/>
                <w:lang w:eastAsia="zh-CN"/>
              </w:rPr>
              <w:t>评审</w:t>
            </w:r>
          </w:p>
          <w:p w14:paraId="28042AEF">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1、本项目采用电子化、无纸化进行招标，开标当日，投标人无需到开标现场参加开标会议，投标人应当在投标截止时间前，登陆不见面开标大厅选择登陆三门峡市公共资源电子招投标系统进行登陆（网址为</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"http://120.194.249.36:10094/BidOpening/bidopeninghallaction/hall/login）,在线准时参加开标活动并进行投标文件解密等。每位投标人的解密时间为开标时间起30分钟内完成。" </w:instrText>
            </w:r>
            <w:r>
              <w:rPr>
                <w:rFonts w:hint="eastAsia" w:ascii="宋体" w:hAnsi="宋体" w:eastAsia="宋体" w:cs="宋体"/>
                <w:sz w:val="24"/>
                <w:szCs w:val="24"/>
              </w:rPr>
              <w:fldChar w:fldCharType="separate"/>
            </w:r>
            <w:r>
              <w:rPr>
                <w:rFonts w:hint="eastAsia" w:ascii="宋体" w:hAnsi="宋体" w:eastAsia="宋体" w:cs="宋体"/>
                <w:kern w:val="2"/>
                <w:sz w:val="24"/>
                <w:szCs w:val="24"/>
              </w:rPr>
              <w:t>http://120.194.249.36:10094/BidOpening/bidopeninghallaction/hall/login</w:t>
            </w:r>
            <w:r>
              <w:rPr>
                <w:rFonts w:hint="eastAsia" w:ascii="宋体" w:hAnsi="宋体" w:eastAsia="宋体" w:cs="宋体"/>
                <w:kern w:val="2"/>
                <w:sz w:val="24"/>
                <w:szCs w:val="24"/>
              </w:rPr>
              <w:fldChar w:fldCharType="end"/>
            </w:r>
            <w:r>
              <w:rPr>
                <w:rFonts w:hint="eastAsia" w:ascii="宋体" w:hAnsi="宋体" w:eastAsia="宋体" w:cs="宋体"/>
                <w:kern w:val="2"/>
                <w:sz w:val="24"/>
                <w:szCs w:val="24"/>
              </w:rPr>
              <w:t>）,在线准时参加开标活动并进行投标文件解密等。</w:t>
            </w:r>
          </w:p>
          <w:p w14:paraId="6C202262">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2、电子化投标文件采用一次加密方式。开标时，由投标人使用CA 证书，在规定时间内对其电子化投标文件进行解密。每位投标人的解密时间为开标时间起30 分钟内，如在规定时间内未完成解密的，其投标文件不予开标、唱标。</w:t>
            </w:r>
          </w:p>
          <w:p w14:paraId="2DEF769B">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3、电子化投标文件解密异常的处理</w:t>
            </w:r>
          </w:p>
          <w:p w14:paraId="74C8D36E">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如出现投标人的电子投标文件无法解密等异常情况，投标人应及时致电中介服务机构说明。投标文件异常，按以下步骤进行处理：</w:t>
            </w:r>
          </w:p>
          <w:p w14:paraId="25B85EDB">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（1）首先由技术人员进行问题排查。</w:t>
            </w:r>
          </w:p>
          <w:p w14:paraId="76993EA7">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（2）经技术人员排查后，是投标人文件自身问题导致投标文件无法解密的，该投标文件将不予接收、解密和唱标。开标会议继续进行。</w:t>
            </w:r>
          </w:p>
          <w:p w14:paraId="4934B36B">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21A96D64">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4、待所有投标人投标文件解密完成后，由中介服务机构操作，对所有已解密投标文件进行唱标。</w:t>
            </w:r>
          </w:p>
          <w:p w14:paraId="5AFE96B5">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投标人应保证在开标期间电话、电脑、网络能够正常工作，投标人因停电、电脑病毒、网络堵塞等原因，未在规定的解密时间内对投标文件进行解密的，其投标文件不予接收、唱标。</w:t>
            </w:r>
          </w:p>
          <w:p w14:paraId="7C50C138">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5、开标时投标人可登录到交易系统中在开标解密栏中点击报价一览表查看自己的投标报价。如对自己的唱标内容有异议的，应在投标人解密成功后10分钟内向中介服务机构电话质疑。中介服务机构应在监督人员的监督下进行免提通话接受投标人的质疑并做好书面记录。投标人未在规定时间内提出质疑的，视为认可唱标内容。</w:t>
            </w:r>
          </w:p>
          <w:p w14:paraId="32C965E2">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6、</w:t>
            </w:r>
            <w:r>
              <w:rPr>
                <w:rFonts w:hint="eastAsia" w:cs="宋体"/>
                <w:kern w:val="2"/>
                <w:sz w:val="24"/>
                <w:szCs w:val="24"/>
                <w:lang w:eastAsia="zh-CN"/>
              </w:rPr>
              <w:t>评审</w:t>
            </w:r>
            <w:r>
              <w:rPr>
                <w:rFonts w:hint="eastAsia" w:ascii="宋体" w:hAnsi="宋体" w:eastAsia="宋体" w:cs="宋体"/>
                <w:kern w:val="2"/>
                <w:sz w:val="24"/>
                <w:szCs w:val="24"/>
              </w:rPr>
              <w:t>时，</w:t>
            </w:r>
            <w:r>
              <w:rPr>
                <w:rFonts w:hint="eastAsia" w:cs="宋体"/>
                <w:kern w:val="2"/>
                <w:sz w:val="24"/>
                <w:szCs w:val="24"/>
                <w:lang w:eastAsia="zh-CN"/>
              </w:rPr>
              <w:t>评审</w:t>
            </w:r>
            <w:r>
              <w:rPr>
                <w:rFonts w:hint="eastAsia" w:ascii="宋体" w:hAnsi="宋体" w:eastAsia="宋体" w:cs="宋体"/>
                <w:kern w:val="2"/>
                <w:sz w:val="24"/>
                <w:szCs w:val="24"/>
              </w:rPr>
              <w:t>委员会对电子化投标文件有质疑的，将通过电子化交易系统对投标人发起质疑，并在监督人员的监督下，用免提模式致电需要答复的投标人对质疑进行回复。投标人的回复文件必须以经过投标人和其法定代表人签章的PDF格式文件为准，并通过电子化交易系统提交至</w:t>
            </w:r>
            <w:r>
              <w:rPr>
                <w:rFonts w:hint="eastAsia" w:cs="宋体"/>
                <w:kern w:val="2"/>
                <w:sz w:val="24"/>
                <w:szCs w:val="24"/>
                <w:lang w:eastAsia="zh-CN"/>
              </w:rPr>
              <w:t>评审</w:t>
            </w:r>
            <w:r>
              <w:rPr>
                <w:rFonts w:hint="eastAsia" w:ascii="宋体" w:hAnsi="宋体" w:eastAsia="宋体" w:cs="宋体"/>
                <w:kern w:val="2"/>
                <w:sz w:val="24"/>
                <w:szCs w:val="24"/>
              </w:rPr>
              <w:t>委员会。</w:t>
            </w:r>
          </w:p>
          <w:p w14:paraId="2A6FD9C9">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7、如</w:t>
            </w:r>
            <w:r>
              <w:rPr>
                <w:rFonts w:hint="eastAsia" w:cs="宋体"/>
                <w:kern w:val="2"/>
                <w:sz w:val="24"/>
                <w:szCs w:val="24"/>
                <w:lang w:eastAsia="zh-CN"/>
              </w:rPr>
              <w:t>评审</w:t>
            </w:r>
            <w:r>
              <w:rPr>
                <w:rFonts w:hint="eastAsia" w:ascii="宋体" w:hAnsi="宋体" w:eastAsia="宋体" w:cs="宋体"/>
                <w:kern w:val="2"/>
                <w:sz w:val="24"/>
                <w:szCs w:val="24"/>
              </w:rPr>
              <w:t>委员会对需要回复的投标人连续三次致电未接通的，视为投标人放弃回复，</w:t>
            </w:r>
            <w:r>
              <w:rPr>
                <w:rFonts w:hint="eastAsia" w:cs="宋体"/>
                <w:kern w:val="2"/>
                <w:sz w:val="24"/>
                <w:szCs w:val="24"/>
                <w:lang w:eastAsia="zh-CN"/>
              </w:rPr>
              <w:t>评审</w:t>
            </w:r>
            <w:r>
              <w:rPr>
                <w:rFonts w:hint="eastAsia" w:ascii="宋体" w:hAnsi="宋体" w:eastAsia="宋体" w:cs="宋体"/>
                <w:kern w:val="2"/>
                <w:sz w:val="24"/>
                <w:szCs w:val="24"/>
              </w:rPr>
              <w:t>委员会将自行对需要回复的内容进行认定。</w:t>
            </w:r>
          </w:p>
          <w:p w14:paraId="68A05F3E">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二、相关证书的提交</w:t>
            </w:r>
          </w:p>
          <w:p w14:paraId="16D2B9F4">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lang w:eastAsia="zh-CN"/>
              </w:rPr>
              <w:t>1、</w:t>
            </w:r>
            <w:r>
              <w:rPr>
                <w:rFonts w:hint="eastAsia" w:ascii="宋体" w:hAnsi="宋体" w:eastAsia="宋体" w:cs="宋体"/>
                <w:kern w:val="2"/>
                <w:sz w:val="24"/>
                <w:szCs w:val="24"/>
              </w:rPr>
              <w:t>本项目实行资格后审，投标文件中要求投标人提交资质、业绩、荣誉及单位人员等相关资料原件的，投标人需将原件扫描件制作到电子投标文件中</w:t>
            </w:r>
            <w:r>
              <w:rPr>
                <w:rFonts w:hint="eastAsia" w:ascii="宋体" w:hAnsi="宋体" w:eastAsia="宋体" w:cs="宋体"/>
                <w:kern w:val="2"/>
                <w:sz w:val="24"/>
                <w:szCs w:val="24"/>
                <w:lang w:eastAsia="zh-CN"/>
              </w:rPr>
              <w:t>。</w:t>
            </w:r>
          </w:p>
          <w:p w14:paraId="0D520158">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lang w:eastAsia="zh-CN"/>
              </w:rPr>
              <w:t>2、根据优化营商环境的要求，</w:t>
            </w:r>
            <w:r>
              <w:rPr>
                <w:rFonts w:hint="eastAsia" w:cs="宋体"/>
                <w:kern w:val="2"/>
                <w:sz w:val="24"/>
                <w:szCs w:val="24"/>
                <w:lang w:eastAsia="zh-CN"/>
              </w:rPr>
              <w:t>评审</w:t>
            </w:r>
            <w:r>
              <w:rPr>
                <w:rFonts w:hint="eastAsia" w:ascii="宋体" w:hAnsi="宋体" w:eastAsia="宋体" w:cs="宋体"/>
                <w:kern w:val="2"/>
                <w:sz w:val="24"/>
                <w:szCs w:val="24"/>
                <w:lang w:eastAsia="zh-CN"/>
              </w:rPr>
              <w:t>时以投标文件为准：</w:t>
            </w:r>
          </w:p>
          <w:p w14:paraId="083746CF">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lang w:eastAsia="zh-CN"/>
              </w:rPr>
              <w:t>（1）资格评（预）审部分：资格评（预）以投标文件为准，其上传资料真实性由投标人自行承担。</w:t>
            </w:r>
          </w:p>
          <w:p w14:paraId="5CC111CA">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lang w:eastAsia="zh-CN"/>
              </w:rPr>
              <w:t>（2）</w:t>
            </w:r>
            <w:r>
              <w:rPr>
                <w:rFonts w:hint="eastAsia" w:cs="宋体"/>
                <w:kern w:val="2"/>
                <w:sz w:val="24"/>
                <w:szCs w:val="24"/>
                <w:lang w:eastAsia="zh-CN"/>
              </w:rPr>
              <w:t>评审</w:t>
            </w:r>
            <w:r>
              <w:rPr>
                <w:rFonts w:hint="eastAsia" w:ascii="宋体" w:hAnsi="宋体" w:eastAsia="宋体" w:cs="宋体"/>
                <w:kern w:val="2"/>
                <w:sz w:val="24"/>
                <w:szCs w:val="24"/>
                <w:lang w:eastAsia="zh-CN"/>
              </w:rPr>
              <w:t>打分部分：</w:t>
            </w:r>
            <w:r>
              <w:rPr>
                <w:rFonts w:hint="eastAsia" w:cs="宋体"/>
                <w:kern w:val="2"/>
                <w:sz w:val="24"/>
                <w:szCs w:val="24"/>
                <w:lang w:eastAsia="zh-CN"/>
              </w:rPr>
              <w:t>评审</w:t>
            </w:r>
            <w:r>
              <w:rPr>
                <w:rFonts w:hint="eastAsia" w:ascii="宋体" w:hAnsi="宋体" w:eastAsia="宋体" w:cs="宋体"/>
                <w:kern w:val="2"/>
                <w:sz w:val="24"/>
                <w:szCs w:val="24"/>
                <w:lang w:eastAsia="zh-CN"/>
              </w:rPr>
              <w:t>打分部分仍按照100分制原则进行，涉及到资格审查、企业荣誉、人员业绩、企业业绩等计分部分时，以投标单位自行上传到投标文件中的相应内容为准。</w:t>
            </w:r>
          </w:p>
          <w:p w14:paraId="4B766356">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lang w:eastAsia="zh-CN"/>
              </w:rPr>
              <w:t>（3）投标文件编制部分：在招标文件中要求投标人按照投标文件格式进行投标文件编制，在投标文件编制时，应明确将投标单位企业基本情况、资质情况、人员情况、财务情况、业绩情况编入投标文件，便于进行资格审查及</w:t>
            </w:r>
            <w:r>
              <w:rPr>
                <w:rFonts w:hint="eastAsia" w:cs="宋体"/>
                <w:kern w:val="2"/>
                <w:sz w:val="24"/>
                <w:szCs w:val="24"/>
                <w:lang w:eastAsia="zh-CN"/>
              </w:rPr>
              <w:t>评审</w:t>
            </w:r>
            <w:r>
              <w:rPr>
                <w:rFonts w:hint="eastAsia" w:ascii="宋体" w:hAnsi="宋体" w:eastAsia="宋体" w:cs="宋体"/>
                <w:kern w:val="2"/>
                <w:sz w:val="24"/>
                <w:szCs w:val="24"/>
                <w:lang w:eastAsia="zh-CN"/>
              </w:rPr>
              <w:t>打分。</w:t>
            </w:r>
          </w:p>
          <w:p w14:paraId="1E44EA35">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lang w:eastAsia="zh-CN"/>
              </w:rPr>
              <w:t>3、投标人递交的资料和投标文件不论中标与否均不予退还。</w:t>
            </w:r>
          </w:p>
          <w:p w14:paraId="508B8F03">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lang w:eastAsia="zh-CN"/>
              </w:rPr>
              <w:t>4、本项目评分业绩以投标文件业绩信息为准，可使用电子营业执照。</w:t>
            </w:r>
          </w:p>
          <w:p w14:paraId="78B9662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kern w:val="2"/>
                <w:sz w:val="24"/>
                <w:szCs w:val="24"/>
              </w:rPr>
              <w:t>提示：本项目为电子化、无纸化交易项目，投标时不再接受任何纸质资料，为保证您能投标成功，请需仔细阅读以上条款。</w:t>
            </w:r>
          </w:p>
        </w:tc>
      </w:tr>
      <w:tr w14:paraId="77E9A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jc w:val="center"/>
        </w:trPr>
        <w:tc>
          <w:tcPr>
            <w:tcW w:w="974" w:type="dxa"/>
            <w:noWrap w:val="0"/>
            <w:vAlign w:val="center"/>
          </w:tcPr>
          <w:p w14:paraId="43B0171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color w:val="auto"/>
                <w:sz w:val="24"/>
                <w:szCs w:val="24"/>
                <w:highlight w:val="none"/>
                <w:lang w:val="en-US" w:eastAsia="zh-CN"/>
              </w:rPr>
            </w:pPr>
            <w:bookmarkStart w:id="12" w:name="_Toc269470294"/>
            <w:bookmarkStart w:id="13" w:name="_Toc270604575"/>
            <w:bookmarkStart w:id="14" w:name="_Toc30034"/>
            <w:r>
              <w:rPr>
                <w:rFonts w:hint="eastAsia"/>
                <w:color w:val="auto"/>
                <w:sz w:val="24"/>
                <w:szCs w:val="24"/>
                <w:highlight w:val="none"/>
                <w:lang w:val="en-US" w:eastAsia="zh-CN"/>
              </w:rPr>
              <w:t>10.4</w:t>
            </w:r>
          </w:p>
        </w:tc>
        <w:tc>
          <w:tcPr>
            <w:tcW w:w="2549" w:type="dxa"/>
            <w:noWrap w:val="0"/>
            <w:vAlign w:val="center"/>
          </w:tcPr>
          <w:p w14:paraId="741877C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cs="微软雅黑"/>
                <w:kern w:val="0"/>
                <w:sz w:val="24"/>
                <w:szCs w:val="24"/>
              </w:rPr>
            </w:pPr>
            <w:r>
              <w:rPr>
                <w:rFonts w:hint="eastAsia" w:ascii="宋体" w:hAnsi="宋体" w:cs="微软雅黑"/>
                <w:kern w:val="0"/>
                <w:sz w:val="24"/>
                <w:szCs w:val="24"/>
              </w:rPr>
              <w:t>竞争性磋商文件的解释</w:t>
            </w:r>
          </w:p>
        </w:tc>
        <w:tc>
          <w:tcPr>
            <w:tcW w:w="5970" w:type="dxa"/>
            <w:noWrap w:val="0"/>
            <w:vAlign w:val="center"/>
          </w:tcPr>
          <w:p w14:paraId="6C47B41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kern w:val="2"/>
                <w:sz w:val="24"/>
                <w:szCs w:val="24"/>
              </w:rPr>
            </w:pPr>
            <w:r>
              <w:rPr>
                <w:rFonts w:hint="eastAsia" w:ascii="宋体" w:hAnsi="宋体" w:eastAsia="宋体" w:cs="宋体"/>
                <w:kern w:val="2"/>
                <w:sz w:val="24"/>
                <w:szCs w:val="24"/>
              </w:rPr>
              <w:t>本竞争性磋商文件中其他部分内容与</w:t>
            </w:r>
            <w:r>
              <w:rPr>
                <w:rFonts w:hint="eastAsia" w:cs="宋体"/>
                <w:kern w:val="2"/>
                <w:sz w:val="24"/>
                <w:szCs w:val="24"/>
                <w:lang w:val="en-US" w:eastAsia="zh-CN"/>
              </w:rPr>
              <w:t>供应商</w:t>
            </w:r>
            <w:r>
              <w:rPr>
                <w:rFonts w:hint="eastAsia" w:ascii="宋体" w:hAnsi="宋体" w:eastAsia="宋体" w:cs="宋体"/>
                <w:kern w:val="2"/>
                <w:sz w:val="24"/>
                <w:szCs w:val="24"/>
              </w:rPr>
              <w:t>须知前附表不一致的，以</w:t>
            </w:r>
            <w:r>
              <w:rPr>
                <w:rFonts w:hint="eastAsia" w:cs="宋体"/>
                <w:kern w:val="2"/>
                <w:sz w:val="24"/>
                <w:szCs w:val="24"/>
                <w:lang w:val="en-US" w:eastAsia="zh-CN"/>
              </w:rPr>
              <w:t>供应商</w:t>
            </w:r>
            <w:r>
              <w:rPr>
                <w:rFonts w:hint="eastAsia" w:ascii="宋体" w:hAnsi="宋体" w:eastAsia="宋体" w:cs="宋体"/>
                <w:kern w:val="2"/>
                <w:sz w:val="24"/>
                <w:szCs w:val="24"/>
              </w:rPr>
              <w:t>须知前附表</w:t>
            </w:r>
            <w:r>
              <w:rPr>
                <w:rFonts w:hint="eastAsia" w:ascii="宋体" w:hAnsi="宋体" w:eastAsia="宋体" w:cs="宋体"/>
                <w:kern w:val="2"/>
                <w:sz w:val="24"/>
                <w:szCs w:val="24"/>
              </w:rPr>
              <w:t>为准。构成本竞争性磋商文件的各个组成文件应互为解释，互为说明，如有不明确或不一致构成合同文件组成内容的，以合同文件约定内容为准，且以专用合同条款约定的合同文件优先顺序解释</w:t>
            </w:r>
            <w:r>
              <w:rPr>
                <w:rFonts w:hint="eastAsia" w:cs="宋体"/>
                <w:kern w:val="2"/>
                <w:sz w:val="24"/>
                <w:szCs w:val="24"/>
                <w:lang w:eastAsia="zh-CN"/>
              </w:rPr>
              <w:t>；</w:t>
            </w:r>
            <w:r>
              <w:rPr>
                <w:rFonts w:hint="eastAsia" w:ascii="宋体" w:hAnsi="宋体" w:eastAsia="宋体" w:cs="宋体"/>
                <w:kern w:val="2"/>
                <w:sz w:val="24"/>
                <w:szCs w:val="24"/>
              </w:rPr>
              <w:t>除竞争性磋商文件中有特别规定外，仅适用于磋商投标阶段的规定，按竞争性磋商公告、</w:t>
            </w:r>
            <w:r>
              <w:rPr>
                <w:rFonts w:hint="eastAsia" w:cs="宋体"/>
                <w:kern w:val="2"/>
                <w:sz w:val="24"/>
                <w:szCs w:val="24"/>
                <w:lang w:val="en-US" w:eastAsia="zh-CN"/>
              </w:rPr>
              <w:t>供应商</w:t>
            </w:r>
            <w:r>
              <w:rPr>
                <w:rFonts w:hint="eastAsia" w:ascii="宋体" w:hAnsi="宋体" w:eastAsia="宋体" w:cs="宋体"/>
                <w:kern w:val="2"/>
                <w:sz w:val="24"/>
                <w:szCs w:val="24"/>
              </w:rPr>
              <w:t>须知、</w:t>
            </w:r>
            <w:r>
              <w:rPr>
                <w:rFonts w:hint="eastAsia" w:cs="宋体"/>
                <w:kern w:val="2"/>
                <w:sz w:val="24"/>
                <w:szCs w:val="24"/>
                <w:lang w:val="en-US" w:eastAsia="zh-CN"/>
              </w:rPr>
              <w:t>评审办法</w:t>
            </w:r>
            <w:r>
              <w:rPr>
                <w:rFonts w:hint="eastAsia" w:ascii="宋体" w:hAnsi="宋体" w:eastAsia="宋体" w:cs="宋体"/>
                <w:kern w:val="2"/>
                <w:sz w:val="24"/>
                <w:szCs w:val="24"/>
              </w:rPr>
              <w:t>、</w:t>
            </w:r>
            <w:r>
              <w:rPr>
                <w:rFonts w:hint="eastAsia" w:cs="宋体"/>
                <w:kern w:val="2"/>
                <w:sz w:val="24"/>
                <w:szCs w:val="24"/>
                <w:lang w:eastAsia="zh-CN"/>
              </w:rPr>
              <w:t>响应文件</w:t>
            </w:r>
            <w:r>
              <w:rPr>
                <w:rFonts w:hint="eastAsia" w:ascii="宋体" w:hAnsi="宋体" w:eastAsia="宋体" w:cs="宋体"/>
                <w:kern w:val="2"/>
                <w:sz w:val="24"/>
                <w:szCs w:val="24"/>
              </w:rPr>
              <w:t>格式的先后顺序解释</w:t>
            </w:r>
            <w:r>
              <w:rPr>
                <w:rFonts w:hint="eastAsia" w:cs="宋体"/>
                <w:kern w:val="2"/>
                <w:sz w:val="24"/>
                <w:szCs w:val="24"/>
                <w:lang w:eastAsia="zh-CN"/>
              </w:rPr>
              <w:t>；</w:t>
            </w:r>
            <w:r>
              <w:rPr>
                <w:rFonts w:hint="eastAsia" w:ascii="宋体" w:hAnsi="宋体" w:eastAsia="宋体" w:cs="宋体"/>
                <w:kern w:val="2"/>
                <w:sz w:val="24"/>
                <w:szCs w:val="24"/>
              </w:rPr>
              <w:t>同一组成文件中就同一事项的规定或约定不一致的，以编排顺序在后者为准</w:t>
            </w:r>
            <w:r>
              <w:rPr>
                <w:rFonts w:hint="eastAsia" w:cs="宋体"/>
                <w:kern w:val="2"/>
                <w:sz w:val="24"/>
                <w:szCs w:val="24"/>
                <w:lang w:eastAsia="zh-CN"/>
              </w:rPr>
              <w:t>；</w:t>
            </w:r>
            <w:r>
              <w:rPr>
                <w:rFonts w:hint="eastAsia" w:ascii="宋体" w:hAnsi="宋体" w:eastAsia="宋体" w:cs="宋体"/>
                <w:kern w:val="2"/>
                <w:sz w:val="24"/>
                <w:szCs w:val="24"/>
              </w:rPr>
              <w:t>同一组成文件不同版本之间有不致的，以形成时间在后者为准。在符合相关法律法规的前题下，竞争性磋商文件的解释权归</w:t>
            </w:r>
            <w:r>
              <w:rPr>
                <w:rFonts w:hint="eastAsia" w:cs="宋体"/>
                <w:kern w:val="2"/>
                <w:sz w:val="24"/>
                <w:szCs w:val="24"/>
                <w:lang w:val="en-US" w:eastAsia="zh-CN"/>
              </w:rPr>
              <w:t>采购</w:t>
            </w:r>
            <w:r>
              <w:rPr>
                <w:rFonts w:hint="eastAsia" w:ascii="宋体" w:hAnsi="宋体" w:eastAsia="宋体" w:cs="宋体"/>
                <w:kern w:val="2"/>
                <w:sz w:val="24"/>
                <w:szCs w:val="24"/>
              </w:rPr>
              <w:t>人所有。</w:t>
            </w:r>
          </w:p>
        </w:tc>
      </w:tr>
      <w:tr w14:paraId="214AC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974" w:type="dxa"/>
            <w:noWrap w:val="0"/>
            <w:vAlign w:val="center"/>
          </w:tcPr>
          <w:p w14:paraId="344951D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color w:val="auto"/>
                <w:sz w:val="24"/>
                <w:szCs w:val="24"/>
                <w:highlight w:val="none"/>
                <w:lang w:val="en-US" w:eastAsia="zh-CN"/>
              </w:rPr>
            </w:pPr>
            <w:r>
              <w:rPr>
                <w:rFonts w:hint="eastAsia"/>
                <w:color w:val="auto"/>
                <w:sz w:val="24"/>
                <w:szCs w:val="24"/>
                <w:highlight w:val="none"/>
                <w:lang w:val="en-US" w:eastAsia="zh-CN"/>
              </w:rPr>
              <w:t>10.5</w:t>
            </w:r>
          </w:p>
        </w:tc>
        <w:tc>
          <w:tcPr>
            <w:tcW w:w="8519" w:type="dxa"/>
            <w:gridSpan w:val="2"/>
            <w:noWrap w:val="0"/>
            <w:vAlign w:val="center"/>
          </w:tcPr>
          <w:p w14:paraId="7A191E0A">
            <w:pPr>
              <w:spacing w:line="360" w:lineRule="auto"/>
              <w:rPr>
                <w:rFonts w:hint="eastAsia"/>
                <w:sz w:val="24"/>
                <w:szCs w:val="24"/>
              </w:rPr>
            </w:pPr>
            <w:r>
              <w:rPr>
                <w:rFonts w:hint="eastAsia"/>
                <w:sz w:val="24"/>
                <w:szCs w:val="24"/>
              </w:rPr>
              <w:t>1.成交人与采购人签订合同后，将合同副本原件报采购代理机构备案。</w:t>
            </w:r>
          </w:p>
          <w:p w14:paraId="7FD1AAFA">
            <w:pPr>
              <w:spacing w:line="360" w:lineRule="auto"/>
              <w:rPr>
                <w:rFonts w:hint="eastAsia"/>
                <w:sz w:val="24"/>
                <w:szCs w:val="24"/>
              </w:rPr>
            </w:pPr>
            <w:r>
              <w:rPr>
                <w:rFonts w:hint="eastAsia"/>
                <w:sz w:val="24"/>
                <w:szCs w:val="24"/>
              </w:rPr>
              <w:t>2.供应商认为采购文件、采购过程和成交结果使自己的权益受到损害的, 可以在知道或者应知其权益受到损害之日起七个工作日内，按照政府采购质疑和投诉办法（中华人民共和国财政部令94号）以书面形式向采购人或采购代理机构提出质疑（邮寄件、传真件不予受理），逾期不再接收。</w:t>
            </w:r>
          </w:p>
          <w:p w14:paraId="22EF584D">
            <w:pPr>
              <w:spacing w:line="360" w:lineRule="auto"/>
              <w:rPr>
                <w:rFonts w:hint="eastAsia"/>
                <w:sz w:val="24"/>
                <w:szCs w:val="24"/>
              </w:rPr>
            </w:pPr>
            <w:r>
              <w:rPr>
                <w:rFonts w:hint="eastAsia"/>
                <w:sz w:val="24"/>
                <w:szCs w:val="24"/>
              </w:rPr>
              <w:t>接收质疑函联系部门：</w:t>
            </w:r>
            <w:r>
              <w:rPr>
                <w:rFonts w:hint="eastAsia"/>
                <w:sz w:val="24"/>
                <w:szCs w:val="24"/>
                <w:lang w:eastAsia="zh-CN"/>
              </w:rPr>
              <w:t>河南省亿达工程管理咨询有限公司</w:t>
            </w:r>
            <w:r>
              <w:rPr>
                <w:rFonts w:hint="eastAsia"/>
                <w:sz w:val="24"/>
                <w:szCs w:val="24"/>
              </w:rPr>
              <w:t>,</w:t>
            </w:r>
          </w:p>
          <w:p w14:paraId="50AB902B">
            <w:pPr>
              <w:spacing w:line="360" w:lineRule="auto"/>
              <w:rPr>
                <w:rFonts w:hint="eastAsia"/>
                <w:sz w:val="24"/>
                <w:szCs w:val="24"/>
                <w:highlight w:val="none"/>
              </w:rPr>
            </w:pPr>
            <w:r>
              <w:rPr>
                <w:rFonts w:hint="eastAsia"/>
                <w:sz w:val="24"/>
                <w:szCs w:val="24"/>
              </w:rPr>
              <w:t>联系</w:t>
            </w:r>
            <w:r>
              <w:rPr>
                <w:rFonts w:hint="eastAsia"/>
                <w:sz w:val="24"/>
                <w:szCs w:val="24"/>
                <w:highlight w:val="none"/>
              </w:rPr>
              <w:t>电话：</w:t>
            </w:r>
            <w:r>
              <w:rPr>
                <w:rFonts w:hint="eastAsia"/>
                <w:sz w:val="24"/>
                <w:szCs w:val="24"/>
                <w:highlight w:val="none"/>
                <w:lang w:val="en-US" w:eastAsia="zh-CN"/>
              </w:rPr>
              <w:t>13373967077</w:t>
            </w:r>
            <w:r>
              <w:rPr>
                <w:rFonts w:hint="eastAsia"/>
                <w:sz w:val="24"/>
                <w:szCs w:val="24"/>
                <w:highlight w:val="none"/>
              </w:rPr>
              <w:t>，</w:t>
            </w:r>
          </w:p>
          <w:p w14:paraId="4DF3E317">
            <w:pPr>
              <w:spacing w:line="360" w:lineRule="auto"/>
              <w:rPr>
                <w:rFonts w:hint="eastAsia"/>
                <w:sz w:val="24"/>
                <w:szCs w:val="24"/>
                <w:highlight w:val="none"/>
              </w:rPr>
            </w:pPr>
            <w:r>
              <w:rPr>
                <w:rFonts w:hint="eastAsia"/>
                <w:sz w:val="24"/>
                <w:szCs w:val="24"/>
                <w:highlight w:val="none"/>
              </w:rPr>
              <w:t>通讯地址：</w:t>
            </w:r>
            <w:r>
              <w:rPr>
                <w:rFonts w:hint="eastAsia"/>
                <w:sz w:val="24"/>
                <w:szCs w:val="24"/>
                <w:highlight w:val="none"/>
                <w:lang w:eastAsia="zh-CN"/>
              </w:rPr>
              <w:t>郑州市青年路与玉凤路交叉口升龙环球大厦C座26楼</w:t>
            </w:r>
            <w:r>
              <w:rPr>
                <w:rFonts w:hint="eastAsia"/>
                <w:sz w:val="24"/>
                <w:szCs w:val="24"/>
                <w:highlight w:val="none"/>
              </w:rPr>
              <w:t>。</w:t>
            </w:r>
          </w:p>
          <w:p w14:paraId="64AB7E56">
            <w:pPr>
              <w:spacing w:line="360" w:lineRule="auto"/>
              <w:rPr>
                <w:rFonts w:hint="eastAsia"/>
                <w:sz w:val="24"/>
                <w:szCs w:val="24"/>
                <w:highlight w:val="none"/>
              </w:rPr>
            </w:pPr>
            <w:r>
              <w:rPr>
                <w:rFonts w:hint="eastAsia"/>
                <w:sz w:val="24"/>
                <w:szCs w:val="24"/>
                <w:highlight w:val="none"/>
              </w:rPr>
              <w:t>在法定质疑期内供应商针对同一采购程序环节的质疑应当一次性提出。</w:t>
            </w:r>
          </w:p>
          <w:p w14:paraId="095EC4CF">
            <w:pPr>
              <w:spacing w:line="360" w:lineRule="auto"/>
              <w:rPr>
                <w:rFonts w:hint="eastAsia"/>
                <w:sz w:val="24"/>
                <w:szCs w:val="24"/>
                <w:highlight w:val="none"/>
                <w:lang w:val="en-US" w:eastAsia="zh-CN"/>
              </w:rPr>
            </w:pPr>
            <w:r>
              <w:rPr>
                <w:rFonts w:hint="eastAsia"/>
                <w:sz w:val="24"/>
                <w:szCs w:val="24"/>
                <w:highlight w:val="none"/>
                <w:lang w:val="en-US" w:eastAsia="zh-CN"/>
              </w:rPr>
              <w:t>3.采购资金的支付方式、时间（付款方式）：按工程进度支付。</w:t>
            </w:r>
          </w:p>
          <w:p w14:paraId="448398AE">
            <w:pPr>
              <w:spacing w:line="360" w:lineRule="auto"/>
              <w:rPr>
                <w:rFonts w:hint="eastAsia"/>
                <w:sz w:val="24"/>
                <w:szCs w:val="24"/>
                <w:highlight w:val="none"/>
                <w:lang w:val="en-US" w:eastAsia="zh-CN"/>
              </w:rPr>
            </w:pPr>
            <w:r>
              <w:rPr>
                <w:rFonts w:hint="eastAsia"/>
                <w:sz w:val="24"/>
                <w:szCs w:val="24"/>
                <w:highlight w:val="none"/>
                <w:lang w:val="en-US" w:eastAsia="zh-CN"/>
              </w:rPr>
              <w:t>4.履约验收要求：合格，符合磋商文件及响应文件要求，满足采购人需求。</w:t>
            </w:r>
          </w:p>
          <w:p w14:paraId="4D85B0F2">
            <w:pPr>
              <w:spacing w:line="360" w:lineRule="auto"/>
              <w:rPr>
                <w:rFonts w:hint="default"/>
                <w:sz w:val="24"/>
                <w:szCs w:val="24"/>
                <w:lang w:val="en-US" w:eastAsia="zh-CN"/>
              </w:rPr>
            </w:pPr>
            <w:r>
              <w:rPr>
                <w:rFonts w:hint="eastAsia"/>
                <w:sz w:val="24"/>
                <w:szCs w:val="24"/>
                <w:lang w:val="en-US" w:eastAsia="zh-CN"/>
              </w:rPr>
              <w:t>5.为落实河南省财政厅关于印发深入推进政府采购合同融资工作实施方案的通知（豫财办﹝2020﹞33号），成交供应商可以持政府采购合同向融资机构申请贷款，具体详见附件。</w:t>
            </w:r>
          </w:p>
        </w:tc>
      </w:tr>
      <w:tr w14:paraId="0AA46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74" w:type="dxa"/>
            <w:noWrap w:val="0"/>
            <w:vAlign w:val="center"/>
          </w:tcPr>
          <w:p w14:paraId="33AD291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color w:val="auto"/>
                <w:sz w:val="24"/>
                <w:szCs w:val="24"/>
                <w:highlight w:val="none"/>
                <w:lang w:val="en-US" w:eastAsia="zh-CN"/>
              </w:rPr>
            </w:pPr>
            <w:r>
              <w:rPr>
                <w:rFonts w:hint="eastAsia"/>
                <w:color w:val="auto"/>
                <w:sz w:val="24"/>
                <w:szCs w:val="24"/>
                <w:highlight w:val="none"/>
                <w:lang w:val="en-US" w:eastAsia="zh-CN"/>
              </w:rPr>
              <w:t>10.6</w:t>
            </w:r>
          </w:p>
        </w:tc>
        <w:tc>
          <w:tcPr>
            <w:tcW w:w="8519" w:type="dxa"/>
            <w:gridSpan w:val="2"/>
            <w:noWrap w:val="0"/>
            <w:vAlign w:val="center"/>
          </w:tcPr>
          <w:p w14:paraId="71F25233">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代理服务费：</w:t>
            </w:r>
          </w:p>
          <w:p w14:paraId="26B3BD05">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1.收取标准</w:t>
            </w:r>
            <w:r>
              <w:rPr>
                <w:rFonts w:hint="eastAsia" w:ascii="宋体" w:hAnsi="宋体" w:eastAsia="宋体" w:cs="宋体"/>
                <w:sz w:val="24"/>
                <w:szCs w:val="24"/>
                <w:highlight w:val="none"/>
                <w:lang w:val="en-US" w:eastAsia="zh-CN"/>
              </w:rPr>
              <w:t>：参考河南省普通公路养护工程预算编制办法招标代理服务费计费标准（豫交文[2021]76号）规定的收费标准计算。</w:t>
            </w:r>
          </w:p>
          <w:p w14:paraId="5EA05105">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2.收取方式：成交人在领取通知书时，以现金或转账的方式一次性向代理机构交纳代理服务费。</w:t>
            </w:r>
          </w:p>
        </w:tc>
      </w:tr>
      <w:tr w14:paraId="46745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7C64484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color w:val="auto"/>
                <w:sz w:val="24"/>
                <w:szCs w:val="24"/>
                <w:highlight w:val="none"/>
                <w:lang w:val="en-US" w:eastAsia="zh-CN"/>
              </w:rPr>
            </w:pPr>
            <w:r>
              <w:rPr>
                <w:rFonts w:hint="eastAsia"/>
                <w:color w:val="auto"/>
                <w:sz w:val="24"/>
                <w:szCs w:val="24"/>
                <w:highlight w:val="none"/>
                <w:lang w:val="en-US" w:eastAsia="zh-CN"/>
              </w:rPr>
              <w:t>10.7</w:t>
            </w:r>
          </w:p>
        </w:tc>
        <w:tc>
          <w:tcPr>
            <w:tcW w:w="8519" w:type="dxa"/>
            <w:gridSpan w:val="2"/>
            <w:noWrap w:val="0"/>
            <w:vAlign w:val="center"/>
          </w:tcPr>
          <w:p w14:paraId="080301B3">
            <w:pPr>
              <w:keepNext w:val="0"/>
              <w:keepLines w:val="0"/>
              <w:pageBreakBefore w:val="0"/>
              <w:widowControl w:val="0"/>
              <w:kinsoku/>
              <w:overflowPunct/>
              <w:autoSpaceDE/>
              <w:autoSpaceDN/>
              <w:bidi w:val="0"/>
              <w:adjustRightInd/>
              <w:snapToGrid/>
              <w:spacing w:line="24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农民工工资保证金：供应商应按照豫人社规｛2022｝4号文件。</w:t>
            </w:r>
          </w:p>
        </w:tc>
      </w:tr>
      <w:tr w14:paraId="0021D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36B14A1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10.8</w:t>
            </w:r>
          </w:p>
        </w:tc>
        <w:tc>
          <w:tcPr>
            <w:tcW w:w="8519" w:type="dxa"/>
            <w:gridSpan w:val="2"/>
            <w:noWrap w:val="0"/>
            <w:vAlign w:val="center"/>
          </w:tcPr>
          <w:p w14:paraId="284534E3">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color w:val="auto"/>
                <w:sz w:val="24"/>
                <w:szCs w:val="24"/>
                <w:highlight w:val="none"/>
                <w:lang w:val="en-US" w:eastAsia="zh-CN"/>
              </w:rPr>
              <w:t>中小企业划分标准所属行业：建筑业。</w:t>
            </w:r>
          </w:p>
        </w:tc>
      </w:tr>
    </w:tbl>
    <w:p w14:paraId="4BC037C7">
      <w:pPr>
        <w:pStyle w:val="3"/>
        <w:numPr>
          <w:ilvl w:val="0"/>
          <w:numId w:val="4"/>
        </w:numPr>
        <w:bidi w:val="0"/>
        <w:jc w:val="center"/>
        <w:rPr>
          <w:rFonts w:hint="eastAsia" w:ascii="宋体" w:hAnsi="宋体" w:eastAsia="宋体" w:cs="宋体"/>
          <w:b/>
          <w:bCs w:val="0"/>
          <w:color w:val="auto"/>
          <w:kern w:val="2"/>
          <w:szCs w:val="24"/>
          <w:highlight w:val="none"/>
          <w:lang w:val="en-US" w:eastAsia="zh-CN" w:bidi="ar-SA"/>
        </w:rPr>
      </w:pPr>
      <w:r>
        <w:rPr>
          <w:rFonts w:hint="eastAsia" w:ascii="宋体" w:hAnsi="宋体" w:eastAsia="宋体" w:cs="Times New Roman"/>
          <w:b/>
          <w:bCs w:val="0"/>
          <w:color w:val="auto"/>
          <w:kern w:val="2"/>
          <w:szCs w:val="24"/>
          <w:highlight w:val="none"/>
          <w:lang w:val="en-US" w:eastAsia="zh-CN" w:bidi="ar-SA"/>
        </w:rPr>
        <w:br w:type="page"/>
      </w:r>
      <w:r>
        <w:rPr>
          <w:rFonts w:hint="eastAsia"/>
          <w:lang w:val="en-US" w:eastAsia="zh-CN"/>
        </w:rPr>
        <w:t xml:space="preserve"> </w:t>
      </w:r>
      <w:bookmarkStart w:id="15" w:name="_Toc32713"/>
      <w:bookmarkStart w:id="16" w:name="_Toc29288"/>
      <w:bookmarkStart w:id="17" w:name="_Toc20924"/>
      <w:bookmarkStart w:id="18" w:name="_Toc9901"/>
      <w:bookmarkStart w:id="19" w:name="_Toc12193"/>
      <w:r>
        <w:rPr>
          <w:rFonts w:hint="eastAsia"/>
          <w:lang w:val="en-US" w:eastAsia="zh-CN"/>
        </w:rPr>
        <w:t>总则</w:t>
      </w:r>
      <w:bookmarkEnd w:id="12"/>
      <w:bookmarkEnd w:id="13"/>
      <w:bookmarkEnd w:id="14"/>
      <w:bookmarkEnd w:id="15"/>
      <w:bookmarkEnd w:id="16"/>
      <w:bookmarkEnd w:id="17"/>
      <w:bookmarkEnd w:id="18"/>
      <w:bookmarkEnd w:id="19"/>
    </w:p>
    <w:p w14:paraId="3DBB0AE3">
      <w:pPr>
        <w:pStyle w:val="4"/>
        <w:numPr>
          <w:ilvl w:val="1"/>
          <w:numId w:val="5"/>
        </w:numPr>
        <w:spacing w:before="0" w:after="0" w:line="360" w:lineRule="auto"/>
        <w:jc w:val="left"/>
        <w:rPr>
          <w:rFonts w:hint="eastAsia" w:ascii="宋体" w:hAnsi="宋体" w:eastAsia="宋体" w:cs="宋体"/>
          <w:b/>
          <w:bCs w:val="0"/>
          <w:color w:val="auto"/>
          <w:sz w:val="24"/>
          <w:szCs w:val="24"/>
          <w:highlight w:val="none"/>
        </w:rPr>
      </w:pPr>
      <w:bookmarkStart w:id="20" w:name="_Toc27089"/>
      <w:bookmarkStart w:id="21" w:name="_Toc462934274"/>
      <w:bookmarkStart w:id="22" w:name="_Toc428276569"/>
      <w:bookmarkStart w:id="23" w:name="_Toc277149365"/>
      <w:bookmarkStart w:id="24" w:name="_Toc463011253"/>
      <w:bookmarkStart w:id="25" w:name="_Toc428351629"/>
      <w:bookmarkStart w:id="26" w:name="_Toc13394"/>
      <w:bookmarkStart w:id="27" w:name="_Toc454788009"/>
      <w:bookmarkStart w:id="28" w:name="_Toc25531"/>
      <w:bookmarkStart w:id="29" w:name="_Toc455678100"/>
      <w:r>
        <w:rPr>
          <w:rFonts w:hint="eastAsia" w:ascii="宋体" w:hAnsi="宋体" w:eastAsia="宋体" w:cs="宋体"/>
          <w:b/>
          <w:bCs w:val="0"/>
          <w:color w:val="auto"/>
          <w:sz w:val="24"/>
          <w:szCs w:val="24"/>
          <w:highlight w:val="none"/>
        </w:rPr>
        <w:t>项目概况</w:t>
      </w:r>
      <w:bookmarkEnd w:id="20"/>
      <w:bookmarkEnd w:id="21"/>
      <w:bookmarkEnd w:id="22"/>
      <w:bookmarkEnd w:id="23"/>
      <w:bookmarkEnd w:id="24"/>
      <w:bookmarkEnd w:id="25"/>
      <w:bookmarkEnd w:id="26"/>
      <w:bookmarkEnd w:id="27"/>
      <w:bookmarkEnd w:id="28"/>
      <w:bookmarkEnd w:id="29"/>
    </w:p>
    <w:p w14:paraId="3624C5C9">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w:t>
      </w:r>
      <w:r>
        <w:rPr>
          <w:rFonts w:hint="eastAsia" w:ascii="宋体" w:hAnsi="宋体" w:eastAsia="宋体" w:cs="宋体"/>
          <w:color w:val="auto"/>
          <w:sz w:val="24"/>
          <w:szCs w:val="24"/>
          <w:highlight w:val="none"/>
          <w:lang w:eastAsia="zh-CN"/>
        </w:rPr>
        <w:t>实施条例</w:t>
      </w:r>
      <w:r>
        <w:rPr>
          <w:rFonts w:hint="eastAsia" w:ascii="宋体" w:hAnsi="宋体" w:eastAsia="宋体" w:cs="宋体"/>
          <w:color w:val="auto"/>
          <w:sz w:val="24"/>
          <w:szCs w:val="24"/>
          <w:highlight w:val="none"/>
        </w:rPr>
        <w:t>》等有关法律、法规和规章的规定，本采购项目已具备竞争性磋商条件，现对本项目进行</w:t>
      </w:r>
      <w:r>
        <w:rPr>
          <w:rFonts w:hint="eastAsia" w:ascii="宋体" w:hAnsi="宋体" w:eastAsia="宋体" w:cs="宋体"/>
          <w:color w:val="auto"/>
          <w:sz w:val="24"/>
          <w:szCs w:val="24"/>
          <w:highlight w:val="none"/>
          <w:lang w:eastAsia="zh-CN"/>
        </w:rPr>
        <w:t>竞争性磋商</w:t>
      </w:r>
      <w:r>
        <w:rPr>
          <w:rFonts w:hint="eastAsia" w:ascii="宋体" w:hAnsi="宋体" w:eastAsia="宋体" w:cs="宋体"/>
          <w:color w:val="auto"/>
          <w:sz w:val="24"/>
          <w:szCs w:val="24"/>
          <w:highlight w:val="none"/>
        </w:rPr>
        <w:t>。</w:t>
      </w:r>
    </w:p>
    <w:p w14:paraId="73763893">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w:t>
      </w:r>
      <w:r>
        <w:rPr>
          <w:rFonts w:hint="eastAsia" w:ascii="宋体" w:hAnsi="宋体" w:eastAsia="宋体" w:cs="宋体"/>
          <w:color w:val="auto"/>
          <w:sz w:val="24"/>
          <w:szCs w:val="24"/>
          <w:highlight w:val="none"/>
          <w:lang w:eastAsia="zh-CN"/>
        </w:rPr>
        <w:t>供应商须知前附表</w:t>
      </w:r>
      <w:r>
        <w:rPr>
          <w:rFonts w:hint="eastAsia" w:ascii="宋体" w:hAnsi="宋体" w:eastAsia="宋体" w:cs="宋体"/>
          <w:color w:val="auto"/>
          <w:sz w:val="24"/>
          <w:szCs w:val="24"/>
          <w:highlight w:val="none"/>
        </w:rPr>
        <w:t>中所述的，依法进行政府采购的国家机关、事业单位、团体组织。</w:t>
      </w:r>
    </w:p>
    <w:p w14:paraId="2C5892EF">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采购代理机构：受采购人委托组织采购活动，在采购过程中负有相应责任的社会中介组织。</w:t>
      </w:r>
    </w:p>
    <w:p w14:paraId="3529B664">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采购方式：见</w:t>
      </w:r>
      <w:r>
        <w:rPr>
          <w:rFonts w:hint="eastAsia" w:ascii="宋体" w:hAnsi="宋体" w:eastAsia="宋体" w:cs="宋体"/>
          <w:color w:val="auto"/>
          <w:sz w:val="24"/>
          <w:szCs w:val="24"/>
          <w:highlight w:val="none"/>
          <w:lang w:eastAsia="zh-CN"/>
        </w:rPr>
        <w:t>供应商须知前附表</w:t>
      </w:r>
      <w:r>
        <w:rPr>
          <w:rFonts w:hint="eastAsia" w:ascii="宋体" w:hAnsi="宋体" w:eastAsia="宋体" w:cs="宋体"/>
          <w:color w:val="auto"/>
          <w:sz w:val="24"/>
          <w:szCs w:val="24"/>
          <w:highlight w:val="none"/>
        </w:rPr>
        <w:t>。</w:t>
      </w:r>
    </w:p>
    <w:p w14:paraId="02E2A1F7">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lang w:eastAsia="zh-CN"/>
        </w:rPr>
        <w:t>及采购编号</w:t>
      </w:r>
      <w:r>
        <w:rPr>
          <w:rFonts w:hint="eastAsia" w:ascii="宋体" w:hAnsi="宋体" w:eastAsia="宋体" w:cs="宋体"/>
          <w:color w:val="auto"/>
          <w:sz w:val="24"/>
          <w:szCs w:val="24"/>
          <w:highlight w:val="none"/>
        </w:rPr>
        <w:t>：见</w:t>
      </w:r>
      <w:r>
        <w:rPr>
          <w:rFonts w:hint="eastAsia" w:ascii="宋体" w:hAnsi="宋体" w:eastAsia="宋体" w:cs="宋体"/>
          <w:color w:val="auto"/>
          <w:sz w:val="24"/>
          <w:szCs w:val="24"/>
          <w:highlight w:val="none"/>
          <w:lang w:eastAsia="zh-CN"/>
        </w:rPr>
        <w:t>供应商须知前附表</w:t>
      </w:r>
      <w:r>
        <w:rPr>
          <w:rFonts w:hint="eastAsia" w:ascii="宋体" w:hAnsi="宋体" w:eastAsia="宋体" w:cs="宋体"/>
          <w:color w:val="auto"/>
          <w:sz w:val="24"/>
          <w:szCs w:val="24"/>
          <w:highlight w:val="none"/>
        </w:rPr>
        <w:t>。</w:t>
      </w:r>
    </w:p>
    <w:p w14:paraId="714EDA44">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建设</w:t>
      </w:r>
      <w:r>
        <w:rPr>
          <w:rFonts w:hint="eastAsia" w:ascii="宋体" w:hAnsi="宋体" w:eastAsia="宋体" w:cs="宋体"/>
          <w:color w:val="auto"/>
          <w:sz w:val="24"/>
          <w:szCs w:val="24"/>
          <w:highlight w:val="none"/>
        </w:rPr>
        <w:t>地点：见</w:t>
      </w:r>
      <w:r>
        <w:rPr>
          <w:rFonts w:hint="eastAsia" w:ascii="宋体" w:hAnsi="宋体" w:eastAsia="宋体" w:cs="宋体"/>
          <w:color w:val="auto"/>
          <w:sz w:val="24"/>
          <w:szCs w:val="24"/>
          <w:highlight w:val="none"/>
          <w:lang w:eastAsia="zh-CN"/>
        </w:rPr>
        <w:t>供应商须知前附表</w:t>
      </w:r>
      <w:r>
        <w:rPr>
          <w:rFonts w:hint="eastAsia" w:ascii="宋体" w:hAnsi="宋体" w:eastAsia="宋体" w:cs="宋体"/>
          <w:color w:val="auto"/>
          <w:sz w:val="24"/>
          <w:szCs w:val="24"/>
          <w:highlight w:val="none"/>
        </w:rPr>
        <w:t>。</w:t>
      </w:r>
    </w:p>
    <w:p w14:paraId="73BBB19A">
      <w:pPr>
        <w:pStyle w:val="4"/>
        <w:numPr>
          <w:ilvl w:val="1"/>
          <w:numId w:val="5"/>
        </w:numPr>
        <w:spacing w:before="0" w:after="0" w:line="360" w:lineRule="auto"/>
        <w:jc w:val="left"/>
        <w:rPr>
          <w:rFonts w:hint="eastAsia" w:ascii="宋体" w:hAnsi="宋体" w:eastAsia="宋体" w:cs="宋体"/>
          <w:b/>
          <w:bCs w:val="0"/>
          <w:color w:val="auto"/>
          <w:sz w:val="24"/>
          <w:szCs w:val="24"/>
          <w:highlight w:val="none"/>
        </w:rPr>
      </w:pPr>
      <w:bookmarkStart w:id="30" w:name="_Toc270604804"/>
      <w:bookmarkStart w:id="31" w:name="_Toc428276570"/>
      <w:bookmarkStart w:id="32" w:name="_Toc277149366"/>
      <w:bookmarkStart w:id="33" w:name="_Toc29176"/>
      <w:bookmarkStart w:id="34" w:name="_Toc463011254"/>
      <w:bookmarkStart w:id="35" w:name="_Toc13259"/>
      <w:bookmarkStart w:id="36" w:name="_Toc19738"/>
      <w:bookmarkStart w:id="37" w:name="_Toc454788010"/>
      <w:bookmarkStart w:id="38" w:name="_Toc270604577"/>
      <w:bookmarkStart w:id="39" w:name="_Toc455678101"/>
      <w:bookmarkStart w:id="40" w:name="_Toc462934275"/>
      <w:bookmarkStart w:id="41" w:name="_Toc428351630"/>
      <w:bookmarkStart w:id="42" w:name="_Toc269470296"/>
      <w:r>
        <w:rPr>
          <w:rFonts w:hint="eastAsia" w:ascii="宋体" w:hAnsi="宋体" w:eastAsia="宋体" w:cs="宋体"/>
          <w:b/>
          <w:bCs w:val="0"/>
          <w:color w:val="auto"/>
          <w:sz w:val="24"/>
          <w:szCs w:val="24"/>
          <w:highlight w:val="none"/>
        </w:rPr>
        <w:t>资金来源和落实情况</w:t>
      </w:r>
      <w:bookmarkEnd w:id="30"/>
      <w:bookmarkEnd w:id="31"/>
      <w:bookmarkEnd w:id="32"/>
      <w:bookmarkEnd w:id="33"/>
      <w:bookmarkEnd w:id="34"/>
      <w:bookmarkEnd w:id="35"/>
      <w:bookmarkEnd w:id="36"/>
      <w:bookmarkEnd w:id="37"/>
      <w:bookmarkEnd w:id="38"/>
      <w:bookmarkEnd w:id="39"/>
      <w:bookmarkEnd w:id="40"/>
      <w:bookmarkEnd w:id="41"/>
      <w:bookmarkEnd w:id="42"/>
    </w:p>
    <w:p w14:paraId="1261B195">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资金来源：见</w:t>
      </w:r>
      <w:r>
        <w:rPr>
          <w:rFonts w:hint="eastAsia" w:ascii="宋体" w:hAnsi="宋体" w:eastAsia="宋体" w:cs="宋体"/>
          <w:color w:val="auto"/>
          <w:sz w:val="24"/>
          <w:szCs w:val="24"/>
          <w:highlight w:val="none"/>
          <w:lang w:eastAsia="zh-CN"/>
        </w:rPr>
        <w:t>供应商须知前附表</w:t>
      </w:r>
      <w:r>
        <w:rPr>
          <w:rFonts w:hint="eastAsia" w:ascii="宋体" w:hAnsi="宋体" w:eastAsia="宋体" w:cs="宋体"/>
          <w:color w:val="auto"/>
          <w:sz w:val="24"/>
          <w:szCs w:val="24"/>
          <w:highlight w:val="none"/>
        </w:rPr>
        <w:t>。</w:t>
      </w:r>
    </w:p>
    <w:p w14:paraId="69187AC6">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资金落实情况：见</w:t>
      </w:r>
      <w:r>
        <w:rPr>
          <w:rFonts w:hint="eastAsia" w:ascii="宋体" w:hAnsi="宋体" w:eastAsia="宋体" w:cs="宋体"/>
          <w:color w:val="auto"/>
          <w:sz w:val="24"/>
          <w:szCs w:val="24"/>
          <w:highlight w:val="none"/>
          <w:lang w:eastAsia="zh-CN"/>
        </w:rPr>
        <w:t>供应商须知前附表</w:t>
      </w:r>
      <w:r>
        <w:rPr>
          <w:rFonts w:hint="eastAsia" w:ascii="宋体" w:hAnsi="宋体" w:eastAsia="宋体" w:cs="宋体"/>
          <w:color w:val="auto"/>
          <w:sz w:val="24"/>
          <w:szCs w:val="24"/>
          <w:highlight w:val="none"/>
        </w:rPr>
        <w:t>。</w:t>
      </w:r>
    </w:p>
    <w:p w14:paraId="07FAC727">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采购预算金额：见</w:t>
      </w:r>
      <w:r>
        <w:rPr>
          <w:rFonts w:hint="eastAsia" w:ascii="宋体" w:hAnsi="宋体" w:eastAsia="宋体" w:cs="宋体"/>
          <w:color w:val="auto"/>
          <w:sz w:val="24"/>
          <w:szCs w:val="24"/>
          <w:highlight w:val="none"/>
          <w:lang w:eastAsia="zh-CN"/>
        </w:rPr>
        <w:t>供应商须知前附表</w:t>
      </w:r>
      <w:r>
        <w:rPr>
          <w:rFonts w:hint="eastAsia" w:ascii="宋体" w:hAnsi="宋体" w:eastAsia="宋体" w:cs="宋体"/>
          <w:color w:val="auto"/>
          <w:sz w:val="24"/>
          <w:szCs w:val="24"/>
          <w:highlight w:val="none"/>
        </w:rPr>
        <w:t>。</w:t>
      </w:r>
    </w:p>
    <w:p w14:paraId="4CC21FD2">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采购项目性质：见</w:t>
      </w:r>
      <w:r>
        <w:rPr>
          <w:rFonts w:hint="eastAsia" w:ascii="宋体" w:hAnsi="宋体" w:eastAsia="宋体" w:cs="宋体"/>
          <w:color w:val="auto"/>
          <w:sz w:val="24"/>
          <w:szCs w:val="24"/>
          <w:highlight w:val="none"/>
          <w:lang w:eastAsia="zh-CN"/>
        </w:rPr>
        <w:t>供应商须知前附表</w:t>
      </w:r>
      <w:r>
        <w:rPr>
          <w:rFonts w:hint="eastAsia" w:ascii="宋体" w:hAnsi="宋体" w:eastAsia="宋体" w:cs="宋体"/>
          <w:color w:val="auto"/>
          <w:sz w:val="24"/>
          <w:szCs w:val="24"/>
          <w:highlight w:val="none"/>
        </w:rPr>
        <w:t>。</w:t>
      </w:r>
    </w:p>
    <w:p w14:paraId="45E97778">
      <w:pPr>
        <w:pStyle w:val="4"/>
        <w:numPr>
          <w:ilvl w:val="1"/>
          <w:numId w:val="5"/>
        </w:numPr>
        <w:spacing w:before="0" w:after="0" w:line="360" w:lineRule="auto"/>
        <w:jc w:val="left"/>
        <w:rPr>
          <w:rFonts w:hint="eastAsia" w:ascii="宋体" w:hAnsi="宋体" w:eastAsia="宋体" w:cs="宋体"/>
          <w:b/>
          <w:bCs w:val="0"/>
          <w:color w:val="auto"/>
          <w:sz w:val="24"/>
          <w:szCs w:val="24"/>
          <w:highlight w:val="none"/>
        </w:rPr>
      </w:pPr>
      <w:bookmarkStart w:id="43" w:name="_Toc462934276"/>
      <w:bookmarkStart w:id="44" w:name="_Toc428276571"/>
      <w:bookmarkStart w:id="45" w:name="_Toc20155"/>
      <w:bookmarkStart w:id="46" w:name="_Toc428351631"/>
      <w:bookmarkStart w:id="47" w:name="_Toc270604578"/>
      <w:bookmarkStart w:id="48" w:name="_Toc270604805"/>
      <w:bookmarkStart w:id="49" w:name="_Toc9637"/>
      <w:bookmarkStart w:id="50" w:name="_Toc463011255"/>
      <w:bookmarkStart w:id="51" w:name="_Toc455678102"/>
      <w:bookmarkStart w:id="52" w:name="_Toc74"/>
      <w:bookmarkStart w:id="53" w:name="_Toc454788011"/>
      <w:bookmarkStart w:id="54" w:name="_Toc269470297"/>
      <w:bookmarkStart w:id="55" w:name="_Toc277149367"/>
      <w:r>
        <w:rPr>
          <w:rFonts w:hint="eastAsia" w:ascii="宋体" w:hAnsi="宋体" w:eastAsia="宋体" w:cs="宋体"/>
          <w:b/>
          <w:bCs w:val="0"/>
          <w:color w:val="auto"/>
          <w:sz w:val="24"/>
          <w:szCs w:val="24"/>
          <w:highlight w:val="none"/>
        </w:rPr>
        <w:t>采购范围、</w:t>
      </w:r>
      <w:r>
        <w:rPr>
          <w:rFonts w:hint="eastAsia" w:ascii="宋体" w:hAnsi="宋体" w:eastAsia="宋体" w:cs="宋体"/>
          <w:b/>
          <w:bCs w:val="0"/>
          <w:color w:val="auto"/>
          <w:sz w:val="24"/>
          <w:szCs w:val="24"/>
          <w:highlight w:val="none"/>
          <w:lang w:eastAsia="zh-CN"/>
        </w:rPr>
        <w:t>计划工</w:t>
      </w:r>
      <w:r>
        <w:rPr>
          <w:rFonts w:hint="eastAsia" w:ascii="宋体" w:hAnsi="宋体" w:eastAsia="宋体" w:cs="宋体"/>
          <w:b/>
          <w:bCs w:val="0"/>
          <w:color w:val="auto"/>
          <w:sz w:val="24"/>
          <w:szCs w:val="24"/>
          <w:highlight w:val="none"/>
        </w:rPr>
        <w:t>期和质量</w:t>
      </w:r>
      <w:bookmarkEnd w:id="43"/>
      <w:bookmarkEnd w:id="44"/>
      <w:bookmarkEnd w:id="45"/>
      <w:bookmarkEnd w:id="46"/>
      <w:bookmarkEnd w:id="47"/>
      <w:bookmarkEnd w:id="48"/>
      <w:bookmarkEnd w:id="49"/>
      <w:bookmarkEnd w:id="50"/>
      <w:bookmarkEnd w:id="51"/>
      <w:bookmarkEnd w:id="52"/>
      <w:bookmarkEnd w:id="53"/>
      <w:bookmarkEnd w:id="54"/>
      <w:bookmarkEnd w:id="55"/>
      <w:r>
        <w:rPr>
          <w:rFonts w:hint="eastAsia" w:ascii="宋体" w:hAnsi="宋体" w:eastAsia="宋体" w:cs="宋体"/>
          <w:b/>
          <w:bCs w:val="0"/>
          <w:color w:val="auto"/>
          <w:sz w:val="24"/>
          <w:szCs w:val="24"/>
          <w:highlight w:val="none"/>
          <w:lang w:eastAsia="zh-CN"/>
        </w:rPr>
        <w:t>标准</w:t>
      </w:r>
    </w:p>
    <w:p w14:paraId="7563E43B">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采购范围：见</w:t>
      </w:r>
      <w:r>
        <w:rPr>
          <w:rFonts w:hint="eastAsia" w:ascii="宋体" w:hAnsi="宋体" w:eastAsia="宋体" w:cs="宋体"/>
          <w:color w:val="auto"/>
          <w:sz w:val="24"/>
          <w:szCs w:val="24"/>
          <w:highlight w:val="none"/>
          <w:lang w:eastAsia="zh-CN"/>
        </w:rPr>
        <w:t>供应商须知前附表</w:t>
      </w:r>
      <w:r>
        <w:rPr>
          <w:rFonts w:hint="eastAsia" w:ascii="宋体" w:hAnsi="宋体" w:eastAsia="宋体" w:cs="宋体"/>
          <w:color w:val="auto"/>
          <w:sz w:val="24"/>
          <w:szCs w:val="24"/>
          <w:highlight w:val="none"/>
        </w:rPr>
        <w:t>。</w:t>
      </w:r>
    </w:p>
    <w:p w14:paraId="7790C7A8">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计划工期</w:t>
      </w:r>
      <w:r>
        <w:rPr>
          <w:rFonts w:hint="eastAsia" w:ascii="宋体" w:hAnsi="宋体" w:eastAsia="宋体" w:cs="宋体"/>
          <w:color w:val="auto"/>
          <w:sz w:val="24"/>
          <w:szCs w:val="24"/>
          <w:highlight w:val="none"/>
        </w:rPr>
        <w:t>：见</w:t>
      </w:r>
      <w:r>
        <w:rPr>
          <w:rFonts w:hint="eastAsia" w:ascii="宋体" w:hAnsi="宋体" w:eastAsia="宋体" w:cs="宋体"/>
          <w:color w:val="auto"/>
          <w:sz w:val="24"/>
          <w:szCs w:val="24"/>
          <w:highlight w:val="none"/>
          <w:lang w:eastAsia="zh-CN"/>
        </w:rPr>
        <w:t>供应商须知前附表</w:t>
      </w:r>
      <w:r>
        <w:rPr>
          <w:rFonts w:hint="eastAsia" w:ascii="宋体" w:hAnsi="宋体" w:eastAsia="宋体" w:cs="宋体"/>
          <w:color w:val="auto"/>
          <w:sz w:val="24"/>
          <w:szCs w:val="24"/>
          <w:highlight w:val="none"/>
        </w:rPr>
        <w:t>。</w:t>
      </w:r>
    </w:p>
    <w:p w14:paraId="74D68DFB">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w:t>
      </w:r>
      <w:r>
        <w:rPr>
          <w:rFonts w:hint="eastAsia" w:ascii="宋体" w:hAnsi="宋体" w:eastAsia="宋体" w:cs="宋体"/>
          <w:color w:val="auto"/>
          <w:sz w:val="24"/>
          <w:szCs w:val="24"/>
          <w:highlight w:val="none"/>
          <w:lang w:eastAsia="zh-CN"/>
        </w:rPr>
        <w:t>标准</w:t>
      </w:r>
      <w:r>
        <w:rPr>
          <w:rFonts w:hint="eastAsia" w:ascii="宋体" w:hAnsi="宋体" w:eastAsia="宋体" w:cs="宋体"/>
          <w:color w:val="auto"/>
          <w:sz w:val="24"/>
          <w:szCs w:val="24"/>
          <w:highlight w:val="none"/>
        </w:rPr>
        <w:t>：见</w:t>
      </w:r>
      <w:r>
        <w:rPr>
          <w:rFonts w:hint="eastAsia" w:ascii="宋体" w:hAnsi="宋体" w:eastAsia="宋体" w:cs="宋体"/>
          <w:color w:val="auto"/>
          <w:sz w:val="24"/>
          <w:szCs w:val="24"/>
          <w:highlight w:val="none"/>
          <w:lang w:eastAsia="zh-CN"/>
        </w:rPr>
        <w:t>供应商须知前附表</w:t>
      </w:r>
      <w:r>
        <w:rPr>
          <w:rFonts w:hint="eastAsia" w:ascii="宋体" w:hAnsi="宋体" w:eastAsia="宋体" w:cs="宋体"/>
          <w:color w:val="auto"/>
          <w:sz w:val="24"/>
          <w:szCs w:val="24"/>
          <w:highlight w:val="none"/>
        </w:rPr>
        <w:t>。</w:t>
      </w:r>
    </w:p>
    <w:p w14:paraId="4818EC5E">
      <w:pPr>
        <w:pStyle w:val="4"/>
        <w:numPr>
          <w:ilvl w:val="1"/>
          <w:numId w:val="5"/>
        </w:numPr>
        <w:spacing w:before="0" w:after="0" w:line="360" w:lineRule="auto"/>
        <w:jc w:val="left"/>
        <w:rPr>
          <w:rFonts w:hint="eastAsia" w:ascii="宋体" w:hAnsi="宋体" w:eastAsia="宋体" w:cs="宋体"/>
          <w:b/>
          <w:bCs w:val="0"/>
          <w:color w:val="auto"/>
          <w:sz w:val="24"/>
          <w:szCs w:val="24"/>
          <w:highlight w:val="none"/>
        </w:rPr>
      </w:pPr>
      <w:bookmarkStart w:id="56" w:name="_Toc454788012"/>
      <w:bookmarkStart w:id="57" w:name="_Toc270604806"/>
      <w:bookmarkStart w:id="58" w:name="_Toc16958"/>
      <w:bookmarkStart w:id="59" w:name="_Toc6648"/>
      <w:bookmarkStart w:id="60" w:name="_Toc11519"/>
      <w:bookmarkStart w:id="61" w:name="_Toc269470298"/>
      <w:bookmarkStart w:id="62" w:name="_Toc270604579"/>
      <w:bookmarkStart w:id="63" w:name="_Toc277149368"/>
      <w:bookmarkStart w:id="64" w:name="_Toc462934277"/>
      <w:bookmarkStart w:id="65" w:name="_Toc455678103"/>
      <w:bookmarkStart w:id="66" w:name="_Toc463011256"/>
      <w:bookmarkStart w:id="67" w:name="_Toc428351632"/>
      <w:bookmarkStart w:id="68" w:name="_Toc428276572"/>
      <w:r>
        <w:rPr>
          <w:rFonts w:hint="eastAsia" w:ascii="宋体" w:hAnsi="宋体" w:eastAsia="宋体" w:cs="宋体"/>
          <w:b/>
          <w:bCs w:val="0"/>
          <w:color w:val="auto"/>
          <w:sz w:val="24"/>
          <w:szCs w:val="24"/>
          <w:highlight w:val="none"/>
          <w:lang w:eastAsia="zh-CN"/>
        </w:rPr>
        <w:t>供应商</w:t>
      </w:r>
      <w:r>
        <w:rPr>
          <w:rFonts w:hint="eastAsia" w:ascii="宋体" w:hAnsi="宋体" w:eastAsia="宋体" w:cs="宋体"/>
          <w:b/>
          <w:bCs w:val="0"/>
          <w:color w:val="auto"/>
          <w:sz w:val="24"/>
          <w:szCs w:val="24"/>
          <w:highlight w:val="none"/>
        </w:rPr>
        <w:t>资格要求</w:t>
      </w:r>
      <w:bookmarkEnd w:id="56"/>
      <w:bookmarkEnd w:id="57"/>
      <w:bookmarkEnd w:id="58"/>
      <w:bookmarkEnd w:id="59"/>
      <w:bookmarkEnd w:id="60"/>
      <w:bookmarkEnd w:id="61"/>
      <w:bookmarkEnd w:id="62"/>
      <w:bookmarkEnd w:id="63"/>
      <w:bookmarkEnd w:id="64"/>
      <w:bookmarkEnd w:id="65"/>
      <w:bookmarkEnd w:id="66"/>
      <w:bookmarkEnd w:id="67"/>
      <w:bookmarkEnd w:id="68"/>
    </w:p>
    <w:p w14:paraId="66463797">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供应商应具备的资格条件</w:t>
      </w:r>
    </w:p>
    <w:p w14:paraId="196C6AC4">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200" w:right="40" w:rightChars="0" w:firstLine="240" w:firstLineChars="1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见</w:t>
      </w:r>
      <w:r>
        <w:rPr>
          <w:rFonts w:hint="eastAsia" w:ascii="宋体" w:hAnsi="宋体" w:eastAsia="宋体" w:cs="宋体"/>
          <w:color w:val="auto"/>
          <w:kern w:val="0"/>
          <w:sz w:val="24"/>
          <w:szCs w:val="24"/>
          <w:highlight w:val="none"/>
          <w:lang w:eastAsia="zh-CN"/>
        </w:rPr>
        <w:t>供应商须知前附表1.4.1。</w:t>
      </w:r>
    </w:p>
    <w:p w14:paraId="377EF150">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本项目不接受联合体投标。</w:t>
      </w:r>
    </w:p>
    <w:p w14:paraId="7A8E5D3E">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供应商</w:t>
      </w:r>
      <w:r>
        <w:rPr>
          <w:rFonts w:hint="eastAsia" w:ascii="宋体" w:hAnsi="宋体" w:eastAsia="宋体" w:cs="宋体"/>
          <w:color w:val="000000"/>
          <w:sz w:val="24"/>
          <w:szCs w:val="24"/>
          <w:highlight w:val="none"/>
        </w:rPr>
        <w:t>不得存在下列情形之一：</w:t>
      </w:r>
    </w:p>
    <w:p w14:paraId="40E35C9E">
      <w:pPr>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与采购人存在利害关系且可能影响</w:t>
      </w:r>
      <w:r>
        <w:rPr>
          <w:rFonts w:hint="eastAsia" w:ascii="宋体" w:hAnsi="宋体" w:eastAsia="宋体" w:cs="宋体"/>
          <w:kern w:val="0"/>
          <w:sz w:val="24"/>
          <w:szCs w:val="24"/>
          <w:highlight w:val="none"/>
          <w:lang w:eastAsia="zh-CN"/>
        </w:rPr>
        <w:t>磋商</w:t>
      </w:r>
      <w:r>
        <w:rPr>
          <w:rFonts w:hint="eastAsia" w:ascii="宋体" w:hAnsi="宋体" w:eastAsia="宋体" w:cs="宋体"/>
          <w:kern w:val="0"/>
          <w:sz w:val="24"/>
          <w:szCs w:val="24"/>
          <w:highlight w:val="none"/>
        </w:rPr>
        <w:t>公正性；</w:t>
      </w:r>
    </w:p>
    <w:p w14:paraId="37197E0D">
      <w:pPr>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与本</w:t>
      </w:r>
      <w:r>
        <w:rPr>
          <w:rFonts w:hint="eastAsia" w:ascii="宋体" w:hAnsi="宋体" w:eastAsia="宋体" w:cs="宋体"/>
          <w:kern w:val="0"/>
          <w:sz w:val="24"/>
          <w:szCs w:val="24"/>
          <w:highlight w:val="none"/>
          <w:lang w:eastAsia="zh-CN"/>
        </w:rPr>
        <w:t>磋商项目</w:t>
      </w:r>
      <w:r>
        <w:rPr>
          <w:rFonts w:hint="eastAsia" w:ascii="宋体" w:hAnsi="宋体" w:eastAsia="宋体" w:cs="宋体"/>
          <w:kern w:val="0"/>
          <w:sz w:val="24"/>
          <w:szCs w:val="24"/>
          <w:highlight w:val="none"/>
        </w:rPr>
        <w:t>的其他</w:t>
      </w:r>
      <w:r>
        <w:rPr>
          <w:rFonts w:hint="eastAsia" w:ascii="宋体" w:hAnsi="宋体" w:eastAsia="宋体" w:cs="宋体"/>
          <w:kern w:val="0"/>
          <w:sz w:val="24"/>
          <w:szCs w:val="24"/>
          <w:highlight w:val="none"/>
          <w:lang w:eastAsia="zh-CN"/>
        </w:rPr>
        <w:t>供应商</w:t>
      </w:r>
      <w:r>
        <w:rPr>
          <w:rFonts w:hint="eastAsia" w:ascii="宋体" w:hAnsi="宋体" w:eastAsia="宋体" w:cs="宋体"/>
          <w:kern w:val="0"/>
          <w:sz w:val="24"/>
          <w:szCs w:val="24"/>
          <w:highlight w:val="none"/>
        </w:rPr>
        <w:t>为同一个单位负责人；</w:t>
      </w:r>
    </w:p>
    <w:p w14:paraId="3A7A7E9F">
      <w:pPr>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与本</w:t>
      </w:r>
      <w:r>
        <w:rPr>
          <w:rFonts w:hint="eastAsia" w:ascii="宋体" w:hAnsi="宋体" w:eastAsia="宋体" w:cs="宋体"/>
          <w:kern w:val="0"/>
          <w:sz w:val="24"/>
          <w:szCs w:val="24"/>
          <w:highlight w:val="none"/>
          <w:lang w:eastAsia="zh-CN"/>
        </w:rPr>
        <w:t>磋商项目</w:t>
      </w:r>
      <w:r>
        <w:rPr>
          <w:rFonts w:hint="eastAsia" w:ascii="宋体" w:hAnsi="宋体" w:eastAsia="宋体" w:cs="宋体"/>
          <w:kern w:val="0"/>
          <w:sz w:val="24"/>
          <w:szCs w:val="24"/>
          <w:highlight w:val="none"/>
        </w:rPr>
        <w:t>的其他</w:t>
      </w:r>
      <w:r>
        <w:rPr>
          <w:rFonts w:hint="eastAsia" w:ascii="宋体" w:hAnsi="宋体" w:eastAsia="宋体" w:cs="宋体"/>
          <w:kern w:val="0"/>
          <w:sz w:val="24"/>
          <w:szCs w:val="24"/>
          <w:highlight w:val="none"/>
          <w:lang w:eastAsia="zh-CN"/>
        </w:rPr>
        <w:t>供应商</w:t>
      </w:r>
      <w:r>
        <w:rPr>
          <w:rFonts w:hint="eastAsia" w:ascii="宋体" w:hAnsi="宋体" w:eastAsia="宋体" w:cs="宋体"/>
          <w:kern w:val="0"/>
          <w:sz w:val="24"/>
          <w:szCs w:val="24"/>
          <w:highlight w:val="none"/>
        </w:rPr>
        <w:t>存在控股、管理关系；</w:t>
      </w:r>
    </w:p>
    <w:p w14:paraId="7B3507AA">
      <w:pPr>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为本</w:t>
      </w:r>
      <w:r>
        <w:rPr>
          <w:rFonts w:hint="eastAsia" w:ascii="宋体" w:hAnsi="宋体" w:eastAsia="宋体" w:cs="宋体"/>
          <w:kern w:val="0"/>
          <w:sz w:val="24"/>
          <w:szCs w:val="24"/>
          <w:highlight w:val="none"/>
          <w:lang w:eastAsia="zh-CN"/>
        </w:rPr>
        <w:t>磋商项目</w:t>
      </w:r>
      <w:r>
        <w:rPr>
          <w:rFonts w:hint="eastAsia" w:ascii="宋体" w:hAnsi="宋体" w:eastAsia="宋体" w:cs="宋体"/>
          <w:kern w:val="0"/>
          <w:sz w:val="24"/>
          <w:szCs w:val="24"/>
          <w:highlight w:val="none"/>
        </w:rPr>
        <w:t>提供过</w:t>
      </w:r>
      <w:r>
        <w:rPr>
          <w:rFonts w:hint="eastAsia" w:ascii="宋体" w:hAnsi="宋体" w:eastAsia="宋体" w:cs="宋体"/>
          <w:kern w:val="0"/>
          <w:sz w:val="24"/>
          <w:szCs w:val="24"/>
          <w:highlight w:val="none"/>
          <w:lang w:eastAsia="zh-CN"/>
        </w:rPr>
        <w:t>整体</w:t>
      </w:r>
      <w:r>
        <w:rPr>
          <w:rFonts w:hint="eastAsia" w:ascii="宋体" w:hAnsi="宋体" w:eastAsia="宋体" w:cs="宋体"/>
          <w:kern w:val="0"/>
          <w:sz w:val="24"/>
          <w:szCs w:val="24"/>
          <w:highlight w:val="none"/>
        </w:rPr>
        <w:t>设计、</w:t>
      </w:r>
      <w:r>
        <w:rPr>
          <w:rFonts w:hint="eastAsia" w:ascii="宋体" w:hAnsi="宋体" w:eastAsia="宋体" w:cs="宋体"/>
          <w:kern w:val="0"/>
          <w:sz w:val="24"/>
          <w:szCs w:val="24"/>
          <w:highlight w:val="none"/>
          <w:lang w:eastAsia="zh-CN"/>
        </w:rPr>
        <w:t>规范</w:t>
      </w:r>
      <w:r>
        <w:rPr>
          <w:rFonts w:hint="eastAsia" w:ascii="宋体" w:hAnsi="宋体" w:eastAsia="宋体" w:cs="宋体"/>
          <w:kern w:val="0"/>
          <w:sz w:val="24"/>
          <w:szCs w:val="24"/>
          <w:highlight w:val="none"/>
        </w:rPr>
        <w:t>编制</w:t>
      </w:r>
      <w:r>
        <w:rPr>
          <w:rFonts w:hint="eastAsia" w:ascii="宋体" w:hAnsi="宋体" w:eastAsia="宋体" w:cs="宋体"/>
          <w:kern w:val="0"/>
          <w:sz w:val="24"/>
          <w:szCs w:val="24"/>
          <w:highlight w:val="none"/>
          <w:lang w:eastAsia="zh-CN"/>
        </w:rPr>
        <w:t>或者项目管理、监理、检测等服务</w:t>
      </w:r>
      <w:r>
        <w:rPr>
          <w:rFonts w:hint="eastAsia" w:ascii="宋体" w:hAnsi="宋体" w:eastAsia="宋体" w:cs="宋体"/>
          <w:kern w:val="0"/>
          <w:sz w:val="24"/>
          <w:szCs w:val="24"/>
          <w:highlight w:val="none"/>
        </w:rPr>
        <w:t>；</w:t>
      </w:r>
    </w:p>
    <w:p w14:paraId="0E5BB5C9">
      <w:pPr>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eastAsia="zh-CN"/>
        </w:rPr>
        <w:t>为本项目的监理人；</w:t>
      </w:r>
    </w:p>
    <w:p w14:paraId="495C99DF">
      <w:pPr>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为本项目的代建人；</w:t>
      </w:r>
    </w:p>
    <w:p w14:paraId="3DE6283A">
      <w:pPr>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与本项目的</w:t>
      </w:r>
      <w:r>
        <w:rPr>
          <w:rFonts w:hint="eastAsia" w:ascii="宋体" w:hAnsi="宋体" w:eastAsia="宋体" w:cs="宋体"/>
          <w:kern w:val="0"/>
          <w:sz w:val="24"/>
          <w:szCs w:val="24"/>
          <w:highlight w:val="none"/>
          <w:lang w:eastAsia="zh-CN"/>
        </w:rPr>
        <w:t>监理人或</w:t>
      </w:r>
      <w:r>
        <w:rPr>
          <w:rFonts w:hint="eastAsia" w:ascii="宋体" w:hAnsi="宋体" w:eastAsia="宋体" w:cs="宋体"/>
          <w:kern w:val="0"/>
          <w:sz w:val="24"/>
          <w:szCs w:val="24"/>
          <w:highlight w:val="none"/>
        </w:rPr>
        <w:t>代建人或</w:t>
      </w:r>
      <w:r>
        <w:rPr>
          <w:rFonts w:hint="eastAsia" w:ascii="宋体" w:hAnsi="宋体" w:eastAsia="宋体" w:cs="宋体"/>
          <w:kern w:val="0"/>
          <w:sz w:val="24"/>
          <w:szCs w:val="24"/>
          <w:highlight w:val="none"/>
          <w:lang w:eastAsia="zh-CN"/>
        </w:rPr>
        <w:t>采购</w:t>
      </w:r>
      <w:r>
        <w:rPr>
          <w:rFonts w:hint="eastAsia" w:ascii="宋体" w:hAnsi="宋体" w:eastAsia="宋体" w:cs="宋体"/>
          <w:kern w:val="0"/>
          <w:sz w:val="24"/>
          <w:szCs w:val="24"/>
          <w:highlight w:val="none"/>
        </w:rPr>
        <w:t>代理机构同为一个法定代表人；</w:t>
      </w:r>
    </w:p>
    <w:p w14:paraId="5E9F148A">
      <w:pPr>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与本项目的</w:t>
      </w:r>
      <w:r>
        <w:rPr>
          <w:rFonts w:hint="eastAsia" w:ascii="宋体" w:hAnsi="宋体" w:eastAsia="宋体" w:cs="宋体"/>
          <w:kern w:val="0"/>
          <w:sz w:val="24"/>
          <w:szCs w:val="24"/>
          <w:highlight w:val="none"/>
          <w:lang w:eastAsia="zh-CN"/>
        </w:rPr>
        <w:t>监理人或</w:t>
      </w:r>
      <w:r>
        <w:rPr>
          <w:rFonts w:hint="eastAsia" w:ascii="宋体" w:hAnsi="宋体" w:eastAsia="宋体" w:cs="宋体"/>
          <w:kern w:val="0"/>
          <w:sz w:val="24"/>
          <w:szCs w:val="24"/>
          <w:highlight w:val="none"/>
        </w:rPr>
        <w:t>代建人或</w:t>
      </w:r>
      <w:r>
        <w:rPr>
          <w:rFonts w:hint="eastAsia" w:ascii="宋体" w:hAnsi="宋体" w:eastAsia="宋体" w:cs="宋体"/>
          <w:kern w:val="0"/>
          <w:sz w:val="24"/>
          <w:szCs w:val="24"/>
          <w:highlight w:val="none"/>
          <w:lang w:eastAsia="zh-CN"/>
        </w:rPr>
        <w:t>采购</w:t>
      </w:r>
      <w:r>
        <w:rPr>
          <w:rFonts w:hint="eastAsia" w:ascii="宋体" w:hAnsi="宋体" w:eastAsia="宋体" w:cs="宋体"/>
          <w:kern w:val="0"/>
          <w:sz w:val="24"/>
          <w:szCs w:val="24"/>
          <w:highlight w:val="none"/>
        </w:rPr>
        <w:t>代理机构存在控股或参股关系；</w:t>
      </w:r>
    </w:p>
    <w:p w14:paraId="68DCC4AD">
      <w:pPr>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为本</w:t>
      </w:r>
      <w:r>
        <w:rPr>
          <w:rFonts w:hint="eastAsia" w:ascii="宋体" w:hAnsi="宋体" w:eastAsia="宋体" w:cs="宋体"/>
          <w:kern w:val="0"/>
          <w:sz w:val="24"/>
          <w:szCs w:val="24"/>
          <w:highlight w:val="none"/>
          <w:lang w:eastAsia="zh-CN"/>
        </w:rPr>
        <w:t>磋商项目</w:t>
      </w:r>
      <w:r>
        <w:rPr>
          <w:rFonts w:hint="eastAsia" w:ascii="宋体" w:hAnsi="宋体" w:eastAsia="宋体" w:cs="宋体"/>
          <w:kern w:val="0"/>
          <w:sz w:val="24"/>
          <w:szCs w:val="24"/>
          <w:highlight w:val="none"/>
        </w:rPr>
        <w:t>的</w:t>
      </w:r>
      <w:r>
        <w:rPr>
          <w:rFonts w:hint="eastAsia" w:ascii="宋体" w:hAnsi="宋体" w:eastAsia="宋体" w:cs="宋体"/>
          <w:kern w:val="0"/>
          <w:sz w:val="24"/>
          <w:szCs w:val="24"/>
          <w:highlight w:val="none"/>
          <w:lang w:eastAsia="zh-CN"/>
        </w:rPr>
        <w:t>采购</w:t>
      </w:r>
      <w:r>
        <w:rPr>
          <w:rFonts w:hint="eastAsia" w:ascii="宋体" w:hAnsi="宋体" w:eastAsia="宋体" w:cs="宋体"/>
          <w:kern w:val="0"/>
          <w:sz w:val="24"/>
          <w:szCs w:val="24"/>
          <w:highlight w:val="none"/>
        </w:rPr>
        <w:t>代理机构；</w:t>
      </w:r>
    </w:p>
    <w:p w14:paraId="5CECF7B0">
      <w:pPr>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eastAsia="zh-CN"/>
        </w:rPr>
        <w:t>供应商</w:t>
      </w:r>
      <w:r>
        <w:rPr>
          <w:rFonts w:hint="eastAsia" w:ascii="宋体" w:hAnsi="宋体" w:eastAsia="宋体" w:cs="宋体"/>
          <w:kern w:val="0"/>
          <w:sz w:val="24"/>
          <w:szCs w:val="24"/>
          <w:highlight w:val="none"/>
        </w:rPr>
        <w:t>以他人名义投标、串通投标、以行贿手段牟取中标，或在投标中弄虚作假的；</w:t>
      </w:r>
    </w:p>
    <w:p w14:paraId="17BDA9B3">
      <w:pPr>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法律法规规定的其他情形。</w:t>
      </w:r>
    </w:p>
    <w:p w14:paraId="1BD86912">
      <w:pPr>
        <w:pStyle w:val="4"/>
        <w:numPr>
          <w:ilvl w:val="1"/>
          <w:numId w:val="5"/>
        </w:numPr>
        <w:spacing w:before="0" w:after="0" w:line="360" w:lineRule="auto"/>
        <w:jc w:val="left"/>
        <w:rPr>
          <w:rFonts w:hint="eastAsia" w:ascii="宋体" w:hAnsi="宋体" w:eastAsia="宋体" w:cs="宋体"/>
          <w:b/>
          <w:bCs w:val="0"/>
          <w:color w:val="auto"/>
          <w:sz w:val="24"/>
          <w:szCs w:val="24"/>
          <w:highlight w:val="none"/>
        </w:rPr>
      </w:pPr>
      <w:bookmarkStart w:id="69" w:name="_Toc463011257"/>
      <w:bookmarkStart w:id="70" w:name="_Toc269470299"/>
      <w:bookmarkStart w:id="71" w:name="_Toc455678104"/>
      <w:bookmarkStart w:id="72" w:name="_Toc428351633"/>
      <w:bookmarkStart w:id="73" w:name="_Toc28593"/>
      <w:bookmarkStart w:id="74" w:name="_Toc270604807"/>
      <w:bookmarkStart w:id="75" w:name="_Toc277149369"/>
      <w:bookmarkStart w:id="76" w:name="_Toc428276573"/>
      <w:bookmarkStart w:id="77" w:name="_Toc14128"/>
      <w:bookmarkStart w:id="78" w:name="_Toc454788013"/>
      <w:bookmarkStart w:id="79" w:name="_Toc270604580"/>
      <w:bookmarkStart w:id="80" w:name="_Toc462934278"/>
      <w:bookmarkStart w:id="81" w:name="_Toc19948"/>
      <w:r>
        <w:rPr>
          <w:rFonts w:hint="eastAsia" w:ascii="宋体" w:hAnsi="宋体" w:eastAsia="宋体" w:cs="宋体"/>
          <w:b/>
          <w:bCs w:val="0"/>
          <w:color w:val="auto"/>
          <w:sz w:val="24"/>
          <w:szCs w:val="24"/>
          <w:highlight w:val="none"/>
        </w:rPr>
        <w:t>费用承担</w:t>
      </w:r>
      <w:bookmarkEnd w:id="69"/>
      <w:bookmarkEnd w:id="70"/>
      <w:bookmarkEnd w:id="71"/>
      <w:bookmarkEnd w:id="72"/>
      <w:bookmarkEnd w:id="73"/>
      <w:bookmarkEnd w:id="74"/>
      <w:bookmarkEnd w:id="75"/>
      <w:bookmarkEnd w:id="76"/>
      <w:bookmarkEnd w:id="77"/>
      <w:bookmarkEnd w:id="78"/>
      <w:bookmarkEnd w:id="79"/>
      <w:bookmarkEnd w:id="80"/>
      <w:bookmarkEnd w:id="81"/>
    </w:p>
    <w:p w14:paraId="09C492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outlineLvl w:val="9"/>
        <w:rPr>
          <w:rFonts w:hint="eastAsia" w:ascii="宋体" w:hAnsi="宋体" w:eastAsia="宋体" w:cs="宋体"/>
          <w:color w:val="auto"/>
          <w:sz w:val="24"/>
          <w:szCs w:val="24"/>
          <w:highlight w:val="none"/>
        </w:rPr>
      </w:pPr>
      <w:bookmarkStart w:id="82" w:name="_Toc270604808"/>
      <w:bookmarkStart w:id="83" w:name="_Toc7854"/>
      <w:bookmarkStart w:id="84" w:name="_Toc462934279"/>
      <w:bookmarkStart w:id="85" w:name="_Toc454788014"/>
      <w:bookmarkStart w:id="86" w:name="_Toc428351634"/>
      <w:bookmarkStart w:id="87" w:name="_Toc455678105"/>
      <w:bookmarkStart w:id="88" w:name="_Toc269470300"/>
      <w:bookmarkStart w:id="89" w:name="_Toc463011258"/>
      <w:bookmarkStart w:id="90" w:name="_Toc277149370"/>
      <w:bookmarkStart w:id="91" w:name="_Toc270604581"/>
      <w:bookmarkStart w:id="92" w:name="_Toc29742"/>
      <w:bookmarkStart w:id="93" w:name="_Toc428276574"/>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准备和参加</w:t>
      </w:r>
      <w:r>
        <w:rPr>
          <w:rFonts w:hint="eastAsia" w:ascii="宋体" w:hAnsi="宋体" w:eastAsia="宋体" w:cs="宋体"/>
          <w:color w:val="auto"/>
          <w:sz w:val="24"/>
          <w:szCs w:val="24"/>
          <w:highlight w:val="none"/>
          <w:lang w:eastAsia="zh-CN"/>
        </w:rPr>
        <w:t>竞争性磋商</w:t>
      </w:r>
      <w:r>
        <w:rPr>
          <w:rFonts w:hint="eastAsia" w:ascii="宋体" w:hAnsi="宋体" w:eastAsia="宋体" w:cs="宋体"/>
          <w:color w:val="auto"/>
          <w:sz w:val="24"/>
          <w:szCs w:val="24"/>
          <w:highlight w:val="none"/>
        </w:rPr>
        <w:t>活动发生的费用自理。</w:t>
      </w:r>
    </w:p>
    <w:p w14:paraId="6B2958CD">
      <w:pPr>
        <w:pStyle w:val="4"/>
        <w:numPr>
          <w:ilvl w:val="1"/>
          <w:numId w:val="5"/>
        </w:numPr>
        <w:spacing w:before="0" w:after="0" w:line="360" w:lineRule="auto"/>
        <w:jc w:val="left"/>
        <w:rPr>
          <w:rFonts w:hint="eastAsia" w:ascii="宋体" w:hAnsi="宋体" w:eastAsia="宋体" w:cs="宋体"/>
          <w:b/>
          <w:bCs w:val="0"/>
          <w:color w:val="auto"/>
          <w:sz w:val="24"/>
          <w:szCs w:val="24"/>
          <w:highlight w:val="none"/>
        </w:rPr>
      </w:pPr>
      <w:bookmarkStart w:id="94" w:name="_Toc32336"/>
      <w:r>
        <w:rPr>
          <w:rFonts w:hint="eastAsia" w:ascii="宋体" w:hAnsi="宋体" w:eastAsia="宋体" w:cs="宋体"/>
          <w:b/>
          <w:bCs w:val="0"/>
          <w:color w:val="auto"/>
          <w:sz w:val="24"/>
          <w:szCs w:val="24"/>
          <w:highlight w:val="none"/>
        </w:rPr>
        <w:t>保密</w:t>
      </w:r>
      <w:bookmarkEnd w:id="82"/>
      <w:bookmarkEnd w:id="83"/>
      <w:bookmarkEnd w:id="84"/>
      <w:bookmarkEnd w:id="85"/>
      <w:bookmarkEnd w:id="86"/>
      <w:bookmarkEnd w:id="87"/>
      <w:bookmarkEnd w:id="88"/>
      <w:bookmarkEnd w:id="89"/>
      <w:bookmarkEnd w:id="90"/>
      <w:bookmarkEnd w:id="91"/>
      <w:bookmarkEnd w:id="92"/>
      <w:bookmarkEnd w:id="93"/>
      <w:bookmarkEnd w:id="94"/>
    </w:p>
    <w:p w14:paraId="4CED92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bookmarkStart w:id="95" w:name="_Toc269470301"/>
      <w:bookmarkStart w:id="96" w:name="_Toc463011259"/>
      <w:bookmarkStart w:id="97" w:name="_Toc455678106"/>
      <w:bookmarkStart w:id="98" w:name="_Toc462934280"/>
      <w:bookmarkStart w:id="99" w:name="_Toc7606"/>
      <w:bookmarkStart w:id="100" w:name="_Toc19438"/>
      <w:bookmarkStart w:id="101" w:name="_Toc270604809"/>
      <w:bookmarkStart w:id="102" w:name="_Toc270604582"/>
      <w:bookmarkStart w:id="103" w:name="_Toc277149371"/>
      <w:bookmarkStart w:id="104" w:name="_Toc428276575"/>
      <w:bookmarkStart w:id="105" w:name="_Toc454788015"/>
      <w:bookmarkStart w:id="106" w:name="_Toc428351635"/>
      <w:r>
        <w:rPr>
          <w:rFonts w:hint="eastAsia" w:ascii="宋体" w:hAnsi="宋体" w:eastAsia="宋体" w:cs="宋体"/>
          <w:color w:val="auto"/>
          <w:sz w:val="24"/>
          <w:szCs w:val="24"/>
          <w:highlight w:val="none"/>
        </w:rPr>
        <w:t>参与</w:t>
      </w:r>
      <w:r>
        <w:rPr>
          <w:rFonts w:hint="eastAsia" w:ascii="宋体" w:hAnsi="宋体" w:eastAsia="宋体" w:cs="宋体"/>
          <w:color w:val="auto"/>
          <w:sz w:val="24"/>
          <w:szCs w:val="24"/>
          <w:highlight w:val="none"/>
          <w:lang w:eastAsia="zh-CN"/>
        </w:rPr>
        <w:t>竞争性磋商</w:t>
      </w:r>
      <w:r>
        <w:rPr>
          <w:rFonts w:hint="eastAsia" w:ascii="宋体" w:hAnsi="宋体" w:eastAsia="宋体" w:cs="宋体"/>
          <w:color w:val="auto"/>
          <w:sz w:val="24"/>
          <w:szCs w:val="24"/>
          <w:highlight w:val="none"/>
        </w:rPr>
        <w:t>活动的各方应对</w:t>
      </w:r>
      <w:r>
        <w:rPr>
          <w:rFonts w:hint="eastAsia" w:ascii="宋体" w:hAnsi="宋体" w:eastAsia="宋体" w:cs="宋体"/>
          <w:color w:val="auto"/>
          <w:sz w:val="24"/>
          <w:szCs w:val="24"/>
          <w:highlight w:val="none"/>
          <w:lang w:eastAsia="zh-CN"/>
        </w:rPr>
        <w:t>竞争性磋商</w:t>
      </w:r>
      <w:r>
        <w:rPr>
          <w:rFonts w:hint="eastAsia" w:ascii="宋体" w:hAnsi="宋体" w:eastAsia="宋体" w:cs="宋体"/>
          <w:color w:val="auto"/>
          <w:sz w:val="24"/>
          <w:szCs w:val="24"/>
          <w:highlight w:val="none"/>
        </w:rPr>
        <w:t>文件和</w:t>
      </w:r>
      <w:r>
        <w:rPr>
          <w:rFonts w:hint="eastAsia" w:ascii="宋体"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文件中的商业和技术等秘密保密，否则应承担相应的法律责任。</w:t>
      </w:r>
    </w:p>
    <w:p w14:paraId="74167D8F">
      <w:pPr>
        <w:pStyle w:val="4"/>
        <w:numPr>
          <w:ilvl w:val="1"/>
          <w:numId w:val="5"/>
        </w:numPr>
        <w:spacing w:before="0" w:after="0" w:line="360" w:lineRule="auto"/>
        <w:jc w:val="left"/>
        <w:rPr>
          <w:rFonts w:hint="eastAsia" w:ascii="宋体" w:hAnsi="宋体" w:eastAsia="宋体" w:cs="宋体"/>
          <w:b/>
          <w:bCs w:val="0"/>
          <w:color w:val="auto"/>
          <w:sz w:val="24"/>
          <w:szCs w:val="24"/>
          <w:highlight w:val="none"/>
        </w:rPr>
      </w:pPr>
      <w:bookmarkStart w:id="107" w:name="_Toc25734"/>
      <w:r>
        <w:rPr>
          <w:rFonts w:hint="eastAsia" w:ascii="宋体" w:hAnsi="宋体" w:eastAsia="宋体" w:cs="宋体"/>
          <w:b/>
          <w:bCs w:val="0"/>
          <w:color w:val="auto"/>
          <w:sz w:val="24"/>
          <w:szCs w:val="24"/>
          <w:highlight w:val="none"/>
        </w:rPr>
        <w:t>语言文字</w:t>
      </w:r>
      <w:bookmarkEnd w:id="95"/>
      <w:bookmarkEnd w:id="96"/>
      <w:bookmarkEnd w:id="97"/>
      <w:bookmarkEnd w:id="98"/>
      <w:bookmarkEnd w:id="99"/>
      <w:bookmarkEnd w:id="100"/>
      <w:bookmarkEnd w:id="101"/>
      <w:bookmarkEnd w:id="102"/>
      <w:bookmarkEnd w:id="103"/>
      <w:bookmarkEnd w:id="104"/>
      <w:bookmarkEnd w:id="105"/>
      <w:bookmarkEnd w:id="106"/>
      <w:bookmarkEnd w:id="107"/>
    </w:p>
    <w:p w14:paraId="0F3EF4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bookmarkStart w:id="108" w:name="_Toc270604810"/>
      <w:bookmarkStart w:id="109" w:name="_Toc270604583"/>
      <w:bookmarkStart w:id="110" w:name="_Toc455678107"/>
      <w:bookmarkStart w:id="111" w:name="_Toc277149372"/>
      <w:bookmarkStart w:id="112" w:name="_Toc454788016"/>
      <w:bookmarkStart w:id="113" w:name="_Toc463011260"/>
      <w:bookmarkStart w:id="114" w:name="_Toc462934281"/>
      <w:bookmarkStart w:id="115" w:name="_Toc428276576"/>
      <w:bookmarkStart w:id="116" w:name="_Toc269470302"/>
      <w:bookmarkStart w:id="117" w:name="_Toc9894"/>
      <w:bookmarkStart w:id="118" w:name="_Toc29299"/>
      <w:bookmarkStart w:id="119" w:name="_Toc428351636"/>
      <w:r>
        <w:rPr>
          <w:rFonts w:hint="eastAsia" w:ascii="宋体" w:hAnsi="宋体" w:eastAsia="宋体" w:cs="宋体"/>
          <w:color w:val="auto"/>
          <w:kern w:val="0"/>
          <w:sz w:val="24"/>
          <w:szCs w:val="24"/>
          <w:highlight w:val="none"/>
          <w:lang w:eastAsia="zh-CN"/>
        </w:rPr>
        <w:t>竞争性磋商文件及响应文件</w:t>
      </w:r>
      <w:r>
        <w:rPr>
          <w:rFonts w:hint="eastAsia" w:ascii="宋体" w:hAnsi="宋体" w:eastAsia="宋体" w:cs="宋体"/>
          <w:color w:val="auto"/>
          <w:spacing w:val="-2"/>
          <w:kern w:val="0"/>
          <w:sz w:val="24"/>
          <w:szCs w:val="24"/>
          <w:highlight w:val="none"/>
        </w:rPr>
        <w:t>使</w:t>
      </w:r>
      <w:r>
        <w:rPr>
          <w:rFonts w:hint="eastAsia" w:ascii="宋体" w:hAnsi="宋体" w:eastAsia="宋体" w:cs="宋体"/>
          <w:color w:val="auto"/>
          <w:kern w:val="0"/>
          <w:sz w:val="24"/>
          <w:szCs w:val="24"/>
          <w:highlight w:val="none"/>
        </w:rPr>
        <w:t>用语</w:t>
      </w:r>
      <w:r>
        <w:rPr>
          <w:rFonts w:hint="eastAsia" w:ascii="宋体" w:hAnsi="宋体" w:eastAsia="宋体" w:cs="宋体"/>
          <w:color w:val="auto"/>
          <w:spacing w:val="-2"/>
          <w:kern w:val="0"/>
          <w:sz w:val="24"/>
          <w:szCs w:val="24"/>
          <w:highlight w:val="none"/>
        </w:rPr>
        <w:t>言</w:t>
      </w:r>
      <w:r>
        <w:rPr>
          <w:rFonts w:hint="eastAsia" w:ascii="宋体" w:hAnsi="宋体" w:eastAsia="宋体" w:cs="宋体"/>
          <w:color w:val="auto"/>
          <w:kern w:val="0"/>
          <w:sz w:val="24"/>
          <w:szCs w:val="24"/>
          <w:highlight w:val="none"/>
        </w:rPr>
        <w:t>文字</w:t>
      </w:r>
      <w:r>
        <w:rPr>
          <w:rFonts w:hint="eastAsia" w:ascii="宋体" w:hAnsi="宋体" w:eastAsia="宋体" w:cs="宋体"/>
          <w:color w:val="auto"/>
          <w:kern w:val="0"/>
          <w:sz w:val="24"/>
          <w:szCs w:val="24"/>
          <w:highlight w:val="none"/>
          <w:lang w:eastAsia="zh-CN"/>
        </w:rPr>
        <w:t>应</w:t>
      </w:r>
      <w:r>
        <w:rPr>
          <w:rFonts w:hint="eastAsia" w:ascii="宋体" w:hAnsi="宋体" w:eastAsia="宋体" w:cs="宋体"/>
          <w:color w:val="auto"/>
          <w:spacing w:val="-2"/>
          <w:kern w:val="0"/>
          <w:sz w:val="24"/>
          <w:szCs w:val="24"/>
          <w:highlight w:val="none"/>
        </w:rPr>
        <w:t>为</w:t>
      </w:r>
      <w:r>
        <w:rPr>
          <w:rFonts w:hint="eastAsia" w:ascii="宋体" w:hAnsi="宋体" w:eastAsia="宋体" w:cs="宋体"/>
          <w:color w:val="auto"/>
          <w:kern w:val="0"/>
          <w:sz w:val="24"/>
          <w:szCs w:val="24"/>
          <w:highlight w:val="none"/>
        </w:rPr>
        <w:t>中</w:t>
      </w:r>
      <w:r>
        <w:rPr>
          <w:rFonts w:hint="eastAsia" w:ascii="宋体" w:hAnsi="宋体" w:eastAsia="宋体" w:cs="宋体"/>
          <w:color w:val="auto"/>
          <w:spacing w:val="-2"/>
          <w:kern w:val="0"/>
          <w:sz w:val="24"/>
          <w:szCs w:val="24"/>
          <w:highlight w:val="none"/>
        </w:rPr>
        <w:t>文</w:t>
      </w:r>
      <w:r>
        <w:rPr>
          <w:rFonts w:hint="eastAsia" w:ascii="宋体" w:hAnsi="宋体" w:eastAsia="宋体" w:cs="宋体"/>
          <w:color w:val="auto"/>
          <w:kern w:val="0"/>
          <w:sz w:val="24"/>
          <w:szCs w:val="24"/>
          <w:highlight w:val="none"/>
        </w:rPr>
        <w:t>。</w:t>
      </w:r>
      <w:r>
        <w:rPr>
          <w:rFonts w:hint="eastAsia" w:ascii="宋体" w:hAnsi="宋体" w:eastAsia="宋体" w:cs="宋体"/>
          <w:color w:val="auto"/>
          <w:spacing w:val="-2"/>
          <w:kern w:val="0"/>
          <w:sz w:val="24"/>
          <w:szCs w:val="24"/>
          <w:highlight w:val="none"/>
        </w:rPr>
        <w:t>专</w:t>
      </w:r>
      <w:r>
        <w:rPr>
          <w:rFonts w:hint="eastAsia" w:ascii="宋体" w:hAnsi="宋体" w:eastAsia="宋体" w:cs="宋体"/>
          <w:color w:val="auto"/>
          <w:kern w:val="0"/>
          <w:sz w:val="24"/>
          <w:szCs w:val="24"/>
          <w:highlight w:val="none"/>
        </w:rPr>
        <w:t>用</w:t>
      </w:r>
      <w:r>
        <w:rPr>
          <w:rFonts w:hint="eastAsia" w:ascii="宋体" w:hAnsi="宋体" w:eastAsia="宋体" w:cs="宋体"/>
          <w:color w:val="auto"/>
          <w:spacing w:val="-2"/>
          <w:kern w:val="0"/>
          <w:sz w:val="24"/>
          <w:szCs w:val="24"/>
          <w:highlight w:val="none"/>
        </w:rPr>
        <w:t>术</w:t>
      </w:r>
      <w:r>
        <w:rPr>
          <w:rFonts w:hint="eastAsia" w:ascii="宋体" w:hAnsi="宋体" w:eastAsia="宋体" w:cs="宋体"/>
          <w:color w:val="auto"/>
          <w:kern w:val="0"/>
          <w:sz w:val="24"/>
          <w:szCs w:val="24"/>
          <w:highlight w:val="none"/>
        </w:rPr>
        <w:t>语</w:t>
      </w:r>
      <w:r>
        <w:rPr>
          <w:rFonts w:hint="eastAsia" w:ascii="宋体" w:hAnsi="宋体" w:eastAsia="宋体" w:cs="宋体"/>
          <w:color w:val="auto"/>
          <w:spacing w:val="-2"/>
          <w:kern w:val="0"/>
          <w:sz w:val="24"/>
          <w:szCs w:val="24"/>
          <w:highlight w:val="none"/>
        </w:rPr>
        <w:t>使</w:t>
      </w:r>
      <w:r>
        <w:rPr>
          <w:rFonts w:hint="eastAsia" w:ascii="宋体" w:hAnsi="宋体" w:eastAsia="宋体" w:cs="宋体"/>
          <w:color w:val="auto"/>
          <w:kern w:val="0"/>
          <w:sz w:val="24"/>
          <w:szCs w:val="24"/>
          <w:highlight w:val="none"/>
        </w:rPr>
        <w:t>用外</w:t>
      </w:r>
      <w:r>
        <w:rPr>
          <w:rFonts w:hint="eastAsia" w:ascii="宋体" w:hAnsi="宋体" w:eastAsia="宋体" w:cs="宋体"/>
          <w:color w:val="auto"/>
          <w:spacing w:val="-2"/>
          <w:kern w:val="0"/>
          <w:sz w:val="24"/>
          <w:szCs w:val="24"/>
          <w:highlight w:val="none"/>
        </w:rPr>
        <w:t>文</w:t>
      </w:r>
      <w:r>
        <w:rPr>
          <w:rFonts w:hint="eastAsia" w:ascii="宋体" w:hAnsi="宋体" w:eastAsia="宋体" w:cs="宋体"/>
          <w:color w:val="auto"/>
          <w:kern w:val="0"/>
          <w:sz w:val="24"/>
          <w:szCs w:val="24"/>
          <w:highlight w:val="none"/>
        </w:rPr>
        <w:t>的</w:t>
      </w:r>
      <w:r>
        <w:rPr>
          <w:rFonts w:hint="eastAsia" w:ascii="宋体" w:hAnsi="宋体" w:eastAsia="宋体" w:cs="宋体"/>
          <w:color w:val="auto"/>
          <w:spacing w:val="-2"/>
          <w:kern w:val="0"/>
          <w:sz w:val="24"/>
          <w:szCs w:val="24"/>
          <w:highlight w:val="none"/>
        </w:rPr>
        <w:t>，</w:t>
      </w:r>
      <w:r>
        <w:rPr>
          <w:rFonts w:hint="eastAsia" w:ascii="宋体" w:hAnsi="宋体" w:eastAsia="宋体" w:cs="宋体"/>
          <w:color w:val="auto"/>
          <w:kern w:val="0"/>
          <w:sz w:val="24"/>
          <w:szCs w:val="24"/>
          <w:highlight w:val="none"/>
        </w:rPr>
        <w:t>应</w:t>
      </w:r>
      <w:r>
        <w:rPr>
          <w:rFonts w:hint="eastAsia" w:ascii="宋体" w:hAnsi="宋体" w:eastAsia="宋体" w:cs="宋体"/>
          <w:color w:val="auto"/>
          <w:spacing w:val="-2"/>
          <w:kern w:val="0"/>
          <w:sz w:val="24"/>
          <w:szCs w:val="24"/>
          <w:highlight w:val="none"/>
        </w:rPr>
        <w:t>附</w:t>
      </w:r>
      <w:r>
        <w:rPr>
          <w:rFonts w:hint="eastAsia" w:ascii="宋体" w:hAnsi="宋体" w:eastAsia="宋体" w:cs="宋体"/>
          <w:color w:val="auto"/>
          <w:kern w:val="0"/>
          <w:sz w:val="24"/>
          <w:szCs w:val="24"/>
          <w:highlight w:val="none"/>
        </w:rPr>
        <w:t>有</w:t>
      </w:r>
      <w:r>
        <w:rPr>
          <w:rFonts w:hint="eastAsia" w:ascii="宋体" w:hAnsi="宋体" w:eastAsia="宋体" w:cs="宋体"/>
          <w:color w:val="auto"/>
          <w:spacing w:val="-2"/>
          <w:kern w:val="0"/>
          <w:sz w:val="24"/>
          <w:szCs w:val="24"/>
          <w:highlight w:val="none"/>
        </w:rPr>
        <w:t>中</w:t>
      </w:r>
      <w:r>
        <w:rPr>
          <w:rFonts w:hint="eastAsia" w:ascii="宋体" w:hAnsi="宋体" w:eastAsia="宋体" w:cs="宋体"/>
          <w:color w:val="auto"/>
          <w:kern w:val="0"/>
          <w:sz w:val="24"/>
          <w:szCs w:val="24"/>
          <w:highlight w:val="none"/>
        </w:rPr>
        <w:t>文</w:t>
      </w:r>
      <w:r>
        <w:rPr>
          <w:rFonts w:hint="eastAsia" w:ascii="宋体" w:hAnsi="宋体" w:eastAsia="宋体" w:cs="宋体"/>
          <w:color w:val="auto"/>
          <w:spacing w:val="-2"/>
          <w:kern w:val="0"/>
          <w:sz w:val="24"/>
          <w:szCs w:val="24"/>
          <w:highlight w:val="none"/>
        </w:rPr>
        <w:t>注</w:t>
      </w:r>
      <w:r>
        <w:rPr>
          <w:rFonts w:hint="eastAsia" w:ascii="宋体" w:hAnsi="宋体" w:eastAsia="宋体" w:cs="宋体"/>
          <w:color w:val="auto"/>
          <w:kern w:val="0"/>
          <w:sz w:val="24"/>
          <w:szCs w:val="24"/>
          <w:highlight w:val="none"/>
        </w:rPr>
        <w:t>释</w:t>
      </w:r>
      <w:r>
        <w:rPr>
          <w:rFonts w:hint="eastAsia" w:ascii="宋体" w:hAnsi="宋体" w:eastAsia="宋体" w:cs="宋体"/>
          <w:color w:val="auto"/>
          <w:sz w:val="24"/>
          <w:szCs w:val="24"/>
          <w:highlight w:val="none"/>
        </w:rPr>
        <w:t>。</w:t>
      </w:r>
    </w:p>
    <w:p w14:paraId="56B97187">
      <w:pPr>
        <w:pStyle w:val="4"/>
        <w:numPr>
          <w:ilvl w:val="1"/>
          <w:numId w:val="5"/>
        </w:numPr>
        <w:spacing w:before="0" w:after="0" w:line="360" w:lineRule="auto"/>
        <w:jc w:val="left"/>
        <w:rPr>
          <w:rFonts w:hint="eastAsia" w:ascii="宋体" w:hAnsi="宋体" w:eastAsia="宋体" w:cs="宋体"/>
          <w:b/>
          <w:bCs w:val="0"/>
          <w:color w:val="auto"/>
          <w:sz w:val="24"/>
          <w:szCs w:val="24"/>
          <w:highlight w:val="none"/>
        </w:rPr>
      </w:pPr>
      <w:bookmarkStart w:id="120" w:name="_Toc30996"/>
      <w:r>
        <w:rPr>
          <w:rFonts w:hint="eastAsia" w:ascii="宋体" w:hAnsi="宋体" w:eastAsia="宋体" w:cs="宋体"/>
          <w:b/>
          <w:bCs w:val="0"/>
          <w:color w:val="auto"/>
          <w:sz w:val="24"/>
          <w:szCs w:val="24"/>
          <w:highlight w:val="none"/>
        </w:rPr>
        <w:t>计量单位</w:t>
      </w:r>
      <w:bookmarkEnd w:id="108"/>
      <w:bookmarkEnd w:id="109"/>
      <w:bookmarkEnd w:id="110"/>
      <w:bookmarkEnd w:id="111"/>
      <w:bookmarkEnd w:id="112"/>
      <w:bookmarkEnd w:id="113"/>
      <w:bookmarkEnd w:id="114"/>
      <w:bookmarkEnd w:id="115"/>
      <w:bookmarkEnd w:id="116"/>
      <w:bookmarkEnd w:id="117"/>
      <w:bookmarkEnd w:id="118"/>
      <w:bookmarkEnd w:id="119"/>
      <w:bookmarkEnd w:id="120"/>
    </w:p>
    <w:p w14:paraId="709DE481">
      <w:pPr>
        <w:autoSpaceDE w:val="0"/>
        <w:autoSpaceDN w:val="0"/>
        <w:adjustRightInd w:val="0"/>
        <w:snapToGrid w:val="0"/>
        <w:spacing w:line="360" w:lineRule="auto"/>
        <w:ind w:firstLine="480" w:firstLineChars="200"/>
        <w:contextualSpacing/>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所有计量均采用中华人民共和国法定计量标准单位。</w:t>
      </w:r>
    </w:p>
    <w:p w14:paraId="1CF60255">
      <w:pPr>
        <w:pStyle w:val="4"/>
        <w:numPr>
          <w:ilvl w:val="1"/>
          <w:numId w:val="5"/>
        </w:numPr>
        <w:spacing w:before="0" w:after="0" w:line="360" w:lineRule="auto"/>
        <w:jc w:val="left"/>
        <w:rPr>
          <w:rFonts w:hint="eastAsia" w:ascii="宋体" w:hAnsi="宋体" w:eastAsia="宋体" w:cs="宋体"/>
          <w:b/>
          <w:bCs w:val="0"/>
          <w:color w:val="auto"/>
          <w:sz w:val="24"/>
          <w:szCs w:val="24"/>
          <w:highlight w:val="none"/>
        </w:rPr>
      </w:pPr>
      <w:bookmarkStart w:id="121" w:name="_Toc454788017"/>
      <w:bookmarkStart w:id="122" w:name="_Toc463011261"/>
      <w:bookmarkStart w:id="123" w:name="_Toc462934282"/>
      <w:bookmarkStart w:id="124" w:name="_Toc455678108"/>
      <w:bookmarkStart w:id="125" w:name="_Toc7491"/>
      <w:bookmarkStart w:id="126" w:name="_Toc270604811"/>
      <w:bookmarkStart w:id="127" w:name="_Toc270604584"/>
      <w:bookmarkStart w:id="128" w:name="_Toc11248"/>
      <w:bookmarkStart w:id="129" w:name="_Toc428351637"/>
      <w:bookmarkStart w:id="130" w:name="_Toc277149373"/>
      <w:bookmarkStart w:id="131" w:name="_Toc428276577"/>
      <w:bookmarkStart w:id="132" w:name="_Toc269470303"/>
      <w:bookmarkStart w:id="133" w:name="_Toc14349"/>
      <w:r>
        <w:rPr>
          <w:rFonts w:hint="eastAsia" w:ascii="宋体" w:hAnsi="宋体" w:eastAsia="宋体" w:cs="宋体"/>
          <w:b/>
          <w:bCs w:val="0"/>
          <w:color w:val="auto"/>
          <w:sz w:val="24"/>
          <w:szCs w:val="24"/>
          <w:highlight w:val="none"/>
        </w:rPr>
        <w:t>现场</w:t>
      </w:r>
      <w:bookmarkEnd w:id="121"/>
      <w:bookmarkEnd w:id="122"/>
      <w:bookmarkEnd w:id="123"/>
      <w:bookmarkEnd w:id="124"/>
      <w:bookmarkEnd w:id="125"/>
      <w:bookmarkEnd w:id="126"/>
      <w:bookmarkEnd w:id="127"/>
      <w:bookmarkEnd w:id="128"/>
      <w:bookmarkEnd w:id="129"/>
      <w:bookmarkEnd w:id="130"/>
      <w:bookmarkEnd w:id="131"/>
      <w:bookmarkEnd w:id="132"/>
      <w:r>
        <w:rPr>
          <w:rFonts w:hint="eastAsia" w:ascii="宋体" w:hAnsi="宋体" w:eastAsia="宋体" w:cs="宋体"/>
          <w:b/>
          <w:bCs w:val="0"/>
          <w:color w:val="auto"/>
          <w:sz w:val="24"/>
          <w:szCs w:val="24"/>
          <w:highlight w:val="none"/>
          <w:lang w:eastAsia="zh-CN"/>
        </w:rPr>
        <w:t>考察</w:t>
      </w:r>
      <w:bookmarkEnd w:id="133"/>
      <w:r>
        <w:rPr>
          <w:rFonts w:hint="eastAsia" w:ascii="宋体" w:hAnsi="宋体" w:eastAsia="宋体" w:cs="宋体"/>
          <w:b/>
          <w:bCs w:val="0"/>
          <w:color w:val="auto"/>
          <w:sz w:val="24"/>
          <w:szCs w:val="24"/>
          <w:highlight w:val="none"/>
          <w:lang w:eastAsia="zh-CN"/>
        </w:rPr>
        <w:t>或答疑会</w:t>
      </w:r>
    </w:p>
    <w:p w14:paraId="0FEB9AD8">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现场考察：供应商须知前附表规定组织现场考察的，采购人按供应商须知前附表规定的时间、地点组织供应商考察项目现场。部分供应商未按时参加现场考察的，不影响现场考察的正常进行。</w:t>
      </w:r>
    </w:p>
    <w:p w14:paraId="61AFC4DD">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供应商现场考察发生的费用自理。</w:t>
      </w:r>
    </w:p>
    <w:p w14:paraId="20747A4D">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除采购人的原因外，供应商自行负责在现场考察中所发生的人员伤亡和财产损失。</w:t>
      </w:r>
    </w:p>
    <w:p w14:paraId="4B054A42">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采购人在现场考察中介绍的项目场地和相关的周边环境情况，供供应商在编制响应文件时参考，采购人不对供应商据此作出的判断和决策负责。</w:t>
      </w:r>
    </w:p>
    <w:p w14:paraId="2D9FBA64">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答疑会：见供应商须知前附表。</w:t>
      </w:r>
    </w:p>
    <w:p w14:paraId="55F2AE64">
      <w:pPr>
        <w:pStyle w:val="4"/>
        <w:keepNext/>
        <w:keepLines/>
        <w:pageBreakBefore w:val="0"/>
        <w:widowControl w:val="0"/>
        <w:numPr>
          <w:ilvl w:val="1"/>
          <w:numId w:val="5"/>
        </w:numPr>
        <w:kinsoku/>
        <w:wordWrap w:val="0"/>
        <w:overflowPunct/>
        <w:topLinePunct/>
        <w:autoSpaceDE/>
        <w:autoSpaceDN/>
        <w:bidi w:val="0"/>
        <w:adjustRightInd/>
        <w:snapToGrid/>
        <w:spacing w:before="0" w:after="0" w:line="360" w:lineRule="auto"/>
        <w:ind w:firstLineChars="0"/>
        <w:jc w:val="left"/>
        <w:textAlignment w:val="auto"/>
        <w:rPr>
          <w:rFonts w:hint="eastAsia" w:ascii="宋体" w:hAnsi="宋体" w:eastAsia="宋体" w:cs="宋体"/>
          <w:b/>
          <w:bCs w:val="0"/>
          <w:color w:val="auto"/>
          <w:sz w:val="24"/>
          <w:szCs w:val="24"/>
          <w:highlight w:val="none"/>
        </w:rPr>
      </w:pPr>
      <w:bookmarkStart w:id="134" w:name="_Toc270604813"/>
      <w:bookmarkStart w:id="135" w:name="_Toc277149375"/>
      <w:bookmarkStart w:id="136" w:name="_Toc463011263"/>
      <w:bookmarkStart w:id="137" w:name="_Toc428351639"/>
      <w:bookmarkStart w:id="138" w:name="_Toc270604586"/>
      <w:bookmarkStart w:id="139" w:name="_Toc428276579"/>
      <w:bookmarkStart w:id="140" w:name="_Toc462934284"/>
      <w:bookmarkStart w:id="141" w:name="_Toc8646"/>
      <w:bookmarkStart w:id="142" w:name="_Toc454788019"/>
      <w:bookmarkStart w:id="143" w:name="_Toc269470305"/>
      <w:bookmarkStart w:id="144" w:name="_Toc455678110"/>
      <w:bookmarkStart w:id="145" w:name="_Toc24091"/>
      <w:bookmarkStart w:id="146" w:name="_Toc20135"/>
      <w:r>
        <w:rPr>
          <w:rFonts w:hint="eastAsia" w:ascii="宋体" w:hAnsi="宋体" w:eastAsia="宋体" w:cs="宋体"/>
          <w:b/>
          <w:bCs w:val="0"/>
          <w:color w:val="auto"/>
          <w:sz w:val="24"/>
          <w:szCs w:val="24"/>
          <w:highlight w:val="none"/>
        </w:rPr>
        <w:t>分包</w:t>
      </w:r>
      <w:bookmarkEnd w:id="134"/>
      <w:bookmarkEnd w:id="135"/>
      <w:bookmarkEnd w:id="136"/>
      <w:bookmarkEnd w:id="137"/>
      <w:bookmarkEnd w:id="138"/>
      <w:bookmarkEnd w:id="139"/>
      <w:bookmarkEnd w:id="140"/>
      <w:bookmarkEnd w:id="141"/>
      <w:bookmarkEnd w:id="142"/>
      <w:bookmarkEnd w:id="143"/>
      <w:bookmarkEnd w:id="144"/>
      <w:bookmarkEnd w:id="145"/>
      <w:bookmarkEnd w:id="146"/>
    </w:p>
    <w:p w14:paraId="42DBBD03">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000000"/>
          <w:sz w:val="24"/>
          <w:szCs w:val="24"/>
          <w:highlight w:val="none"/>
        </w:rPr>
      </w:pPr>
      <w:bookmarkStart w:id="147" w:name="_Toc277149376"/>
      <w:bookmarkStart w:id="148" w:name="_Toc269470306"/>
      <w:bookmarkStart w:id="149" w:name="_Toc270604587"/>
      <w:bookmarkStart w:id="150" w:name="_Toc455678111"/>
      <w:bookmarkStart w:id="151" w:name="_Toc462934285"/>
      <w:bookmarkStart w:id="152" w:name="_Toc428351640"/>
      <w:bookmarkStart w:id="153" w:name="_Toc8513"/>
      <w:bookmarkStart w:id="154" w:name="_Toc463011264"/>
      <w:bookmarkStart w:id="155" w:name="_Toc10220"/>
      <w:bookmarkStart w:id="156" w:name="_Toc428276580"/>
      <w:bookmarkStart w:id="157" w:name="_Toc29688"/>
      <w:bookmarkStart w:id="158" w:name="_Toc454788020"/>
      <w:bookmarkStart w:id="159" w:name="_Toc270604814"/>
      <w:r>
        <w:rPr>
          <w:rFonts w:hint="eastAsia" w:ascii="宋体" w:hAnsi="宋体" w:eastAsia="宋体" w:cs="宋体"/>
          <w:color w:val="000000"/>
          <w:sz w:val="24"/>
          <w:szCs w:val="24"/>
          <w:highlight w:val="none"/>
          <w:lang w:eastAsia="zh-CN"/>
        </w:rPr>
        <w:t>供应商</w:t>
      </w:r>
      <w:r>
        <w:rPr>
          <w:rFonts w:hint="eastAsia" w:ascii="宋体" w:hAnsi="宋体" w:eastAsia="宋体" w:cs="宋体"/>
          <w:color w:val="000000"/>
          <w:sz w:val="24"/>
          <w:szCs w:val="24"/>
          <w:highlight w:val="none"/>
        </w:rPr>
        <w:t>拟在</w:t>
      </w:r>
      <w:r>
        <w:rPr>
          <w:rFonts w:hint="eastAsia" w:ascii="宋体" w:hAnsi="宋体" w:eastAsia="宋体" w:cs="宋体"/>
          <w:color w:val="000000"/>
          <w:sz w:val="24"/>
          <w:szCs w:val="24"/>
          <w:highlight w:val="none"/>
          <w:lang w:eastAsia="zh-CN"/>
        </w:rPr>
        <w:t>成交</w:t>
      </w:r>
      <w:r>
        <w:rPr>
          <w:rFonts w:hint="eastAsia" w:ascii="宋体" w:hAnsi="宋体" w:eastAsia="宋体" w:cs="宋体"/>
          <w:color w:val="000000"/>
          <w:sz w:val="24"/>
          <w:szCs w:val="24"/>
          <w:highlight w:val="none"/>
        </w:rPr>
        <w:t>后将</w:t>
      </w:r>
      <w:r>
        <w:rPr>
          <w:rFonts w:hint="eastAsia" w:ascii="宋体" w:hAnsi="宋体" w:eastAsia="宋体" w:cs="宋体"/>
          <w:color w:val="000000"/>
          <w:sz w:val="24"/>
          <w:szCs w:val="24"/>
          <w:highlight w:val="none"/>
          <w:lang w:eastAsia="zh-CN"/>
        </w:rPr>
        <w:t>成交</w:t>
      </w:r>
      <w:r>
        <w:rPr>
          <w:rFonts w:hint="eastAsia" w:ascii="宋体" w:hAnsi="宋体" w:eastAsia="宋体" w:cs="宋体"/>
          <w:color w:val="000000"/>
          <w:sz w:val="24"/>
          <w:szCs w:val="24"/>
          <w:highlight w:val="none"/>
        </w:rPr>
        <w:t>项目的非主体、非关键性工作进行分包的，应符合</w:t>
      </w:r>
      <w:r>
        <w:rPr>
          <w:rFonts w:hint="eastAsia" w:ascii="宋体" w:hAnsi="宋体" w:eastAsia="宋体" w:cs="宋体"/>
          <w:color w:val="000000"/>
          <w:sz w:val="24"/>
          <w:szCs w:val="24"/>
          <w:highlight w:val="none"/>
          <w:lang w:eastAsia="zh-CN"/>
        </w:rPr>
        <w:t>供应商</w:t>
      </w:r>
      <w:r>
        <w:rPr>
          <w:rFonts w:hint="eastAsia" w:ascii="宋体" w:hAnsi="宋体" w:eastAsia="宋体" w:cs="宋体"/>
          <w:color w:val="000000"/>
          <w:sz w:val="24"/>
          <w:szCs w:val="24"/>
          <w:highlight w:val="none"/>
        </w:rPr>
        <w:t>须知前附表规定的分包内容、分包金额和资质要求等限制性条件，除</w:t>
      </w:r>
      <w:r>
        <w:rPr>
          <w:rFonts w:hint="eastAsia" w:ascii="宋体" w:hAnsi="宋体" w:eastAsia="宋体" w:cs="宋体"/>
          <w:color w:val="000000"/>
          <w:sz w:val="24"/>
          <w:szCs w:val="24"/>
          <w:highlight w:val="none"/>
          <w:lang w:eastAsia="zh-CN"/>
        </w:rPr>
        <w:t>供应商</w:t>
      </w:r>
      <w:r>
        <w:rPr>
          <w:rFonts w:hint="eastAsia" w:ascii="宋体" w:hAnsi="宋体" w:eastAsia="宋体" w:cs="宋体"/>
          <w:color w:val="000000"/>
          <w:sz w:val="24"/>
          <w:szCs w:val="24"/>
          <w:highlight w:val="none"/>
        </w:rPr>
        <w:t>须知前附表规定的非主体、非关键性工作外，其他工作不得分包。</w:t>
      </w:r>
    </w:p>
    <w:p w14:paraId="22B7296C">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成交人</w:t>
      </w:r>
      <w:r>
        <w:rPr>
          <w:rFonts w:hint="eastAsia" w:ascii="宋体" w:hAnsi="宋体" w:eastAsia="宋体" w:cs="宋体"/>
          <w:color w:val="000000"/>
          <w:sz w:val="24"/>
          <w:szCs w:val="24"/>
          <w:highlight w:val="none"/>
        </w:rPr>
        <w:t>不得向他人转让</w:t>
      </w:r>
      <w:r>
        <w:rPr>
          <w:rFonts w:hint="eastAsia" w:ascii="宋体" w:hAnsi="宋体" w:eastAsia="宋体" w:cs="宋体"/>
          <w:color w:val="000000"/>
          <w:sz w:val="24"/>
          <w:szCs w:val="24"/>
          <w:highlight w:val="none"/>
          <w:lang w:eastAsia="zh-CN"/>
        </w:rPr>
        <w:t>成交</w:t>
      </w:r>
      <w:r>
        <w:rPr>
          <w:rFonts w:hint="eastAsia" w:ascii="宋体" w:hAnsi="宋体" w:eastAsia="宋体" w:cs="宋体"/>
          <w:color w:val="000000"/>
          <w:sz w:val="24"/>
          <w:szCs w:val="24"/>
          <w:highlight w:val="none"/>
        </w:rPr>
        <w:t>项目，接受分包的人不得再次分包。</w:t>
      </w:r>
      <w:r>
        <w:rPr>
          <w:rFonts w:hint="eastAsia" w:ascii="宋体" w:hAnsi="宋体" w:eastAsia="宋体" w:cs="宋体"/>
          <w:color w:val="000000"/>
          <w:sz w:val="24"/>
          <w:szCs w:val="24"/>
          <w:highlight w:val="none"/>
          <w:lang w:eastAsia="zh-CN"/>
        </w:rPr>
        <w:t>成交</w:t>
      </w:r>
      <w:r>
        <w:rPr>
          <w:rFonts w:hint="eastAsia" w:ascii="宋体" w:hAnsi="宋体" w:eastAsia="宋体" w:cs="宋体"/>
          <w:color w:val="000000"/>
          <w:sz w:val="24"/>
          <w:szCs w:val="24"/>
          <w:highlight w:val="none"/>
        </w:rPr>
        <w:t>人应当就分包项目向</w:t>
      </w:r>
      <w:r>
        <w:rPr>
          <w:rFonts w:hint="eastAsia" w:ascii="宋体" w:hAnsi="宋体" w:eastAsia="宋体" w:cs="宋体"/>
          <w:color w:val="000000"/>
          <w:sz w:val="24"/>
          <w:szCs w:val="24"/>
          <w:highlight w:val="none"/>
          <w:lang w:eastAsia="zh-CN"/>
        </w:rPr>
        <w:t>采购人</w:t>
      </w:r>
      <w:r>
        <w:rPr>
          <w:rFonts w:hint="eastAsia" w:ascii="宋体" w:hAnsi="宋体" w:eastAsia="宋体" w:cs="宋体"/>
          <w:color w:val="000000"/>
          <w:sz w:val="24"/>
          <w:szCs w:val="24"/>
          <w:highlight w:val="none"/>
        </w:rPr>
        <w:t>负责，接受分包的人就分包项目承担连带责任。</w:t>
      </w:r>
      <w:r>
        <w:rPr>
          <w:rFonts w:hint="eastAsia" w:ascii="宋体" w:hAnsi="宋体" w:eastAsia="宋体" w:cs="宋体"/>
          <w:color w:val="000000"/>
          <w:sz w:val="24"/>
          <w:szCs w:val="24"/>
          <w:highlight w:val="none"/>
          <w:lang w:val="en-US" w:eastAsia="zh-CN"/>
        </w:rPr>
        <w:t xml:space="preserve"> </w:t>
      </w:r>
    </w:p>
    <w:p w14:paraId="72F7FBBC">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依据《政府采购促进中小企业发展管理办法》规定享受扶持政策获得政府采购合同的小微企业不得将合同分包给大中型企业，中型企业不得将合同分包给大型企业。</w:t>
      </w:r>
    </w:p>
    <w:bookmarkEnd w:id="147"/>
    <w:bookmarkEnd w:id="148"/>
    <w:bookmarkEnd w:id="149"/>
    <w:bookmarkEnd w:id="150"/>
    <w:bookmarkEnd w:id="151"/>
    <w:bookmarkEnd w:id="152"/>
    <w:bookmarkEnd w:id="153"/>
    <w:bookmarkEnd w:id="154"/>
    <w:bookmarkEnd w:id="155"/>
    <w:bookmarkEnd w:id="156"/>
    <w:bookmarkEnd w:id="157"/>
    <w:bookmarkEnd w:id="158"/>
    <w:bookmarkEnd w:id="159"/>
    <w:p w14:paraId="3D74A3DA">
      <w:pPr>
        <w:pStyle w:val="4"/>
        <w:numPr>
          <w:ilvl w:val="1"/>
          <w:numId w:val="5"/>
        </w:numPr>
        <w:spacing w:before="0" w:after="0" w:line="360" w:lineRule="auto"/>
        <w:jc w:val="lef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lang w:eastAsia="zh-CN"/>
        </w:rPr>
        <w:t>响应和偏差</w:t>
      </w:r>
    </w:p>
    <w:p w14:paraId="23D90FCD">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响应文件应当对竞争性磋商文件的实质性要求和条件作出满足性或更有利于采购人的响应，否则，供应商的响应文件将被否决。实质性要求和条件见供应商须知前附表。</w:t>
      </w:r>
    </w:p>
    <w:p w14:paraId="7A0385EA">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允许响应文件偏离竞争性磋商文件某些要求的，偏差应当符合竞争性磋商文件规定的偏差范围和幅度。</w:t>
      </w:r>
    </w:p>
    <w:p w14:paraId="3CA29DEE">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响应文件对竞争性磋商文件的全部偏差，均应在响应文件的商务和技术偏差表中列明，除列明的内容外，视为供应商响应竞争性磋商文件的全部要求。</w:t>
      </w:r>
    </w:p>
    <w:p w14:paraId="50F4BCDD">
      <w:pPr>
        <w:pStyle w:val="4"/>
        <w:keepNext/>
        <w:keepLines/>
        <w:pageBreakBefore w:val="0"/>
        <w:widowControl w:val="0"/>
        <w:numPr>
          <w:ilvl w:val="1"/>
          <w:numId w:val="5"/>
        </w:numPr>
        <w:kinsoku/>
        <w:wordWrap w:val="0"/>
        <w:overflowPunct/>
        <w:topLinePunct/>
        <w:autoSpaceDE/>
        <w:autoSpaceDN/>
        <w:bidi w:val="0"/>
        <w:adjustRightInd/>
        <w:snapToGrid/>
        <w:spacing w:before="0" w:after="0" w:line="360" w:lineRule="auto"/>
        <w:ind w:left="0" w:leftChars="0" w:firstLine="0" w:firstLineChars="0"/>
        <w:jc w:val="left"/>
        <w:textAlignment w:val="auto"/>
        <w:rPr>
          <w:rFonts w:hint="eastAsia" w:ascii="宋体" w:hAnsi="宋体" w:eastAsia="宋体" w:cs="宋体"/>
          <w:b/>
          <w:bCs w:val="0"/>
          <w:color w:val="auto"/>
          <w:sz w:val="24"/>
          <w:szCs w:val="24"/>
          <w:highlight w:val="none"/>
        </w:rPr>
      </w:pPr>
      <w:bookmarkStart w:id="160" w:name="_Toc11809"/>
      <w:bookmarkStart w:id="161" w:name="_Toc17145"/>
      <w:bookmarkStart w:id="162" w:name="_Toc463011265"/>
      <w:bookmarkStart w:id="163" w:name="_Toc455678112"/>
      <w:bookmarkStart w:id="164" w:name="_Toc462934286"/>
      <w:bookmarkStart w:id="165" w:name="_Toc23956"/>
      <w:r>
        <w:rPr>
          <w:rFonts w:hint="eastAsia" w:ascii="宋体" w:hAnsi="宋体" w:eastAsia="宋体" w:cs="宋体"/>
          <w:b/>
          <w:bCs w:val="0"/>
          <w:color w:val="auto"/>
          <w:sz w:val="24"/>
          <w:szCs w:val="24"/>
          <w:highlight w:val="none"/>
        </w:rPr>
        <w:t>选择性报价方案</w:t>
      </w:r>
      <w:bookmarkEnd w:id="160"/>
      <w:bookmarkEnd w:id="161"/>
      <w:bookmarkEnd w:id="162"/>
      <w:bookmarkEnd w:id="163"/>
      <w:bookmarkEnd w:id="164"/>
      <w:bookmarkEnd w:id="165"/>
    </w:p>
    <w:p w14:paraId="3E7688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选择性报价方案：见供应商须知前附表。</w:t>
      </w:r>
    </w:p>
    <w:p w14:paraId="50AE8859">
      <w:pPr>
        <w:pStyle w:val="3"/>
        <w:numPr>
          <w:ilvl w:val="0"/>
          <w:numId w:val="4"/>
        </w:numPr>
        <w:bidi w:val="0"/>
        <w:jc w:val="center"/>
        <w:rPr>
          <w:rStyle w:val="66"/>
          <w:rFonts w:hint="eastAsia" w:ascii="宋体" w:hAnsi="宋体" w:eastAsia="宋体" w:cs="宋体"/>
          <w:b/>
          <w:bCs/>
          <w:color w:val="auto"/>
          <w:sz w:val="24"/>
          <w:szCs w:val="24"/>
          <w:highlight w:val="none"/>
          <w:lang w:val="en-US" w:eastAsia="zh-CN"/>
        </w:rPr>
      </w:pPr>
      <w:bookmarkStart w:id="166" w:name="_Toc27430"/>
      <w:bookmarkStart w:id="167" w:name="_Toc6260"/>
      <w:bookmarkStart w:id="168" w:name="_Toc28671"/>
      <w:bookmarkStart w:id="169" w:name="_Toc270604588"/>
      <w:bookmarkStart w:id="170" w:name="_Toc26199"/>
      <w:bookmarkStart w:id="171" w:name="_Toc5446"/>
      <w:bookmarkStart w:id="172" w:name="_Toc9954"/>
      <w:r>
        <w:rPr>
          <w:rStyle w:val="66"/>
          <w:rFonts w:hint="eastAsia" w:ascii="宋体" w:hAnsi="宋体" w:eastAsia="宋体" w:cs="宋体"/>
          <w:b/>
          <w:bCs/>
          <w:color w:val="auto"/>
          <w:sz w:val="24"/>
          <w:szCs w:val="24"/>
          <w:highlight w:val="none"/>
          <w:lang w:val="en-US" w:eastAsia="zh-CN"/>
        </w:rPr>
        <w:t>竞争性磋商文件</w:t>
      </w:r>
      <w:bookmarkEnd w:id="166"/>
      <w:bookmarkEnd w:id="167"/>
      <w:bookmarkEnd w:id="168"/>
      <w:bookmarkEnd w:id="169"/>
      <w:bookmarkEnd w:id="170"/>
      <w:bookmarkEnd w:id="171"/>
      <w:bookmarkEnd w:id="172"/>
    </w:p>
    <w:p w14:paraId="30ED8C24">
      <w:pPr>
        <w:pStyle w:val="4"/>
        <w:keepNext/>
        <w:keepLines/>
        <w:pageBreakBefore w:val="0"/>
        <w:widowControl w:val="0"/>
        <w:numPr>
          <w:ilvl w:val="1"/>
          <w:numId w:val="4"/>
        </w:numPr>
        <w:kinsoku/>
        <w:wordWrap w:val="0"/>
        <w:overflowPunct/>
        <w:topLinePunct/>
        <w:autoSpaceDE/>
        <w:autoSpaceDN/>
        <w:bidi w:val="0"/>
        <w:adjustRightInd/>
        <w:snapToGrid/>
        <w:spacing w:before="0" w:after="0" w:line="360" w:lineRule="auto"/>
        <w:ind w:left="0" w:leftChars="0" w:right="0" w:firstLine="0" w:firstLineChars="0"/>
        <w:jc w:val="left"/>
        <w:textAlignment w:val="auto"/>
        <w:rPr>
          <w:rFonts w:hint="eastAsia" w:ascii="宋体" w:hAnsi="宋体" w:eastAsia="宋体" w:cs="宋体"/>
          <w:color w:val="auto"/>
          <w:sz w:val="24"/>
          <w:szCs w:val="24"/>
          <w:highlight w:val="none"/>
        </w:rPr>
      </w:pPr>
      <w:bookmarkStart w:id="173" w:name="_Toc454788022"/>
      <w:bookmarkStart w:id="174" w:name="_Toc462934288"/>
      <w:bookmarkStart w:id="175" w:name="_Toc463011267"/>
      <w:bookmarkStart w:id="176" w:name="_Toc428276582"/>
      <w:bookmarkStart w:id="177" w:name="_Toc428351642"/>
      <w:bookmarkStart w:id="178" w:name="_Toc277149378"/>
      <w:bookmarkStart w:id="179" w:name="_Toc19729"/>
      <w:bookmarkStart w:id="180" w:name="_Toc270604816"/>
      <w:bookmarkStart w:id="181" w:name="_Toc270604589"/>
      <w:bookmarkStart w:id="182" w:name="_Toc455678114"/>
      <w:bookmarkStart w:id="183" w:name="_Toc10962"/>
      <w:bookmarkStart w:id="184" w:name="_Toc27664"/>
      <w:bookmarkStart w:id="185" w:name="_Toc269470308"/>
      <w:r>
        <w:rPr>
          <w:rFonts w:hint="eastAsia" w:ascii="宋体" w:hAnsi="宋体" w:eastAsia="宋体" w:cs="宋体"/>
          <w:b/>
          <w:bCs w:val="0"/>
          <w:color w:val="auto"/>
          <w:sz w:val="24"/>
          <w:szCs w:val="24"/>
          <w:highlight w:val="none"/>
        </w:rPr>
        <w:t>竞争性磋商文件的组成</w:t>
      </w:r>
      <w:bookmarkEnd w:id="173"/>
      <w:bookmarkEnd w:id="174"/>
      <w:bookmarkEnd w:id="175"/>
      <w:bookmarkEnd w:id="176"/>
      <w:bookmarkEnd w:id="177"/>
      <w:bookmarkEnd w:id="178"/>
      <w:bookmarkEnd w:id="179"/>
      <w:bookmarkEnd w:id="180"/>
      <w:bookmarkEnd w:id="181"/>
      <w:bookmarkEnd w:id="182"/>
      <w:bookmarkEnd w:id="183"/>
      <w:bookmarkEnd w:id="184"/>
      <w:bookmarkEnd w:id="185"/>
    </w:p>
    <w:p w14:paraId="0C62CE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本竞争性磋商文件包括：</w:t>
      </w:r>
    </w:p>
    <w:p w14:paraId="190BBD58">
      <w:pPr>
        <w:keepNext w:val="0"/>
        <w:keepLines w:val="0"/>
        <w:pageBreakBefore w:val="0"/>
        <w:widowControl w:val="0"/>
        <w:numPr>
          <w:ilvl w:val="0"/>
          <w:numId w:val="7"/>
        </w:numPr>
        <w:kinsoku/>
        <w:wordWrap/>
        <w:overflowPunct/>
        <w:topLinePunct w:val="0"/>
        <w:autoSpaceDE w:val="0"/>
        <w:autoSpaceDN w:val="0"/>
        <w:bidi w:val="0"/>
        <w:adjustRightInd w:val="0"/>
        <w:snapToGrid/>
        <w:spacing w:line="360" w:lineRule="auto"/>
        <w:ind w:left="0" w:leftChars="0" w:right="0"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竞争性磋商公告</w:t>
      </w:r>
    </w:p>
    <w:p w14:paraId="29B40299">
      <w:pPr>
        <w:keepNext w:val="0"/>
        <w:keepLines w:val="0"/>
        <w:pageBreakBefore w:val="0"/>
        <w:widowControl w:val="0"/>
        <w:numPr>
          <w:ilvl w:val="0"/>
          <w:numId w:val="7"/>
        </w:numPr>
        <w:kinsoku/>
        <w:wordWrap/>
        <w:overflowPunct/>
        <w:topLinePunct w:val="0"/>
        <w:autoSpaceDE w:val="0"/>
        <w:autoSpaceDN w:val="0"/>
        <w:bidi w:val="0"/>
        <w:adjustRightInd w:val="0"/>
        <w:snapToGrid/>
        <w:spacing w:line="360" w:lineRule="auto"/>
        <w:ind w:left="0" w:leftChars="0" w:right="0"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须知</w:t>
      </w:r>
    </w:p>
    <w:p w14:paraId="77FE83BC">
      <w:pPr>
        <w:keepNext w:val="0"/>
        <w:keepLines w:val="0"/>
        <w:pageBreakBefore w:val="0"/>
        <w:widowControl w:val="0"/>
        <w:numPr>
          <w:ilvl w:val="0"/>
          <w:numId w:val="7"/>
        </w:numPr>
        <w:kinsoku/>
        <w:wordWrap/>
        <w:overflowPunct/>
        <w:topLinePunct w:val="0"/>
        <w:autoSpaceDE w:val="0"/>
        <w:autoSpaceDN w:val="0"/>
        <w:bidi w:val="0"/>
        <w:adjustRightInd w:val="0"/>
        <w:snapToGrid/>
        <w:spacing w:line="360" w:lineRule="auto"/>
        <w:ind w:left="0" w:leftChars="0" w:right="0" w:firstLine="480" w:firstLineChars="200"/>
        <w:jc w:val="left"/>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评审办法</w:t>
      </w:r>
    </w:p>
    <w:p w14:paraId="679750D1">
      <w:pPr>
        <w:keepNext w:val="0"/>
        <w:keepLines w:val="0"/>
        <w:pageBreakBefore w:val="0"/>
        <w:widowControl w:val="0"/>
        <w:numPr>
          <w:ilvl w:val="0"/>
          <w:numId w:val="7"/>
        </w:numPr>
        <w:kinsoku/>
        <w:wordWrap/>
        <w:overflowPunct/>
        <w:topLinePunct w:val="0"/>
        <w:autoSpaceDE w:val="0"/>
        <w:autoSpaceDN w:val="0"/>
        <w:bidi w:val="0"/>
        <w:adjustRightInd w:val="0"/>
        <w:snapToGrid/>
        <w:spacing w:line="360" w:lineRule="auto"/>
        <w:ind w:left="0" w:leftChars="0" w:right="0" w:firstLine="480" w:firstLineChars="200"/>
        <w:jc w:val="left"/>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合同</w:t>
      </w:r>
      <w:r>
        <w:rPr>
          <w:rFonts w:hint="eastAsia" w:ascii="宋体" w:hAnsi="宋体" w:eastAsia="宋体" w:cs="宋体"/>
          <w:color w:val="auto"/>
          <w:kern w:val="0"/>
          <w:sz w:val="24"/>
          <w:szCs w:val="24"/>
          <w:highlight w:val="none"/>
          <w:lang w:val="en-US" w:eastAsia="zh-CN"/>
        </w:rPr>
        <w:t>条款及格式</w:t>
      </w:r>
    </w:p>
    <w:p w14:paraId="47172E67">
      <w:pPr>
        <w:keepNext w:val="0"/>
        <w:keepLines w:val="0"/>
        <w:pageBreakBefore w:val="0"/>
        <w:widowControl w:val="0"/>
        <w:numPr>
          <w:ilvl w:val="0"/>
          <w:numId w:val="7"/>
        </w:numPr>
        <w:kinsoku/>
        <w:wordWrap/>
        <w:overflowPunct/>
        <w:topLinePunct w:val="0"/>
        <w:autoSpaceDE w:val="0"/>
        <w:autoSpaceDN w:val="0"/>
        <w:bidi w:val="0"/>
        <w:adjustRightInd w:val="0"/>
        <w:snapToGrid/>
        <w:spacing w:line="360" w:lineRule="auto"/>
        <w:ind w:left="0" w:leftChars="0" w:right="0" w:firstLine="480" w:firstLineChars="200"/>
        <w:jc w:val="left"/>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控制价编制依据</w:t>
      </w:r>
    </w:p>
    <w:p w14:paraId="6BE081E0">
      <w:pPr>
        <w:keepNext w:val="0"/>
        <w:keepLines w:val="0"/>
        <w:pageBreakBefore w:val="0"/>
        <w:widowControl w:val="0"/>
        <w:numPr>
          <w:ilvl w:val="0"/>
          <w:numId w:val="7"/>
        </w:numPr>
        <w:kinsoku/>
        <w:wordWrap/>
        <w:overflowPunct/>
        <w:topLinePunct w:val="0"/>
        <w:autoSpaceDE w:val="0"/>
        <w:autoSpaceDN w:val="0"/>
        <w:bidi w:val="0"/>
        <w:adjustRightInd w:val="0"/>
        <w:snapToGrid/>
        <w:spacing w:line="360" w:lineRule="auto"/>
        <w:ind w:left="0" w:leftChars="0" w:right="0" w:firstLine="480" w:firstLineChars="20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val="en-US" w:eastAsia="zh-CN"/>
        </w:rPr>
        <w:t>工程量清单</w:t>
      </w:r>
    </w:p>
    <w:p w14:paraId="5A2C262D">
      <w:pPr>
        <w:keepNext w:val="0"/>
        <w:keepLines w:val="0"/>
        <w:pageBreakBefore w:val="0"/>
        <w:widowControl w:val="0"/>
        <w:numPr>
          <w:ilvl w:val="0"/>
          <w:numId w:val="7"/>
        </w:numPr>
        <w:kinsoku/>
        <w:wordWrap/>
        <w:overflowPunct/>
        <w:topLinePunct w:val="0"/>
        <w:autoSpaceDE w:val="0"/>
        <w:autoSpaceDN w:val="0"/>
        <w:bidi w:val="0"/>
        <w:adjustRightInd w:val="0"/>
        <w:snapToGrid/>
        <w:spacing w:line="360" w:lineRule="auto"/>
        <w:ind w:left="0" w:leftChars="0" w:right="0" w:firstLine="480" w:firstLineChars="200"/>
        <w:jc w:val="left"/>
        <w:textAlignment w:val="auto"/>
        <w:outlineLvl w:val="9"/>
        <w:rPr>
          <w:rFonts w:hint="eastAsia" w:ascii="宋体" w:hAnsi="宋体" w:eastAsia="宋体" w:cs="宋体"/>
          <w:color w:val="auto"/>
          <w:sz w:val="24"/>
          <w:szCs w:val="24"/>
          <w:highlight w:val="none"/>
          <w:lang w:eastAsia="zh-CN"/>
        </w:rPr>
      </w:pPr>
      <w:r>
        <w:rPr>
          <w:rFonts w:hint="eastAsia" w:cs="宋体"/>
          <w:color w:val="auto"/>
          <w:kern w:val="0"/>
          <w:sz w:val="24"/>
          <w:szCs w:val="24"/>
          <w:highlight w:val="none"/>
          <w:lang w:val="en-US" w:eastAsia="zh-CN"/>
        </w:rPr>
        <w:t>图纸</w:t>
      </w:r>
    </w:p>
    <w:p w14:paraId="6698CEAD">
      <w:pPr>
        <w:keepNext w:val="0"/>
        <w:keepLines w:val="0"/>
        <w:pageBreakBefore w:val="0"/>
        <w:widowControl w:val="0"/>
        <w:numPr>
          <w:ilvl w:val="0"/>
          <w:numId w:val="7"/>
        </w:numPr>
        <w:kinsoku/>
        <w:wordWrap/>
        <w:overflowPunct/>
        <w:topLinePunct w:val="0"/>
        <w:autoSpaceDE w:val="0"/>
        <w:autoSpaceDN w:val="0"/>
        <w:bidi w:val="0"/>
        <w:adjustRightInd w:val="0"/>
        <w:snapToGrid/>
        <w:spacing w:line="360" w:lineRule="auto"/>
        <w:ind w:left="0" w:leftChars="0" w:right="0" w:firstLine="480" w:firstLineChars="20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val="en-US" w:eastAsia="zh-CN"/>
        </w:rPr>
        <w:t>技术标准和要求</w:t>
      </w:r>
    </w:p>
    <w:p w14:paraId="5B5F06A9">
      <w:pPr>
        <w:keepNext w:val="0"/>
        <w:keepLines w:val="0"/>
        <w:pageBreakBefore w:val="0"/>
        <w:widowControl w:val="0"/>
        <w:numPr>
          <w:ilvl w:val="0"/>
          <w:numId w:val="7"/>
        </w:numPr>
        <w:kinsoku/>
        <w:wordWrap/>
        <w:overflowPunct/>
        <w:topLinePunct w:val="0"/>
        <w:autoSpaceDE w:val="0"/>
        <w:autoSpaceDN w:val="0"/>
        <w:bidi w:val="0"/>
        <w:adjustRightInd w:val="0"/>
        <w:snapToGrid/>
        <w:spacing w:line="360" w:lineRule="auto"/>
        <w:ind w:left="0" w:leftChars="0" w:right="0" w:firstLine="480" w:firstLineChars="20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响应文件格式</w:t>
      </w:r>
    </w:p>
    <w:p w14:paraId="3953AB52">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right="0" w:rightChars="0" w:firstLine="480" w:firstLineChars="200"/>
        <w:jc w:val="left"/>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根据本章第1.</w:t>
      </w:r>
      <w:r>
        <w:rPr>
          <w:rFonts w:hint="eastAsia" w:ascii="宋体" w:hAnsi="宋体" w:eastAsia="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lang w:eastAsia="zh-CN"/>
        </w:rPr>
        <w:t xml:space="preserve"> 款、第2.2 款和第2.3 款对竞争性磋商文件所作的澄清、修改，构成竞争性磋商文件的组成部分。</w:t>
      </w:r>
    </w:p>
    <w:p w14:paraId="3481AC08">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rPr>
      </w:pPr>
      <w:bookmarkStart w:id="186" w:name="_Toc463011268"/>
      <w:bookmarkStart w:id="187" w:name="_Toc428351643"/>
      <w:bookmarkStart w:id="188" w:name="_Toc13094"/>
      <w:bookmarkStart w:id="189" w:name="_Toc270604590"/>
      <w:bookmarkStart w:id="190" w:name="_Toc428276583"/>
      <w:bookmarkStart w:id="191" w:name="_Toc5047"/>
      <w:bookmarkStart w:id="192" w:name="_Toc462934289"/>
      <w:bookmarkStart w:id="193" w:name="_Toc277149379"/>
      <w:bookmarkStart w:id="194" w:name="_Toc269470309"/>
      <w:bookmarkStart w:id="195" w:name="_Toc454788023"/>
      <w:bookmarkStart w:id="196" w:name="_Toc11511"/>
      <w:bookmarkStart w:id="197" w:name="_Toc270604817"/>
      <w:bookmarkStart w:id="198" w:name="_Toc455678115"/>
      <w:r>
        <w:rPr>
          <w:rFonts w:hint="eastAsia" w:ascii="宋体" w:hAnsi="宋体" w:eastAsia="宋体" w:cs="宋体"/>
          <w:b/>
          <w:bCs w:val="0"/>
          <w:color w:val="auto"/>
          <w:sz w:val="24"/>
          <w:szCs w:val="24"/>
          <w:highlight w:val="none"/>
        </w:rPr>
        <w:t>竞争性磋商文件的澄清</w:t>
      </w:r>
      <w:bookmarkEnd w:id="186"/>
      <w:bookmarkEnd w:id="187"/>
      <w:bookmarkEnd w:id="188"/>
      <w:bookmarkEnd w:id="189"/>
      <w:bookmarkEnd w:id="190"/>
      <w:bookmarkEnd w:id="191"/>
      <w:bookmarkEnd w:id="192"/>
      <w:bookmarkEnd w:id="193"/>
      <w:bookmarkEnd w:id="194"/>
      <w:bookmarkEnd w:id="195"/>
      <w:bookmarkEnd w:id="196"/>
      <w:bookmarkEnd w:id="197"/>
      <w:bookmarkEnd w:id="198"/>
    </w:p>
    <w:p w14:paraId="37D84460">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val="en-US" w:eastAsia="zh-CN"/>
        </w:rPr>
      </w:pPr>
      <w:bookmarkStart w:id="199" w:name="_Toc277149380"/>
      <w:bookmarkStart w:id="200" w:name="_Toc20316"/>
      <w:bookmarkStart w:id="201" w:name="_Toc400"/>
      <w:bookmarkStart w:id="202" w:name="_Toc270604591"/>
      <w:bookmarkStart w:id="203" w:name="_Toc454788024"/>
      <w:bookmarkStart w:id="204" w:name="_Toc462934290"/>
      <w:bookmarkStart w:id="205" w:name="_Toc428351644"/>
      <w:bookmarkStart w:id="206" w:name="_Toc455678116"/>
      <w:bookmarkStart w:id="207" w:name="_Toc270604818"/>
      <w:bookmarkStart w:id="208" w:name="_Toc428276584"/>
      <w:bookmarkStart w:id="209" w:name="_Toc269470310"/>
      <w:bookmarkStart w:id="210" w:name="_Toc463011269"/>
      <w:r>
        <w:rPr>
          <w:rFonts w:hint="eastAsia" w:ascii="宋体" w:hAnsi="宋体" w:eastAsia="宋体" w:cs="宋体"/>
          <w:color w:val="auto"/>
          <w:sz w:val="24"/>
          <w:szCs w:val="24"/>
          <w:highlight w:val="none"/>
          <w:lang w:eastAsia="zh-CN"/>
        </w:rPr>
        <w:t>供应商应仔细阅读和检查竞争性磋商文件的全部内容。如发现缺页或附件不全，应及时向采购人提出，以便补齐。如有疑问，应按供应商须知前附表规定的时间和形式将提出的问</w:t>
      </w:r>
      <w:r>
        <w:rPr>
          <w:rFonts w:hint="eastAsia" w:ascii="宋体" w:hAnsi="宋体" w:eastAsia="宋体" w:cs="宋体"/>
          <w:color w:val="auto"/>
          <w:sz w:val="24"/>
          <w:szCs w:val="24"/>
          <w:highlight w:val="none"/>
          <w:lang w:val="en-US" w:eastAsia="zh-CN"/>
        </w:rPr>
        <w:t>题送达采购人，要求采购人对竞争性磋商文件予以澄清。</w:t>
      </w:r>
    </w:p>
    <w:p w14:paraId="170DD308">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竞争性磋商文件的澄清以供应商须知前附表规定的形式发给所有购买竞争性磋商文件的供应商，同时在原公告媒体发布澄清公告，但不指明澄清问题的来源。澄清发出的时间距本章第4.2.1项规定的提交首次响应文件截止时间不足</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日的，并且澄清内容可能影响响应文件编制的，将相应延长提交首次响应文件截止时间。</w:t>
      </w:r>
    </w:p>
    <w:p w14:paraId="2713B4FE">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供应商在收到澄清后，应按供应商须知前附表规定的时间和形式通知</w:t>
      </w:r>
      <w:r>
        <w:rPr>
          <w:rFonts w:hint="eastAsia" w:ascii="宋体" w:hAnsi="宋体" w:eastAsia="宋体" w:cs="宋体"/>
          <w:b w:val="0"/>
          <w:bCs w:val="0"/>
          <w:color w:val="000000"/>
          <w:sz w:val="24"/>
          <w:szCs w:val="24"/>
          <w:highlight w:val="none"/>
          <w:lang w:eastAsia="zh-CN"/>
        </w:rPr>
        <w:t>采购人</w:t>
      </w:r>
      <w:r>
        <w:rPr>
          <w:rFonts w:hint="eastAsia" w:ascii="宋体" w:hAnsi="宋体" w:eastAsia="宋体" w:cs="宋体"/>
          <w:color w:val="auto"/>
          <w:sz w:val="24"/>
          <w:szCs w:val="24"/>
          <w:highlight w:val="none"/>
          <w:lang w:eastAsia="zh-CN"/>
        </w:rPr>
        <w:t>，确认已收到该澄清。</w:t>
      </w:r>
    </w:p>
    <w:p w14:paraId="543FA6DC">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除非采购人认为确有必要答复，否则，采购人有权拒绝回复供应商在本章第2.2.1项规定的时间后的任何澄清要求。在规定的时间内未提出疑问的，将被视为对竞争性磋商文件完全认可。</w:t>
      </w:r>
    </w:p>
    <w:p w14:paraId="6FAE49F7">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rPr>
      </w:pPr>
      <w:bookmarkStart w:id="211" w:name="_Toc5535"/>
      <w:r>
        <w:rPr>
          <w:rFonts w:hint="eastAsia" w:ascii="宋体" w:hAnsi="宋体" w:eastAsia="宋体" w:cs="宋体"/>
          <w:b/>
          <w:bCs w:val="0"/>
          <w:color w:val="auto"/>
          <w:sz w:val="24"/>
          <w:szCs w:val="24"/>
          <w:highlight w:val="none"/>
        </w:rPr>
        <w:t>竞争性磋商文件的修改</w:t>
      </w:r>
      <w:bookmarkEnd w:id="199"/>
      <w:bookmarkEnd w:id="200"/>
      <w:bookmarkEnd w:id="201"/>
      <w:bookmarkEnd w:id="202"/>
      <w:bookmarkEnd w:id="203"/>
      <w:bookmarkEnd w:id="204"/>
      <w:bookmarkEnd w:id="205"/>
      <w:bookmarkEnd w:id="206"/>
      <w:bookmarkEnd w:id="207"/>
      <w:bookmarkEnd w:id="208"/>
      <w:bookmarkEnd w:id="209"/>
      <w:bookmarkEnd w:id="210"/>
      <w:bookmarkEnd w:id="211"/>
    </w:p>
    <w:p w14:paraId="5F23BC42">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bookmarkStart w:id="212" w:name="_Toc12045"/>
      <w:bookmarkStart w:id="213" w:name="_Toc270604592"/>
      <w:r>
        <w:rPr>
          <w:rFonts w:hint="eastAsia" w:ascii="宋体" w:hAnsi="宋体" w:eastAsia="宋体" w:cs="宋体"/>
          <w:color w:val="auto"/>
          <w:sz w:val="24"/>
          <w:szCs w:val="24"/>
          <w:highlight w:val="none"/>
          <w:lang w:eastAsia="zh-CN"/>
        </w:rPr>
        <w:t>采购人或者采购代理机构可以对已发出的竞争性磋商文件进行必要的修改，但不得改变采购标的和资格条件，修改的内容为竞争性磋商文件的组成部分。</w:t>
      </w:r>
    </w:p>
    <w:p w14:paraId="2A327389">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采购人或采购代理机构以供应商须知前附表规定的形式修改竞争性磋商文件，并通知所有已购买竞争性磋商文件的供应商，同时在原公告媒体发布变更公告。修改竞争性磋商文件的时间距本章第4.2.1项规定的提交首次响应文件截止时间不足</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日的，并且修改内容可能影响响应文件编制的，将相应延长提交首次响应文件截止时间。</w:t>
      </w:r>
    </w:p>
    <w:p w14:paraId="20B870EA">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供应商收到修改内容后，应按供应商须知前附表规定的时间和形式通知</w:t>
      </w:r>
      <w:r>
        <w:rPr>
          <w:rFonts w:hint="eastAsia" w:ascii="宋体" w:hAnsi="宋体" w:eastAsia="宋体" w:cs="宋体"/>
          <w:b w:val="0"/>
          <w:bCs w:val="0"/>
          <w:color w:val="000000"/>
          <w:sz w:val="24"/>
          <w:szCs w:val="24"/>
          <w:highlight w:val="none"/>
          <w:lang w:eastAsia="zh-CN"/>
        </w:rPr>
        <w:t>采购人</w:t>
      </w:r>
      <w:r>
        <w:rPr>
          <w:rFonts w:hint="eastAsia" w:ascii="宋体" w:hAnsi="宋体" w:eastAsia="宋体" w:cs="宋体"/>
          <w:color w:val="auto"/>
          <w:sz w:val="24"/>
          <w:szCs w:val="24"/>
          <w:highlight w:val="none"/>
          <w:lang w:eastAsia="zh-CN"/>
        </w:rPr>
        <w:t>，确认已收到该修改。</w:t>
      </w:r>
    </w:p>
    <w:bookmarkEnd w:id="212"/>
    <w:bookmarkEnd w:id="213"/>
    <w:p w14:paraId="645895D2">
      <w:pPr>
        <w:pStyle w:val="3"/>
        <w:numPr>
          <w:ilvl w:val="0"/>
          <w:numId w:val="4"/>
        </w:numPr>
        <w:bidi w:val="0"/>
        <w:jc w:val="center"/>
        <w:rPr>
          <w:rStyle w:val="66"/>
          <w:rFonts w:hint="eastAsia" w:ascii="宋体" w:hAnsi="宋体" w:eastAsia="宋体" w:cs="宋体"/>
          <w:b/>
          <w:bCs/>
          <w:color w:val="auto"/>
          <w:sz w:val="24"/>
          <w:szCs w:val="24"/>
          <w:highlight w:val="none"/>
          <w:lang w:val="en-US" w:eastAsia="zh-CN"/>
        </w:rPr>
      </w:pPr>
      <w:bookmarkStart w:id="214" w:name="_Toc4968"/>
      <w:bookmarkStart w:id="215" w:name="_Toc24067"/>
      <w:bookmarkStart w:id="216" w:name="_Toc28297"/>
      <w:bookmarkStart w:id="217" w:name="_Toc11698"/>
      <w:bookmarkStart w:id="218" w:name="_Toc2288"/>
      <w:r>
        <w:rPr>
          <w:rStyle w:val="66"/>
          <w:rFonts w:hint="eastAsia" w:ascii="宋体" w:hAnsi="宋体" w:eastAsia="宋体" w:cs="宋体"/>
          <w:b/>
          <w:bCs/>
          <w:color w:val="auto"/>
          <w:sz w:val="24"/>
          <w:szCs w:val="24"/>
          <w:highlight w:val="none"/>
          <w:lang w:val="en-US" w:eastAsia="zh-CN"/>
        </w:rPr>
        <w:t>响应文件编写</w:t>
      </w:r>
      <w:bookmarkEnd w:id="214"/>
      <w:bookmarkEnd w:id="215"/>
      <w:bookmarkEnd w:id="216"/>
      <w:bookmarkEnd w:id="217"/>
      <w:bookmarkEnd w:id="218"/>
    </w:p>
    <w:p w14:paraId="5AAAEEE5">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rPr>
      </w:pPr>
      <w:bookmarkStart w:id="219" w:name="_Toc20143"/>
      <w:bookmarkStart w:id="220" w:name="_Toc12181"/>
      <w:bookmarkStart w:id="221" w:name="_Toc463011271"/>
      <w:bookmarkStart w:id="222" w:name="_Toc428351646"/>
      <w:bookmarkStart w:id="223" w:name="_Toc269470312"/>
      <w:bookmarkStart w:id="224" w:name="_Toc454788026"/>
      <w:bookmarkStart w:id="225" w:name="_Toc270604820"/>
      <w:bookmarkStart w:id="226" w:name="_Toc277149382"/>
      <w:bookmarkStart w:id="227" w:name="_Toc428276586"/>
      <w:bookmarkStart w:id="228" w:name="_Toc26455"/>
      <w:bookmarkStart w:id="229" w:name="_Toc270604593"/>
      <w:bookmarkStart w:id="230" w:name="_Toc462934292"/>
      <w:bookmarkStart w:id="231" w:name="_Toc455678118"/>
      <w:r>
        <w:rPr>
          <w:rFonts w:hint="eastAsia" w:ascii="宋体" w:hAnsi="宋体" w:eastAsia="宋体" w:cs="宋体"/>
          <w:b/>
          <w:bCs w:val="0"/>
          <w:color w:val="auto"/>
          <w:sz w:val="24"/>
          <w:szCs w:val="24"/>
          <w:highlight w:val="none"/>
          <w:lang w:eastAsia="zh-CN"/>
        </w:rPr>
        <w:t>响应文件</w:t>
      </w:r>
      <w:r>
        <w:rPr>
          <w:rFonts w:hint="eastAsia" w:ascii="宋体" w:hAnsi="宋体" w:eastAsia="宋体" w:cs="宋体"/>
          <w:b/>
          <w:bCs w:val="0"/>
          <w:color w:val="auto"/>
          <w:sz w:val="24"/>
          <w:szCs w:val="24"/>
          <w:highlight w:val="none"/>
        </w:rPr>
        <w:t>的组成</w:t>
      </w:r>
      <w:bookmarkEnd w:id="219"/>
      <w:bookmarkEnd w:id="220"/>
      <w:bookmarkEnd w:id="221"/>
      <w:bookmarkEnd w:id="222"/>
      <w:bookmarkEnd w:id="223"/>
      <w:bookmarkEnd w:id="224"/>
      <w:bookmarkEnd w:id="225"/>
      <w:bookmarkEnd w:id="226"/>
      <w:bookmarkEnd w:id="227"/>
      <w:bookmarkEnd w:id="228"/>
      <w:bookmarkEnd w:id="229"/>
      <w:bookmarkEnd w:id="230"/>
      <w:bookmarkEnd w:id="231"/>
    </w:p>
    <w:p w14:paraId="69C38D05">
      <w:pPr>
        <w:pStyle w:val="22"/>
        <w:snapToGrid w:val="0"/>
        <w:spacing w:line="360" w:lineRule="auto"/>
        <w:ind w:left="540"/>
        <w:contextualSpacing/>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应包括下列内容：</w:t>
      </w:r>
    </w:p>
    <w:p w14:paraId="76BBE31C">
      <w:pPr>
        <w:keepNext w:val="0"/>
        <w:keepLines w:val="0"/>
        <w:pageBreakBefore w:val="0"/>
        <w:widowControl w:val="0"/>
        <w:numPr>
          <w:ilvl w:val="0"/>
          <w:numId w:val="8"/>
        </w:numPr>
        <w:kinsoku/>
        <w:wordWrap w:val="0"/>
        <w:overflowPunct/>
        <w:topLinePunct/>
        <w:autoSpaceDE/>
        <w:autoSpaceDN/>
        <w:bidi w:val="0"/>
        <w:adjustRightInd/>
        <w:snapToGrid/>
        <w:spacing w:line="360" w:lineRule="auto"/>
        <w:ind w:left="1385" w:leftChars="0" w:hanging="425" w:firstLineChars="0"/>
        <w:textAlignment w:val="auto"/>
        <w:rPr>
          <w:rFonts w:hint="eastAsia"/>
          <w:sz w:val="24"/>
          <w:szCs w:val="24"/>
        </w:rPr>
      </w:pPr>
      <w:bookmarkStart w:id="232" w:name="_Toc21496"/>
      <w:bookmarkStart w:id="233" w:name="_Toc22898"/>
      <w:bookmarkStart w:id="234" w:name="_Toc455678119"/>
      <w:bookmarkStart w:id="235" w:name="_Toc462934293"/>
      <w:bookmarkStart w:id="236" w:name="_Toc4803"/>
      <w:bookmarkStart w:id="237" w:name="_Toc463011272"/>
      <w:bookmarkStart w:id="238" w:name="_Toc269470314"/>
      <w:bookmarkStart w:id="239" w:name="_Toc270604595"/>
      <w:bookmarkStart w:id="240" w:name="_Toc270604822"/>
      <w:bookmarkStart w:id="241" w:name="_Toc277149384"/>
      <w:r>
        <w:rPr>
          <w:rFonts w:hint="eastAsia"/>
          <w:sz w:val="24"/>
          <w:szCs w:val="24"/>
        </w:rPr>
        <w:t>响应函及响应函附录</w:t>
      </w:r>
    </w:p>
    <w:p w14:paraId="5409B08A">
      <w:pPr>
        <w:keepNext w:val="0"/>
        <w:keepLines w:val="0"/>
        <w:pageBreakBefore w:val="0"/>
        <w:widowControl w:val="0"/>
        <w:numPr>
          <w:ilvl w:val="0"/>
          <w:numId w:val="8"/>
        </w:numPr>
        <w:kinsoku/>
        <w:wordWrap w:val="0"/>
        <w:overflowPunct/>
        <w:topLinePunct/>
        <w:autoSpaceDE/>
        <w:autoSpaceDN/>
        <w:bidi w:val="0"/>
        <w:adjustRightInd/>
        <w:snapToGrid/>
        <w:spacing w:line="360" w:lineRule="auto"/>
        <w:ind w:left="1385" w:leftChars="0" w:hanging="425" w:firstLineChars="0"/>
        <w:textAlignment w:val="auto"/>
        <w:rPr>
          <w:rFonts w:hint="eastAsia"/>
          <w:sz w:val="24"/>
          <w:szCs w:val="24"/>
        </w:rPr>
      </w:pPr>
      <w:r>
        <w:rPr>
          <w:rFonts w:hint="eastAsia"/>
          <w:sz w:val="24"/>
          <w:szCs w:val="24"/>
        </w:rPr>
        <w:t>法定代表人身份证明及授权委托书</w:t>
      </w:r>
    </w:p>
    <w:p w14:paraId="11E00FE1">
      <w:pPr>
        <w:keepNext w:val="0"/>
        <w:keepLines w:val="0"/>
        <w:pageBreakBefore w:val="0"/>
        <w:widowControl w:val="0"/>
        <w:numPr>
          <w:ilvl w:val="0"/>
          <w:numId w:val="8"/>
        </w:numPr>
        <w:kinsoku/>
        <w:wordWrap w:val="0"/>
        <w:overflowPunct/>
        <w:topLinePunct/>
        <w:autoSpaceDE/>
        <w:autoSpaceDN/>
        <w:bidi w:val="0"/>
        <w:adjustRightInd/>
        <w:snapToGrid/>
        <w:spacing w:line="360" w:lineRule="auto"/>
        <w:ind w:left="1385" w:leftChars="0" w:hanging="425" w:firstLineChars="0"/>
        <w:textAlignment w:val="auto"/>
        <w:rPr>
          <w:rFonts w:hint="eastAsia"/>
          <w:sz w:val="24"/>
          <w:szCs w:val="24"/>
        </w:rPr>
      </w:pPr>
      <w:r>
        <w:rPr>
          <w:rFonts w:hint="eastAsia"/>
          <w:sz w:val="24"/>
          <w:szCs w:val="24"/>
        </w:rPr>
        <w:t>响应承诺函</w:t>
      </w:r>
    </w:p>
    <w:p w14:paraId="607FE32A">
      <w:pPr>
        <w:keepNext w:val="0"/>
        <w:keepLines w:val="0"/>
        <w:pageBreakBefore w:val="0"/>
        <w:widowControl w:val="0"/>
        <w:numPr>
          <w:ilvl w:val="0"/>
          <w:numId w:val="8"/>
        </w:numPr>
        <w:kinsoku/>
        <w:wordWrap w:val="0"/>
        <w:overflowPunct/>
        <w:topLinePunct/>
        <w:autoSpaceDE/>
        <w:autoSpaceDN/>
        <w:bidi w:val="0"/>
        <w:adjustRightInd/>
        <w:snapToGrid/>
        <w:spacing w:line="360" w:lineRule="auto"/>
        <w:ind w:left="1385" w:leftChars="0" w:hanging="425" w:firstLineChars="0"/>
        <w:textAlignment w:val="auto"/>
        <w:rPr>
          <w:rFonts w:hint="eastAsia"/>
          <w:sz w:val="24"/>
          <w:szCs w:val="24"/>
        </w:rPr>
      </w:pPr>
      <w:r>
        <w:rPr>
          <w:rFonts w:hint="eastAsia"/>
          <w:sz w:val="24"/>
          <w:szCs w:val="24"/>
        </w:rPr>
        <w:t>供应商资格证明文件</w:t>
      </w:r>
    </w:p>
    <w:p w14:paraId="36FC858A">
      <w:pPr>
        <w:keepNext w:val="0"/>
        <w:keepLines w:val="0"/>
        <w:pageBreakBefore w:val="0"/>
        <w:widowControl w:val="0"/>
        <w:numPr>
          <w:ilvl w:val="0"/>
          <w:numId w:val="8"/>
        </w:numPr>
        <w:kinsoku/>
        <w:wordWrap w:val="0"/>
        <w:overflowPunct/>
        <w:topLinePunct/>
        <w:autoSpaceDE/>
        <w:autoSpaceDN/>
        <w:bidi w:val="0"/>
        <w:adjustRightInd/>
        <w:snapToGrid/>
        <w:spacing w:line="360" w:lineRule="auto"/>
        <w:ind w:left="1385" w:leftChars="0" w:hanging="425" w:firstLineChars="0"/>
        <w:textAlignment w:val="auto"/>
        <w:rPr>
          <w:rFonts w:hint="eastAsia"/>
          <w:sz w:val="24"/>
          <w:szCs w:val="24"/>
        </w:rPr>
      </w:pPr>
      <w:r>
        <w:rPr>
          <w:rFonts w:hint="eastAsia"/>
          <w:sz w:val="24"/>
          <w:szCs w:val="24"/>
        </w:rPr>
        <w:t>已标价工程量清单</w:t>
      </w:r>
    </w:p>
    <w:p w14:paraId="49A8AD43">
      <w:pPr>
        <w:keepNext w:val="0"/>
        <w:keepLines w:val="0"/>
        <w:pageBreakBefore w:val="0"/>
        <w:widowControl w:val="0"/>
        <w:numPr>
          <w:ilvl w:val="0"/>
          <w:numId w:val="8"/>
        </w:numPr>
        <w:kinsoku/>
        <w:wordWrap w:val="0"/>
        <w:overflowPunct/>
        <w:topLinePunct/>
        <w:autoSpaceDE/>
        <w:autoSpaceDN/>
        <w:bidi w:val="0"/>
        <w:adjustRightInd/>
        <w:snapToGrid/>
        <w:spacing w:line="360" w:lineRule="auto"/>
        <w:ind w:left="1385" w:leftChars="0" w:hanging="425" w:firstLineChars="0"/>
        <w:textAlignment w:val="auto"/>
        <w:rPr>
          <w:rFonts w:hint="eastAsia"/>
          <w:sz w:val="24"/>
          <w:szCs w:val="24"/>
        </w:rPr>
      </w:pPr>
      <w:r>
        <w:rPr>
          <w:rFonts w:hint="eastAsia"/>
          <w:sz w:val="24"/>
          <w:szCs w:val="24"/>
        </w:rPr>
        <w:t>施工组织设计</w:t>
      </w:r>
    </w:p>
    <w:p w14:paraId="4378DE9C">
      <w:pPr>
        <w:keepNext w:val="0"/>
        <w:keepLines w:val="0"/>
        <w:pageBreakBefore w:val="0"/>
        <w:widowControl w:val="0"/>
        <w:numPr>
          <w:ilvl w:val="0"/>
          <w:numId w:val="8"/>
        </w:numPr>
        <w:kinsoku/>
        <w:wordWrap w:val="0"/>
        <w:overflowPunct/>
        <w:topLinePunct/>
        <w:autoSpaceDE/>
        <w:autoSpaceDN/>
        <w:bidi w:val="0"/>
        <w:adjustRightInd/>
        <w:snapToGrid/>
        <w:spacing w:line="360" w:lineRule="auto"/>
        <w:ind w:left="1385" w:leftChars="0" w:hanging="425" w:firstLineChars="0"/>
        <w:textAlignment w:val="auto"/>
        <w:rPr>
          <w:rFonts w:hint="eastAsia"/>
          <w:sz w:val="24"/>
          <w:szCs w:val="24"/>
        </w:rPr>
      </w:pPr>
      <w:r>
        <w:rPr>
          <w:rFonts w:hint="eastAsia"/>
          <w:sz w:val="24"/>
          <w:szCs w:val="24"/>
        </w:rPr>
        <w:t>项目管理机构</w:t>
      </w:r>
    </w:p>
    <w:p w14:paraId="4339B887">
      <w:pPr>
        <w:keepNext w:val="0"/>
        <w:keepLines w:val="0"/>
        <w:pageBreakBefore w:val="0"/>
        <w:widowControl w:val="0"/>
        <w:numPr>
          <w:ilvl w:val="0"/>
          <w:numId w:val="8"/>
        </w:numPr>
        <w:kinsoku/>
        <w:wordWrap w:val="0"/>
        <w:overflowPunct/>
        <w:topLinePunct/>
        <w:autoSpaceDE/>
        <w:autoSpaceDN/>
        <w:bidi w:val="0"/>
        <w:adjustRightInd/>
        <w:snapToGrid/>
        <w:spacing w:line="360" w:lineRule="auto"/>
        <w:ind w:left="1385" w:leftChars="0" w:hanging="425" w:firstLineChars="0"/>
        <w:textAlignment w:val="auto"/>
        <w:rPr>
          <w:rFonts w:hint="eastAsia"/>
          <w:sz w:val="24"/>
          <w:szCs w:val="24"/>
        </w:rPr>
      </w:pPr>
      <w:r>
        <w:rPr>
          <w:rFonts w:hint="eastAsia"/>
          <w:sz w:val="24"/>
          <w:szCs w:val="24"/>
        </w:rPr>
        <w:t>供应商基本情况资料</w:t>
      </w:r>
    </w:p>
    <w:p w14:paraId="5631B841">
      <w:pPr>
        <w:keepNext w:val="0"/>
        <w:keepLines w:val="0"/>
        <w:pageBreakBefore w:val="0"/>
        <w:widowControl w:val="0"/>
        <w:numPr>
          <w:ilvl w:val="0"/>
          <w:numId w:val="8"/>
        </w:numPr>
        <w:kinsoku/>
        <w:wordWrap w:val="0"/>
        <w:overflowPunct/>
        <w:topLinePunct/>
        <w:autoSpaceDE/>
        <w:autoSpaceDN/>
        <w:bidi w:val="0"/>
        <w:adjustRightInd/>
        <w:snapToGrid/>
        <w:spacing w:line="360" w:lineRule="auto"/>
        <w:ind w:left="1385" w:leftChars="0" w:hanging="425" w:firstLineChars="0"/>
        <w:textAlignment w:val="auto"/>
        <w:rPr>
          <w:rFonts w:hint="eastAsia"/>
          <w:sz w:val="24"/>
          <w:szCs w:val="24"/>
        </w:rPr>
      </w:pPr>
      <w:r>
        <w:rPr>
          <w:rFonts w:hint="eastAsia"/>
          <w:sz w:val="24"/>
          <w:szCs w:val="24"/>
        </w:rPr>
        <w:t>商务标证明文件</w:t>
      </w:r>
    </w:p>
    <w:p w14:paraId="71EE145D">
      <w:pPr>
        <w:keepNext w:val="0"/>
        <w:keepLines w:val="0"/>
        <w:pageBreakBefore w:val="0"/>
        <w:widowControl w:val="0"/>
        <w:numPr>
          <w:ilvl w:val="0"/>
          <w:numId w:val="8"/>
        </w:numPr>
        <w:kinsoku/>
        <w:wordWrap w:val="0"/>
        <w:overflowPunct/>
        <w:topLinePunct/>
        <w:autoSpaceDE/>
        <w:autoSpaceDN/>
        <w:bidi w:val="0"/>
        <w:adjustRightInd/>
        <w:snapToGrid/>
        <w:spacing w:line="360" w:lineRule="auto"/>
        <w:ind w:left="1385" w:leftChars="0" w:hanging="425" w:firstLineChars="0"/>
        <w:textAlignment w:val="auto"/>
        <w:rPr>
          <w:rFonts w:hint="eastAsia"/>
          <w:sz w:val="24"/>
          <w:szCs w:val="24"/>
        </w:rPr>
      </w:pPr>
      <w:r>
        <w:rPr>
          <w:rFonts w:hint="eastAsia"/>
          <w:sz w:val="24"/>
          <w:szCs w:val="24"/>
        </w:rPr>
        <w:t>中小企业证明</w:t>
      </w:r>
    </w:p>
    <w:p w14:paraId="7B60C02B">
      <w:pPr>
        <w:keepNext w:val="0"/>
        <w:keepLines w:val="0"/>
        <w:pageBreakBefore w:val="0"/>
        <w:widowControl w:val="0"/>
        <w:numPr>
          <w:ilvl w:val="0"/>
          <w:numId w:val="8"/>
        </w:numPr>
        <w:kinsoku/>
        <w:wordWrap w:val="0"/>
        <w:overflowPunct/>
        <w:topLinePunct/>
        <w:autoSpaceDE/>
        <w:autoSpaceDN/>
        <w:bidi w:val="0"/>
        <w:adjustRightInd/>
        <w:snapToGrid/>
        <w:spacing w:line="360" w:lineRule="auto"/>
        <w:ind w:left="1385" w:leftChars="0" w:hanging="425" w:firstLineChars="0"/>
        <w:textAlignment w:val="auto"/>
        <w:rPr>
          <w:rFonts w:hint="eastAsia"/>
          <w:sz w:val="24"/>
          <w:szCs w:val="24"/>
        </w:rPr>
      </w:pPr>
      <w:r>
        <w:rPr>
          <w:rFonts w:hint="eastAsia"/>
          <w:sz w:val="24"/>
          <w:szCs w:val="24"/>
        </w:rPr>
        <w:t>其他资料</w:t>
      </w:r>
    </w:p>
    <w:p w14:paraId="0433562D">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磋商价格构成及报价要求</w:t>
      </w:r>
      <w:bookmarkEnd w:id="232"/>
      <w:bookmarkEnd w:id="233"/>
      <w:bookmarkEnd w:id="234"/>
      <w:bookmarkEnd w:id="235"/>
      <w:bookmarkEnd w:id="236"/>
      <w:bookmarkEnd w:id="237"/>
    </w:p>
    <w:p w14:paraId="02AC23DB">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val="en-US" w:eastAsia="zh-CN"/>
        </w:rPr>
      </w:pPr>
      <w:bookmarkStart w:id="242" w:name="_Toc428276588"/>
      <w:bookmarkStart w:id="243" w:name="_Toc17969"/>
      <w:bookmarkStart w:id="244" w:name="_Toc428351648"/>
      <w:bookmarkStart w:id="245" w:name="_Toc58"/>
      <w:bookmarkStart w:id="246" w:name="_Toc9193"/>
      <w:bookmarkStart w:id="247" w:name="_Toc455678120"/>
      <w:bookmarkStart w:id="248" w:name="_Toc462934294"/>
      <w:bookmarkStart w:id="249" w:name="_Toc463011273"/>
      <w:bookmarkStart w:id="250" w:name="_Toc454788028"/>
      <w:r>
        <w:rPr>
          <w:rFonts w:hint="eastAsia" w:ascii="宋体" w:hAnsi="宋体" w:eastAsia="宋体" w:cs="宋体"/>
          <w:color w:val="auto"/>
          <w:sz w:val="24"/>
          <w:szCs w:val="24"/>
          <w:highlight w:val="none"/>
          <w:lang w:val="en-US" w:eastAsia="zh-CN"/>
        </w:rPr>
        <w:t>供应商应按“响应文件格式”的要求在</w:t>
      </w:r>
      <w:r>
        <w:rPr>
          <w:rFonts w:hint="eastAsia" w:cs="宋体"/>
          <w:color w:val="auto"/>
          <w:sz w:val="24"/>
          <w:szCs w:val="24"/>
          <w:highlight w:val="none"/>
          <w:lang w:val="en-US" w:eastAsia="zh-CN"/>
        </w:rPr>
        <w:t>响应函</w:t>
      </w:r>
      <w:r>
        <w:rPr>
          <w:rFonts w:hint="eastAsia" w:ascii="宋体" w:hAnsi="宋体" w:eastAsia="宋体" w:cs="宋体"/>
          <w:color w:val="auto"/>
          <w:sz w:val="24"/>
          <w:szCs w:val="24"/>
          <w:highlight w:val="none"/>
          <w:lang w:val="en-US" w:eastAsia="zh-CN"/>
        </w:rPr>
        <w:t>中进行报价并填写已标价工程量清单。</w:t>
      </w:r>
    </w:p>
    <w:p w14:paraId="4688070C">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供应商应充分了解该项目的总体情况以及影响</w:t>
      </w:r>
      <w:r>
        <w:rPr>
          <w:rFonts w:hint="eastAsia" w:cs="宋体"/>
          <w:color w:val="auto"/>
          <w:sz w:val="24"/>
          <w:szCs w:val="24"/>
          <w:highlight w:val="none"/>
          <w:lang w:val="en-US" w:eastAsia="zh-CN"/>
        </w:rPr>
        <w:t>响应报价</w:t>
      </w:r>
      <w:r>
        <w:rPr>
          <w:rFonts w:hint="eastAsia" w:ascii="宋体" w:hAnsi="宋体" w:eastAsia="宋体" w:cs="宋体"/>
          <w:color w:val="auto"/>
          <w:sz w:val="24"/>
          <w:szCs w:val="24"/>
          <w:highlight w:val="none"/>
          <w:lang w:val="en-US" w:eastAsia="zh-CN"/>
        </w:rPr>
        <w:t>的其他要素。</w:t>
      </w:r>
    </w:p>
    <w:p w14:paraId="090ABC31">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本项目的报价方式见供应商须知前附表。供应商在首次响应文件提交截止时间前修改</w:t>
      </w:r>
      <w:r>
        <w:rPr>
          <w:rFonts w:hint="eastAsia" w:cs="宋体"/>
          <w:color w:val="auto"/>
          <w:sz w:val="24"/>
          <w:szCs w:val="24"/>
          <w:highlight w:val="none"/>
          <w:lang w:val="en-US" w:eastAsia="zh-CN"/>
        </w:rPr>
        <w:t>响应函</w:t>
      </w:r>
      <w:r>
        <w:rPr>
          <w:rFonts w:hint="eastAsia" w:ascii="宋体" w:hAnsi="宋体" w:eastAsia="宋体" w:cs="宋体"/>
          <w:color w:val="auto"/>
          <w:sz w:val="24"/>
          <w:szCs w:val="24"/>
          <w:highlight w:val="none"/>
          <w:lang w:val="en-US" w:eastAsia="zh-CN"/>
        </w:rPr>
        <w:t>中的</w:t>
      </w:r>
      <w:r>
        <w:rPr>
          <w:rFonts w:hint="eastAsia" w:cs="宋体"/>
          <w:color w:val="auto"/>
          <w:sz w:val="24"/>
          <w:szCs w:val="24"/>
          <w:highlight w:val="none"/>
          <w:lang w:val="en-US" w:eastAsia="zh-CN"/>
        </w:rPr>
        <w:t>响应报价</w:t>
      </w:r>
      <w:r>
        <w:rPr>
          <w:rFonts w:hint="eastAsia" w:ascii="宋体" w:hAnsi="宋体" w:eastAsia="宋体" w:cs="宋体"/>
          <w:color w:val="auto"/>
          <w:sz w:val="24"/>
          <w:szCs w:val="24"/>
          <w:highlight w:val="none"/>
          <w:lang w:val="en-US" w:eastAsia="zh-CN"/>
        </w:rPr>
        <w:t>总额，应同时修改响应文件“已标价工程量清单”中的相应报价。采购人设有最高限价（采购预算金额）的，供应商的</w:t>
      </w:r>
      <w:r>
        <w:rPr>
          <w:rFonts w:hint="eastAsia" w:cs="宋体"/>
          <w:color w:val="auto"/>
          <w:sz w:val="24"/>
          <w:szCs w:val="24"/>
          <w:highlight w:val="none"/>
          <w:lang w:val="en-US" w:eastAsia="zh-CN"/>
        </w:rPr>
        <w:t>响应报价</w:t>
      </w:r>
      <w:r>
        <w:rPr>
          <w:rFonts w:hint="eastAsia" w:ascii="宋体" w:hAnsi="宋体" w:eastAsia="宋体" w:cs="宋体"/>
          <w:color w:val="auto"/>
          <w:sz w:val="24"/>
          <w:szCs w:val="24"/>
          <w:highlight w:val="none"/>
          <w:lang w:val="en-US" w:eastAsia="zh-CN"/>
        </w:rPr>
        <w:t>不得超过最高限价（采购预算金额）。</w:t>
      </w:r>
    </w:p>
    <w:p w14:paraId="075EFF73">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磋商有效期</w:t>
      </w:r>
      <w:bookmarkEnd w:id="238"/>
      <w:bookmarkEnd w:id="239"/>
      <w:bookmarkEnd w:id="240"/>
      <w:bookmarkEnd w:id="241"/>
      <w:bookmarkEnd w:id="242"/>
      <w:bookmarkEnd w:id="243"/>
      <w:bookmarkEnd w:id="244"/>
      <w:bookmarkEnd w:id="245"/>
      <w:bookmarkEnd w:id="246"/>
      <w:bookmarkEnd w:id="247"/>
      <w:bookmarkEnd w:id="248"/>
      <w:bookmarkEnd w:id="249"/>
      <w:bookmarkEnd w:id="250"/>
    </w:p>
    <w:p w14:paraId="7A07308F">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磋商有效期见供应商须知前附表，从提交首次响应文件的截止之日起算。</w:t>
      </w:r>
    </w:p>
    <w:p w14:paraId="6CFA9210">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000000"/>
          <w:sz w:val="24"/>
          <w:szCs w:val="24"/>
        </w:rPr>
        <w:t>在</w:t>
      </w:r>
      <w:r>
        <w:rPr>
          <w:rFonts w:hint="eastAsia" w:ascii="宋体" w:hAnsi="宋体" w:eastAsia="宋体" w:cs="宋体"/>
          <w:color w:val="000000"/>
          <w:sz w:val="24"/>
          <w:szCs w:val="24"/>
          <w:lang w:val="en-US" w:eastAsia="zh-CN"/>
        </w:rPr>
        <w:t>磋商</w:t>
      </w:r>
      <w:r>
        <w:rPr>
          <w:rFonts w:hint="eastAsia" w:ascii="宋体" w:hAnsi="宋体" w:eastAsia="宋体" w:cs="宋体"/>
          <w:color w:val="000000"/>
          <w:sz w:val="24"/>
          <w:szCs w:val="24"/>
        </w:rPr>
        <w:t>有效期内，</w:t>
      </w:r>
      <w:r>
        <w:rPr>
          <w:rFonts w:hint="eastAsia" w:ascii="宋体" w:hAnsi="宋体" w:eastAsia="宋体" w:cs="宋体"/>
          <w:color w:val="000000"/>
          <w:sz w:val="24"/>
          <w:szCs w:val="24"/>
          <w:lang w:val="en-US" w:eastAsia="zh-CN"/>
        </w:rPr>
        <w:t>响应</w:t>
      </w:r>
      <w:r>
        <w:rPr>
          <w:rFonts w:hint="eastAsia" w:ascii="宋体" w:hAnsi="宋体" w:eastAsia="宋体" w:cs="宋体"/>
          <w:color w:val="000000"/>
          <w:sz w:val="24"/>
          <w:szCs w:val="24"/>
        </w:rPr>
        <w:t>人撤销</w:t>
      </w:r>
      <w:r>
        <w:rPr>
          <w:rFonts w:hint="eastAsia" w:ascii="宋体" w:hAnsi="宋体" w:eastAsia="宋体" w:cs="宋体"/>
          <w:color w:val="000000"/>
          <w:sz w:val="24"/>
          <w:szCs w:val="24"/>
          <w:lang w:val="en-US" w:eastAsia="zh-CN"/>
        </w:rPr>
        <w:t>响应</w:t>
      </w:r>
      <w:r>
        <w:rPr>
          <w:rFonts w:hint="eastAsia" w:ascii="宋体" w:hAnsi="宋体" w:eastAsia="宋体" w:cs="宋体"/>
          <w:color w:val="000000"/>
          <w:sz w:val="24"/>
          <w:szCs w:val="24"/>
        </w:rPr>
        <w:t>文件的，应承担</w:t>
      </w:r>
      <w:r>
        <w:rPr>
          <w:rFonts w:hint="eastAsia" w:ascii="宋体" w:hAnsi="宋体" w:eastAsia="宋体" w:cs="宋体"/>
          <w:color w:val="000000"/>
          <w:sz w:val="24"/>
          <w:szCs w:val="24"/>
          <w:lang w:val="en-US" w:eastAsia="zh-CN"/>
        </w:rPr>
        <w:t>响应</w:t>
      </w:r>
      <w:r>
        <w:rPr>
          <w:rFonts w:hint="eastAsia" w:ascii="宋体" w:hAnsi="宋体" w:eastAsia="宋体" w:cs="宋体"/>
          <w:color w:val="000000"/>
          <w:sz w:val="24"/>
          <w:szCs w:val="24"/>
        </w:rPr>
        <w:t>文件和法律规定的责任</w:t>
      </w:r>
      <w:r>
        <w:rPr>
          <w:rFonts w:hint="eastAsia" w:ascii="宋体" w:hAnsi="宋体" w:eastAsia="宋体" w:cs="宋体"/>
          <w:color w:val="auto"/>
          <w:sz w:val="24"/>
          <w:szCs w:val="24"/>
          <w:highlight w:val="none"/>
          <w:lang w:eastAsia="zh-CN"/>
        </w:rPr>
        <w:t>。</w:t>
      </w:r>
    </w:p>
    <w:p w14:paraId="19583A6F">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出现特殊情况需要延长磋商有效期的，采购人以书面形式通知所有供应商延长磋商有效期。供应商应予以书面答复，但不得要求或被允许修改其响应文件；供应商拒绝延长的，其磋商失效。</w:t>
      </w:r>
    </w:p>
    <w:p w14:paraId="0B97E2D7">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rPr>
      </w:pPr>
      <w:bookmarkStart w:id="251" w:name="_Toc4446"/>
      <w:bookmarkStart w:id="252" w:name="_Toc455678122"/>
      <w:bookmarkStart w:id="253" w:name="_Toc7919"/>
      <w:bookmarkStart w:id="254" w:name="_Toc269470318"/>
      <w:bookmarkStart w:id="255" w:name="_Toc463011275"/>
      <w:bookmarkStart w:id="256" w:name="_Toc454788030"/>
      <w:bookmarkStart w:id="257" w:name="_Toc270604596"/>
      <w:bookmarkStart w:id="258" w:name="_Toc428276590"/>
      <w:bookmarkStart w:id="259" w:name="_Toc277149385"/>
      <w:bookmarkStart w:id="260" w:name="_Toc270604823"/>
      <w:bookmarkStart w:id="261" w:name="_Toc428351650"/>
      <w:bookmarkStart w:id="262" w:name="_Toc462934296"/>
      <w:bookmarkStart w:id="263" w:name="_Toc32308"/>
      <w:r>
        <w:rPr>
          <w:rFonts w:hint="eastAsia" w:ascii="宋体" w:hAnsi="宋体" w:eastAsia="宋体" w:cs="宋体"/>
          <w:b/>
          <w:bCs w:val="0"/>
          <w:color w:val="auto"/>
          <w:sz w:val="24"/>
          <w:szCs w:val="24"/>
          <w:highlight w:val="none"/>
          <w:lang w:eastAsia="zh-CN"/>
        </w:rPr>
        <w:t>响应文件</w:t>
      </w:r>
      <w:r>
        <w:rPr>
          <w:rFonts w:hint="eastAsia" w:ascii="宋体" w:hAnsi="宋体" w:eastAsia="宋体" w:cs="宋体"/>
          <w:b/>
          <w:bCs w:val="0"/>
          <w:color w:val="auto"/>
          <w:sz w:val="24"/>
          <w:szCs w:val="24"/>
          <w:highlight w:val="none"/>
        </w:rPr>
        <w:t>的编制</w:t>
      </w:r>
      <w:bookmarkEnd w:id="251"/>
      <w:bookmarkEnd w:id="252"/>
      <w:bookmarkEnd w:id="253"/>
      <w:bookmarkEnd w:id="254"/>
      <w:bookmarkEnd w:id="255"/>
      <w:bookmarkEnd w:id="256"/>
      <w:bookmarkEnd w:id="257"/>
      <w:bookmarkEnd w:id="258"/>
      <w:bookmarkEnd w:id="259"/>
      <w:bookmarkEnd w:id="260"/>
      <w:bookmarkEnd w:id="261"/>
      <w:bookmarkEnd w:id="262"/>
      <w:bookmarkEnd w:id="263"/>
    </w:p>
    <w:p w14:paraId="6B9C14AB">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响应文件应按响应文件格式进行编写，如有必要，可以增加附页，作为响应文件的组成部分。其中，</w:t>
      </w:r>
      <w:r>
        <w:rPr>
          <w:rFonts w:hint="eastAsia" w:cs="宋体"/>
          <w:color w:val="auto"/>
          <w:sz w:val="24"/>
          <w:szCs w:val="24"/>
          <w:highlight w:val="none"/>
          <w:lang w:eastAsia="zh-CN"/>
        </w:rPr>
        <w:t>响应函</w:t>
      </w:r>
      <w:r>
        <w:rPr>
          <w:rFonts w:hint="eastAsia" w:ascii="宋体" w:hAnsi="宋体" w:eastAsia="宋体" w:cs="宋体"/>
          <w:color w:val="auto"/>
          <w:sz w:val="24"/>
          <w:szCs w:val="24"/>
          <w:highlight w:val="none"/>
          <w:lang w:eastAsia="zh-CN"/>
        </w:rPr>
        <w:t>附录在满足竞争性磋商文件实质性要求的基础上，可以提出比竞争性磋商文件要求更有利于采购人的承诺。</w:t>
      </w:r>
    </w:p>
    <w:p w14:paraId="67F7D14D">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响应文件应当对竞争性磋商文件有关</w:t>
      </w:r>
      <w:r>
        <w:rPr>
          <w:rFonts w:hint="eastAsia" w:cs="宋体"/>
          <w:color w:val="auto"/>
          <w:sz w:val="24"/>
          <w:szCs w:val="24"/>
          <w:highlight w:val="none"/>
          <w:lang w:eastAsia="zh-CN"/>
        </w:rPr>
        <w:t>响应报价</w:t>
      </w:r>
      <w:r>
        <w:rPr>
          <w:rFonts w:hint="eastAsia" w:ascii="宋体" w:hAnsi="宋体" w:eastAsia="宋体" w:cs="宋体"/>
          <w:color w:val="auto"/>
          <w:sz w:val="24"/>
          <w:szCs w:val="24"/>
          <w:highlight w:val="none"/>
          <w:lang w:eastAsia="zh-CN"/>
        </w:rPr>
        <w:t>、计划工期、磋商有效期、质量标准等实质性内容作出响应。</w:t>
      </w:r>
    </w:p>
    <w:p w14:paraId="65724EDE">
      <w:pPr>
        <w:spacing w:line="360" w:lineRule="auto"/>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eastAsia="zh-CN"/>
        </w:rPr>
        <w:t>3.5.3</w:t>
      </w:r>
      <w:r>
        <w:rPr>
          <w:rFonts w:hint="eastAsia" w:ascii="宋体" w:hAnsi="宋体" w:eastAsia="宋体" w:cs="宋体"/>
          <w:color w:val="auto"/>
          <w:sz w:val="24"/>
          <w:szCs w:val="24"/>
          <w:highlight w:val="none"/>
          <w:lang w:val="en-US" w:eastAsia="zh-CN"/>
        </w:rPr>
        <w:t xml:space="preserve"> </w:t>
      </w:r>
      <w:bookmarkStart w:id="264" w:name="_Toc416766865"/>
      <w:bookmarkStart w:id="265" w:name="_Toc416766227"/>
      <w:bookmarkStart w:id="266" w:name="_Toc365706563"/>
      <w:bookmarkStart w:id="267" w:name="_Toc366484887"/>
      <w:bookmarkStart w:id="268" w:name="_Toc25506"/>
      <w:bookmarkStart w:id="269" w:name="_Toc256519677"/>
      <w:bookmarkStart w:id="270" w:name="_Toc427143490"/>
      <w:bookmarkStart w:id="271" w:name="_Toc391469608"/>
      <w:r>
        <w:rPr>
          <w:rFonts w:hint="eastAsia" w:ascii="宋体" w:hAnsi="宋体" w:eastAsia="宋体" w:cs="宋体"/>
          <w:sz w:val="24"/>
          <w:szCs w:val="24"/>
          <w:lang w:val="en-US" w:eastAsia="zh-CN"/>
        </w:rPr>
        <w:t>响应文件</w:t>
      </w:r>
      <w:r>
        <w:rPr>
          <w:rFonts w:hint="eastAsia" w:ascii="宋体" w:hAnsi="宋体" w:eastAsia="宋体" w:cs="宋体"/>
          <w:sz w:val="24"/>
          <w:szCs w:val="24"/>
        </w:rPr>
        <w:t>均应按</w:t>
      </w:r>
      <w:r>
        <w:rPr>
          <w:rFonts w:hint="eastAsia" w:ascii="宋体" w:hAnsi="宋体" w:eastAsia="宋体" w:cs="宋体"/>
          <w:sz w:val="24"/>
          <w:szCs w:val="24"/>
          <w:lang w:val="en-US" w:eastAsia="zh-CN"/>
        </w:rPr>
        <w:t>磋商</w:t>
      </w:r>
      <w:r>
        <w:rPr>
          <w:rFonts w:hint="eastAsia" w:ascii="宋体" w:hAnsi="宋体" w:eastAsia="宋体" w:cs="宋体"/>
          <w:sz w:val="24"/>
          <w:szCs w:val="24"/>
        </w:rPr>
        <w:t>文件要求加盖单位章和法定代表人（或其委托代理人）签章。委托代理人签章的，投标文件应附法定代表人签署的电子授权委托书。</w:t>
      </w:r>
      <w:bookmarkEnd w:id="264"/>
      <w:bookmarkEnd w:id="265"/>
      <w:bookmarkEnd w:id="266"/>
      <w:bookmarkEnd w:id="267"/>
      <w:bookmarkEnd w:id="268"/>
      <w:bookmarkEnd w:id="269"/>
      <w:bookmarkEnd w:id="270"/>
      <w:bookmarkEnd w:id="271"/>
      <w:r>
        <w:rPr>
          <w:rFonts w:hint="eastAsia" w:ascii="宋体" w:hAnsi="宋体" w:eastAsia="宋体" w:cs="宋体"/>
          <w:sz w:val="24"/>
          <w:szCs w:val="24"/>
        </w:rPr>
        <w:t xml:space="preserve"> </w:t>
      </w:r>
    </w:p>
    <w:p w14:paraId="34CB1D31">
      <w:pPr>
        <w:spacing w:line="360" w:lineRule="auto"/>
        <w:ind w:firstLine="480" w:firstLineChars="200"/>
        <w:rPr>
          <w:rFonts w:hint="eastAsia" w:ascii="宋体" w:hAnsi="宋体" w:eastAsia="宋体" w:cs="宋体"/>
          <w:b/>
          <w:sz w:val="24"/>
          <w:szCs w:val="24"/>
        </w:rPr>
      </w:pPr>
      <w:bookmarkStart w:id="272" w:name="_Toc6530"/>
      <w:r>
        <w:rPr>
          <w:rFonts w:hint="eastAsia" w:ascii="宋体" w:hAnsi="宋体" w:eastAsia="宋体" w:cs="宋体"/>
          <w:sz w:val="24"/>
          <w:szCs w:val="24"/>
          <w:lang w:val="en-US" w:eastAsia="zh-CN"/>
        </w:rPr>
        <w:t>响应文件</w:t>
      </w:r>
      <w:r>
        <w:rPr>
          <w:rFonts w:hint="eastAsia" w:ascii="宋体" w:hAnsi="宋体" w:eastAsia="宋体" w:cs="宋体"/>
          <w:sz w:val="24"/>
          <w:szCs w:val="24"/>
        </w:rPr>
        <w:t>应尽量避免涂改、行间插字或删除。如果出现上述情况，改动之处应加盖单位章或由</w:t>
      </w:r>
      <w:r>
        <w:rPr>
          <w:rFonts w:hint="eastAsia" w:ascii="宋体" w:hAnsi="宋体" w:eastAsia="宋体" w:cs="宋体"/>
          <w:sz w:val="24"/>
          <w:szCs w:val="24"/>
          <w:lang w:val="en-US" w:eastAsia="zh-CN"/>
        </w:rPr>
        <w:t>响应</w:t>
      </w:r>
      <w:r>
        <w:rPr>
          <w:rFonts w:hint="eastAsia" w:ascii="宋体" w:hAnsi="宋体" w:eastAsia="宋体" w:cs="宋体"/>
          <w:sz w:val="24"/>
          <w:szCs w:val="24"/>
        </w:rPr>
        <w:t>人的法定代表人或其授权的代理人签章确认。</w:t>
      </w:r>
      <w:r>
        <w:rPr>
          <w:rFonts w:hint="eastAsia" w:ascii="宋体" w:hAnsi="宋体" w:eastAsia="宋体" w:cs="宋体"/>
          <w:b/>
          <w:sz w:val="24"/>
          <w:szCs w:val="24"/>
        </w:rPr>
        <w:t>签字或盖章的其他要求见</w:t>
      </w:r>
      <w:r>
        <w:rPr>
          <w:rFonts w:hint="eastAsia" w:cs="宋体"/>
          <w:b/>
          <w:sz w:val="24"/>
          <w:szCs w:val="24"/>
          <w:lang w:eastAsia="zh-CN"/>
        </w:rPr>
        <w:t>供应商须知前附表</w:t>
      </w:r>
      <w:r>
        <w:rPr>
          <w:rFonts w:hint="eastAsia" w:ascii="宋体" w:hAnsi="宋体" w:eastAsia="宋体" w:cs="宋体"/>
          <w:b/>
          <w:sz w:val="24"/>
          <w:szCs w:val="24"/>
        </w:rPr>
        <w:t>及电子化交易注意事项。</w:t>
      </w:r>
    </w:p>
    <w:p w14:paraId="53619C80">
      <w:pPr>
        <w:pStyle w:val="3"/>
        <w:numPr>
          <w:ilvl w:val="0"/>
          <w:numId w:val="4"/>
        </w:numPr>
        <w:bidi w:val="0"/>
        <w:jc w:val="center"/>
        <w:rPr>
          <w:rStyle w:val="66"/>
          <w:rFonts w:hint="eastAsia" w:ascii="宋体" w:hAnsi="宋体" w:eastAsia="宋体" w:cs="宋体"/>
          <w:b/>
          <w:bCs/>
          <w:color w:val="auto"/>
          <w:sz w:val="24"/>
          <w:szCs w:val="24"/>
          <w:highlight w:val="none"/>
          <w:lang w:val="en-US" w:eastAsia="zh-CN"/>
        </w:rPr>
      </w:pPr>
      <w:bookmarkStart w:id="273" w:name="_Toc20131"/>
      <w:bookmarkStart w:id="274" w:name="_Toc21097"/>
      <w:bookmarkStart w:id="275" w:name="_Toc12187"/>
      <w:bookmarkStart w:id="276" w:name="_Toc31747"/>
      <w:bookmarkStart w:id="277" w:name="_Toc4992"/>
      <w:r>
        <w:rPr>
          <w:rStyle w:val="66"/>
          <w:rFonts w:hint="eastAsia" w:ascii="宋体" w:hAnsi="宋体" w:eastAsia="宋体" w:cs="宋体"/>
          <w:b/>
          <w:bCs/>
          <w:color w:val="auto"/>
          <w:sz w:val="24"/>
          <w:szCs w:val="24"/>
          <w:highlight w:val="none"/>
          <w:lang w:val="en-US" w:eastAsia="zh-CN"/>
        </w:rPr>
        <w:t>响应文件的递交</w:t>
      </w:r>
      <w:bookmarkEnd w:id="272"/>
      <w:bookmarkEnd w:id="273"/>
      <w:bookmarkEnd w:id="274"/>
      <w:bookmarkEnd w:id="275"/>
      <w:bookmarkEnd w:id="276"/>
      <w:bookmarkEnd w:id="277"/>
    </w:p>
    <w:p w14:paraId="503A4F18">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rPr>
      </w:pPr>
      <w:bookmarkStart w:id="278" w:name="_Toc455678124"/>
      <w:bookmarkStart w:id="279" w:name="_Toc454788032"/>
      <w:bookmarkStart w:id="280" w:name="_Toc27477"/>
      <w:bookmarkStart w:id="281" w:name="_Toc428276592"/>
      <w:bookmarkStart w:id="282" w:name="_Toc462934298"/>
      <w:bookmarkStart w:id="283" w:name="_Toc428351652"/>
      <w:bookmarkStart w:id="284" w:name="_Toc270604598"/>
      <w:bookmarkStart w:id="285" w:name="_Toc270604825"/>
      <w:bookmarkStart w:id="286" w:name="_Toc269470320"/>
      <w:bookmarkStart w:id="287" w:name="_Toc21528"/>
      <w:bookmarkStart w:id="288" w:name="_Toc277149387"/>
      <w:bookmarkStart w:id="289" w:name="_Toc463011277"/>
      <w:bookmarkStart w:id="290" w:name="_Toc31608"/>
      <w:r>
        <w:rPr>
          <w:rFonts w:hint="eastAsia" w:ascii="宋体" w:hAnsi="宋体" w:eastAsia="宋体" w:cs="宋体"/>
          <w:b/>
          <w:bCs w:val="0"/>
          <w:color w:val="auto"/>
          <w:sz w:val="24"/>
          <w:szCs w:val="24"/>
          <w:highlight w:val="none"/>
        </w:rPr>
        <w:t>响应文件的密封和标记</w:t>
      </w:r>
      <w:bookmarkEnd w:id="278"/>
      <w:bookmarkEnd w:id="279"/>
      <w:bookmarkEnd w:id="280"/>
      <w:bookmarkEnd w:id="281"/>
      <w:bookmarkEnd w:id="282"/>
      <w:bookmarkEnd w:id="283"/>
      <w:bookmarkEnd w:id="284"/>
      <w:bookmarkEnd w:id="285"/>
      <w:bookmarkEnd w:id="286"/>
      <w:bookmarkEnd w:id="287"/>
      <w:bookmarkEnd w:id="288"/>
      <w:bookmarkEnd w:id="289"/>
      <w:bookmarkEnd w:id="290"/>
      <w:r>
        <w:rPr>
          <w:rFonts w:hint="eastAsia" w:ascii="宋体" w:hAnsi="宋体" w:eastAsia="宋体" w:cs="宋体"/>
          <w:b/>
          <w:bCs w:val="0"/>
          <w:color w:val="auto"/>
          <w:sz w:val="24"/>
          <w:szCs w:val="24"/>
          <w:highlight w:val="none"/>
          <w:lang w:eastAsia="zh-CN"/>
        </w:rPr>
        <w:t>（</w:t>
      </w:r>
      <w:r>
        <w:rPr>
          <w:rFonts w:hint="eastAsia" w:ascii="宋体" w:hAnsi="宋体" w:eastAsia="宋体" w:cs="宋体"/>
          <w:b/>
          <w:bCs w:val="0"/>
          <w:color w:val="auto"/>
          <w:sz w:val="24"/>
          <w:szCs w:val="24"/>
          <w:highlight w:val="none"/>
          <w:lang w:val="en-US" w:eastAsia="zh-CN"/>
        </w:rPr>
        <w:t>本项目为电子化投标</w:t>
      </w:r>
      <w:r>
        <w:rPr>
          <w:rFonts w:hint="eastAsia" w:ascii="宋体" w:hAnsi="宋体" w:eastAsia="宋体" w:cs="宋体"/>
          <w:b/>
          <w:bCs w:val="0"/>
          <w:color w:val="auto"/>
          <w:sz w:val="24"/>
          <w:szCs w:val="24"/>
          <w:highlight w:val="none"/>
          <w:lang w:eastAsia="zh-CN"/>
        </w:rPr>
        <w:t>）</w:t>
      </w:r>
    </w:p>
    <w:p w14:paraId="59EC30CD">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rPr>
      </w:pPr>
      <w:bookmarkStart w:id="291" w:name="_Toc277149388"/>
      <w:bookmarkStart w:id="292" w:name="_Toc270604599"/>
      <w:bookmarkStart w:id="293" w:name="_Toc29167"/>
      <w:bookmarkStart w:id="294" w:name="_Toc269470321"/>
      <w:bookmarkStart w:id="295" w:name="_Toc454788033"/>
      <w:bookmarkStart w:id="296" w:name="_Toc428276593"/>
      <w:bookmarkStart w:id="297" w:name="_Toc463011278"/>
      <w:bookmarkStart w:id="298" w:name="_Toc5938"/>
      <w:bookmarkStart w:id="299" w:name="_Toc270604826"/>
      <w:bookmarkStart w:id="300" w:name="_Toc20197"/>
      <w:bookmarkStart w:id="301" w:name="_Toc462934299"/>
      <w:bookmarkStart w:id="302" w:name="_Toc455678125"/>
      <w:bookmarkStart w:id="303" w:name="_Toc428351653"/>
      <w:r>
        <w:rPr>
          <w:rFonts w:hint="eastAsia" w:ascii="宋体" w:hAnsi="宋体" w:eastAsia="宋体" w:cs="宋体"/>
          <w:b/>
          <w:bCs w:val="0"/>
          <w:color w:val="auto"/>
          <w:sz w:val="24"/>
          <w:szCs w:val="24"/>
          <w:highlight w:val="none"/>
          <w:lang w:eastAsia="zh-CN"/>
        </w:rPr>
        <w:t>响应文件</w:t>
      </w:r>
      <w:r>
        <w:rPr>
          <w:rFonts w:hint="eastAsia" w:ascii="宋体" w:hAnsi="宋体" w:eastAsia="宋体" w:cs="宋体"/>
          <w:b/>
          <w:bCs w:val="0"/>
          <w:color w:val="auto"/>
          <w:sz w:val="24"/>
          <w:szCs w:val="24"/>
          <w:highlight w:val="none"/>
        </w:rPr>
        <w:t>的递交</w:t>
      </w:r>
      <w:bookmarkEnd w:id="291"/>
      <w:bookmarkEnd w:id="292"/>
      <w:bookmarkEnd w:id="293"/>
      <w:bookmarkEnd w:id="294"/>
      <w:bookmarkEnd w:id="295"/>
      <w:bookmarkEnd w:id="296"/>
      <w:bookmarkEnd w:id="297"/>
      <w:bookmarkEnd w:id="298"/>
      <w:bookmarkEnd w:id="299"/>
      <w:bookmarkEnd w:id="300"/>
      <w:bookmarkEnd w:id="301"/>
      <w:bookmarkEnd w:id="302"/>
      <w:bookmarkEnd w:id="303"/>
    </w:p>
    <w:p w14:paraId="29A1629C">
      <w:pPr>
        <w:spacing w:line="360" w:lineRule="auto"/>
        <w:ind w:firstLine="480" w:firstLineChars="200"/>
        <w:rPr>
          <w:rFonts w:hint="eastAsia" w:ascii="宋体" w:hAnsi="宋体" w:eastAsia="宋体" w:cs="宋体"/>
          <w:sz w:val="24"/>
          <w:szCs w:val="24"/>
        </w:rPr>
      </w:pPr>
      <w:bookmarkStart w:id="304" w:name="_Toc270604827"/>
      <w:bookmarkStart w:id="305" w:name="_Toc455678126"/>
      <w:bookmarkStart w:id="306" w:name="_Toc462934300"/>
      <w:bookmarkStart w:id="307" w:name="_Toc270604600"/>
      <w:bookmarkStart w:id="308" w:name="_Toc454788034"/>
      <w:bookmarkStart w:id="309" w:name="_Toc428276594"/>
      <w:bookmarkStart w:id="310" w:name="_Toc463011279"/>
      <w:bookmarkStart w:id="311" w:name="_Toc277149389"/>
      <w:bookmarkStart w:id="312" w:name="_Toc29096"/>
      <w:bookmarkStart w:id="313" w:name="_Toc27108"/>
      <w:bookmarkStart w:id="314" w:name="_Toc26556"/>
      <w:bookmarkStart w:id="315" w:name="_Toc428351654"/>
      <w:bookmarkStart w:id="316" w:name="_Toc269470322"/>
      <w:r>
        <w:rPr>
          <w:rFonts w:hint="eastAsia" w:ascii="宋体" w:hAnsi="宋体" w:eastAsia="宋体" w:cs="宋体"/>
          <w:sz w:val="24"/>
          <w:szCs w:val="24"/>
        </w:rPr>
        <w:t xml:space="preserve">4.2.1 </w:t>
      </w:r>
      <w:r>
        <w:rPr>
          <w:rFonts w:hint="eastAsia" w:ascii="宋体" w:hAnsi="宋体" w:eastAsia="宋体" w:cs="宋体"/>
          <w:sz w:val="24"/>
          <w:szCs w:val="24"/>
          <w:lang w:val="en-US" w:eastAsia="zh-CN"/>
        </w:rPr>
        <w:t>响应</w:t>
      </w:r>
      <w:r>
        <w:rPr>
          <w:rFonts w:hint="eastAsia" w:ascii="宋体" w:hAnsi="宋体" w:eastAsia="宋体" w:cs="宋体"/>
          <w:sz w:val="24"/>
          <w:szCs w:val="24"/>
        </w:rPr>
        <w:t>人应在规定的投标截止时间前上传电子</w:t>
      </w:r>
      <w:r>
        <w:rPr>
          <w:rFonts w:hint="eastAsia" w:ascii="宋体" w:hAnsi="宋体" w:eastAsia="宋体" w:cs="宋体"/>
          <w:sz w:val="24"/>
          <w:szCs w:val="24"/>
          <w:lang w:val="en-US" w:eastAsia="zh-CN"/>
        </w:rPr>
        <w:t>响应</w:t>
      </w:r>
      <w:r>
        <w:rPr>
          <w:rFonts w:hint="eastAsia" w:ascii="宋体" w:hAnsi="宋体" w:eastAsia="宋体" w:cs="宋体"/>
          <w:sz w:val="24"/>
          <w:szCs w:val="24"/>
        </w:rPr>
        <w:t>文件。</w:t>
      </w:r>
    </w:p>
    <w:p w14:paraId="4D0C696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4.2.2 </w:t>
      </w:r>
      <w:r>
        <w:rPr>
          <w:rFonts w:hint="eastAsia" w:ascii="宋体" w:hAnsi="宋体" w:eastAsia="宋体" w:cs="宋体"/>
          <w:sz w:val="24"/>
          <w:szCs w:val="24"/>
          <w:lang w:val="en-US" w:eastAsia="zh-CN"/>
        </w:rPr>
        <w:t>响应</w:t>
      </w:r>
      <w:r>
        <w:rPr>
          <w:rFonts w:hint="eastAsia" w:ascii="宋体" w:hAnsi="宋体" w:eastAsia="宋体" w:cs="宋体"/>
          <w:sz w:val="24"/>
          <w:szCs w:val="24"/>
        </w:rPr>
        <w:t>人上传电子</w:t>
      </w:r>
      <w:r>
        <w:rPr>
          <w:rFonts w:hint="eastAsia" w:ascii="宋体" w:hAnsi="宋体" w:eastAsia="宋体" w:cs="宋体"/>
          <w:sz w:val="24"/>
          <w:szCs w:val="24"/>
          <w:lang w:val="en-US" w:eastAsia="zh-CN"/>
        </w:rPr>
        <w:t>响应</w:t>
      </w:r>
      <w:r>
        <w:rPr>
          <w:rFonts w:hint="eastAsia" w:ascii="宋体" w:hAnsi="宋体" w:eastAsia="宋体" w:cs="宋体"/>
          <w:sz w:val="24"/>
          <w:szCs w:val="24"/>
        </w:rPr>
        <w:t>文件的地点：见</w:t>
      </w:r>
      <w:r>
        <w:rPr>
          <w:rFonts w:hint="eastAsia" w:cs="宋体"/>
          <w:sz w:val="24"/>
          <w:szCs w:val="24"/>
          <w:lang w:eastAsia="zh-CN"/>
        </w:rPr>
        <w:t>供应商须知前附表</w:t>
      </w:r>
      <w:r>
        <w:rPr>
          <w:rFonts w:hint="eastAsia" w:ascii="宋体" w:hAnsi="宋体" w:eastAsia="宋体" w:cs="宋体"/>
          <w:sz w:val="24"/>
          <w:szCs w:val="24"/>
        </w:rPr>
        <w:t>。</w:t>
      </w:r>
    </w:p>
    <w:p w14:paraId="3429FC6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4.2.3 除</w:t>
      </w:r>
      <w:r>
        <w:rPr>
          <w:rFonts w:hint="eastAsia" w:cs="宋体"/>
          <w:sz w:val="24"/>
          <w:szCs w:val="24"/>
          <w:lang w:eastAsia="zh-CN"/>
        </w:rPr>
        <w:t>供应商须知前附表</w:t>
      </w:r>
      <w:r>
        <w:rPr>
          <w:rFonts w:hint="eastAsia" w:ascii="宋体" w:hAnsi="宋体" w:eastAsia="宋体" w:cs="宋体"/>
          <w:sz w:val="24"/>
          <w:szCs w:val="24"/>
        </w:rPr>
        <w:t>另有规定外，</w:t>
      </w:r>
      <w:r>
        <w:rPr>
          <w:rFonts w:hint="eastAsia" w:ascii="宋体" w:hAnsi="宋体" w:eastAsia="宋体" w:cs="宋体"/>
          <w:sz w:val="24"/>
          <w:szCs w:val="24"/>
          <w:lang w:val="en-US" w:eastAsia="zh-CN"/>
        </w:rPr>
        <w:t>响应</w:t>
      </w:r>
      <w:r>
        <w:rPr>
          <w:rFonts w:hint="eastAsia" w:ascii="宋体" w:hAnsi="宋体" w:eastAsia="宋体" w:cs="宋体"/>
          <w:sz w:val="24"/>
          <w:szCs w:val="24"/>
        </w:rPr>
        <w:t>人所上传的电子</w:t>
      </w:r>
      <w:r>
        <w:rPr>
          <w:rFonts w:hint="eastAsia" w:ascii="宋体" w:hAnsi="宋体" w:eastAsia="宋体" w:cs="宋体"/>
          <w:sz w:val="24"/>
          <w:szCs w:val="24"/>
          <w:lang w:val="en-US" w:eastAsia="zh-CN"/>
        </w:rPr>
        <w:t>响应</w:t>
      </w:r>
      <w:r>
        <w:rPr>
          <w:rFonts w:hint="eastAsia" w:ascii="宋体" w:hAnsi="宋体" w:eastAsia="宋体" w:cs="宋体"/>
          <w:sz w:val="24"/>
          <w:szCs w:val="24"/>
        </w:rPr>
        <w:t>文件不予退还。</w:t>
      </w:r>
    </w:p>
    <w:p w14:paraId="19612B1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4.2.4逾期上传的或者未上传指定地点的电子</w:t>
      </w:r>
      <w:r>
        <w:rPr>
          <w:rFonts w:hint="eastAsia" w:ascii="宋体" w:hAnsi="宋体" w:eastAsia="宋体" w:cs="宋体"/>
          <w:sz w:val="24"/>
          <w:szCs w:val="24"/>
          <w:lang w:val="en-US" w:eastAsia="zh-CN"/>
        </w:rPr>
        <w:t>响应</w:t>
      </w:r>
      <w:r>
        <w:rPr>
          <w:rFonts w:hint="eastAsia" w:ascii="宋体" w:hAnsi="宋体" w:eastAsia="宋体" w:cs="宋体"/>
          <w:sz w:val="24"/>
          <w:szCs w:val="24"/>
        </w:rPr>
        <w:t>文件，</w:t>
      </w:r>
      <w:r>
        <w:rPr>
          <w:rFonts w:hint="eastAsia" w:ascii="宋体" w:hAnsi="宋体" w:eastAsia="宋体" w:cs="宋体"/>
          <w:sz w:val="24"/>
          <w:szCs w:val="24"/>
          <w:lang w:val="en-US" w:eastAsia="zh-CN"/>
        </w:rPr>
        <w:t>采购</w:t>
      </w:r>
      <w:r>
        <w:rPr>
          <w:rFonts w:hint="eastAsia" w:ascii="宋体" w:hAnsi="宋体" w:eastAsia="宋体" w:cs="宋体"/>
          <w:sz w:val="24"/>
          <w:szCs w:val="24"/>
        </w:rPr>
        <w:t>人不予受理。</w:t>
      </w:r>
    </w:p>
    <w:p w14:paraId="43EE786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4.2.5在特殊情况下，</w:t>
      </w:r>
      <w:r>
        <w:rPr>
          <w:rFonts w:hint="eastAsia" w:ascii="宋体" w:hAnsi="宋体" w:eastAsia="宋体" w:cs="宋体"/>
          <w:sz w:val="24"/>
          <w:szCs w:val="24"/>
          <w:lang w:val="en-US" w:eastAsia="zh-CN"/>
        </w:rPr>
        <w:t>采购</w:t>
      </w:r>
      <w:r>
        <w:rPr>
          <w:rFonts w:hint="eastAsia" w:ascii="宋体" w:hAnsi="宋体" w:eastAsia="宋体" w:cs="宋体"/>
          <w:sz w:val="24"/>
          <w:szCs w:val="24"/>
        </w:rPr>
        <w:t>人如果决定延后递交投标截止时间，应在</w:t>
      </w:r>
      <w:r>
        <w:rPr>
          <w:rFonts w:hint="eastAsia" w:cs="宋体"/>
          <w:sz w:val="24"/>
          <w:szCs w:val="24"/>
          <w:lang w:eastAsia="zh-CN"/>
        </w:rPr>
        <w:t>供应商须知前附表</w:t>
      </w:r>
      <w:r>
        <w:rPr>
          <w:rFonts w:hint="eastAsia" w:ascii="宋体" w:hAnsi="宋体" w:eastAsia="宋体" w:cs="宋体"/>
          <w:sz w:val="24"/>
          <w:szCs w:val="24"/>
        </w:rPr>
        <w:t>规定的时间前，通知送达所有</w:t>
      </w:r>
      <w:r>
        <w:rPr>
          <w:rFonts w:hint="eastAsia" w:ascii="宋体" w:hAnsi="宋体" w:eastAsia="宋体" w:cs="宋体"/>
          <w:sz w:val="24"/>
          <w:szCs w:val="24"/>
          <w:lang w:val="en-US" w:eastAsia="zh-CN"/>
        </w:rPr>
        <w:t>响应</w:t>
      </w:r>
      <w:r>
        <w:rPr>
          <w:rFonts w:hint="eastAsia" w:ascii="宋体" w:hAnsi="宋体" w:eastAsia="宋体" w:cs="宋体"/>
          <w:sz w:val="24"/>
          <w:szCs w:val="24"/>
        </w:rPr>
        <w:t>人延后投标截止时间。在此情况下，</w:t>
      </w:r>
      <w:r>
        <w:rPr>
          <w:rFonts w:hint="eastAsia" w:ascii="宋体" w:hAnsi="宋体" w:eastAsia="宋体" w:cs="宋体"/>
          <w:sz w:val="24"/>
          <w:szCs w:val="24"/>
          <w:lang w:val="en-US" w:eastAsia="zh-CN"/>
        </w:rPr>
        <w:t>采购</w:t>
      </w:r>
      <w:r>
        <w:rPr>
          <w:rFonts w:hint="eastAsia" w:ascii="宋体" w:hAnsi="宋体" w:eastAsia="宋体" w:cs="宋体"/>
          <w:sz w:val="24"/>
          <w:szCs w:val="24"/>
        </w:rPr>
        <w:t>人和</w:t>
      </w:r>
      <w:r>
        <w:rPr>
          <w:rFonts w:hint="eastAsia" w:ascii="宋体" w:hAnsi="宋体" w:eastAsia="宋体" w:cs="宋体"/>
          <w:sz w:val="24"/>
          <w:szCs w:val="24"/>
          <w:lang w:val="en-US" w:eastAsia="zh-CN"/>
        </w:rPr>
        <w:t>响应</w:t>
      </w:r>
      <w:r>
        <w:rPr>
          <w:rFonts w:hint="eastAsia" w:ascii="宋体" w:hAnsi="宋体" w:eastAsia="宋体" w:cs="宋体"/>
          <w:sz w:val="24"/>
          <w:szCs w:val="24"/>
        </w:rPr>
        <w:t>人的权利和义务相应延后至新的投标截止时间。</w:t>
      </w:r>
    </w:p>
    <w:p w14:paraId="03CCF005">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lang w:val="en-US" w:eastAsia="zh-CN"/>
        </w:rPr>
        <w:t>电子</w:t>
      </w:r>
      <w:r>
        <w:rPr>
          <w:rFonts w:hint="eastAsia" w:ascii="宋体" w:hAnsi="宋体" w:eastAsia="宋体" w:cs="宋体"/>
          <w:b/>
          <w:bCs w:val="0"/>
          <w:color w:val="auto"/>
          <w:sz w:val="24"/>
          <w:szCs w:val="24"/>
          <w:highlight w:val="none"/>
          <w:lang w:eastAsia="zh-CN"/>
        </w:rPr>
        <w:t>响应文件</w:t>
      </w:r>
      <w:r>
        <w:rPr>
          <w:rFonts w:hint="eastAsia" w:ascii="宋体" w:hAnsi="宋体" w:eastAsia="宋体" w:cs="宋体"/>
          <w:b/>
          <w:bCs w:val="0"/>
          <w:color w:val="auto"/>
          <w:sz w:val="24"/>
          <w:szCs w:val="24"/>
          <w:highlight w:val="none"/>
        </w:rPr>
        <w:t>的</w:t>
      </w:r>
      <w:r>
        <w:rPr>
          <w:rFonts w:hint="eastAsia" w:ascii="宋体" w:hAnsi="宋体" w:eastAsia="宋体" w:cs="宋体"/>
          <w:b/>
          <w:bCs w:val="0"/>
          <w:color w:val="auto"/>
          <w:sz w:val="24"/>
          <w:szCs w:val="24"/>
          <w:highlight w:val="none"/>
          <w:lang w:eastAsia="zh-CN"/>
        </w:rPr>
        <w:t>补充、</w:t>
      </w:r>
      <w:r>
        <w:rPr>
          <w:rFonts w:hint="eastAsia" w:ascii="宋体" w:hAnsi="宋体" w:eastAsia="宋体" w:cs="宋体"/>
          <w:b/>
          <w:bCs w:val="0"/>
          <w:color w:val="auto"/>
          <w:sz w:val="24"/>
          <w:szCs w:val="24"/>
          <w:highlight w:val="none"/>
        </w:rPr>
        <w:t>修改与撤回</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3FB39672">
      <w:pPr>
        <w:spacing w:line="360" w:lineRule="auto"/>
        <w:ind w:firstLine="480" w:firstLineChars="200"/>
        <w:rPr>
          <w:rFonts w:hint="eastAsia" w:ascii="宋体" w:hAnsi="宋体" w:eastAsia="宋体" w:cs="宋体"/>
          <w:sz w:val="24"/>
          <w:szCs w:val="24"/>
        </w:rPr>
      </w:pPr>
      <w:bookmarkStart w:id="317" w:name="_Toc270604601"/>
      <w:bookmarkStart w:id="318" w:name="_Toc5513"/>
      <w:r>
        <w:rPr>
          <w:rFonts w:hint="eastAsia" w:ascii="宋体" w:hAnsi="宋体" w:eastAsia="宋体" w:cs="宋体"/>
          <w:sz w:val="24"/>
          <w:szCs w:val="24"/>
        </w:rPr>
        <w:t>4.3.1</w:t>
      </w:r>
      <w:r>
        <w:rPr>
          <w:rFonts w:hint="eastAsia" w:ascii="宋体" w:hAnsi="宋体" w:eastAsia="宋体" w:cs="宋体"/>
          <w:sz w:val="24"/>
          <w:szCs w:val="24"/>
          <w:lang w:val="en-US" w:eastAsia="zh-CN"/>
        </w:rPr>
        <w:t>响应</w:t>
      </w:r>
      <w:r>
        <w:rPr>
          <w:rFonts w:hint="eastAsia" w:ascii="宋体" w:hAnsi="宋体" w:eastAsia="宋体" w:cs="宋体"/>
          <w:sz w:val="24"/>
          <w:szCs w:val="24"/>
        </w:rPr>
        <w:t>人可以修改或撤回已上传的电子</w:t>
      </w:r>
      <w:r>
        <w:rPr>
          <w:rFonts w:hint="eastAsia" w:ascii="宋体" w:hAnsi="宋体" w:eastAsia="宋体" w:cs="宋体"/>
          <w:sz w:val="24"/>
          <w:szCs w:val="24"/>
          <w:lang w:val="en-US" w:eastAsia="zh-CN"/>
        </w:rPr>
        <w:t>响应</w:t>
      </w:r>
      <w:r>
        <w:rPr>
          <w:rFonts w:hint="eastAsia" w:ascii="宋体" w:hAnsi="宋体" w:eastAsia="宋体" w:cs="宋体"/>
          <w:sz w:val="24"/>
          <w:szCs w:val="24"/>
        </w:rPr>
        <w:t>文件。</w:t>
      </w:r>
    </w:p>
    <w:p w14:paraId="095D819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4.3.2修改的内容为电子</w:t>
      </w:r>
      <w:r>
        <w:rPr>
          <w:rFonts w:hint="eastAsia" w:ascii="宋体" w:hAnsi="宋体" w:eastAsia="宋体" w:cs="宋体"/>
          <w:sz w:val="24"/>
          <w:szCs w:val="24"/>
          <w:lang w:val="en-US" w:eastAsia="zh-CN"/>
        </w:rPr>
        <w:t>响应</w:t>
      </w:r>
      <w:r>
        <w:rPr>
          <w:rFonts w:hint="eastAsia" w:ascii="宋体" w:hAnsi="宋体" w:eastAsia="宋体" w:cs="宋体"/>
          <w:sz w:val="24"/>
          <w:szCs w:val="24"/>
        </w:rPr>
        <w:t>文件的组成部分。</w:t>
      </w:r>
    </w:p>
    <w:p w14:paraId="6AF4544D">
      <w:pPr>
        <w:pStyle w:val="3"/>
        <w:numPr>
          <w:ilvl w:val="0"/>
          <w:numId w:val="4"/>
        </w:numPr>
        <w:bidi w:val="0"/>
        <w:rPr>
          <w:rStyle w:val="66"/>
          <w:rFonts w:hint="eastAsia" w:ascii="宋体" w:hAnsi="宋体" w:eastAsia="宋体" w:cs="宋体"/>
          <w:b/>
          <w:bCs/>
          <w:color w:val="auto"/>
          <w:sz w:val="24"/>
          <w:szCs w:val="24"/>
          <w:highlight w:val="none"/>
          <w:lang w:val="en-US" w:eastAsia="zh-CN"/>
        </w:rPr>
      </w:pPr>
      <w:r>
        <w:rPr>
          <w:rStyle w:val="66"/>
          <w:rFonts w:hint="eastAsia" w:ascii="宋体" w:hAnsi="宋体" w:eastAsia="宋体" w:cs="宋体"/>
          <w:b/>
          <w:bCs/>
          <w:color w:val="auto"/>
          <w:sz w:val="24"/>
          <w:szCs w:val="24"/>
          <w:highlight w:val="none"/>
          <w:lang w:val="en-US" w:eastAsia="zh-CN"/>
        </w:rPr>
        <w:t xml:space="preserve"> </w:t>
      </w:r>
      <w:bookmarkStart w:id="319" w:name="_Toc9289"/>
      <w:bookmarkStart w:id="320" w:name="_Toc23282"/>
      <w:bookmarkStart w:id="321" w:name="_Toc5369"/>
      <w:bookmarkStart w:id="322" w:name="_Toc5800"/>
      <w:bookmarkStart w:id="323" w:name="_Toc21670"/>
      <w:r>
        <w:rPr>
          <w:rStyle w:val="66"/>
          <w:rFonts w:hint="eastAsia" w:ascii="宋体" w:hAnsi="宋体" w:eastAsia="宋体" w:cs="宋体"/>
          <w:b/>
          <w:bCs/>
          <w:color w:val="auto"/>
          <w:sz w:val="24"/>
          <w:szCs w:val="24"/>
          <w:highlight w:val="none"/>
          <w:lang w:val="en-US" w:eastAsia="zh-CN"/>
        </w:rPr>
        <w:t>竞争性</w:t>
      </w:r>
      <w:bookmarkEnd w:id="317"/>
      <w:r>
        <w:rPr>
          <w:rStyle w:val="66"/>
          <w:rFonts w:hint="eastAsia" w:ascii="宋体" w:hAnsi="宋体" w:eastAsia="宋体" w:cs="宋体"/>
          <w:b/>
          <w:bCs/>
          <w:color w:val="auto"/>
          <w:sz w:val="24"/>
          <w:szCs w:val="24"/>
          <w:highlight w:val="none"/>
          <w:lang w:val="en-US" w:eastAsia="zh-CN"/>
        </w:rPr>
        <w:t>磋商</w:t>
      </w:r>
      <w:bookmarkEnd w:id="318"/>
      <w:bookmarkEnd w:id="319"/>
      <w:bookmarkEnd w:id="320"/>
      <w:bookmarkEnd w:id="321"/>
      <w:bookmarkEnd w:id="322"/>
      <w:bookmarkEnd w:id="323"/>
    </w:p>
    <w:p w14:paraId="632E4B1B">
      <w:pPr>
        <w:pStyle w:val="4"/>
        <w:numPr>
          <w:ilvl w:val="0"/>
          <w:numId w:val="0"/>
        </w:numPr>
        <w:spacing w:before="0" w:after="0" w:line="360" w:lineRule="auto"/>
        <w:ind w:leftChars="0"/>
        <w:jc w:val="left"/>
        <w:rPr>
          <w:rFonts w:hint="eastAsia" w:ascii="宋体" w:hAnsi="宋体" w:eastAsia="宋体" w:cs="宋体"/>
          <w:b/>
          <w:bCs w:val="0"/>
          <w:color w:val="auto"/>
          <w:sz w:val="24"/>
          <w:szCs w:val="24"/>
          <w:highlight w:val="none"/>
        </w:rPr>
      </w:pPr>
      <w:bookmarkStart w:id="324" w:name="_Toc16126"/>
      <w:r>
        <w:rPr>
          <w:rFonts w:hint="eastAsia" w:ascii="宋体" w:hAnsi="宋体" w:eastAsia="宋体" w:cs="宋体"/>
          <w:b/>
          <w:bCs w:val="0"/>
          <w:color w:val="auto"/>
          <w:sz w:val="24"/>
          <w:szCs w:val="24"/>
          <w:highlight w:val="none"/>
          <w:lang w:val="en-US" w:eastAsia="zh-CN"/>
        </w:rPr>
        <w:t>5.1</w:t>
      </w:r>
      <w:r>
        <w:rPr>
          <w:rFonts w:hint="eastAsia" w:ascii="宋体" w:hAnsi="宋体" w:eastAsia="宋体" w:cs="宋体"/>
          <w:b/>
          <w:bCs w:val="0"/>
          <w:color w:val="auto"/>
          <w:sz w:val="24"/>
          <w:szCs w:val="24"/>
          <w:highlight w:val="none"/>
          <w:lang w:eastAsia="zh-CN"/>
        </w:rPr>
        <w:t>开启</w:t>
      </w:r>
      <w:r>
        <w:rPr>
          <w:rFonts w:hint="eastAsia" w:ascii="宋体" w:hAnsi="宋体" w:eastAsia="宋体" w:cs="宋体"/>
          <w:b/>
          <w:bCs w:val="0"/>
          <w:color w:val="auto"/>
          <w:sz w:val="24"/>
          <w:szCs w:val="24"/>
          <w:highlight w:val="none"/>
        </w:rPr>
        <w:t>时间和地点</w:t>
      </w:r>
      <w:bookmarkEnd w:id="324"/>
    </w:p>
    <w:p w14:paraId="29ED00F2">
      <w:pPr>
        <w:autoSpaceDE w:val="0"/>
        <w:autoSpaceDN w:val="0"/>
        <w:adjustRightInd w:val="0"/>
        <w:snapToGrid w:val="0"/>
        <w:spacing w:line="360" w:lineRule="auto"/>
        <w:ind w:firstLine="480" w:firstLineChars="200"/>
        <w:contextualSpacing/>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采购人在本章第4.2.1项规定的</w:t>
      </w:r>
      <w:r>
        <w:rPr>
          <w:rFonts w:hint="eastAsia" w:ascii="宋体" w:hAnsi="宋体" w:eastAsia="宋体" w:cs="宋体"/>
          <w:color w:val="auto"/>
          <w:kern w:val="0"/>
          <w:sz w:val="24"/>
          <w:szCs w:val="24"/>
          <w:highlight w:val="none"/>
          <w:lang w:eastAsia="zh-CN"/>
        </w:rPr>
        <w:t>提交首次响应文件</w:t>
      </w:r>
      <w:r>
        <w:rPr>
          <w:rFonts w:hint="eastAsia" w:ascii="宋体" w:hAnsi="宋体" w:eastAsia="宋体" w:cs="宋体"/>
          <w:color w:val="auto"/>
          <w:kern w:val="0"/>
          <w:sz w:val="24"/>
          <w:szCs w:val="24"/>
          <w:highlight w:val="none"/>
        </w:rPr>
        <w:t>截止时间（</w:t>
      </w:r>
      <w:r>
        <w:rPr>
          <w:rFonts w:hint="eastAsia" w:ascii="宋体" w:hAnsi="宋体" w:eastAsia="宋体" w:cs="宋体"/>
          <w:color w:val="auto"/>
          <w:kern w:val="0"/>
          <w:sz w:val="24"/>
          <w:szCs w:val="24"/>
          <w:highlight w:val="none"/>
          <w:lang w:eastAsia="zh-CN"/>
        </w:rPr>
        <w:t>开启</w:t>
      </w:r>
      <w:r>
        <w:rPr>
          <w:rFonts w:hint="eastAsia" w:ascii="宋体" w:hAnsi="宋体" w:eastAsia="宋体" w:cs="宋体"/>
          <w:color w:val="auto"/>
          <w:kern w:val="0"/>
          <w:sz w:val="24"/>
          <w:szCs w:val="24"/>
          <w:highlight w:val="none"/>
        </w:rPr>
        <w:t>时间</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通</w:t>
      </w:r>
      <w:r>
        <w:rPr>
          <w:rFonts w:hint="eastAsia" w:ascii="宋体" w:hAnsi="宋体" w:eastAsia="宋体" w:cs="宋体"/>
          <w:color w:val="auto"/>
          <w:spacing w:val="-2"/>
          <w:kern w:val="0"/>
          <w:sz w:val="24"/>
          <w:szCs w:val="24"/>
          <w:highlight w:val="none"/>
        </w:rPr>
        <w:t>过</w:t>
      </w:r>
      <w:r>
        <w:rPr>
          <w:rFonts w:hint="eastAsia" w:ascii="宋体" w:hAnsi="宋体" w:eastAsia="宋体" w:cs="宋体"/>
          <w:color w:val="auto"/>
          <w:kern w:val="0"/>
          <w:sz w:val="24"/>
          <w:szCs w:val="24"/>
          <w:highlight w:val="none"/>
        </w:rPr>
        <w:t>电</w:t>
      </w:r>
      <w:r>
        <w:rPr>
          <w:rFonts w:hint="eastAsia" w:ascii="宋体" w:hAnsi="宋体" w:eastAsia="宋体" w:cs="宋体"/>
          <w:color w:val="auto"/>
          <w:spacing w:val="-2"/>
          <w:kern w:val="0"/>
          <w:sz w:val="24"/>
          <w:szCs w:val="24"/>
          <w:highlight w:val="none"/>
        </w:rPr>
        <w:t>子</w:t>
      </w:r>
      <w:r>
        <w:rPr>
          <w:rFonts w:hint="eastAsia" w:ascii="宋体" w:hAnsi="宋体" w:eastAsia="宋体" w:cs="宋体"/>
          <w:color w:val="auto"/>
          <w:kern w:val="0"/>
          <w:sz w:val="24"/>
          <w:szCs w:val="24"/>
          <w:highlight w:val="none"/>
        </w:rPr>
        <w:t>招</w:t>
      </w:r>
      <w:r>
        <w:rPr>
          <w:rFonts w:hint="eastAsia" w:ascii="宋体" w:hAnsi="宋体" w:eastAsia="宋体" w:cs="宋体"/>
          <w:color w:val="auto"/>
          <w:spacing w:val="-2"/>
          <w:kern w:val="0"/>
          <w:sz w:val="24"/>
          <w:szCs w:val="24"/>
          <w:highlight w:val="none"/>
        </w:rPr>
        <w:t>标投</w:t>
      </w:r>
      <w:r>
        <w:rPr>
          <w:rFonts w:hint="eastAsia" w:ascii="宋体" w:hAnsi="宋体" w:eastAsia="宋体" w:cs="宋体"/>
          <w:color w:val="auto"/>
          <w:kern w:val="0"/>
          <w:sz w:val="24"/>
          <w:szCs w:val="24"/>
          <w:highlight w:val="none"/>
        </w:rPr>
        <w:t>标交</w:t>
      </w:r>
      <w:r>
        <w:rPr>
          <w:rFonts w:hint="eastAsia" w:ascii="宋体" w:hAnsi="宋体" w:eastAsia="宋体" w:cs="宋体"/>
          <w:color w:val="auto"/>
          <w:spacing w:val="-2"/>
          <w:kern w:val="0"/>
          <w:sz w:val="24"/>
          <w:szCs w:val="24"/>
          <w:highlight w:val="none"/>
        </w:rPr>
        <w:t>易</w:t>
      </w:r>
      <w:r>
        <w:rPr>
          <w:rFonts w:hint="eastAsia" w:ascii="宋体" w:hAnsi="宋体" w:eastAsia="宋体" w:cs="宋体"/>
          <w:color w:val="auto"/>
          <w:kern w:val="0"/>
          <w:sz w:val="24"/>
          <w:szCs w:val="24"/>
          <w:highlight w:val="none"/>
        </w:rPr>
        <w:t>平</w:t>
      </w:r>
      <w:r>
        <w:rPr>
          <w:rFonts w:hint="eastAsia" w:ascii="宋体" w:hAnsi="宋体" w:eastAsia="宋体" w:cs="宋体"/>
          <w:color w:val="auto"/>
          <w:spacing w:val="-2"/>
          <w:kern w:val="0"/>
          <w:sz w:val="24"/>
          <w:szCs w:val="24"/>
          <w:highlight w:val="none"/>
        </w:rPr>
        <w:t>台</w:t>
      </w:r>
      <w:r>
        <w:rPr>
          <w:rFonts w:hint="eastAsia" w:ascii="宋体" w:hAnsi="宋体" w:eastAsia="宋体" w:cs="宋体"/>
          <w:color w:val="auto"/>
          <w:kern w:val="0"/>
          <w:sz w:val="24"/>
          <w:szCs w:val="24"/>
          <w:highlight w:val="none"/>
        </w:rPr>
        <w:t>进行竞争性磋商。</w:t>
      </w:r>
    </w:p>
    <w:p w14:paraId="4CDDB474">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lang w:eastAsia="zh-CN"/>
        </w:rPr>
      </w:pPr>
      <w:bookmarkStart w:id="325" w:name="_Toc270604603"/>
      <w:bookmarkStart w:id="326" w:name="_Toc454788037"/>
      <w:bookmarkStart w:id="327" w:name="_Toc277149392"/>
      <w:bookmarkStart w:id="328" w:name="_Toc21367"/>
      <w:bookmarkStart w:id="329" w:name="_Toc428276597"/>
      <w:bookmarkStart w:id="330" w:name="_Toc270604830"/>
      <w:bookmarkStart w:id="331" w:name="_Toc14109"/>
      <w:bookmarkStart w:id="332" w:name="_Toc463011282"/>
      <w:bookmarkStart w:id="333" w:name="_Toc269470325"/>
      <w:bookmarkStart w:id="334" w:name="_Toc455678129"/>
      <w:bookmarkStart w:id="335" w:name="_Toc462934303"/>
      <w:bookmarkStart w:id="336" w:name="_Toc12033"/>
      <w:bookmarkStart w:id="337" w:name="_Toc428351657"/>
      <w:r>
        <w:rPr>
          <w:rFonts w:hint="eastAsia" w:ascii="宋体" w:hAnsi="宋体" w:eastAsia="宋体" w:cs="宋体"/>
          <w:b/>
          <w:bCs w:val="0"/>
          <w:color w:val="auto"/>
          <w:sz w:val="24"/>
          <w:szCs w:val="24"/>
          <w:highlight w:val="none"/>
          <w:lang w:eastAsia="zh-CN"/>
        </w:rPr>
        <w:t>磋商程序</w:t>
      </w:r>
      <w:bookmarkEnd w:id="325"/>
      <w:bookmarkEnd w:id="326"/>
      <w:bookmarkEnd w:id="327"/>
      <w:bookmarkEnd w:id="328"/>
      <w:bookmarkEnd w:id="329"/>
      <w:bookmarkEnd w:id="330"/>
      <w:bookmarkEnd w:id="331"/>
      <w:bookmarkEnd w:id="332"/>
      <w:bookmarkEnd w:id="333"/>
      <w:bookmarkEnd w:id="334"/>
      <w:bookmarkEnd w:id="335"/>
      <w:bookmarkEnd w:id="336"/>
      <w:bookmarkEnd w:id="337"/>
    </w:p>
    <w:p w14:paraId="17BF6A46">
      <w:pPr>
        <w:spacing w:line="360" w:lineRule="auto"/>
        <w:ind w:firstLine="480" w:firstLineChars="200"/>
        <w:rPr>
          <w:rFonts w:hint="eastAsia" w:ascii="宋体" w:hAnsi="宋体" w:eastAsia="宋体" w:cs="宋体"/>
          <w:color w:val="000000"/>
          <w:sz w:val="24"/>
          <w:szCs w:val="24"/>
        </w:rPr>
      </w:pPr>
      <w:bookmarkStart w:id="338" w:name="_Toc455678130"/>
      <w:bookmarkStart w:id="339" w:name="_Toc463011283"/>
      <w:bookmarkStart w:id="340" w:name="_Toc8282"/>
      <w:bookmarkStart w:id="341" w:name="_Toc31993"/>
      <w:bookmarkStart w:id="342" w:name="_Toc2705"/>
      <w:bookmarkStart w:id="343" w:name="_Toc462934304"/>
      <w:bookmarkStart w:id="344" w:name="_Toc269470330"/>
      <w:r>
        <w:rPr>
          <w:rFonts w:hint="eastAsia" w:ascii="宋体" w:hAnsi="宋体" w:eastAsia="宋体" w:cs="宋体"/>
          <w:color w:val="000000"/>
          <w:sz w:val="24"/>
          <w:szCs w:val="24"/>
        </w:rPr>
        <w:t>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1本项目采用电子化、无纸化进行招标，开标当日，投标人无需到开标现场参加开标会议，投标人应当在投标截止时间前，登陆不见面开标大厅选择登陆电子化交易系统,在线准时参加开标活动并进行投标文件解密等。</w:t>
      </w:r>
    </w:p>
    <w:p w14:paraId="1C35818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.2电子化投标文件采用一次加密方式。开标时，由投标人使用CA 证书，在规定时间内对其电子化投标文件进行解密。每位投标人的解密时间为开标时间起30 分钟内，如在规定时间内未完成解密的，其投标文件不予开标、唱标。每位投标人的解密时间为开标时间起30分钟内完成。</w:t>
      </w:r>
    </w:p>
    <w:p w14:paraId="1FAE2E2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电子化投标文件解密异常的处理</w:t>
      </w:r>
    </w:p>
    <w:p w14:paraId="76C607A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如出现投标人的电子投标文件无法解密等异常情况，投标人应及时致电中介服务机构说明。投标文件异常，按以下步骤进行处理：</w:t>
      </w:r>
    </w:p>
    <w:p w14:paraId="59A2860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（1）首先由技术人员进行问题排查。</w:t>
      </w:r>
    </w:p>
    <w:p w14:paraId="121A209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（2）经技术人员排查后，是投标人文件自身问题导致投标文件无法解密的，该投标文件将不予接收、解密和唱标。开标会议继续进行。</w:t>
      </w:r>
    </w:p>
    <w:p w14:paraId="174BB7E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3104E46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 xml:space="preserve"> 待所有投标人投标文件解密完成后，由中介服务机构操作，对所有已解密投标文件进行唱标。投标人应保证在开标期间电话、电脑、网络能够正常工作，投标人因停电、电脑病毒、网络堵塞等原因，未在规定的解密时间内对投标文件进行解密的，其投标文件不予接收、唱标。</w:t>
      </w:r>
    </w:p>
    <w:p w14:paraId="245B97F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 xml:space="preserve"> 开标时投标人可登录到交易系统中在开标大厅中点击开标一览表查看自己的投标报价。如对自己的唱标内容有异议的，应在唱标内容显示后10分钟内向中介服务机构电话质疑。中介服务机构应在监督人员的监督下进行免提通话接受投标人的质疑并做好书面记录。投标人未在规定时间内提出质疑的，视为认可唱标内容。</w:t>
      </w:r>
    </w:p>
    <w:p w14:paraId="6F8DE82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在投标文件开标过程中，若</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宣读的内容与投标文件不符，投标人有权在开标现场提出疑问，经</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当场核查确认之后，可重新宣读其技标文件。若技标人现场未提出疑问，则认为投标人己确认</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宣读的内容。</w:t>
      </w:r>
    </w:p>
    <w:p w14:paraId="4B510BC9">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lang w:eastAsia="zh-CN"/>
        </w:rPr>
      </w:pPr>
      <w:r>
        <w:rPr>
          <w:rFonts w:hint="eastAsia" w:ascii="宋体" w:hAnsi="宋体" w:eastAsia="宋体" w:cs="宋体"/>
          <w:b/>
          <w:bCs w:val="0"/>
          <w:color w:val="auto"/>
          <w:sz w:val="24"/>
          <w:szCs w:val="24"/>
          <w:highlight w:val="none"/>
          <w:lang w:eastAsia="zh-CN"/>
        </w:rPr>
        <w:t>磋商</w:t>
      </w:r>
      <w:bookmarkEnd w:id="338"/>
      <w:bookmarkEnd w:id="339"/>
      <w:bookmarkEnd w:id="340"/>
      <w:bookmarkEnd w:id="341"/>
      <w:bookmarkEnd w:id="342"/>
      <w:bookmarkEnd w:id="343"/>
    </w:p>
    <w:p w14:paraId="5601A4FA">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磋商小组</w:t>
      </w:r>
    </w:p>
    <w:p w14:paraId="72D17007">
      <w:pPr>
        <w:keepNext w:val="0"/>
        <w:keepLines w:val="0"/>
        <w:pageBreakBefore w:val="0"/>
        <w:widowControl w:val="0"/>
        <w:numPr>
          <w:ilvl w:val="0"/>
          <w:numId w:val="9"/>
        </w:numPr>
        <w:kinsoku/>
        <w:wordWrap w:val="0"/>
        <w:overflowPunct/>
        <w:topLinePunct/>
        <w:autoSpaceDE/>
        <w:autoSpaceDN/>
        <w:bidi w:val="0"/>
        <w:adjustRightInd/>
        <w:snapToGrid w:val="0"/>
        <w:spacing w:line="360" w:lineRule="auto"/>
        <w:ind w:left="0" w:leftChars="0" w:firstLine="480" w:firstLineChars="200"/>
        <w:contextualSpacing/>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磋商工作由磋商小组独立进行，磋商小组由采购人代表和评审专家共3人以上单数组成，其中评审专家人数不得少于磋商小组成员总数的2/3</w:t>
      </w:r>
      <w:r>
        <w:rPr>
          <w:rFonts w:hint="eastAsia" w:ascii="宋体" w:hAnsi="宋体" w:eastAsia="宋体" w:cs="宋体"/>
          <w:color w:val="auto"/>
          <w:sz w:val="24"/>
          <w:szCs w:val="24"/>
          <w:highlight w:val="none"/>
          <w:lang w:eastAsia="zh-CN"/>
        </w:rPr>
        <w:t>。</w:t>
      </w:r>
    </w:p>
    <w:p w14:paraId="443ED4D4">
      <w:pPr>
        <w:keepNext w:val="0"/>
        <w:keepLines w:val="0"/>
        <w:pageBreakBefore w:val="0"/>
        <w:widowControl w:val="0"/>
        <w:numPr>
          <w:ilvl w:val="0"/>
          <w:numId w:val="9"/>
        </w:numPr>
        <w:kinsoku/>
        <w:wordWrap w:val="0"/>
        <w:overflowPunct/>
        <w:topLinePunct/>
        <w:autoSpaceDE/>
        <w:autoSpaceDN/>
        <w:bidi w:val="0"/>
        <w:adjustRightInd/>
        <w:snapToGrid w:val="0"/>
        <w:spacing w:line="360" w:lineRule="auto"/>
        <w:ind w:left="0" w:leftChars="0" w:firstLine="480" w:firstLineChars="200"/>
        <w:contextualSpacing/>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用竞争性磋商方式的政府采购项目，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66A34F1C">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磋商</w:t>
      </w:r>
    </w:p>
    <w:p w14:paraId="07B8B08E">
      <w:pPr>
        <w:keepNext w:val="0"/>
        <w:keepLines w:val="0"/>
        <w:pageBreakBefore w:val="0"/>
        <w:numPr>
          <w:ilvl w:val="0"/>
          <w:numId w:val="10"/>
        </w:numPr>
        <w:kinsoku/>
        <w:overflowPunct/>
        <w:autoSpaceDE/>
        <w:autoSpaceDN/>
        <w:bidi w:val="0"/>
        <w:adjustRightInd/>
        <w:snapToGrid w:val="0"/>
        <w:spacing w:line="360" w:lineRule="auto"/>
        <w:ind w:left="0" w:leftChars="0" w:firstLine="480" w:firstLineChars="200"/>
        <w:contextualSpacing/>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磋商小组成员应当按照客观、公正、审慎的原则，根据</w:t>
      </w:r>
      <w:r>
        <w:rPr>
          <w:rFonts w:hint="eastAsia" w:ascii="宋体" w:hAnsi="宋体" w:eastAsia="宋体" w:cs="宋体"/>
          <w:color w:val="auto"/>
          <w:sz w:val="24"/>
          <w:szCs w:val="24"/>
          <w:highlight w:val="none"/>
          <w:lang w:eastAsia="zh-CN"/>
        </w:rPr>
        <w:t>竞争性</w:t>
      </w:r>
      <w:r>
        <w:rPr>
          <w:rFonts w:hint="eastAsia" w:ascii="宋体" w:hAnsi="宋体" w:eastAsia="宋体" w:cs="宋体"/>
          <w:color w:val="auto"/>
          <w:sz w:val="24"/>
          <w:szCs w:val="24"/>
          <w:highlight w:val="none"/>
        </w:rPr>
        <w:t>磋商文件</w:t>
      </w:r>
      <w:r>
        <w:rPr>
          <w:rFonts w:hint="eastAsia" w:ascii="宋体" w:hAnsi="宋体" w:eastAsia="宋体" w:cs="宋体"/>
          <w:color w:val="auto"/>
          <w:sz w:val="24"/>
          <w:szCs w:val="24"/>
          <w:highlight w:val="none"/>
          <w:lang w:eastAsia="zh-CN"/>
        </w:rPr>
        <w:t>第三章</w:t>
      </w:r>
      <w:r>
        <w:rPr>
          <w:rFonts w:hint="eastAsia" w:ascii="宋体" w:hAnsi="宋体" w:eastAsia="宋体" w:cs="宋体"/>
          <w:color w:val="auto"/>
          <w:sz w:val="24"/>
          <w:szCs w:val="24"/>
          <w:highlight w:val="none"/>
        </w:rPr>
        <w:t>规定的评审程序、评审方法和评审标准进行独立评审。未实质性响应磋商文件的响应文件按无效响应处理，磋商小组应当告知提交响应文件的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w:t>
      </w:r>
    </w:p>
    <w:p w14:paraId="4DCADB3E">
      <w:pPr>
        <w:pStyle w:val="43"/>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竞争性</w:t>
      </w:r>
      <w:r>
        <w:rPr>
          <w:rFonts w:hint="eastAsia" w:ascii="宋体" w:hAnsi="宋体" w:eastAsia="宋体" w:cs="宋体"/>
          <w:color w:val="auto"/>
          <w:sz w:val="24"/>
          <w:szCs w:val="24"/>
          <w:highlight w:val="none"/>
        </w:rPr>
        <w:t>磋商文件内容违反国家有关强制性规定的，磋商小组应当停止评审并向采购人或者采购代理机构说明情况。</w:t>
      </w:r>
    </w:p>
    <w:p w14:paraId="440978E9">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bookmarkStart w:id="345" w:name="_Toc90712538"/>
      <w:bookmarkStart w:id="346" w:name="_Toc90713357"/>
      <w:bookmarkStart w:id="347" w:name="_Toc109550798"/>
      <w:bookmarkStart w:id="348" w:name="_Toc109537522"/>
      <w:r>
        <w:rPr>
          <w:rFonts w:hint="eastAsia" w:ascii="宋体" w:hAnsi="宋体" w:eastAsia="宋体" w:cs="宋体"/>
          <w:color w:val="auto"/>
          <w:sz w:val="24"/>
          <w:szCs w:val="24"/>
          <w:highlight w:val="none"/>
          <w:lang w:eastAsia="zh-CN"/>
        </w:rPr>
        <w:t>评审报告</w:t>
      </w:r>
    </w:p>
    <w:p w14:paraId="5961E655">
      <w:pPr>
        <w:snapToGrid w:val="0"/>
        <w:spacing w:line="360" w:lineRule="auto"/>
        <w:ind w:firstLine="480" w:firstLineChars="200"/>
        <w:contextualSpacing/>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磋商小组应当根据评审记录和评审结果编写评审报告</w:t>
      </w:r>
      <w:r>
        <w:rPr>
          <w:rFonts w:hint="eastAsia" w:ascii="宋体" w:hAnsi="宋体" w:eastAsia="宋体" w:cs="宋体"/>
          <w:color w:val="auto"/>
          <w:sz w:val="24"/>
          <w:szCs w:val="24"/>
          <w:highlight w:val="none"/>
          <w:lang w:eastAsia="zh-CN"/>
        </w:rPr>
        <w:t>。</w:t>
      </w:r>
    </w:p>
    <w:p w14:paraId="35E6DBDF">
      <w:pPr>
        <w:snapToGrid w:val="0"/>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报告应当由磋商小组全体人员签字认可。磋商小组成员对评审报告有异议的，磋商小组按照少数服从多数的原则推荐成交候选人，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7C78F164">
      <w:pPr>
        <w:snapToGrid w:val="0"/>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评审完成后，磋商小组应当向采购人提交书面评审报告和成交候选人名单。磋商小组推荐成交候选人的人数见供应商须知前附表。</w:t>
      </w:r>
    </w:p>
    <w:p w14:paraId="2A335858">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lang w:eastAsia="zh-CN"/>
        </w:rPr>
      </w:pPr>
      <w:bookmarkStart w:id="349" w:name="_Toc454788039"/>
      <w:bookmarkStart w:id="350" w:name="_Toc428276599"/>
      <w:bookmarkStart w:id="351" w:name="_Toc455678131"/>
      <w:bookmarkStart w:id="352" w:name="_Toc21137"/>
      <w:bookmarkStart w:id="353" w:name="_Toc19623"/>
      <w:bookmarkStart w:id="354" w:name="_Toc422126473"/>
      <w:bookmarkStart w:id="355" w:name="_Toc462934305"/>
      <w:bookmarkStart w:id="356" w:name="_Toc463011284"/>
      <w:bookmarkStart w:id="357" w:name="_Toc26984"/>
      <w:bookmarkStart w:id="358" w:name="_Toc428351659"/>
      <w:r>
        <w:rPr>
          <w:rFonts w:hint="eastAsia" w:ascii="宋体" w:hAnsi="宋体" w:eastAsia="宋体" w:cs="宋体"/>
          <w:b/>
          <w:bCs w:val="0"/>
          <w:color w:val="auto"/>
          <w:sz w:val="24"/>
          <w:szCs w:val="24"/>
          <w:highlight w:val="none"/>
          <w:lang w:eastAsia="zh-CN"/>
        </w:rPr>
        <w:t>磋商过程的保密性</w:t>
      </w:r>
      <w:bookmarkEnd w:id="349"/>
      <w:bookmarkEnd w:id="350"/>
      <w:bookmarkEnd w:id="351"/>
      <w:bookmarkEnd w:id="352"/>
      <w:bookmarkEnd w:id="353"/>
      <w:bookmarkEnd w:id="354"/>
      <w:bookmarkEnd w:id="355"/>
      <w:bookmarkEnd w:id="356"/>
      <w:bookmarkEnd w:id="357"/>
      <w:bookmarkEnd w:id="358"/>
    </w:p>
    <w:p w14:paraId="7AEEF664">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磋商期间，直到授予成交人合同止，凡是与响应文件审查、澄清、评价、比较以及推荐成交人等方面的情况，均不得向供应商或其他无关的人员透露。</w:t>
      </w:r>
    </w:p>
    <w:p w14:paraId="3C774F14">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在磋商过程中，供应商如向磋商小组成员施加任何影响，都将会导致其磋商被拒绝，政府采购监管部门将记录其不良行为。</w:t>
      </w:r>
    </w:p>
    <w:p w14:paraId="5968F74E">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lang w:eastAsia="zh-CN"/>
        </w:rPr>
      </w:pPr>
      <w:bookmarkStart w:id="359" w:name="_Toc462934306"/>
      <w:bookmarkStart w:id="360" w:name="_Toc455678132"/>
      <w:bookmarkStart w:id="361" w:name="_Toc13834"/>
      <w:bookmarkStart w:id="362" w:name="_Toc463011285"/>
      <w:bookmarkStart w:id="363" w:name="_Toc5212"/>
      <w:bookmarkStart w:id="364" w:name="_Toc21281"/>
      <w:r>
        <w:rPr>
          <w:rFonts w:hint="eastAsia" w:ascii="宋体" w:hAnsi="宋体" w:eastAsia="宋体" w:cs="宋体"/>
          <w:b/>
          <w:bCs w:val="0"/>
          <w:color w:val="auto"/>
          <w:sz w:val="24"/>
          <w:szCs w:val="24"/>
          <w:highlight w:val="none"/>
          <w:lang w:eastAsia="zh-CN"/>
        </w:rPr>
        <w:t>终止竞争性磋商采购活动</w:t>
      </w:r>
      <w:bookmarkEnd w:id="359"/>
      <w:bookmarkEnd w:id="360"/>
      <w:bookmarkEnd w:id="361"/>
      <w:bookmarkEnd w:id="362"/>
      <w:bookmarkEnd w:id="363"/>
      <w:bookmarkEnd w:id="364"/>
    </w:p>
    <w:p w14:paraId="2EFC4616">
      <w:pPr>
        <w:pStyle w:val="12"/>
        <w:keepNext w:val="0"/>
        <w:keepLines w:val="0"/>
        <w:pageBreakBefore w:val="0"/>
        <w:widowControl w:val="0"/>
        <w:numPr>
          <w:ilvl w:val="0"/>
          <w:numId w:val="0"/>
        </w:numPr>
        <w:kinsoku/>
        <w:wordWrap w:val="0"/>
        <w:overflowPunct/>
        <w:topLinePunct/>
        <w:autoSpaceDE/>
        <w:autoSpaceDN/>
        <w:bidi w:val="0"/>
        <w:adjustRightInd/>
        <w:snapToGrid w:val="0"/>
        <w:spacing w:line="360" w:lineRule="auto"/>
        <w:ind w:left="0" w:leftChars="0" w:firstLine="480" w:firstLineChars="200"/>
        <w:contextualSpacing/>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出现下列情形之一的，采购人或者采购代理机构应当终止竞争性磋商采购活动，发布项目终止公告并说明原因，重新开展采购活动：</w:t>
      </w:r>
    </w:p>
    <w:p w14:paraId="6657CEFA">
      <w:pPr>
        <w:keepNext w:val="0"/>
        <w:keepLines w:val="0"/>
        <w:pageBreakBefore w:val="0"/>
        <w:widowControl w:val="0"/>
        <w:numPr>
          <w:ilvl w:val="0"/>
          <w:numId w:val="11"/>
        </w:numPr>
        <w:kinsoku/>
        <w:wordWrap w:val="0"/>
        <w:overflowPunct/>
        <w:topLinePunct/>
        <w:autoSpaceDE/>
        <w:autoSpaceDN/>
        <w:bidi w:val="0"/>
        <w:adjustRightInd/>
        <w:snapToGrid w:val="0"/>
        <w:spacing w:line="360" w:lineRule="auto"/>
        <w:ind w:left="0" w:leftChars="0" w:firstLine="480" w:firstLineChars="200"/>
        <w:contextualSpacing/>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因情况变化，不再符合规定的竞争性磋商采购方式适用情形的；</w:t>
      </w:r>
    </w:p>
    <w:p w14:paraId="2C6D088B">
      <w:pPr>
        <w:keepNext w:val="0"/>
        <w:keepLines w:val="0"/>
        <w:pageBreakBefore w:val="0"/>
        <w:widowControl w:val="0"/>
        <w:numPr>
          <w:ilvl w:val="0"/>
          <w:numId w:val="11"/>
        </w:numPr>
        <w:kinsoku/>
        <w:wordWrap w:val="0"/>
        <w:overflowPunct/>
        <w:topLinePunct/>
        <w:autoSpaceDE/>
        <w:autoSpaceDN/>
        <w:bidi w:val="0"/>
        <w:adjustRightInd/>
        <w:snapToGrid w:val="0"/>
        <w:spacing w:line="360" w:lineRule="auto"/>
        <w:ind w:left="0" w:leftChars="0" w:firstLine="480" w:firstLineChars="200"/>
        <w:contextualSpacing/>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出现影响采购公正的违法、违规行为的；</w:t>
      </w:r>
    </w:p>
    <w:p w14:paraId="679B8445">
      <w:pPr>
        <w:keepNext w:val="0"/>
        <w:keepLines w:val="0"/>
        <w:pageBreakBefore w:val="0"/>
        <w:widowControl w:val="0"/>
        <w:numPr>
          <w:ilvl w:val="0"/>
          <w:numId w:val="11"/>
        </w:numPr>
        <w:kinsoku/>
        <w:wordWrap w:val="0"/>
        <w:overflowPunct/>
        <w:topLinePunct/>
        <w:autoSpaceDE/>
        <w:autoSpaceDN/>
        <w:bidi w:val="0"/>
        <w:adjustRightInd/>
        <w:snapToGrid w:val="0"/>
        <w:spacing w:line="360" w:lineRule="auto"/>
        <w:ind w:left="0" w:leftChars="0" w:firstLine="480" w:firstLineChars="200"/>
        <w:contextualSpacing/>
        <w:textAlignment w:val="auto"/>
        <w:outlineLvl w:val="9"/>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在采购过程中符合要求的</w:t>
      </w:r>
      <w:r>
        <w:rPr>
          <w:rFonts w:hint="eastAsia" w:ascii="宋体" w:hAnsi="宋体" w:eastAsia="宋体" w:cs="宋体"/>
          <w:b w:val="0"/>
          <w:bCs w:val="0"/>
          <w:color w:val="000000"/>
          <w:sz w:val="24"/>
          <w:szCs w:val="24"/>
          <w:highlight w:val="none"/>
          <w:lang w:eastAsia="zh-CN"/>
        </w:rPr>
        <w:t>供应商</w:t>
      </w:r>
      <w:r>
        <w:rPr>
          <w:rFonts w:hint="eastAsia" w:ascii="宋体" w:hAnsi="宋体" w:eastAsia="宋体" w:cs="宋体"/>
          <w:b w:val="0"/>
          <w:bCs w:val="0"/>
          <w:color w:val="000000"/>
          <w:sz w:val="24"/>
          <w:szCs w:val="24"/>
          <w:highlight w:val="none"/>
        </w:rPr>
        <w:t>或者报价未超过采购预算的</w:t>
      </w:r>
      <w:r>
        <w:rPr>
          <w:rFonts w:hint="eastAsia" w:ascii="宋体" w:hAnsi="宋体" w:eastAsia="宋体" w:cs="宋体"/>
          <w:b w:val="0"/>
          <w:bCs w:val="0"/>
          <w:color w:val="000000"/>
          <w:sz w:val="24"/>
          <w:szCs w:val="24"/>
          <w:highlight w:val="none"/>
          <w:lang w:eastAsia="zh-CN"/>
        </w:rPr>
        <w:t>供应商</w:t>
      </w:r>
      <w:r>
        <w:rPr>
          <w:rFonts w:hint="eastAsia" w:ascii="宋体" w:hAnsi="宋体" w:eastAsia="宋体" w:cs="宋体"/>
          <w:b w:val="0"/>
          <w:bCs w:val="0"/>
          <w:color w:val="000000"/>
          <w:sz w:val="24"/>
          <w:szCs w:val="24"/>
          <w:highlight w:val="none"/>
        </w:rPr>
        <w:t>不足3家的。</w:t>
      </w:r>
    </w:p>
    <w:bookmarkEnd w:id="345"/>
    <w:bookmarkEnd w:id="346"/>
    <w:bookmarkEnd w:id="347"/>
    <w:bookmarkEnd w:id="348"/>
    <w:p w14:paraId="6365CF09">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lang w:eastAsia="zh-CN"/>
        </w:rPr>
      </w:pPr>
      <w:bookmarkStart w:id="365" w:name="_Toc7308"/>
      <w:bookmarkStart w:id="366" w:name="_Toc463011286"/>
      <w:bookmarkStart w:id="367" w:name="_Toc428351660"/>
      <w:bookmarkStart w:id="368" w:name="_Toc31756"/>
      <w:bookmarkStart w:id="369" w:name="_Toc462934307"/>
      <w:bookmarkStart w:id="370" w:name="_Toc455678133"/>
      <w:bookmarkStart w:id="371" w:name="_Toc454788040"/>
      <w:bookmarkStart w:id="372" w:name="_Toc12985"/>
      <w:bookmarkStart w:id="373" w:name="_Toc428276600"/>
      <w:r>
        <w:rPr>
          <w:rFonts w:hint="eastAsia" w:ascii="宋体" w:hAnsi="宋体" w:eastAsia="宋体" w:cs="宋体"/>
          <w:b/>
          <w:bCs w:val="0"/>
          <w:color w:val="auto"/>
          <w:sz w:val="24"/>
          <w:szCs w:val="24"/>
          <w:highlight w:val="none"/>
          <w:lang w:eastAsia="zh-CN"/>
        </w:rPr>
        <w:t>确定成交人</w:t>
      </w:r>
      <w:bookmarkEnd w:id="365"/>
      <w:bookmarkEnd w:id="366"/>
      <w:bookmarkEnd w:id="367"/>
      <w:bookmarkEnd w:id="368"/>
      <w:bookmarkEnd w:id="369"/>
      <w:bookmarkEnd w:id="370"/>
      <w:bookmarkEnd w:id="371"/>
      <w:bookmarkEnd w:id="372"/>
      <w:bookmarkEnd w:id="373"/>
    </w:p>
    <w:p w14:paraId="5BB90D68">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代理机构应当自评审结束之日起2个工作日内将评审报告送交采购人。采购人应当自收到评审报告之日起5个工作日内在评审报告推荐的成交候选人中按顺序确定成交人。成交候选人并列的，由采购人采取随机抽取的方式确定成交人。</w:t>
      </w:r>
    </w:p>
    <w:p w14:paraId="6FE411D1">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采购人也可以书面授权磋商小组直接确定成交人。磋商小组直接确定成交人的应在竞争性磋商文件中写明。</w:t>
      </w:r>
    </w:p>
    <w:p w14:paraId="1461791B">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lang w:eastAsia="zh-CN"/>
        </w:rPr>
      </w:pPr>
      <w:bookmarkStart w:id="374" w:name="_Toc428351661"/>
      <w:bookmarkStart w:id="375" w:name="_Toc428276601"/>
      <w:bookmarkStart w:id="376" w:name="_Toc422126474"/>
      <w:bookmarkStart w:id="377" w:name="_Toc454788041"/>
      <w:bookmarkStart w:id="378" w:name="_Toc455678134"/>
      <w:bookmarkStart w:id="379" w:name="_Toc462934308"/>
      <w:bookmarkStart w:id="380" w:name="_Toc2677"/>
      <w:bookmarkStart w:id="381" w:name="_Toc463011287"/>
      <w:bookmarkStart w:id="382" w:name="_Toc16692"/>
      <w:bookmarkStart w:id="383" w:name="_Toc15190"/>
      <w:r>
        <w:rPr>
          <w:rFonts w:hint="eastAsia" w:ascii="宋体" w:hAnsi="宋体" w:eastAsia="宋体" w:cs="宋体"/>
          <w:b/>
          <w:bCs w:val="0"/>
          <w:color w:val="auto"/>
          <w:sz w:val="24"/>
          <w:szCs w:val="24"/>
          <w:highlight w:val="none"/>
          <w:lang w:eastAsia="zh-CN"/>
        </w:rPr>
        <w:t>成交结果</w:t>
      </w:r>
      <w:bookmarkEnd w:id="374"/>
      <w:bookmarkEnd w:id="375"/>
      <w:bookmarkEnd w:id="376"/>
      <w:bookmarkEnd w:id="377"/>
      <w:bookmarkEnd w:id="378"/>
      <w:r>
        <w:rPr>
          <w:rFonts w:hint="eastAsia" w:ascii="宋体" w:hAnsi="宋体" w:eastAsia="宋体" w:cs="宋体"/>
          <w:b/>
          <w:bCs w:val="0"/>
          <w:color w:val="auto"/>
          <w:sz w:val="24"/>
          <w:szCs w:val="24"/>
          <w:highlight w:val="none"/>
          <w:lang w:eastAsia="zh-CN"/>
        </w:rPr>
        <w:t>公告</w:t>
      </w:r>
      <w:bookmarkEnd w:id="379"/>
      <w:bookmarkEnd w:id="380"/>
      <w:bookmarkEnd w:id="381"/>
      <w:bookmarkEnd w:id="382"/>
      <w:bookmarkEnd w:id="383"/>
    </w:p>
    <w:p w14:paraId="1B171496">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采购人或者采购代理机构自成交人确定之日起2个工作日内，</w:t>
      </w:r>
      <w:r>
        <w:rPr>
          <w:rFonts w:hint="eastAsia" w:ascii="宋体" w:hAnsi="宋体" w:eastAsia="宋体" w:cs="宋体"/>
          <w:color w:val="auto"/>
          <w:sz w:val="24"/>
          <w:szCs w:val="24"/>
          <w:highlight w:val="none"/>
          <w:lang w:eastAsia="zh-CN"/>
        </w:rPr>
        <w:t>在公告发布的同一媒介上公告成交结果，同时向成交人发出成交通知书，并将竞争性磋商文件随成交结果同时公告，公告期限1个工作日。</w:t>
      </w:r>
    </w:p>
    <w:p w14:paraId="4A672B39">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sz w:val="24"/>
          <w:szCs w:val="24"/>
          <w:highlight w:val="none"/>
          <w:lang w:eastAsia="zh-CN"/>
        </w:rPr>
      </w:pPr>
      <w:bookmarkStart w:id="384" w:name="_Toc270604607"/>
      <w:r>
        <w:rPr>
          <w:rFonts w:hint="eastAsia" w:ascii="宋体" w:hAnsi="宋体" w:eastAsia="宋体" w:cs="宋体"/>
          <w:color w:val="auto"/>
          <w:sz w:val="24"/>
          <w:szCs w:val="24"/>
          <w:highlight w:val="none"/>
          <w:lang w:val="en-US" w:eastAsia="zh-CN"/>
        </w:rPr>
        <w:t>成交结果公告内容包括</w:t>
      </w:r>
      <w:bookmarkEnd w:id="344"/>
      <w:bookmarkEnd w:id="384"/>
      <w:r>
        <w:rPr>
          <w:rFonts w:hint="eastAsia" w:ascii="宋体" w:hAnsi="宋体" w:eastAsia="宋体" w:cs="宋体"/>
          <w:color w:val="auto"/>
          <w:sz w:val="24"/>
          <w:szCs w:val="24"/>
          <w:highlight w:val="none"/>
          <w:lang w:val="en-US" w:eastAsia="zh-CN"/>
        </w:rPr>
        <w:t>采购人和采购代理机构的名称、地址和联系方式、项目名称和项目编号、成交人名称、地址和成交金额、主要成交标的的名称、规格型号、数量、单价、服务要求、磋商小组成员名单。</w:t>
      </w:r>
    </w:p>
    <w:p w14:paraId="4A790ED2">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000000"/>
          <w:sz w:val="24"/>
          <w:szCs w:val="24"/>
          <w:highlight w:val="none"/>
          <w:lang w:eastAsia="zh-CN"/>
        </w:rPr>
        <w:t>成交人</w:t>
      </w:r>
      <w:r>
        <w:rPr>
          <w:rFonts w:hint="eastAsia" w:ascii="宋体" w:hAnsi="宋体" w:eastAsia="宋体" w:cs="宋体"/>
          <w:color w:val="000000"/>
          <w:sz w:val="24"/>
          <w:szCs w:val="24"/>
          <w:highlight w:val="none"/>
        </w:rPr>
        <w:t>为残疾人福利性单位的，采购代理机构将随</w:t>
      </w:r>
      <w:r>
        <w:rPr>
          <w:rFonts w:hint="eastAsia" w:ascii="宋体" w:hAnsi="宋体" w:eastAsia="宋体" w:cs="宋体"/>
          <w:color w:val="000000"/>
          <w:sz w:val="24"/>
          <w:szCs w:val="24"/>
          <w:highlight w:val="none"/>
          <w:lang w:eastAsia="zh-CN"/>
        </w:rPr>
        <w:t>成交</w:t>
      </w:r>
      <w:r>
        <w:rPr>
          <w:rFonts w:hint="eastAsia" w:ascii="宋体" w:hAnsi="宋体" w:eastAsia="宋体" w:cs="宋体"/>
          <w:color w:val="000000"/>
          <w:sz w:val="24"/>
          <w:szCs w:val="24"/>
          <w:highlight w:val="none"/>
        </w:rPr>
        <w:t>结果同时公告其《残疾人福利性单位声明函》，接受社会监督。</w:t>
      </w:r>
      <w:r>
        <w:rPr>
          <w:rFonts w:hint="eastAsia" w:ascii="宋体" w:hAnsi="宋体" w:eastAsia="宋体" w:cs="宋体"/>
          <w:color w:val="auto"/>
          <w:sz w:val="24"/>
          <w:szCs w:val="24"/>
          <w:highlight w:val="none"/>
          <w:lang w:val="en-US" w:eastAsia="zh-CN"/>
        </w:rPr>
        <w:t>成交供应商享受《政府采购促进中小企业发展管理办法》规定的中小企业扶持政策的，采购人、采购代理机构应当随成交结果公开成交供应商的《中小企业声明函》。</w:t>
      </w:r>
    </w:p>
    <w:p w14:paraId="5DD81C64">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lang w:eastAsia="zh-CN"/>
        </w:rPr>
      </w:pPr>
      <w:bookmarkStart w:id="385" w:name="_Toc455678136"/>
      <w:bookmarkStart w:id="386" w:name="_Toc4900"/>
      <w:bookmarkStart w:id="387" w:name="_Toc463011289"/>
      <w:bookmarkStart w:id="388" w:name="_Toc11152"/>
      <w:bookmarkStart w:id="389" w:name="_Toc462934310"/>
      <w:bookmarkStart w:id="390" w:name="_Toc18026"/>
      <w:r>
        <w:rPr>
          <w:rFonts w:hint="eastAsia" w:ascii="宋体" w:hAnsi="宋体" w:eastAsia="宋体" w:cs="宋体"/>
          <w:b/>
          <w:bCs w:val="0"/>
          <w:color w:val="auto"/>
          <w:sz w:val="24"/>
          <w:szCs w:val="24"/>
          <w:highlight w:val="none"/>
          <w:lang w:eastAsia="zh-CN"/>
        </w:rPr>
        <w:t>成交通知书</w:t>
      </w:r>
      <w:bookmarkEnd w:id="385"/>
      <w:bookmarkEnd w:id="386"/>
      <w:bookmarkEnd w:id="387"/>
      <w:bookmarkEnd w:id="388"/>
      <w:bookmarkEnd w:id="389"/>
      <w:bookmarkEnd w:id="390"/>
      <w:bookmarkStart w:id="391" w:name="_Toc11018"/>
      <w:bookmarkStart w:id="392" w:name="_Toc462934311"/>
      <w:bookmarkStart w:id="393" w:name="_Toc455678137"/>
      <w:bookmarkStart w:id="394" w:name="_Toc463011290"/>
      <w:bookmarkStart w:id="395" w:name="_Toc23963"/>
      <w:bookmarkStart w:id="396" w:name="_Toc269470335"/>
    </w:p>
    <w:bookmarkEnd w:id="391"/>
    <w:bookmarkEnd w:id="392"/>
    <w:bookmarkEnd w:id="393"/>
    <w:bookmarkEnd w:id="394"/>
    <w:bookmarkEnd w:id="395"/>
    <w:p w14:paraId="7E5F4C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bookmarkStart w:id="397" w:name="_Toc720"/>
      <w:bookmarkStart w:id="398" w:name="_Toc463011292"/>
      <w:bookmarkStart w:id="399" w:name="_Toc10798"/>
      <w:bookmarkStart w:id="400" w:name="_Toc455678139"/>
      <w:bookmarkStart w:id="401" w:name="_Toc462934313"/>
      <w:r>
        <w:rPr>
          <w:rFonts w:hint="eastAsia" w:ascii="宋体" w:hAnsi="宋体" w:eastAsia="宋体" w:cs="宋体"/>
          <w:color w:val="auto"/>
          <w:sz w:val="24"/>
          <w:szCs w:val="24"/>
          <w:highlight w:val="none"/>
        </w:rPr>
        <w:t>在公告</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结果的同时，采购人或者采购代理机构向</w:t>
      </w:r>
      <w:r>
        <w:rPr>
          <w:rFonts w:hint="eastAsia" w:ascii="宋体" w:hAnsi="宋体" w:eastAsia="宋体" w:cs="宋体"/>
          <w:color w:val="auto"/>
          <w:sz w:val="24"/>
          <w:szCs w:val="24"/>
          <w:highlight w:val="none"/>
          <w:lang w:eastAsia="zh-CN"/>
        </w:rPr>
        <w:t>成交人</w:t>
      </w:r>
      <w:r>
        <w:rPr>
          <w:rFonts w:hint="eastAsia" w:ascii="宋体" w:hAnsi="宋体" w:eastAsia="宋体" w:cs="宋体"/>
          <w:color w:val="auto"/>
          <w:sz w:val="24"/>
          <w:szCs w:val="24"/>
          <w:highlight w:val="none"/>
        </w:rPr>
        <w:t>发出</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通知书</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通知书将作为进行合同</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和签订合同的依据。</w:t>
      </w:r>
    </w:p>
    <w:p w14:paraId="6702966F">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lang w:eastAsia="zh-CN"/>
        </w:rPr>
      </w:pPr>
      <w:bookmarkStart w:id="402" w:name="_Toc17481"/>
      <w:r>
        <w:rPr>
          <w:rFonts w:hint="eastAsia" w:ascii="宋体" w:hAnsi="宋体" w:eastAsia="宋体" w:cs="宋体"/>
          <w:b/>
          <w:bCs w:val="0"/>
          <w:color w:val="auto"/>
          <w:sz w:val="24"/>
          <w:szCs w:val="24"/>
          <w:highlight w:val="none"/>
          <w:lang w:eastAsia="zh-CN"/>
        </w:rPr>
        <w:t>履约保证金</w:t>
      </w:r>
      <w:bookmarkEnd w:id="397"/>
      <w:bookmarkEnd w:id="398"/>
      <w:bookmarkEnd w:id="399"/>
      <w:bookmarkEnd w:id="400"/>
      <w:bookmarkEnd w:id="401"/>
      <w:bookmarkEnd w:id="402"/>
    </w:p>
    <w:p w14:paraId="39849D52">
      <w:pPr>
        <w:rPr>
          <w:rFonts w:hint="eastAsia" w:ascii="宋体" w:hAnsi="宋体" w:eastAsia="宋体" w:cs="宋体"/>
          <w:sz w:val="24"/>
          <w:szCs w:val="24"/>
          <w:lang w:val="en-US" w:eastAsia="zh-CN"/>
        </w:rPr>
      </w:pP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val="en-US" w:eastAsia="zh-CN"/>
        </w:rPr>
        <w:t>不要求</w:t>
      </w:r>
    </w:p>
    <w:p w14:paraId="013A6DD6">
      <w:pPr>
        <w:pStyle w:val="3"/>
        <w:numPr>
          <w:ilvl w:val="0"/>
          <w:numId w:val="4"/>
        </w:numPr>
        <w:bidi w:val="0"/>
        <w:rPr>
          <w:rFonts w:hint="eastAsia" w:ascii="宋体" w:hAnsi="宋体" w:eastAsia="宋体" w:cs="宋体"/>
          <w:b w:val="0"/>
          <w:bCs/>
          <w:color w:val="auto"/>
          <w:sz w:val="24"/>
          <w:szCs w:val="24"/>
          <w:highlight w:val="none"/>
          <w:lang w:val="en-US" w:eastAsia="zh-CN"/>
        </w:rPr>
      </w:pPr>
      <w:r>
        <w:rPr>
          <w:rStyle w:val="66"/>
          <w:rFonts w:hint="eastAsia" w:ascii="宋体" w:hAnsi="宋体" w:eastAsia="宋体" w:cs="宋体"/>
          <w:b/>
          <w:bCs/>
          <w:color w:val="auto"/>
          <w:sz w:val="24"/>
          <w:szCs w:val="24"/>
          <w:highlight w:val="none"/>
          <w:lang w:val="en-US" w:eastAsia="zh-CN"/>
        </w:rPr>
        <w:t xml:space="preserve"> </w:t>
      </w:r>
      <w:bookmarkStart w:id="403" w:name="_Toc22875"/>
      <w:bookmarkStart w:id="404" w:name="_Toc26271"/>
      <w:bookmarkStart w:id="405" w:name="_Toc11721"/>
      <w:bookmarkStart w:id="406" w:name="_Toc23149"/>
      <w:bookmarkStart w:id="407" w:name="_Toc25418"/>
      <w:r>
        <w:rPr>
          <w:rStyle w:val="66"/>
          <w:rFonts w:hint="eastAsia" w:ascii="宋体" w:hAnsi="宋体" w:eastAsia="宋体" w:cs="宋体"/>
          <w:b/>
          <w:bCs/>
          <w:color w:val="auto"/>
          <w:sz w:val="24"/>
          <w:szCs w:val="24"/>
          <w:highlight w:val="none"/>
          <w:lang w:val="en-US" w:eastAsia="zh-CN"/>
        </w:rPr>
        <w:t>授予合同</w:t>
      </w:r>
      <w:bookmarkEnd w:id="403"/>
      <w:bookmarkEnd w:id="404"/>
      <w:bookmarkEnd w:id="405"/>
      <w:bookmarkEnd w:id="406"/>
      <w:bookmarkEnd w:id="407"/>
      <w:bookmarkStart w:id="408" w:name="_Toc32765"/>
    </w:p>
    <w:p w14:paraId="13882917">
      <w:pPr>
        <w:pStyle w:val="22"/>
        <w:keepNext w:val="0"/>
        <w:keepLines w:val="0"/>
        <w:pageBreakBefore w:val="0"/>
        <w:widowControl w:val="0"/>
        <w:numPr>
          <w:ilvl w:val="1"/>
          <w:numId w:val="4"/>
        </w:numPr>
        <w:tabs>
          <w:tab w:val="left" w:pos="360"/>
        </w:tabs>
        <w:kinsoku/>
        <w:wordWrap/>
        <w:overflowPunct/>
        <w:topLinePunct w:val="0"/>
        <w:autoSpaceDE w:val="0"/>
        <w:autoSpaceDN w:val="0"/>
        <w:bidi w:val="0"/>
        <w:adjustRightInd w:val="0"/>
        <w:snapToGrid w:val="0"/>
        <w:spacing w:line="360" w:lineRule="auto"/>
        <w:ind w:left="0" w:leftChars="0" w:firstLine="480" w:firstLineChars="200"/>
        <w:contextualSpacing/>
        <w:jc w:val="both"/>
        <w:textAlignment w:val="auto"/>
        <w:outlineLvl w:val="1"/>
        <w:rPr>
          <w:rFonts w:hint="eastAsia" w:ascii="宋体" w:hAnsi="宋体" w:eastAsia="宋体" w:cs="宋体"/>
          <w:b w:val="0"/>
          <w:bCs/>
          <w:color w:val="auto"/>
          <w:sz w:val="24"/>
          <w:szCs w:val="24"/>
          <w:highlight w:val="none"/>
          <w:lang w:val="en-US" w:eastAsia="zh-CN"/>
        </w:rPr>
      </w:pPr>
      <w:bookmarkStart w:id="409" w:name="_Toc25440"/>
      <w:bookmarkStart w:id="410" w:name="_Toc26749"/>
      <w:bookmarkStart w:id="411" w:name="_Toc5672"/>
      <w:bookmarkStart w:id="412" w:name="_Toc2529"/>
      <w:bookmarkStart w:id="413" w:name="_Toc7181"/>
      <w:bookmarkStart w:id="414" w:name="_Toc18545"/>
      <w:bookmarkStart w:id="415" w:name="_Toc8361"/>
      <w:bookmarkStart w:id="416" w:name="_Toc23841"/>
      <w:r>
        <w:rPr>
          <w:rFonts w:hint="eastAsia" w:ascii="宋体" w:hAnsi="宋体" w:eastAsia="宋体" w:cs="宋体"/>
          <w:color w:val="auto"/>
          <w:sz w:val="24"/>
          <w:szCs w:val="24"/>
          <w:highlight w:val="none"/>
        </w:rPr>
        <w:t>按《三门峡市财政局关于市本级政府采购合同备案管理工作的通知》（三财购[2021]9号）文要求，集中采购目录以外政府采购项目，原则上自中标通知书发出之日起2个工作日内与中标（成交）供应商按照采购文件确定的事项与供应商签订政府采购合同。所签订的合同不得对竞争性磋商文件确定的事项和成交人响应文件作实质性修改</w:t>
      </w:r>
      <w:r>
        <w:rPr>
          <w:rFonts w:hint="eastAsia" w:ascii="宋体" w:hAnsi="宋体" w:eastAsia="宋体" w:cs="宋体"/>
          <w:b w:val="0"/>
          <w:bCs/>
          <w:color w:val="auto"/>
          <w:sz w:val="24"/>
          <w:szCs w:val="24"/>
          <w:highlight w:val="none"/>
          <w:lang w:val="en-US" w:eastAsia="zh-CN"/>
        </w:rPr>
        <w:t>。</w:t>
      </w:r>
      <w:bookmarkEnd w:id="408"/>
      <w:bookmarkEnd w:id="409"/>
      <w:bookmarkEnd w:id="410"/>
      <w:bookmarkEnd w:id="411"/>
      <w:bookmarkEnd w:id="412"/>
      <w:bookmarkEnd w:id="413"/>
      <w:bookmarkEnd w:id="414"/>
      <w:bookmarkEnd w:id="415"/>
      <w:bookmarkEnd w:id="416"/>
      <w:bookmarkStart w:id="417" w:name="_Toc26954"/>
    </w:p>
    <w:bookmarkEnd w:id="417"/>
    <w:p w14:paraId="2C77E5B9">
      <w:pPr>
        <w:pStyle w:val="22"/>
        <w:keepNext w:val="0"/>
        <w:keepLines w:val="0"/>
        <w:pageBreakBefore w:val="0"/>
        <w:widowControl w:val="0"/>
        <w:numPr>
          <w:ilvl w:val="1"/>
          <w:numId w:val="4"/>
        </w:numPr>
        <w:tabs>
          <w:tab w:val="left" w:pos="360"/>
        </w:tabs>
        <w:kinsoku/>
        <w:wordWrap/>
        <w:overflowPunct/>
        <w:topLinePunct w:val="0"/>
        <w:autoSpaceDE w:val="0"/>
        <w:autoSpaceDN w:val="0"/>
        <w:bidi w:val="0"/>
        <w:adjustRightInd w:val="0"/>
        <w:snapToGrid w:val="0"/>
        <w:spacing w:line="360" w:lineRule="auto"/>
        <w:ind w:left="0" w:leftChars="0" w:firstLine="480" w:firstLineChars="200"/>
        <w:contextualSpacing/>
        <w:jc w:val="both"/>
        <w:textAlignment w:val="auto"/>
        <w:outlineLvl w:val="1"/>
        <w:rPr>
          <w:rFonts w:hint="eastAsia" w:ascii="宋体" w:hAnsi="宋体" w:eastAsia="宋体" w:cs="宋体"/>
          <w:b w:val="0"/>
          <w:bCs/>
          <w:color w:val="auto"/>
          <w:sz w:val="24"/>
          <w:szCs w:val="24"/>
          <w:highlight w:val="none"/>
          <w:lang w:val="en-US" w:eastAsia="zh-CN"/>
        </w:rPr>
      </w:pPr>
      <w:bookmarkStart w:id="418" w:name="_Toc12682"/>
      <w:bookmarkStart w:id="419" w:name="_Toc18452"/>
      <w:bookmarkStart w:id="420" w:name="_Toc21772"/>
      <w:bookmarkStart w:id="421" w:name="_Toc14039"/>
      <w:bookmarkStart w:id="422" w:name="_Toc16638"/>
      <w:bookmarkStart w:id="423" w:name="_Toc12834"/>
      <w:bookmarkStart w:id="424" w:name="_Toc7918"/>
      <w:bookmarkStart w:id="425" w:name="_Toc22707"/>
      <w:bookmarkStart w:id="426" w:name="_Toc10652"/>
      <w:r>
        <w:rPr>
          <w:rFonts w:hint="eastAsia" w:ascii="宋体" w:hAnsi="宋体" w:eastAsia="宋体" w:cs="宋体"/>
          <w:b w:val="0"/>
          <w:bCs/>
          <w:color w:val="auto"/>
          <w:sz w:val="24"/>
          <w:szCs w:val="24"/>
          <w:highlight w:val="none"/>
          <w:lang w:val="en-US" w:eastAsia="zh-CN"/>
        </w:rPr>
        <w:t>竞争性磋商文件、成交人的响应文件和澄清文件等，均应作为签约的合同文本的基础。</w:t>
      </w:r>
      <w:bookmarkEnd w:id="418"/>
      <w:bookmarkEnd w:id="419"/>
      <w:bookmarkEnd w:id="420"/>
      <w:bookmarkEnd w:id="421"/>
      <w:bookmarkEnd w:id="422"/>
      <w:bookmarkEnd w:id="423"/>
      <w:bookmarkEnd w:id="424"/>
      <w:bookmarkEnd w:id="425"/>
      <w:bookmarkEnd w:id="426"/>
      <w:bookmarkStart w:id="427" w:name="_Toc5481"/>
    </w:p>
    <w:bookmarkEnd w:id="427"/>
    <w:p w14:paraId="4F5349F8">
      <w:pPr>
        <w:pStyle w:val="22"/>
        <w:keepNext w:val="0"/>
        <w:keepLines w:val="0"/>
        <w:pageBreakBefore w:val="0"/>
        <w:widowControl w:val="0"/>
        <w:numPr>
          <w:ilvl w:val="1"/>
          <w:numId w:val="4"/>
        </w:numPr>
        <w:tabs>
          <w:tab w:val="left" w:pos="360"/>
        </w:tabs>
        <w:kinsoku/>
        <w:wordWrap/>
        <w:overflowPunct/>
        <w:topLinePunct w:val="0"/>
        <w:autoSpaceDE w:val="0"/>
        <w:autoSpaceDN w:val="0"/>
        <w:bidi w:val="0"/>
        <w:adjustRightInd w:val="0"/>
        <w:snapToGrid w:val="0"/>
        <w:spacing w:line="360" w:lineRule="auto"/>
        <w:ind w:left="0" w:leftChars="0" w:firstLine="480" w:firstLineChars="200"/>
        <w:contextualSpacing/>
        <w:jc w:val="both"/>
        <w:textAlignment w:val="auto"/>
        <w:outlineLvl w:val="1"/>
        <w:rPr>
          <w:rFonts w:hint="eastAsia" w:ascii="宋体" w:hAnsi="宋体" w:eastAsia="宋体" w:cs="宋体"/>
          <w:b w:val="0"/>
          <w:bCs/>
          <w:color w:val="auto"/>
          <w:sz w:val="24"/>
          <w:szCs w:val="24"/>
          <w:highlight w:val="none"/>
          <w:lang w:val="en-US" w:eastAsia="zh-CN"/>
        </w:rPr>
      </w:pPr>
      <w:bookmarkStart w:id="428" w:name="_Toc12739"/>
      <w:bookmarkStart w:id="429" w:name="_Toc26762"/>
      <w:bookmarkStart w:id="430" w:name="_Toc10089"/>
      <w:bookmarkStart w:id="431" w:name="_Toc18228"/>
      <w:bookmarkStart w:id="432" w:name="_Toc515"/>
      <w:bookmarkStart w:id="433" w:name="_Toc31427"/>
      <w:bookmarkStart w:id="434" w:name="_Toc20461"/>
      <w:bookmarkStart w:id="435" w:name="_Toc23020"/>
      <w:bookmarkStart w:id="436" w:name="_Toc4762"/>
      <w:r>
        <w:rPr>
          <w:rFonts w:hint="eastAsia" w:ascii="宋体" w:hAnsi="宋体" w:eastAsia="宋体" w:cs="宋体"/>
          <w:b w:val="0"/>
          <w:bCs/>
          <w:color w:val="auto"/>
          <w:sz w:val="24"/>
          <w:szCs w:val="24"/>
          <w:highlight w:val="none"/>
          <w:lang w:val="en-US" w:eastAsia="zh-CN"/>
        </w:rPr>
        <w:t>政府采购合同包括采购人与成交人的名称和住所、标的、数量、质量、价款或者报酬、履行期限及地点和方式、验收要求、违约责任、解决争议的方法等内容。</w:t>
      </w:r>
      <w:bookmarkEnd w:id="428"/>
      <w:bookmarkEnd w:id="429"/>
      <w:bookmarkEnd w:id="430"/>
      <w:bookmarkEnd w:id="431"/>
      <w:bookmarkEnd w:id="432"/>
      <w:bookmarkEnd w:id="433"/>
      <w:bookmarkEnd w:id="434"/>
      <w:bookmarkEnd w:id="435"/>
      <w:bookmarkEnd w:id="436"/>
      <w:bookmarkStart w:id="437" w:name="_Toc7717"/>
    </w:p>
    <w:p w14:paraId="01DEB7B5">
      <w:pPr>
        <w:pStyle w:val="22"/>
        <w:keepNext w:val="0"/>
        <w:keepLines w:val="0"/>
        <w:pageBreakBefore w:val="0"/>
        <w:widowControl w:val="0"/>
        <w:numPr>
          <w:ilvl w:val="1"/>
          <w:numId w:val="4"/>
        </w:numPr>
        <w:tabs>
          <w:tab w:val="left" w:pos="360"/>
        </w:tabs>
        <w:kinsoku/>
        <w:wordWrap/>
        <w:overflowPunct/>
        <w:topLinePunct w:val="0"/>
        <w:autoSpaceDE w:val="0"/>
        <w:autoSpaceDN w:val="0"/>
        <w:bidi w:val="0"/>
        <w:adjustRightInd w:val="0"/>
        <w:snapToGrid w:val="0"/>
        <w:spacing w:line="360" w:lineRule="auto"/>
        <w:ind w:left="0" w:leftChars="0" w:firstLine="480" w:firstLineChars="200"/>
        <w:contextualSpacing/>
        <w:jc w:val="both"/>
        <w:textAlignment w:val="auto"/>
        <w:outlineLvl w:val="1"/>
        <w:rPr>
          <w:rFonts w:hint="eastAsia" w:ascii="宋体" w:hAnsi="宋体" w:eastAsia="宋体" w:cs="宋体"/>
          <w:b w:val="0"/>
          <w:bCs/>
          <w:color w:val="auto"/>
          <w:sz w:val="24"/>
          <w:szCs w:val="24"/>
          <w:highlight w:val="none"/>
          <w:lang w:val="en-US" w:eastAsia="zh-CN"/>
        </w:rPr>
      </w:pPr>
      <w:bookmarkStart w:id="438" w:name="_Toc5311"/>
      <w:bookmarkStart w:id="439" w:name="_Toc22573"/>
      <w:bookmarkStart w:id="440" w:name="_Toc18078"/>
      <w:bookmarkStart w:id="441" w:name="_Toc22012"/>
      <w:bookmarkStart w:id="442" w:name="_Toc6035"/>
      <w:bookmarkStart w:id="443" w:name="_Toc22399"/>
      <w:bookmarkStart w:id="444" w:name="_Toc19691"/>
      <w:bookmarkStart w:id="445" w:name="_Toc25484"/>
      <w:r>
        <w:rPr>
          <w:rFonts w:hint="eastAsia" w:ascii="宋体" w:hAnsi="宋体" w:eastAsia="宋体" w:cs="宋体"/>
          <w:b w:val="0"/>
          <w:bCs/>
          <w:color w:val="auto"/>
          <w:sz w:val="24"/>
          <w:szCs w:val="24"/>
          <w:highlight w:val="none"/>
          <w:lang w:val="en-US" w:eastAsia="zh-CN"/>
        </w:rPr>
        <w:t>如成交人不按本章第6.1项约定签订合同，采购人将报请取消其成交决定。采购人可按照磋商小组推荐的成交候选人名单排序，确定下一候选人为成交人或者重新采购。</w:t>
      </w:r>
      <w:bookmarkEnd w:id="437"/>
      <w:bookmarkEnd w:id="438"/>
      <w:bookmarkEnd w:id="439"/>
      <w:bookmarkEnd w:id="440"/>
      <w:bookmarkEnd w:id="441"/>
      <w:bookmarkEnd w:id="442"/>
      <w:bookmarkEnd w:id="443"/>
      <w:bookmarkEnd w:id="444"/>
      <w:bookmarkEnd w:id="445"/>
    </w:p>
    <w:bookmarkEnd w:id="396"/>
    <w:p w14:paraId="3ECB1688">
      <w:pPr>
        <w:pStyle w:val="3"/>
        <w:numPr>
          <w:ilvl w:val="0"/>
          <w:numId w:val="4"/>
        </w:numPr>
        <w:bidi w:val="0"/>
        <w:rPr>
          <w:rStyle w:val="66"/>
          <w:rFonts w:hint="eastAsia" w:ascii="宋体" w:hAnsi="宋体" w:eastAsia="宋体" w:cs="宋体"/>
          <w:b/>
          <w:bCs/>
          <w:color w:val="auto"/>
          <w:sz w:val="24"/>
          <w:szCs w:val="24"/>
          <w:highlight w:val="none"/>
          <w:lang w:val="en-US" w:eastAsia="zh-CN"/>
        </w:rPr>
      </w:pPr>
      <w:bookmarkStart w:id="446" w:name="_Toc269470338"/>
      <w:bookmarkStart w:id="447" w:name="_Toc25425"/>
      <w:bookmarkStart w:id="448" w:name="_Toc270604610"/>
      <w:r>
        <w:rPr>
          <w:rStyle w:val="66"/>
          <w:rFonts w:hint="eastAsia" w:ascii="宋体" w:hAnsi="宋体" w:eastAsia="宋体" w:cs="宋体"/>
          <w:b/>
          <w:bCs/>
          <w:color w:val="auto"/>
          <w:sz w:val="24"/>
          <w:szCs w:val="24"/>
          <w:highlight w:val="none"/>
          <w:lang w:val="en-US" w:eastAsia="zh-CN"/>
        </w:rPr>
        <w:t xml:space="preserve"> </w:t>
      </w:r>
      <w:bookmarkStart w:id="449" w:name="_Toc26387"/>
      <w:bookmarkStart w:id="450" w:name="_Toc31300"/>
      <w:bookmarkStart w:id="451" w:name="_Toc15397"/>
      <w:bookmarkStart w:id="452" w:name="_Toc27882"/>
      <w:bookmarkStart w:id="453" w:name="_Toc981"/>
      <w:r>
        <w:rPr>
          <w:rStyle w:val="66"/>
          <w:rFonts w:hint="eastAsia" w:ascii="宋体" w:hAnsi="宋体" w:eastAsia="宋体" w:cs="宋体"/>
          <w:b/>
          <w:bCs/>
          <w:color w:val="auto"/>
          <w:sz w:val="24"/>
          <w:szCs w:val="24"/>
          <w:highlight w:val="none"/>
          <w:lang w:val="en-US" w:eastAsia="zh-CN"/>
        </w:rPr>
        <w:t>纪律和监督</w:t>
      </w:r>
      <w:bookmarkEnd w:id="446"/>
      <w:bookmarkEnd w:id="447"/>
      <w:bookmarkEnd w:id="448"/>
      <w:bookmarkEnd w:id="449"/>
      <w:bookmarkEnd w:id="450"/>
      <w:bookmarkEnd w:id="451"/>
      <w:bookmarkEnd w:id="452"/>
      <w:bookmarkEnd w:id="453"/>
    </w:p>
    <w:p w14:paraId="4447C339">
      <w:pPr>
        <w:pStyle w:val="4"/>
        <w:keepNext/>
        <w:keepLines/>
        <w:pageBreakBefore w:val="0"/>
        <w:widowControl w:val="0"/>
        <w:numPr>
          <w:ilvl w:val="1"/>
          <w:numId w:val="4"/>
        </w:numPr>
        <w:kinsoku/>
        <w:wordWrap w:val="0"/>
        <w:overflowPunct/>
        <w:topLinePunct/>
        <w:autoSpaceDE/>
        <w:autoSpaceDN/>
        <w:bidi w:val="0"/>
        <w:adjustRightInd/>
        <w:snapToGrid/>
        <w:spacing w:before="0" w:after="0" w:line="360" w:lineRule="auto"/>
        <w:ind w:leftChars="0" w:firstLine="0" w:firstLineChars="0"/>
        <w:jc w:val="left"/>
        <w:textAlignment w:val="auto"/>
        <w:rPr>
          <w:rFonts w:hint="eastAsia" w:ascii="宋体" w:hAnsi="宋体" w:eastAsia="宋体" w:cs="宋体"/>
          <w:b/>
          <w:bCs w:val="0"/>
          <w:color w:val="auto"/>
          <w:sz w:val="24"/>
          <w:szCs w:val="24"/>
          <w:highlight w:val="none"/>
          <w:lang w:val="en-US" w:eastAsia="zh-CN"/>
        </w:rPr>
      </w:pPr>
      <w:bookmarkStart w:id="454" w:name="_Toc454788046"/>
      <w:bookmarkStart w:id="455" w:name="_Toc462934323"/>
      <w:bookmarkStart w:id="456" w:name="_Toc269470339"/>
      <w:bookmarkStart w:id="457" w:name="_Toc13152"/>
      <w:bookmarkStart w:id="458" w:name="_Toc31772"/>
      <w:bookmarkStart w:id="459" w:name="_Toc270604838"/>
      <w:bookmarkStart w:id="460" w:name="_Toc277149399"/>
      <w:bookmarkStart w:id="461" w:name="_Toc428351666"/>
      <w:bookmarkStart w:id="462" w:name="_Toc455678149"/>
      <w:bookmarkStart w:id="463" w:name="_Toc463011302"/>
      <w:bookmarkStart w:id="464" w:name="_Toc270604611"/>
      <w:bookmarkStart w:id="465" w:name="_Toc2717"/>
      <w:bookmarkStart w:id="466" w:name="_Toc428276606"/>
      <w:r>
        <w:rPr>
          <w:rFonts w:hint="eastAsia" w:ascii="宋体" w:hAnsi="宋体" w:eastAsia="宋体" w:cs="宋体"/>
          <w:b/>
          <w:bCs w:val="0"/>
          <w:color w:val="auto"/>
          <w:sz w:val="24"/>
          <w:szCs w:val="24"/>
          <w:highlight w:val="none"/>
          <w:lang w:val="en-US" w:eastAsia="zh-CN"/>
        </w:rPr>
        <w:t>对采购人的纪律要求</w:t>
      </w:r>
      <w:bookmarkEnd w:id="454"/>
      <w:bookmarkEnd w:id="455"/>
      <w:bookmarkEnd w:id="456"/>
      <w:bookmarkEnd w:id="457"/>
      <w:bookmarkEnd w:id="458"/>
      <w:bookmarkEnd w:id="459"/>
      <w:bookmarkEnd w:id="460"/>
      <w:bookmarkEnd w:id="461"/>
      <w:bookmarkEnd w:id="462"/>
      <w:bookmarkEnd w:id="463"/>
      <w:bookmarkEnd w:id="464"/>
      <w:bookmarkEnd w:id="465"/>
      <w:bookmarkEnd w:id="466"/>
    </w:p>
    <w:p w14:paraId="18C05A5E">
      <w:pPr>
        <w:pStyle w:val="22"/>
        <w:keepNext w:val="0"/>
        <w:keepLines w:val="0"/>
        <w:pageBreakBefore w:val="0"/>
        <w:widowControl w:val="0"/>
        <w:numPr>
          <w:ilvl w:val="0"/>
          <w:numId w:val="0"/>
        </w:numPr>
        <w:tabs>
          <w:tab w:val="left" w:pos="360"/>
        </w:tabs>
        <w:kinsoku/>
        <w:wordWrap/>
        <w:overflowPunct/>
        <w:topLinePunct w:val="0"/>
        <w:autoSpaceDE w:val="0"/>
        <w:autoSpaceDN w:val="0"/>
        <w:bidi w:val="0"/>
        <w:adjustRightInd w:val="0"/>
        <w:snapToGrid w:val="0"/>
        <w:spacing w:line="360" w:lineRule="auto"/>
        <w:ind w:firstLine="480" w:firstLineChars="200"/>
        <w:contextualSpacing/>
        <w:jc w:val="both"/>
        <w:textAlignment w:val="auto"/>
        <w:outlineLvl w:val="1"/>
        <w:rPr>
          <w:rFonts w:hint="eastAsia" w:ascii="宋体" w:hAnsi="宋体" w:eastAsia="宋体" w:cs="宋体"/>
          <w:b w:val="0"/>
          <w:bCs/>
          <w:color w:val="auto"/>
          <w:sz w:val="24"/>
          <w:szCs w:val="24"/>
          <w:highlight w:val="none"/>
          <w:lang w:val="en-US" w:eastAsia="zh-CN"/>
        </w:rPr>
      </w:pPr>
      <w:bookmarkStart w:id="467" w:name="_Toc4804"/>
      <w:bookmarkStart w:id="468" w:name="_Toc10135"/>
      <w:bookmarkStart w:id="469" w:name="_Toc16051"/>
      <w:bookmarkStart w:id="470" w:name="_Toc18711"/>
      <w:r>
        <w:rPr>
          <w:rFonts w:hint="eastAsia" w:ascii="宋体" w:hAnsi="宋体" w:eastAsia="宋体" w:cs="宋体"/>
          <w:b w:val="0"/>
          <w:bCs/>
          <w:color w:val="auto"/>
          <w:sz w:val="24"/>
          <w:szCs w:val="24"/>
          <w:highlight w:val="none"/>
          <w:lang w:val="en-US" w:eastAsia="zh-CN"/>
        </w:rPr>
        <w:t>采购人不得泄漏竞争性磋商中应当保密的情况和资料，不得与供应商串通损害国家利益、社会公共利益或者他人合法权益。</w:t>
      </w:r>
      <w:bookmarkEnd w:id="467"/>
      <w:bookmarkEnd w:id="468"/>
      <w:bookmarkEnd w:id="469"/>
      <w:bookmarkEnd w:id="470"/>
    </w:p>
    <w:p w14:paraId="7CAB7199">
      <w:pPr>
        <w:pStyle w:val="4"/>
        <w:keepNext/>
        <w:keepLines/>
        <w:pageBreakBefore w:val="0"/>
        <w:widowControl w:val="0"/>
        <w:numPr>
          <w:ilvl w:val="1"/>
          <w:numId w:val="4"/>
        </w:numPr>
        <w:kinsoku/>
        <w:wordWrap w:val="0"/>
        <w:overflowPunct/>
        <w:topLinePunct/>
        <w:autoSpaceDE/>
        <w:autoSpaceDN/>
        <w:bidi w:val="0"/>
        <w:adjustRightInd/>
        <w:snapToGrid/>
        <w:spacing w:before="0" w:after="0" w:line="360" w:lineRule="auto"/>
        <w:ind w:leftChars="0" w:firstLine="0" w:firstLineChars="0"/>
        <w:jc w:val="left"/>
        <w:textAlignment w:val="auto"/>
        <w:rPr>
          <w:rFonts w:hint="eastAsia" w:ascii="宋体" w:hAnsi="宋体" w:eastAsia="宋体" w:cs="宋体"/>
          <w:b/>
          <w:bCs w:val="0"/>
          <w:color w:val="auto"/>
          <w:sz w:val="24"/>
          <w:szCs w:val="24"/>
          <w:highlight w:val="none"/>
          <w:lang w:val="en-US" w:eastAsia="zh-CN"/>
        </w:rPr>
      </w:pPr>
      <w:bookmarkStart w:id="471" w:name="_Toc455678150"/>
      <w:bookmarkStart w:id="472" w:name="_Toc1136"/>
      <w:bookmarkStart w:id="473" w:name="_Toc24245"/>
      <w:bookmarkStart w:id="474" w:name="_Toc270604612"/>
      <w:bookmarkStart w:id="475" w:name="_Toc462934324"/>
      <w:bookmarkStart w:id="476" w:name="_Toc10123"/>
      <w:bookmarkStart w:id="477" w:name="_Toc454788047"/>
      <w:bookmarkStart w:id="478" w:name="_Toc428351667"/>
      <w:bookmarkStart w:id="479" w:name="_Toc269470340"/>
      <w:bookmarkStart w:id="480" w:name="_Toc463011303"/>
      <w:bookmarkStart w:id="481" w:name="_Toc428276607"/>
      <w:bookmarkStart w:id="482" w:name="_Toc277149400"/>
      <w:bookmarkStart w:id="483" w:name="_Toc270604839"/>
      <w:r>
        <w:rPr>
          <w:rFonts w:hint="eastAsia" w:ascii="宋体" w:hAnsi="宋体" w:eastAsia="宋体" w:cs="宋体"/>
          <w:b/>
          <w:bCs w:val="0"/>
          <w:color w:val="auto"/>
          <w:sz w:val="24"/>
          <w:szCs w:val="24"/>
          <w:highlight w:val="none"/>
          <w:lang w:val="en-US" w:eastAsia="zh-CN"/>
        </w:rPr>
        <w:t>对供应商的纪律要求</w:t>
      </w:r>
      <w:bookmarkEnd w:id="471"/>
      <w:bookmarkEnd w:id="472"/>
      <w:bookmarkEnd w:id="473"/>
      <w:bookmarkEnd w:id="474"/>
      <w:bookmarkEnd w:id="475"/>
      <w:bookmarkEnd w:id="476"/>
      <w:bookmarkEnd w:id="477"/>
      <w:bookmarkEnd w:id="478"/>
      <w:bookmarkEnd w:id="479"/>
      <w:bookmarkEnd w:id="480"/>
      <w:bookmarkEnd w:id="481"/>
      <w:bookmarkEnd w:id="482"/>
      <w:bookmarkEnd w:id="483"/>
    </w:p>
    <w:p w14:paraId="7D489349">
      <w:pPr>
        <w:pStyle w:val="22"/>
        <w:keepNext w:val="0"/>
        <w:keepLines w:val="0"/>
        <w:pageBreakBefore w:val="0"/>
        <w:widowControl w:val="0"/>
        <w:numPr>
          <w:ilvl w:val="0"/>
          <w:numId w:val="0"/>
        </w:numPr>
        <w:tabs>
          <w:tab w:val="left" w:pos="360"/>
        </w:tabs>
        <w:kinsoku/>
        <w:wordWrap/>
        <w:overflowPunct/>
        <w:topLinePunct w:val="0"/>
        <w:autoSpaceDE w:val="0"/>
        <w:autoSpaceDN w:val="0"/>
        <w:bidi w:val="0"/>
        <w:adjustRightInd w:val="0"/>
        <w:snapToGrid w:val="0"/>
        <w:spacing w:line="360" w:lineRule="auto"/>
        <w:ind w:firstLine="480" w:firstLineChars="200"/>
        <w:contextualSpacing/>
        <w:jc w:val="both"/>
        <w:textAlignment w:val="auto"/>
        <w:outlineLvl w:val="1"/>
        <w:rPr>
          <w:rFonts w:hint="eastAsia" w:ascii="宋体" w:hAnsi="宋体" w:eastAsia="宋体" w:cs="宋体"/>
          <w:b w:val="0"/>
          <w:bCs/>
          <w:color w:val="auto"/>
          <w:sz w:val="24"/>
          <w:szCs w:val="24"/>
          <w:highlight w:val="none"/>
          <w:lang w:val="en-US" w:eastAsia="zh-CN"/>
        </w:rPr>
      </w:pPr>
      <w:bookmarkStart w:id="484" w:name="_Toc8268"/>
      <w:bookmarkStart w:id="485" w:name="_Toc27425"/>
      <w:bookmarkStart w:id="486" w:name="_Toc16725"/>
      <w:bookmarkStart w:id="487" w:name="_Toc23835"/>
      <w:r>
        <w:rPr>
          <w:rFonts w:hint="eastAsia" w:ascii="宋体" w:hAnsi="宋体" w:eastAsia="宋体" w:cs="宋体"/>
          <w:b w:val="0"/>
          <w:bCs/>
          <w:color w:val="auto"/>
          <w:sz w:val="24"/>
          <w:szCs w:val="24"/>
          <w:highlight w:val="none"/>
          <w:lang w:val="en-US" w:eastAsia="zh-CN"/>
        </w:rPr>
        <w:t>供应商不得相互串通或者与采购人串通，不得向采购人或者磋商小组成员行贿谋取成交，不得以他人名义磋商或者以其他方式弄虚作假骗取成交；供应商不得以任何方式干扰、影响磋商工作。</w:t>
      </w:r>
      <w:bookmarkEnd w:id="484"/>
      <w:bookmarkEnd w:id="485"/>
      <w:bookmarkEnd w:id="486"/>
      <w:bookmarkEnd w:id="487"/>
    </w:p>
    <w:p w14:paraId="12BA3F57">
      <w:pPr>
        <w:pStyle w:val="4"/>
        <w:keepNext/>
        <w:keepLines/>
        <w:pageBreakBefore w:val="0"/>
        <w:widowControl w:val="0"/>
        <w:numPr>
          <w:ilvl w:val="1"/>
          <w:numId w:val="4"/>
        </w:numPr>
        <w:kinsoku/>
        <w:wordWrap w:val="0"/>
        <w:overflowPunct/>
        <w:topLinePunct/>
        <w:autoSpaceDE/>
        <w:autoSpaceDN/>
        <w:bidi w:val="0"/>
        <w:adjustRightInd/>
        <w:snapToGrid/>
        <w:spacing w:before="0" w:after="0" w:line="360" w:lineRule="auto"/>
        <w:ind w:leftChars="0" w:firstLine="0" w:firstLineChars="0"/>
        <w:jc w:val="left"/>
        <w:textAlignment w:val="auto"/>
        <w:rPr>
          <w:rFonts w:hint="eastAsia" w:ascii="宋体" w:hAnsi="宋体" w:eastAsia="宋体" w:cs="宋体"/>
          <w:b/>
          <w:bCs w:val="0"/>
          <w:color w:val="auto"/>
          <w:sz w:val="24"/>
          <w:szCs w:val="24"/>
          <w:highlight w:val="none"/>
          <w:lang w:val="en-US" w:eastAsia="zh-CN"/>
        </w:rPr>
      </w:pPr>
      <w:bookmarkStart w:id="488" w:name="_Toc462934325"/>
      <w:bookmarkStart w:id="489" w:name="_Toc428351668"/>
      <w:bookmarkStart w:id="490" w:name="_Toc15953"/>
      <w:bookmarkStart w:id="491" w:name="_Toc269470341"/>
      <w:bookmarkStart w:id="492" w:name="_Toc463011304"/>
      <w:bookmarkStart w:id="493" w:name="_Toc26184"/>
      <w:bookmarkStart w:id="494" w:name="_Toc23588"/>
      <w:bookmarkStart w:id="495" w:name="_Toc428276608"/>
      <w:bookmarkStart w:id="496" w:name="_Toc277149401"/>
      <w:bookmarkStart w:id="497" w:name="_Toc270604840"/>
      <w:bookmarkStart w:id="498" w:name="_Toc454788048"/>
      <w:bookmarkStart w:id="499" w:name="_Toc455678151"/>
      <w:bookmarkStart w:id="500" w:name="_Toc270604613"/>
      <w:r>
        <w:rPr>
          <w:rFonts w:hint="eastAsia" w:ascii="宋体" w:hAnsi="宋体" w:eastAsia="宋体" w:cs="宋体"/>
          <w:b/>
          <w:bCs w:val="0"/>
          <w:color w:val="auto"/>
          <w:sz w:val="24"/>
          <w:szCs w:val="24"/>
          <w:highlight w:val="none"/>
          <w:lang w:val="en-US" w:eastAsia="zh-CN"/>
        </w:rPr>
        <w:t>对磋商小组成员的纪律要求</w:t>
      </w:r>
      <w:bookmarkEnd w:id="488"/>
      <w:bookmarkEnd w:id="489"/>
      <w:bookmarkEnd w:id="490"/>
      <w:bookmarkEnd w:id="491"/>
      <w:bookmarkEnd w:id="492"/>
      <w:bookmarkEnd w:id="493"/>
      <w:bookmarkEnd w:id="494"/>
      <w:bookmarkEnd w:id="495"/>
      <w:bookmarkEnd w:id="496"/>
      <w:bookmarkEnd w:id="497"/>
      <w:bookmarkEnd w:id="498"/>
      <w:bookmarkEnd w:id="499"/>
      <w:bookmarkEnd w:id="500"/>
    </w:p>
    <w:p w14:paraId="56A58767">
      <w:pPr>
        <w:pStyle w:val="22"/>
        <w:keepNext w:val="0"/>
        <w:keepLines w:val="0"/>
        <w:pageBreakBefore w:val="0"/>
        <w:widowControl w:val="0"/>
        <w:numPr>
          <w:ilvl w:val="0"/>
          <w:numId w:val="0"/>
        </w:numPr>
        <w:tabs>
          <w:tab w:val="left" w:pos="360"/>
        </w:tabs>
        <w:kinsoku/>
        <w:wordWrap/>
        <w:overflowPunct/>
        <w:topLinePunct w:val="0"/>
        <w:autoSpaceDE w:val="0"/>
        <w:autoSpaceDN w:val="0"/>
        <w:bidi w:val="0"/>
        <w:adjustRightInd w:val="0"/>
        <w:snapToGrid w:val="0"/>
        <w:spacing w:line="360" w:lineRule="auto"/>
        <w:ind w:firstLine="480" w:firstLineChars="200"/>
        <w:contextualSpacing/>
        <w:jc w:val="both"/>
        <w:textAlignment w:val="auto"/>
        <w:outlineLvl w:val="1"/>
        <w:rPr>
          <w:rFonts w:hint="eastAsia" w:ascii="宋体" w:hAnsi="宋体" w:eastAsia="宋体" w:cs="宋体"/>
          <w:b w:val="0"/>
          <w:bCs/>
          <w:color w:val="auto"/>
          <w:sz w:val="24"/>
          <w:szCs w:val="24"/>
          <w:highlight w:val="none"/>
          <w:lang w:val="en-US" w:eastAsia="zh-CN"/>
        </w:rPr>
      </w:pPr>
      <w:bookmarkStart w:id="501" w:name="_Toc3655"/>
      <w:bookmarkStart w:id="502" w:name="_Toc24154"/>
      <w:bookmarkStart w:id="503" w:name="_Toc20362"/>
      <w:bookmarkStart w:id="504" w:name="_Toc26283"/>
      <w:r>
        <w:rPr>
          <w:rFonts w:hint="eastAsia" w:ascii="宋体" w:hAnsi="宋体" w:eastAsia="宋体" w:cs="宋体"/>
          <w:b w:val="0"/>
          <w:bCs/>
          <w:color w:val="auto"/>
          <w:sz w:val="24"/>
          <w:szCs w:val="24"/>
          <w:highlight w:val="none"/>
          <w:lang w:val="en-US" w:eastAsia="zh-CN"/>
        </w:rPr>
        <w:t>磋商小组成员不得收受他人的财物或者其他好处，不得向他人透漏对响应文件的评审和比较、成交候选人的推荐情况以及与磋商有关的其他情况。在磋商活动中，磋商小组成员不得擅离职守，影响磋商程序正常进行。</w:t>
      </w:r>
      <w:bookmarkEnd w:id="501"/>
      <w:bookmarkEnd w:id="502"/>
      <w:bookmarkEnd w:id="503"/>
      <w:bookmarkEnd w:id="504"/>
    </w:p>
    <w:p w14:paraId="7AE2C774">
      <w:pPr>
        <w:pStyle w:val="4"/>
        <w:keepNext/>
        <w:keepLines/>
        <w:pageBreakBefore w:val="0"/>
        <w:widowControl w:val="0"/>
        <w:numPr>
          <w:ilvl w:val="1"/>
          <w:numId w:val="4"/>
        </w:numPr>
        <w:kinsoku/>
        <w:wordWrap w:val="0"/>
        <w:overflowPunct/>
        <w:topLinePunct/>
        <w:autoSpaceDE/>
        <w:autoSpaceDN/>
        <w:bidi w:val="0"/>
        <w:adjustRightInd/>
        <w:snapToGrid/>
        <w:spacing w:before="0" w:after="0" w:line="360" w:lineRule="auto"/>
        <w:ind w:leftChars="0" w:firstLine="0" w:firstLineChars="0"/>
        <w:jc w:val="left"/>
        <w:textAlignment w:val="auto"/>
        <w:rPr>
          <w:rFonts w:hint="eastAsia" w:ascii="宋体" w:hAnsi="宋体" w:eastAsia="宋体" w:cs="宋体"/>
          <w:b/>
          <w:bCs w:val="0"/>
          <w:color w:val="auto"/>
          <w:sz w:val="24"/>
          <w:szCs w:val="24"/>
          <w:highlight w:val="none"/>
          <w:lang w:val="en-US" w:eastAsia="zh-CN"/>
        </w:rPr>
      </w:pPr>
      <w:bookmarkStart w:id="505" w:name="_Toc277149402"/>
      <w:bookmarkStart w:id="506" w:name="_Toc269470342"/>
      <w:bookmarkStart w:id="507" w:name="_Toc454788049"/>
      <w:bookmarkStart w:id="508" w:name="_Toc4673"/>
      <w:bookmarkStart w:id="509" w:name="_Toc428351669"/>
      <w:bookmarkStart w:id="510" w:name="_Toc463011305"/>
      <w:bookmarkStart w:id="511" w:name="_Toc14202"/>
      <w:bookmarkStart w:id="512" w:name="_Toc270604614"/>
      <w:bookmarkStart w:id="513" w:name="_Toc270604841"/>
      <w:bookmarkStart w:id="514" w:name="_Toc462934326"/>
      <w:bookmarkStart w:id="515" w:name="_Toc428276609"/>
      <w:bookmarkStart w:id="516" w:name="_Toc8563"/>
      <w:bookmarkStart w:id="517" w:name="_Toc455678152"/>
      <w:r>
        <w:rPr>
          <w:rFonts w:hint="eastAsia" w:ascii="宋体" w:hAnsi="宋体" w:eastAsia="宋体" w:cs="宋体"/>
          <w:b/>
          <w:bCs w:val="0"/>
          <w:color w:val="auto"/>
          <w:sz w:val="24"/>
          <w:szCs w:val="24"/>
          <w:highlight w:val="none"/>
          <w:lang w:val="en-US" w:eastAsia="zh-CN"/>
        </w:rPr>
        <w:t>对与磋商活动有关的工作人员的纪律要求</w:t>
      </w:r>
      <w:bookmarkEnd w:id="505"/>
      <w:bookmarkEnd w:id="506"/>
      <w:bookmarkEnd w:id="507"/>
      <w:bookmarkEnd w:id="508"/>
      <w:bookmarkEnd w:id="509"/>
      <w:bookmarkEnd w:id="510"/>
      <w:bookmarkEnd w:id="511"/>
      <w:bookmarkEnd w:id="512"/>
      <w:bookmarkEnd w:id="513"/>
      <w:bookmarkEnd w:id="514"/>
      <w:bookmarkEnd w:id="515"/>
      <w:bookmarkEnd w:id="516"/>
      <w:bookmarkEnd w:id="517"/>
    </w:p>
    <w:p w14:paraId="1777FACB">
      <w:pPr>
        <w:pStyle w:val="22"/>
        <w:keepNext w:val="0"/>
        <w:keepLines w:val="0"/>
        <w:pageBreakBefore w:val="0"/>
        <w:widowControl w:val="0"/>
        <w:numPr>
          <w:ilvl w:val="0"/>
          <w:numId w:val="0"/>
        </w:numPr>
        <w:tabs>
          <w:tab w:val="left" w:pos="360"/>
        </w:tabs>
        <w:kinsoku/>
        <w:wordWrap/>
        <w:overflowPunct/>
        <w:topLinePunct w:val="0"/>
        <w:autoSpaceDE w:val="0"/>
        <w:autoSpaceDN w:val="0"/>
        <w:bidi w:val="0"/>
        <w:adjustRightInd w:val="0"/>
        <w:snapToGrid w:val="0"/>
        <w:spacing w:line="360" w:lineRule="auto"/>
        <w:ind w:firstLine="480" w:firstLineChars="200"/>
        <w:contextualSpacing/>
        <w:jc w:val="both"/>
        <w:textAlignment w:val="auto"/>
        <w:outlineLvl w:val="1"/>
        <w:rPr>
          <w:rFonts w:hint="eastAsia" w:ascii="宋体" w:hAnsi="宋体" w:eastAsia="宋体" w:cs="宋体"/>
          <w:b w:val="0"/>
          <w:bCs/>
          <w:color w:val="auto"/>
          <w:sz w:val="24"/>
          <w:szCs w:val="24"/>
          <w:highlight w:val="none"/>
          <w:lang w:val="en-US" w:eastAsia="zh-CN"/>
        </w:rPr>
      </w:pPr>
      <w:bookmarkStart w:id="518" w:name="_Toc9990"/>
      <w:bookmarkStart w:id="519" w:name="_Toc5178"/>
      <w:bookmarkStart w:id="520" w:name="_Toc11462"/>
      <w:bookmarkStart w:id="521" w:name="_Toc4928"/>
      <w:r>
        <w:rPr>
          <w:rFonts w:hint="eastAsia" w:ascii="宋体" w:hAnsi="宋体" w:eastAsia="宋体" w:cs="宋体"/>
          <w:b w:val="0"/>
          <w:bCs/>
          <w:color w:val="auto"/>
          <w:sz w:val="24"/>
          <w:szCs w:val="24"/>
          <w:highlight w:val="none"/>
          <w:lang w:val="en-US" w:eastAsia="zh-CN"/>
        </w:rPr>
        <w:t>与磋商活动有关的工作人员不得收受他人的财物或者其他好处，不得向他人透漏对响应文件的评审和比较、成交候选人的推荐情况以及与磋商有关的其他情况。在磋商活动中，与磋商活动有关的工作人员不得擅离职守，影响磋商程序正常进行。</w:t>
      </w:r>
      <w:bookmarkEnd w:id="518"/>
      <w:bookmarkEnd w:id="519"/>
      <w:bookmarkEnd w:id="520"/>
      <w:bookmarkEnd w:id="521"/>
    </w:p>
    <w:p w14:paraId="6C760BC8">
      <w:pPr>
        <w:pStyle w:val="4"/>
        <w:keepNext/>
        <w:keepLines/>
        <w:pageBreakBefore w:val="0"/>
        <w:widowControl w:val="0"/>
        <w:numPr>
          <w:ilvl w:val="1"/>
          <w:numId w:val="4"/>
        </w:numPr>
        <w:kinsoku/>
        <w:wordWrap w:val="0"/>
        <w:overflowPunct/>
        <w:topLinePunct/>
        <w:autoSpaceDE/>
        <w:autoSpaceDN/>
        <w:bidi w:val="0"/>
        <w:adjustRightInd/>
        <w:snapToGrid/>
        <w:spacing w:before="0" w:after="0" w:line="360" w:lineRule="auto"/>
        <w:ind w:leftChars="0" w:firstLine="0" w:firstLineChars="0"/>
        <w:jc w:val="left"/>
        <w:textAlignment w:val="auto"/>
        <w:rPr>
          <w:rFonts w:hint="eastAsia" w:ascii="宋体" w:hAnsi="宋体" w:eastAsia="宋体" w:cs="宋体"/>
          <w:b/>
          <w:bCs w:val="0"/>
          <w:color w:val="auto"/>
          <w:sz w:val="24"/>
          <w:szCs w:val="24"/>
          <w:highlight w:val="none"/>
          <w:lang w:eastAsia="zh-CN"/>
        </w:rPr>
      </w:pPr>
      <w:bookmarkStart w:id="522" w:name="_Toc428276610"/>
      <w:bookmarkStart w:id="523" w:name="_Toc277149403"/>
      <w:bookmarkStart w:id="524" w:name="_Toc454788050"/>
      <w:bookmarkStart w:id="525" w:name="_Toc270604842"/>
      <w:bookmarkStart w:id="526" w:name="_Toc269470343"/>
      <w:bookmarkStart w:id="527" w:name="_Toc428351670"/>
      <w:bookmarkStart w:id="528" w:name="_Toc29089"/>
      <w:bookmarkStart w:id="529" w:name="_Toc270604615"/>
      <w:r>
        <w:rPr>
          <w:rFonts w:hint="eastAsia" w:ascii="宋体" w:hAnsi="宋体" w:eastAsia="宋体" w:cs="宋体"/>
          <w:b/>
          <w:bCs w:val="0"/>
          <w:color w:val="auto"/>
          <w:sz w:val="24"/>
          <w:szCs w:val="24"/>
          <w:highlight w:val="none"/>
          <w:lang w:val="en-US" w:eastAsia="zh-CN"/>
        </w:rPr>
        <w:t xml:space="preserve"> </w:t>
      </w:r>
      <w:bookmarkStart w:id="530" w:name="_Toc27033"/>
      <w:r>
        <w:rPr>
          <w:rFonts w:hint="eastAsia" w:ascii="宋体" w:hAnsi="宋体" w:eastAsia="宋体" w:cs="宋体"/>
          <w:b/>
          <w:bCs w:val="0"/>
          <w:color w:val="auto"/>
          <w:sz w:val="24"/>
          <w:szCs w:val="24"/>
          <w:highlight w:val="none"/>
          <w:lang w:eastAsia="zh-CN"/>
        </w:rPr>
        <w:t>询问、质疑和投诉</w:t>
      </w:r>
      <w:bookmarkEnd w:id="522"/>
      <w:bookmarkEnd w:id="523"/>
      <w:bookmarkEnd w:id="524"/>
      <w:bookmarkEnd w:id="525"/>
      <w:bookmarkEnd w:id="526"/>
      <w:bookmarkEnd w:id="527"/>
      <w:bookmarkEnd w:id="528"/>
      <w:bookmarkEnd w:id="529"/>
      <w:bookmarkEnd w:id="530"/>
    </w:p>
    <w:p w14:paraId="5FEC731F">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bookmarkStart w:id="531" w:name="_Toc17445"/>
      <w:bookmarkStart w:id="532" w:name="_Toc455678154"/>
      <w:bookmarkStart w:id="533" w:name="_Toc462934328"/>
      <w:bookmarkStart w:id="534" w:name="_Toc463011307"/>
      <w:bookmarkStart w:id="535" w:name="_Toc11785"/>
      <w:r>
        <w:rPr>
          <w:rFonts w:hint="eastAsia" w:ascii="宋体" w:hAnsi="宋体" w:eastAsia="宋体" w:cs="宋体"/>
          <w:color w:val="auto"/>
          <w:sz w:val="24"/>
          <w:szCs w:val="24"/>
          <w:highlight w:val="none"/>
          <w:lang w:eastAsia="zh-CN"/>
        </w:rPr>
        <w:t>供应商或有关当事人对磋商过程、成交结果有异议的，可以向采购人或者采购代理机构提出询问。</w:t>
      </w:r>
      <w:bookmarkEnd w:id="531"/>
      <w:bookmarkEnd w:id="532"/>
      <w:bookmarkEnd w:id="533"/>
      <w:bookmarkEnd w:id="534"/>
      <w:bookmarkEnd w:id="535"/>
    </w:p>
    <w:p w14:paraId="65B0562E">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bookmarkStart w:id="536" w:name="_Toc462934329"/>
      <w:bookmarkStart w:id="537" w:name="_Toc27421"/>
      <w:bookmarkStart w:id="538" w:name="_Toc463011308"/>
      <w:bookmarkStart w:id="539" w:name="_Toc24621"/>
      <w:bookmarkStart w:id="540" w:name="_Toc455678155"/>
      <w:r>
        <w:rPr>
          <w:rFonts w:hint="eastAsia" w:ascii="宋体" w:hAnsi="宋体" w:eastAsia="宋体" w:cs="宋体"/>
          <w:color w:val="auto"/>
          <w:sz w:val="24"/>
          <w:szCs w:val="24"/>
          <w:highlight w:val="none"/>
          <w:lang w:eastAsia="zh-CN"/>
        </w:rPr>
        <w:t>采购人或者采购代理机构应当在三个工作日内对供应商依法提出的询问作出答复。</w:t>
      </w:r>
      <w:bookmarkEnd w:id="536"/>
      <w:bookmarkEnd w:id="537"/>
      <w:bookmarkEnd w:id="538"/>
      <w:bookmarkEnd w:id="539"/>
      <w:bookmarkEnd w:id="540"/>
    </w:p>
    <w:p w14:paraId="55B9334C">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bookmarkStart w:id="541" w:name="_Toc463011309"/>
      <w:bookmarkStart w:id="542" w:name="_Toc28381"/>
      <w:bookmarkStart w:id="543" w:name="_Toc455678156"/>
      <w:bookmarkStart w:id="544" w:name="_Toc30298"/>
      <w:bookmarkStart w:id="545" w:name="_Toc462934330"/>
      <w:r>
        <w:rPr>
          <w:rFonts w:hint="eastAsia" w:ascii="宋体" w:hAnsi="宋体" w:eastAsia="宋体" w:cs="宋体"/>
          <w:color w:val="auto"/>
          <w:sz w:val="24"/>
          <w:szCs w:val="24"/>
          <w:highlight w:val="none"/>
          <w:lang w:eastAsia="zh-CN"/>
        </w:rPr>
        <w:t>供应商认为竞争性磋商文件、采购过程使自己的权益受到损害的，可以在知道或者应知其权益受到损害之日起七个工作日内，以书面形式向采购人提出质疑。</w:t>
      </w:r>
      <w:bookmarkEnd w:id="541"/>
      <w:bookmarkEnd w:id="542"/>
      <w:bookmarkEnd w:id="543"/>
      <w:bookmarkEnd w:id="544"/>
      <w:bookmarkEnd w:id="545"/>
    </w:p>
    <w:p w14:paraId="25B98C9A">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bookmarkStart w:id="546" w:name="_Toc463011310"/>
      <w:bookmarkStart w:id="547" w:name="_Toc288"/>
      <w:bookmarkStart w:id="548" w:name="_Toc16614"/>
      <w:bookmarkStart w:id="549" w:name="_Toc462934331"/>
      <w:r>
        <w:rPr>
          <w:rFonts w:hint="eastAsia" w:ascii="宋体" w:hAnsi="宋体" w:eastAsia="宋体" w:cs="宋体"/>
          <w:color w:val="auto"/>
          <w:sz w:val="24"/>
          <w:szCs w:val="24"/>
          <w:highlight w:val="none"/>
          <w:lang w:eastAsia="zh-CN"/>
        </w:rPr>
        <w:t>供应商认为成交结果使自己的权益受到损害的，可以在成交结果公告期限届满之日起七个工作日内，以书面形式向采购人提出质疑，接收质疑函</w:t>
      </w:r>
      <w:r>
        <w:rPr>
          <w:rFonts w:hint="eastAsia" w:ascii="宋体" w:hAnsi="宋体" w:eastAsia="宋体" w:cs="宋体"/>
          <w:color w:val="auto"/>
          <w:sz w:val="24"/>
          <w:szCs w:val="24"/>
          <w:highlight w:val="none"/>
          <w:lang w:val="en-US" w:eastAsia="zh-CN"/>
        </w:rPr>
        <w:t>联系部门、电话及地址详见竞争性磋商公告</w:t>
      </w:r>
      <w:r>
        <w:rPr>
          <w:rFonts w:hint="eastAsia" w:ascii="宋体" w:hAnsi="宋体" w:eastAsia="宋体" w:cs="宋体"/>
          <w:color w:val="auto"/>
          <w:sz w:val="24"/>
          <w:szCs w:val="24"/>
          <w:highlight w:val="none"/>
          <w:lang w:eastAsia="zh-CN"/>
        </w:rPr>
        <w:t>。</w:t>
      </w:r>
      <w:bookmarkEnd w:id="546"/>
      <w:bookmarkEnd w:id="547"/>
      <w:bookmarkEnd w:id="548"/>
      <w:bookmarkEnd w:id="549"/>
      <w:r>
        <w:rPr>
          <w:rFonts w:hint="eastAsia" w:ascii="宋体" w:hAnsi="宋体" w:eastAsia="宋体" w:cs="宋体"/>
          <w:color w:val="auto"/>
          <w:sz w:val="24"/>
          <w:szCs w:val="24"/>
          <w:highlight w:val="none"/>
          <w:lang w:eastAsia="zh-CN"/>
        </w:rPr>
        <w:t>在法定质疑期内供应商针对同一采购程序环节的质疑应当一次性提出。</w:t>
      </w:r>
    </w:p>
    <w:p w14:paraId="0C039BF9">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bookmarkStart w:id="550" w:name="_Toc462934332"/>
      <w:bookmarkStart w:id="551" w:name="_Toc5258"/>
      <w:bookmarkStart w:id="552" w:name="_Toc18478"/>
      <w:bookmarkStart w:id="553" w:name="_Toc463011311"/>
      <w:bookmarkStart w:id="554" w:name="_Toc455678157"/>
      <w:r>
        <w:rPr>
          <w:rFonts w:hint="eastAsia" w:ascii="宋体" w:hAnsi="宋体" w:eastAsia="宋体" w:cs="宋体"/>
          <w:color w:val="auto"/>
          <w:sz w:val="24"/>
          <w:szCs w:val="24"/>
          <w:highlight w:val="none"/>
          <w:lang w:eastAsia="zh-CN"/>
        </w:rPr>
        <w:t>采购人或者采购代理机构应当在收到供应商的书面质疑后七个工作日内作出答复，并以书面形式通知质疑供应商和其他有关供应商，但答复的内容不得涉及商业秘密。</w:t>
      </w:r>
      <w:bookmarkEnd w:id="550"/>
      <w:bookmarkEnd w:id="551"/>
      <w:bookmarkEnd w:id="552"/>
      <w:bookmarkEnd w:id="553"/>
      <w:bookmarkEnd w:id="554"/>
    </w:p>
    <w:p w14:paraId="2BB80F68">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bookmarkStart w:id="555" w:name="_Toc463011312"/>
      <w:bookmarkStart w:id="556" w:name="_Toc4898"/>
      <w:bookmarkStart w:id="557" w:name="_Toc455678158"/>
      <w:bookmarkStart w:id="558" w:name="_Toc21390"/>
      <w:bookmarkStart w:id="559" w:name="_Toc462934333"/>
      <w:r>
        <w:rPr>
          <w:rFonts w:hint="eastAsia" w:ascii="宋体" w:hAnsi="宋体" w:eastAsia="宋体" w:cs="宋体"/>
          <w:color w:val="auto"/>
          <w:sz w:val="24"/>
          <w:szCs w:val="24"/>
          <w:highlight w:val="none"/>
          <w:lang w:eastAsia="zh-CN"/>
        </w:rPr>
        <w:t>质疑单位对采购人、采购代理机构的答复不满意或者采购人、采购代理机构未在规定的时间内作出答复的，可以在答复期满后十五个工作日内向同级政府采购监督管理部门投诉。</w:t>
      </w:r>
      <w:bookmarkEnd w:id="555"/>
      <w:bookmarkEnd w:id="556"/>
      <w:bookmarkEnd w:id="557"/>
      <w:bookmarkEnd w:id="558"/>
      <w:bookmarkEnd w:id="559"/>
    </w:p>
    <w:p w14:paraId="63BD63D1">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bookmarkStart w:id="560" w:name="_Toc455678159"/>
      <w:bookmarkStart w:id="561" w:name="_Toc463011313"/>
      <w:bookmarkStart w:id="562" w:name="_Toc462934334"/>
      <w:bookmarkStart w:id="563" w:name="_Toc11631"/>
      <w:bookmarkStart w:id="564" w:name="_Toc17682"/>
      <w:r>
        <w:rPr>
          <w:rFonts w:hint="eastAsia" w:ascii="宋体" w:hAnsi="宋体" w:eastAsia="宋体" w:cs="宋体"/>
          <w:color w:val="auto"/>
          <w:sz w:val="24"/>
          <w:szCs w:val="24"/>
          <w:highlight w:val="none"/>
          <w:lang w:eastAsia="zh-CN"/>
        </w:rPr>
        <w:t>供应商质疑、投诉应当有明确的请求和必要的证明材料。供应商投诉的事项不得超出已质疑事项的范围。</w:t>
      </w:r>
      <w:bookmarkEnd w:id="560"/>
      <w:bookmarkEnd w:id="561"/>
      <w:bookmarkEnd w:id="562"/>
      <w:bookmarkEnd w:id="563"/>
      <w:bookmarkEnd w:id="564"/>
    </w:p>
    <w:p w14:paraId="0FA3DE8A">
      <w:pPr>
        <w:pStyle w:val="3"/>
        <w:numPr>
          <w:ilvl w:val="0"/>
          <w:numId w:val="4"/>
        </w:numPr>
        <w:bidi w:val="0"/>
        <w:rPr>
          <w:rStyle w:val="66"/>
          <w:rFonts w:hint="eastAsia" w:ascii="宋体" w:hAnsi="宋体" w:eastAsia="宋体" w:cs="宋体"/>
          <w:b/>
          <w:bCs/>
          <w:color w:val="auto"/>
          <w:sz w:val="24"/>
          <w:szCs w:val="24"/>
          <w:highlight w:val="none"/>
          <w:lang w:val="en-US" w:eastAsia="zh-CN"/>
        </w:rPr>
      </w:pPr>
      <w:r>
        <w:rPr>
          <w:rStyle w:val="66"/>
          <w:rFonts w:hint="eastAsia" w:ascii="宋体" w:hAnsi="宋体" w:eastAsia="宋体" w:cs="宋体"/>
          <w:b/>
          <w:bCs/>
          <w:color w:val="auto"/>
          <w:sz w:val="24"/>
          <w:szCs w:val="24"/>
          <w:highlight w:val="none"/>
          <w:lang w:val="en-US" w:eastAsia="zh-CN"/>
        </w:rPr>
        <w:t xml:space="preserve"> </w:t>
      </w:r>
      <w:bookmarkStart w:id="565" w:name="_Toc2300"/>
      <w:bookmarkStart w:id="566" w:name="_Toc5688"/>
      <w:bookmarkStart w:id="567" w:name="_Toc6336"/>
      <w:bookmarkStart w:id="568" w:name="_Toc13231"/>
      <w:bookmarkStart w:id="569" w:name="_Toc22335"/>
      <w:r>
        <w:rPr>
          <w:rStyle w:val="66"/>
          <w:rFonts w:hint="eastAsia" w:ascii="宋体" w:hAnsi="宋体" w:eastAsia="宋体" w:cs="宋体"/>
          <w:b/>
          <w:bCs/>
          <w:color w:val="auto"/>
          <w:sz w:val="24"/>
          <w:szCs w:val="24"/>
          <w:highlight w:val="none"/>
          <w:lang w:val="en-US" w:eastAsia="zh-CN"/>
        </w:rPr>
        <w:t>政府采购政策</w:t>
      </w:r>
      <w:bookmarkEnd w:id="565"/>
      <w:bookmarkEnd w:id="566"/>
      <w:bookmarkEnd w:id="567"/>
      <w:bookmarkEnd w:id="568"/>
      <w:bookmarkEnd w:id="569"/>
    </w:p>
    <w:p w14:paraId="07183774">
      <w:pPr>
        <w:keepNext w:val="0"/>
        <w:keepLines w:val="0"/>
        <w:pageBreakBefore w:val="0"/>
        <w:widowControl w:val="0"/>
        <w:numPr>
          <w:ilvl w:val="1"/>
          <w:numId w:val="4"/>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产品符合国家环保、节能标准，并载入财政部、</w:t>
      </w:r>
      <w:r>
        <w:rPr>
          <w:rFonts w:hint="eastAsia" w:ascii="宋体" w:hAnsi="宋体" w:eastAsia="宋体" w:cs="宋体"/>
          <w:color w:val="auto"/>
          <w:sz w:val="24"/>
          <w:szCs w:val="24"/>
          <w:highlight w:val="none"/>
          <w:lang w:eastAsia="zh-CN"/>
        </w:rPr>
        <w:t>国家发改委、国家环保总局</w:t>
      </w:r>
      <w:r>
        <w:rPr>
          <w:rFonts w:hint="eastAsia" w:ascii="宋体" w:hAnsi="宋体" w:eastAsia="宋体" w:cs="宋体"/>
          <w:color w:val="auto"/>
          <w:sz w:val="24"/>
          <w:szCs w:val="24"/>
          <w:highlight w:val="none"/>
        </w:rPr>
        <w:t>发布的《环境标志产品政府采购品目清单》、《节能产品政府采购品目清单》内，且具国家确定的认证机构出具的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处于有效期之内的《国家节能产品认证证书》或《中国环境标志产品认证证书》（</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必须提供有关证明材料和文件等），将分别给予</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eastAsia="zh-CN"/>
        </w:rPr>
        <w:t>评审</w:t>
      </w:r>
      <w:r>
        <w:rPr>
          <w:rFonts w:hint="eastAsia" w:ascii="宋体" w:hAnsi="宋体" w:eastAsia="宋体" w:cs="宋体"/>
          <w:color w:val="auto"/>
          <w:sz w:val="24"/>
          <w:szCs w:val="24"/>
          <w:highlight w:val="none"/>
        </w:rPr>
        <w:t>办法中规定的标准分值进行</w:t>
      </w:r>
      <w:r>
        <w:rPr>
          <w:rFonts w:hint="eastAsia" w:ascii="宋体" w:hAnsi="宋体" w:eastAsia="宋体" w:cs="宋体"/>
          <w:color w:val="auto"/>
          <w:sz w:val="24"/>
          <w:szCs w:val="24"/>
          <w:highlight w:val="none"/>
          <w:lang w:eastAsia="zh-CN"/>
        </w:rPr>
        <w:t>加分</w:t>
      </w:r>
      <w:r>
        <w:rPr>
          <w:rFonts w:hint="eastAsia" w:ascii="宋体" w:hAnsi="宋体" w:eastAsia="宋体" w:cs="宋体"/>
          <w:color w:val="auto"/>
          <w:sz w:val="24"/>
          <w:szCs w:val="24"/>
          <w:highlight w:val="none"/>
        </w:rPr>
        <w:t>评审。</w:t>
      </w:r>
    </w:p>
    <w:p w14:paraId="6321F334">
      <w:pPr>
        <w:keepNext w:val="0"/>
        <w:keepLines w:val="0"/>
        <w:pageBreakBefore w:val="0"/>
        <w:widowControl w:val="0"/>
        <w:numPr>
          <w:ilvl w:val="1"/>
          <w:numId w:val="4"/>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如磋商产品属于财政部和国家发展改革委发布的《节能产品政府采购品目清单》中要求的政府强制采购</w:t>
      </w:r>
      <w:r>
        <w:rPr>
          <w:rFonts w:hint="eastAsia" w:ascii="宋体" w:hAnsi="宋体" w:eastAsia="宋体" w:cs="宋体"/>
          <w:color w:val="auto"/>
          <w:sz w:val="24"/>
          <w:szCs w:val="24"/>
          <w:highlight w:val="none"/>
          <w:lang w:eastAsia="zh-CN"/>
        </w:rPr>
        <w:t>节能</w:t>
      </w:r>
      <w:r>
        <w:rPr>
          <w:rFonts w:hint="eastAsia" w:ascii="宋体" w:hAnsi="宋体" w:eastAsia="宋体" w:cs="宋体"/>
          <w:color w:val="auto"/>
          <w:sz w:val="24"/>
          <w:szCs w:val="24"/>
          <w:highlight w:val="none"/>
          <w:lang w:val="en-US" w:eastAsia="zh-CN"/>
        </w:rPr>
        <w:t>产品的，供应商必须提供所投产品经国家确定的认证机构出具的、处于有效期之内的《国家节能产品认证证书》复印件，</w:t>
      </w:r>
      <w:r>
        <w:rPr>
          <w:rFonts w:hint="eastAsia" w:ascii="宋体" w:hAnsi="宋体" w:eastAsia="宋体" w:cs="宋体"/>
          <w:color w:val="auto"/>
          <w:sz w:val="24"/>
          <w:szCs w:val="24"/>
          <w:highlight w:val="none"/>
          <w:lang w:eastAsia="zh-CN"/>
        </w:rPr>
        <w:t>未提供</w:t>
      </w:r>
      <w:r>
        <w:rPr>
          <w:rFonts w:hint="eastAsia" w:ascii="宋体" w:hAnsi="宋体" w:eastAsia="宋体" w:cs="宋体"/>
          <w:color w:val="auto"/>
          <w:sz w:val="24"/>
          <w:szCs w:val="24"/>
          <w:highlight w:val="none"/>
        </w:rPr>
        <w:t>《节能产品政府采购品目清单》中要求的政府强制采购</w:t>
      </w:r>
      <w:r>
        <w:rPr>
          <w:rFonts w:hint="eastAsia" w:ascii="宋体" w:hAnsi="宋体" w:eastAsia="宋体" w:cs="宋体"/>
          <w:color w:val="auto"/>
          <w:sz w:val="24"/>
          <w:szCs w:val="24"/>
          <w:highlight w:val="none"/>
          <w:lang w:eastAsia="zh-CN"/>
        </w:rPr>
        <w:t>节能</w:t>
      </w:r>
      <w:r>
        <w:rPr>
          <w:rFonts w:hint="eastAsia" w:ascii="宋体" w:hAnsi="宋体" w:eastAsia="宋体" w:cs="宋体"/>
          <w:color w:val="auto"/>
          <w:sz w:val="24"/>
          <w:szCs w:val="24"/>
          <w:highlight w:val="none"/>
        </w:rPr>
        <w:t>产品</w:t>
      </w:r>
      <w:r>
        <w:rPr>
          <w:rFonts w:hint="eastAsia" w:ascii="宋体" w:hAnsi="宋体" w:eastAsia="宋体" w:cs="宋体"/>
          <w:color w:val="auto"/>
          <w:sz w:val="24"/>
          <w:szCs w:val="24"/>
          <w:highlight w:val="none"/>
          <w:lang w:eastAsia="zh-CN"/>
        </w:rPr>
        <w:t>及认证证书</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eastAsia="zh-CN"/>
        </w:rPr>
        <w:t>则认定其响应</w:t>
      </w:r>
      <w:r>
        <w:rPr>
          <w:rFonts w:hint="eastAsia" w:ascii="宋体" w:hAnsi="宋体" w:eastAsia="宋体" w:cs="宋体"/>
          <w:color w:val="auto"/>
          <w:sz w:val="24"/>
          <w:szCs w:val="24"/>
          <w:highlight w:val="none"/>
        </w:rPr>
        <w:t>文件无效。</w:t>
      </w:r>
    </w:p>
    <w:p w14:paraId="27CCC26B">
      <w:pPr>
        <w:keepNext w:val="0"/>
        <w:keepLines w:val="0"/>
        <w:pageBreakBefore w:val="0"/>
        <w:widowControl w:val="0"/>
        <w:numPr>
          <w:ilvl w:val="1"/>
          <w:numId w:val="4"/>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关于计算机办公设备，必须执行国家版权局、信息产业部、财政部等部门规定，</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所投货物必须是国家信息部、版权局、商务部等部门认可的预装正版操作系统软件的计算机产品。</w:t>
      </w:r>
    </w:p>
    <w:p w14:paraId="106D7E87">
      <w:pPr>
        <w:keepNext w:val="0"/>
        <w:keepLines w:val="0"/>
        <w:pageBreakBefore w:val="0"/>
        <w:widowControl w:val="0"/>
        <w:numPr>
          <w:ilvl w:val="1"/>
          <w:numId w:val="4"/>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采购货物为国家强制性认证产品的，必须符合强制性标准，</w:t>
      </w:r>
      <w:r>
        <w:rPr>
          <w:rFonts w:hint="eastAsia" w:ascii="宋体" w:hAnsi="宋体" w:eastAsia="宋体" w:cs="宋体"/>
          <w:color w:val="auto"/>
          <w:sz w:val="24"/>
          <w:szCs w:val="24"/>
          <w:highlight w:val="none"/>
          <w:lang w:eastAsia="zh-CN"/>
        </w:rPr>
        <w:t>否则认定其响应</w:t>
      </w:r>
      <w:r>
        <w:rPr>
          <w:rFonts w:hint="eastAsia" w:ascii="宋体" w:hAnsi="宋体" w:eastAsia="宋体" w:cs="宋体"/>
          <w:color w:val="auto"/>
          <w:sz w:val="24"/>
          <w:szCs w:val="24"/>
          <w:highlight w:val="none"/>
        </w:rPr>
        <w:t>文件无效。</w:t>
      </w:r>
    </w:p>
    <w:p w14:paraId="35E4D7F3">
      <w:pPr>
        <w:keepNext w:val="0"/>
        <w:keepLines w:val="0"/>
        <w:pageBreakBefore w:val="0"/>
        <w:widowControl w:val="0"/>
        <w:numPr>
          <w:ilvl w:val="1"/>
          <w:numId w:val="4"/>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优先采购本国产品。采购进口产品应符合《中华人民共和国政府采购法》并依法办理论证、审批手续。</w:t>
      </w:r>
    </w:p>
    <w:p w14:paraId="436E16D6">
      <w:pPr>
        <w:keepNext w:val="0"/>
        <w:keepLines w:val="0"/>
        <w:pageBreakBefore w:val="0"/>
        <w:widowControl w:val="0"/>
        <w:numPr>
          <w:ilvl w:val="1"/>
          <w:numId w:val="4"/>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采购信息安全产品的，应当采购经国家认证的信息安全产品，</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应提供由中国信息安全认证中心按国家标准颁发的有效认证证书，</w:t>
      </w:r>
      <w:r>
        <w:rPr>
          <w:rFonts w:hint="eastAsia" w:ascii="宋体" w:hAnsi="宋体" w:eastAsia="宋体" w:cs="宋体"/>
          <w:color w:val="auto"/>
          <w:sz w:val="24"/>
          <w:szCs w:val="24"/>
          <w:highlight w:val="none"/>
          <w:lang w:eastAsia="zh-CN"/>
        </w:rPr>
        <w:t>否则认定其响应</w:t>
      </w:r>
      <w:r>
        <w:rPr>
          <w:rFonts w:hint="eastAsia" w:ascii="宋体" w:hAnsi="宋体" w:eastAsia="宋体" w:cs="宋体"/>
          <w:color w:val="auto"/>
          <w:sz w:val="24"/>
          <w:szCs w:val="24"/>
          <w:highlight w:val="none"/>
        </w:rPr>
        <w:t>文件无效。</w:t>
      </w:r>
    </w:p>
    <w:p w14:paraId="47E22D3D">
      <w:pPr>
        <w:keepNext w:val="0"/>
        <w:keepLines w:val="0"/>
        <w:pageBreakBefore w:val="0"/>
        <w:widowControl w:val="0"/>
        <w:numPr>
          <w:ilvl w:val="1"/>
          <w:numId w:val="4"/>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促进中小型企业发展，必须执行财政部、工信部印发的《</w:t>
      </w:r>
      <w:r>
        <w:rPr>
          <w:rFonts w:hint="eastAsia" w:ascii="宋体" w:hAnsi="宋体" w:eastAsia="宋体" w:cs="宋体"/>
          <w:color w:val="auto"/>
          <w:sz w:val="24"/>
          <w:szCs w:val="24"/>
          <w:highlight w:val="none"/>
          <w:lang w:val="en-US" w:eastAsia="zh-CN"/>
        </w:rPr>
        <w:t>政府采购促进中小企业发展管理办法</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对于经主管预算单位统筹后未预留份额专门面向中小企业采购的采购项目，以及预留份额项目中的非预留部分采购包，应当对工程由小微企业承建（即工程施工单位为小微企业）的</w:t>
      </w:r>
      <w:r>
        <w:rPr>
          <w:rFonts w:hint="eastAsia" w:cs="宋体"/>
          <w:color w:val="auto"/>
          <w:sz w:val="24"/>
          <w:szCs w:val="24"/>
          <w:highlight w:val="none"/>
          <w:lang w:val="en-US" w:eastAsia="zh-CN"/>
        </w:rPr>
        <w:t>响应报价</w:t>
      </w:r>
      <w:r>
        <w:rPr>
          <w:rFonts w:hint="eastAsia" w:ascii="宋体" w:hAnsi="宋体" w:eastAsia="宋体" w:cs="宋体"/>
          <w:color w:val="auto"/>
          <w:sz w:val="24"/>
          <w:szCs w:val="24"/>
          <w:highlight w:val="none"/>
          <w:lang w:val="en-US" w:eastAsia="zh-CN"/>
        </w:rPr>
        <w:t>给予3%—5%的扣除，用扣除后的价格参加评审</w:t>
      </w:r>
      <w:r>
        <w:rPr>
          <w:rFonts w:hint="eastAsia" w:ascii="宋体" w:hAnsi="宋体" w:eastAsia="宋体" w:cs="宋体"/>
          <w:color w:val="auto"/>
          <w:sz w:val="24"/>
          <w:szCs w:val="24"/>
          <w:highlight w:val="none"/>
        </w:rPr>
        <w:t>（监狱企业</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残疾人福利</w:t>
      </w:r>
      <w:r>
        <w:rPr>
          <w:rFonts w:hint="eastAsia" w:ascii="宋体" w:hAnsi="宋体" w:eastAsia="宋体" w:cs="宋体"/>
          <w:color w:val="auto"/>
          <w:sz w:val="24"/>
          <w:szCs w:val="24"/>
          <w:highlight w:val="none"/>
          <w:lang w:eastAsia="zh-CN"/>
        </w:rPr>
        <w:t>性</w:t>
      </w:r>
      <w:r>
        <w:rPr>
          <w:rFonts w:hint="eastAsia" w:ascii="宋体" w:hAnsi="宋体" w:eastAsia="宋体" w:cs="宋体"/>
          <w:color w:val="auto"/>
          <w:sz w:val="24"/>
          <w:szCs w:val="24"/>
          <w:highlight w:val="none"/>
        </w:rPr>
        <w:t>企业视同小型、微型企业）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接受大中型企业与小微企业组成联合体或者允许大中型企业向一家或者多家小微企业分包的采购项目，对于联合协议或者分包意向协议约定小微企业的合同份额占到合同总金额 30%以上的，应当对联合体或者大中型企业的报价给予 1%-2%的扣除，</w:t>
      </w:r>
      <w:r>
        <w:rPr>
          <w:rFonts w:hint="eastAsia" w:ascii="宋体" w:hAnsi="宋体" w:eastAsia="宋体" w:cs="宋体"/>
          <w:color w:val="auto"/>
          <w:sz w:val="24"/>
          <w:szCs w:val="24"/>
          <w:highlight w:val="none"/>
        </w:rPr>
        <w:t>用扣除后的价格参与评审（监狱企业</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残疾人福利</w:t>
      </w:r>
      <w:r>
        <w:rPr>
          <w:rFonts w:hint="eastAsia" w:ascii="宋体" w:hAnsi="宋体" w:eastAsia="宋体" w:cs="宋体"/>
          <w:color w:val="auto"/>
          <w:sz w:val="24"/>
          <w:szCs w:val="24"/>
          <w:highlight w:val="none"/>
          <w:lang w:eastAsia="zh-CN"/>
        </w:rPr>
        <w:t>性</w:t>
      </w:r>
      <w:r>
        <w:rPr>
          <w:rFonts w:hint="eastAsia" w:ascii="宋体" w:hAnsi="宋体" w:eastAsia="宋体" w:cs="宋体"/>
          <w:color w:val="auto"/>
          <w:sz w:val="24"/>
          <w:szCs w:val="24"/>
          <w:highlight w:val="none"/>
        </w:rPr>
        <w:t>企业视同小型、微型企业）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参加政府采购活动的中小企业应当提供《中小企业声明函》，未填写中小企业声明函的在</w:t>
      </w:r>
      <w:r>
        <w:rPr>
          <w:rFonts w:hint="eastAsia" w:ascii="宋体" w:hAnsi="宋体" w:eastAsia="宋体" w:cs="宋体"/>
          <w:color w:val="auto"/>
          <w:sz w:val="24"/>
          <w:szCs w:val="24"/>
          <w:highlight w:val="none"/>
          <w:lang w:eastAsia="zh-CN"/>
        </w:rPr>
        <w:t>评审</w:t>
      </w:r>
      <w:r>
        <w:rPr>
          <w:rFonts w:hint="eastAsia" w:ascii="宋体" w:hAnsi="宋体" w:eastAsia="宋体" w:cs="宋体"/>
          <w:color w:val="auto"/>
          <w:sz w:val="24"/>
          <w:szCs w:val="24"/>
          <w:highlight w:val="none"/>
        </w:rPr>
        <w:t>过程中不予认可</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参加政府采购活动的</w:t>
      </w:r>
      <w:r>
        <w:rPr>
          <w:rFonts w:hint="eastAsia" w:ascii="宋体" w:hAnsi="宋体" w:eastAsia="宋体" w:cs="宋体"/>
          <w:color w:val="auto"/>
          <w:sz w:val="24"/>
          <w:szCs w:val="24"/>
          <w:highlight w:val="none"/>
          <w:lang w:eastAsia="zh-CN"/>
        </w:rPr>
        <w:t>残疾人福利性单位</w:t>
      </w:r>
      <w:r>
        <w:rPr>
          <w:rFonts w:hint="eastAsia" w:ascii="宋体" w:hAnsi="宋体" w:eastAsia="宋体" w:cs="宋体"/>
          <w:color w:val="auto"/>
          <w:sz w:val="24"/>
          <w:szCs w:val="24"/>
          <w:highlight w:val="none"/>
        </w:rPr>
        <w:t>应当提供《</w:t>
      </w:r>
      <w:r>
        <w:rPr>
          <w:rFonts w:hint="eastAsia" w:ascii="宋体" w:hAnsi="宋体" w:eastAsia="宋体" w:cs="宋体"/>
          <w:color w:val="auto"/>
          <w:sz w:val="24"/>
          <w:szCs w:val="24"/>
          <w:highlight w:val="none"/>
          <w:lang w:eastAsia="zh-CN"/>
        </w:rPr>
        <w:t>残疾人福利性单位</w:t>
      </w:r>
      <w:r>
        <w:rPr>
          <w:rFonts w:hint="eastAsia" w:ascii="宋体" w:hAnsi="宋体" w:eastAsia="宋体" w:cs="宋体"/>
          <w:color w:val="auto"/>
          <w:sz w:val="24"/>
          <w:szCs w:val="24"/>
          <w:highlight w:val="none"/>
        </w:rPr>
        <w:t>声明函》，未填写</w:t>
      </w:r>
      <w:r>
        <w:rPr>
          <w:rFonts w:hint="eastAsia" w:ascii="宋体" w:hAnsi="宋体" w:eastAsia="宋体" w:cs="宋体"/>
          <w:color w:val="auto"/>
          <w:sz w:val="24"/>
          <w:szCs w:val="24"/>
          <w:highlight w:val="none"/>
          <w:lang w:eastAsia="zh-CN"/>
        </w:rPr>
        <w:t>残疾人福利性单位</w:t>
      </w:r>
      <w:r>
        <w:rPr>
          <w:rFonts w:hint="eastAsia" w:ascii="宋体" w:hAnsi="宋体" w:eastAsia="宋体" w:cs="宋体"/>
          <w:color w:val="auto"/>
          <w:sz w:val="24"/>
          <w:szCs w:val="24"/>
          <w:highlight w:val="none"/>
        </w:rPr>
        <w:t>声明函的在</w:t>
      </w:r>
      <w:r>
        <w:rPr>
          <w:rFonts w:hint="eastAsia" w:ascii="宋体" w:hAnsi="宋体" w:eastAsia="宋体" w:cs="宋体"/>
          <w:color w:val="auto"/>
          <w:sz w:val="24"/>
          <w:szCs w:val="24"/>
          <w:highlight w:val="none"/>
          <w:lang w:eastAsia="zh-CN"/>
        </w:rPr>
        <w:t>评审</w:t>
      </w:r>
      <w:r>
        <w:rPr>
          <w:rFonts w:hint="eastAsia" w:ascii="宋体" w:hAnsi="宋体" w:eastAsia="宋体" w:cs="宋体"/>
          <w:color w:val="auto"/>
          <w:sz w:val="24"/>
          <w:szCs w:val="24"/>
          <w:highlight w:val="none"/>
        </w:rPr>
        <w:t>过程中不予认可</w:t>
      </w:r>
      <w:r>
        <w:rPr>
          <w:rFonts w:hint="eastAsia" w:ascii="宋体" w:hAnsi="宋体" w:eastAsia="宋体" w:cs="宋体"/>
          <w:color w:val="auto"/>
          <w:sz w:val="24"/>
          <w:szCs w:val="24"/>
          <w:highlight w:val="none"/>
          <w:lang w:eastAsia="zh-CN"/>
        </w:rPr>
        <w:t>；参加政府采购活动的</w:t>
      </w:r>
      <w:r>
        <w:rPr>
          <w:rFonts w:hint="eastAsia" w:ascii="宋体" w:hAnsi="宋体" w:eastAsia="宋体" w:cs="宋体"/>
          <w:color w:val="auto"/>
          <w:sz w:val="24"/>
          <w:szCs w:val="24"/>
          <w:highlight w:val="none"/>
        </w:rPr>
        <w:t>监狱企业，</w:t>
      </w:r>
      <w:r>
        <w:rPr>
          <w:rFonts w:hint="eastAsia" w:ascii="宋体" w:hAnsi="宋体" w:eastAsia="宋体" w:cs="宋体"/>
          <w:color w:val="auto"/>
          <w:sz w:val="24"/>
          <w:szCs w:val="24"/>
          <w:highlight w:val="none"/>
          <w:lang w:eastAsia="zh-CN"/>
        </w:rPr>
        <w:t>未</w:t>
      </w:r>
      <w:r>
        <w:rPr>
          <w:rFonts w:hint="eastAsia" w:ascii="宋体" w:hAnsi="宋体" w:eastAsia="宋体" w:cs="宋体"/>
          <w:color w:val="auto"/>
          <w:sz w:val="24"/>
          <w:szCs w:val="24"/>
          <w:highlight w:val="none"/>
        </w:rPr>
        <w:t>提供由省级以上监狱管理局、戒毒管理局（含新疆生产建设兵团）出具的属于监狱企业的证明文件</w:t>
      </w:r>
      <w:r>
        <w:rPr>
          <w:rFonts w:hint="eastAsia" w:ascii="宋体" w:hAnsi="宋体" w:eastAsia="宋体" w:cs="宋体"/>
          <w:color w:val="auto"/>
          <w:sz w:val="24"/>
          <w:szCs w:val="24"/>
          <w:highlight w:val="none"/>
          <w:lang w:eastAsia="zh-CN"/>
        </w:rPr>
        <w:t>不予认可</w:t>
      </w:r>
      <w:r>
        <w:rPr>
          <w:rFonts w:hint="eastAsia" w:ascii="宋体" w:hAnsi="宋体" w:eastAsia="宋体" w:cs="宋体"/>
          <w:color w:val="auto"/>
          <w:sz w:val="24"/>
          <w:szCs w:val="24"/>
          <w:highlight w:val="none"/>
        </w:rPr>
        <w:t>。</w:t>
      </w:r>
    </w:p>
    <w:p w14:paraId="2E3FF23B">
      <w:pPr>
        <w:keepNext w:val="0"/>
        <w:keepLines w:val="0"/>
        <w:pageBreakBefore w:val="0"/>
        <w:widowControl w:val="0"/>
        <w:numPr>
          <w:ilvl w:val="1"/>
          <w:numId w:val="4"/>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开源节流，执行低价优先的采购政策规定。</w:t>
      </w:r>
    </w:p>
    <w:p w14:paraId="6F37C29B">
      <w:pPr>
        <w:pStyle w:val="3"/>
        <w:numPr>
          <w:ilvl w:val="0"/>
          <w:numId w:val="4"/>
        </w:numPr>
        <w:bidi w:val="0"/>
        <w:rPr>
          <w:rStyle w:val="66"/>
          <w:rFonts w:hint="eastAsia" w:ascii="宋体" w:hAnsi="宋体" w:eastAsia="宋体" w:cs="宋体"/>
          <w:b/>
          <w:bCs/>
          <w:color w:val="auto"/>
          <w:sz w:val="24"/>
          <w:szCs w:val="24"/>
          <w:highlight w:val="none"/>
          <w:lang w:val="en-US" w:eastAsia="zh-CN"/>
        </w:rPr>
      </w:pPr>
      <w:bookmarkStart w:id="570" w:name="_Toc15491"/>
      <w:r>
        <w:rPr>
          <w:rStyle w:val="66"/>
          <w:rFonts w:hint="eastAsia" w:ascii="宋体" w:hAnsi="宋体" w:eastAsia="宋体" w:cs="宋体"/>
          <w:b/>
          <w:bCs/>
          <w:color w:val="auto"/>
          <w:sz w:val="24"/>
          <w:szCs w:val="24"/>
          <w:highlight w:val="none"/>
          <w:lang w:val="en-US" w:eastAsia="zh-CN"/>
        </w:rPr>
        <w:t xml:space="preserve"> </w:t>
      </w:r>
      <w:bookmarkStart w:id="571" w:name="_Toc27168"/>
      <w:bookmarkStart w:id="572" w:name="_Toc18470"/>
      <w:bookmarkStart w:id="573" w:name="_Toc13339"/>
      <w:bookmarkStart w:id="574" w:name="_Toc13809"/>
      <w:bookmarkStart w:id="575" w:name="_Toc26253"/>
      <w:r>
        <w:rPr>
          <w:rStyle w:val="66"/>
          <w:rFonts w:hint="eastAsia" w:ascii="宋体" w:hAnsi="宋体" w:eastAsia="宋体" w:cs="宋体"/>
          <w:b/>
          <w:bCs/>
          <w:color w:val="auto"/>
          <w:sz w:val="24"/>
          <w:szCs w:val="24"/>
          <w:highlight w:val="none"/>
          <w:lang w:val="en-US" w:eastAsia="zh-CN"/>
        </w:rPr>
        <w:t>信用记录</w:t>
      </w:r>
      <w:bookmarkEnd w:id="570"/>
      <w:bookmarkEnd w:id="571"/>
      <w:bookmarkEnd w:id="572"/>
      <w:bookmarkEnd w:id="573"/>
      <w:bookmarkEnd w:id="574"/>
      <w:bookmarkEnd w:id="575"/>
    </w:p>
    <w:p w14:paraId="561ABDA8">
      <w:pPr>
        <w:pStyle w:val="22"/>
        <w:numPr>
          <w:ilvl w:val="0"/>
          <w:numId w:val="0"/>
        </w:numPr>
        <w:tabs>
          <w:tab w:val="left" w:pos="360"/>
        </w:tabs>
        <w:snapToGrid w:val="0"/>
        <w:spacing w:line="360" w:lineRule="auto"/>
        <w:ind w:leftChars="0" w:firstLine="480" w:firstLineChars="200"/>
        <w:contextualSpacing/>
        <w:jc w:val="both"/>
        <w:outlineLvl w:val="1"/>
        <w:rPr>
          <w:rStyle w:val="66"/>
          <w:rFonts w:hint="eastAsia" w:ascii="宋体" w:hAnsi="宋体" w:eastAsia="宋体" w:cs="宋体"/>
          <w:color w:val="auto"/>
          <w:sz w:val="24"/>
          <w:szCs w:val="24"/>
          <w:highlight w:val="none"/>
          <w:lang w:val="en-US" w:eastAsia="zh-CN"/>
        </w:rPr>
      </w:pPr>
      <w:bookmarkStart w:id="576" w:name="_Toc12501"/>
      <w:bookmarkStart w:id="577" w:name="_Toc10983"/>
      <w:bookmarkStart w:id="578" w:name="_Toc28582"/>
      <w:bookmarkStart w:id="579" w:name="_Toc12395"/>
      <w:r>
        <w:rPr>
          <w:rFonts w:hint="eastAsia" w:ascii="宋体" w:hAnsi="宋体" w:eastAsia="宋体" w:cs="宋体"/>
          <w:sz w:val="24"/>
          <w:szCs w:val="24"/>
          <w:lang w:val="en-US" w:eastAsia="zh-CN"/>
        </w:rPr>
        <w:t>根据《关于在政府采购活动中查询及使用信用记录有关问题的通知》(财库[2016]125号)的规定，对列入“中国执行信息公开网”网站（http://zxgk.court.gov.cn/shixin/）的“失信被执行人”、“信用中国”网站（www.creditchina.gov.cn）的“重大税收违法失信主体”、“政府采购严重违法失信行为记录名单”及“中国政府采购网”www.ccgp.gov.cn网站的“政府采购严重违法失信行为记录名单”的供应商，将被拒绝参与本项目政府采购活动；供应商须提供查询截图并加盖公章</w:t>
      </w:r>
      <w:r>
        <w:rPr>
          <w:rFonts w:hint="eastAsia" w:ascii="宋体" w:hAnsi="宋体" w:eastAsia="宋体" w:cs="宋体"/>
          <w:sz w:val="24"/>
          <w:szCs w:val="24"/>
        </w:rPr>
        <w:t>。</w:t>
      </w:r>
      <w:bookmarkEnd w:id="576"/>
      <w:bookmarkEnd w:id="577"/>
      <w:bookmarkEnd w:id="578"/>
      <w:bookmarkEnd w:id="579"/>
    </w:p>
    <w:p w14:paraId="195785FA">
      <w:pPr>
        <w:pStyle w:val="3"/>
        <w:numPr>
          <w:ilvl w:val="0"/>
          <w:numId w:val="4"/>
        </w:numPr>
        <w:bidi w:val="0"/>
        <w:rPr>
          <w:rStyle w:val="66"/>
          <w:rFonts w:hint="eastAsia" w:ascii="宋体" w:hAnsi="宋体" w:eastAsia="宋体" w:cs="宋体"/>
          <w:b/>
          <w:bCs/>
          <w:color w:val="auto"/>
          <w:sz w:val="24"/>
          <w:szCs w:val="24"/>
          <w:highlight w:val="none"/>
          <w:lang w:val="en-US" w:eastAsia="zh-CN"/>
        </w:rPr>
      </w:pPr>
      <w:r>
        <w:rPr>
          <w:rStyle w:val="66"/>
          <w:rFonts w:hint="eastAsia" w:ascii="宋体" w:hAnsi="宋体" w:eastAsia="宋体" w:cs="宋体"/>
          <w:b/>
          <w:bCs/>
          <w:color w:val="auto"/>
          <w:sz w:val="24"/>
          <w:szCs w:val="24"/>
          <w:highlight w:val="none"/>
          <w:lang w:val="en-US" w:eastAsia="zh-CN"/>
        </w:rPr>
        <w:t xml:space="preserve"> </w:t>
      </w:r>
      <w:bookmarkStart w:id="580" w:name="_Toc25313"/>
      <w:bookmarkStart w:id="581" w:name="_Toc20264"/>
      <w:bookmarkStart w:id="582" w:name="_Toc19142"/>
      <w:bookmarkStart w:id="583" w:name="_Toc5729"/>
      <w:bookmarkStart w:id="584" w:name="_Toc5512"/>
      <w:r>
        <w:rPr>
          <w:rStyle w:val="66"/>
          <w:rFonts w:hint="eastAsia" w:ascii="宋体" w:hAnsi="宋体" w:eastAsia="宋体" w:cs="宋体"/>
          <w:b/>
          <w:bCs/>
          <w:color w:val="auto"/>
          <w:sz w:val="24"/>
          <w:szCs w:val="24"/>
          <w:highlight w:val="none"/>
          <w:lang w:val="en-US" w:eastAsia="zh-CN"/>
        </w:rPr>
        <w:t>需要补充的其他内容</w:t>
      </w:r>
      <w:bookmarkEnd w:id="580"/>
      <w:bookmarkEnd w:id="581"/>
      <w:bookmarkEnd w:id="582"/>
      <w:bookmarkEnd w:id="583"/>
      <w:bookmarkEnd w:id="584"/>
    </w:p>
    <w:p w14:paraId="7458F2F8">
      <w:pPr>
        <w:autoSpaceDE w:val="0"/>
        <w:autoSpaceDN w:val="0"/>
        <w:adjustRightInd w:val="0"/>
        <w:snapToGrid w:val="0"/>
        <w:spacing w:line="360" w:lineRule="auto"/>
        <w:ind w:firstLine="480" w:firstLineChars="200"/>
        <w:contextualSpacing/>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需要补充的其他内容：见</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须知前附表。</w:t>
      </w:r>
      <w:bookmarkStart w:id="585" w:name="_Toc270604619"/>
      <w:bookmarkStart w:id="586" w:name="_Toc270604617"/>
    </w:p>
    <w:p w14:paraId="29BA88F3">
      <w:pPr>
        <w:pStyle w:val="4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30" w:lineRule="atLeast"/>
        <w:ind w:left="0" w:right="0" w:firstLine="0"/>
        <w:jc w:val="left"/>
        <w:rPr>
          <w:rFonts w:hint="eastAsia" w:ascii="宋体" w:hAnsi="Courier New" w:cs="Courier New"/>
          <w:b/>
          <w:bCs/>
          <w:color w:val="auto"/>
          <w:kern w:val="2"/>
          <w:sz w:val="32"/>
          <w:szCs w:val="32"/>
          <w:highlight w:val="none"/>
          <w:lang w:val="en-US" w:eastAsia="zh-CN" w:bidi="ar-SA"/>
        </w:rPr>
      </w:pPr>
      <w:r>
        <w:rPr>
          <w:rFonts w:hint="eastAsia" w:ascii="宋体" w:hAnsi="宋体" w:cs="仿宋_GB2312"/>
          <w:color w:val="auto"/>
          <w:kern w:val="0"/>
          <w:szCs w:val="21"/>
          <w:highlight w:val="none"/>
        </w:rPr>
        <w:br w:type="page"/>
      </w:r>
      <w:r>
        <w:rPr>
          <w:rFonts w:hint="eastAsia" w:cs="仿宋_GB2312"/>
          <w:b/>
          <w:bCs/>
          <w:color w:val="auto"/>
          <w:kern w:val="0"/>
          <w:sz w:val="21"/>
          <w:szCs w:val="21"/>
          <w:highlight w:val="none"/>
          <w:lang w:val="en-US" w:eastAsia="zh-CN"/>
        </w:rPr>
        <w:t>附件1</w:t>
      </w:r>
      <w:r>
        <w:rPr>
          <w:rFonts w:hint="eastAsia" w:ascii="宋体" w:hAnsi="宋体" w:cs="仿宋_GB2312"/>
          <w:b/>
          <w:bCs/>
          <w:color w:val="auto"/>
          <w:kern w:val="0"/>
          <w:sz w:val="21"/>
          <w:szCs w:val="21"/>
          <w:highlight w:val="none"/>
          <w:lang w:eastAsia="zh-CN"/>
        </w:rPr>
        <w:t>：</w:t>
      </w:r>
    </w:p>
    <w:p w14:paraId="62AA3931">
      <w:pPr>
        <w:pStyle w:val="4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30" w:lineRule="atLeast"/>
        <w:ind w:left="0" w:right="0" w:firstLine="0"/>
        <w:jc w:val="center"/>
        <w:rPr>
          <w:rFonts w:hint="eastAsia" w:ascii="宋体" w:hAnsi="宋体" w:eastAsia="宋体" w:cs="宋体"/>
          <w:b/>
          <w:bCs/>
          <w:i w:val="0"/>
          <w:caps w:val="0"/>
          <w:color w:val="333333"/>
          <w:spacing w:val="8"/>
          <w:sz w:val="28"/>
          <w:szCs w:val="28"/>
          <w:highlight w:val="none"/>
          <w:shd w:val="clear" w:color="auto" w:fill="FFFFFF"/>
        </w:rPr>
      </w:pPr>
      <w:r>
        <w:rPr>
          <w:rFonts w:hint="eastAsia" w:ascii="宋体" w:hAnsi="宋体" w:eastAsia="宋体" w:cs="宋体"/>
          <w:b/>
          <w:bCs/>
          <w:i w:val="0"/>
          <w:caps w:val="0"/>
          <w:color w:val="333333"/>
          <w:spacing w:val="8"/>
          <w:sz w:val="28"/>
          <w:szCs w:val="28"/>
          <w:highlight w:val="none"/>
          <w:shd w:val="clear" w:color="auto" w:fill="FFFFFF"/>
        </w:rPr>
        <w:t>统计上大中小微型企业划分标准</w:t>
      </w:r>
    </w:p>
    <w:tbl>
      <w:tblPr>
        <w:tblStyle w:val="48"/>
        <w:tblW w:w="101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976"/>
        <w:gridCol w:w="1473"/>
        <w:gridCol w:w="872"/>
        <w:gridCol w:w="1241"/>
        <w:gridCol w:w="1882"/>
        <w:gridCol w:w="1644"/>
        <w:gridCol w:w="1067"/>
      </w:tblGrid>
      <w:tr w14:paraId="400F4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615" w:hRule="atLeast"/>
          <w:jc w:val="center"/>
        </w:trPr>
        <w:tc>
          <w:tcPr>
            <w:tcW w:w="1976" w:type="dxa"/>
            <w:tcBorders>
              <w:top w:val="single" w:color="4F81BD" w:sz="6" w:space="0"/>
              <w:left w:val="single" w:color="4F81BD" w:sz="6" w:space="0"/>
              <w:bottom w:val="single" w:color="FFFFFF" w:sz="18" w:space="0"/>
              <w:right w:val="single" w:color="4F81BD" w:sz="6" w:space="0"/>
            </w:tcBorders>
            <w:shd w:val="clear" w:color="auto" w:fill="4F81BD"/>
            <w:noWrap w:val="0"/>
            <w:tcMar>
              <w:left w:w="105" w:type="dxa"/>
              <w:right w:w="105" w:type="dxa"/>
            </w:tcMar>
            <w:vAlign w:val="center"/>
          </w:tcPr>
          <w:p w14:paraId="1221C1C8">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rPr>
                <w:rFonts w:hint="eastAsia" w:ascii="宋体" w:hAnsi="宋体" w:eastAsia="宋体" w:cs="宋体"/>
                <w:sz w:val="20"/>
                <w:szCs w:val="20"/>
                <w:highlight w:val="none"/>
              </w:rPr>
            </w:pPr>
            <w:r>
              <w:rPr>
                <w:rStyle w:val="51"/>
                <w:rFonts w:hint="eastAsia" w:ascii="宋体" w:hAnsi="宋体" w:eastAsia="宋体" w:cs="宋体"/>
                <w:i w:val="0"/>
                <w:caps w:val="0"/>
                <w:color w:val="FFFFFF"/>
                <w:spacing w:val="8"/>
                <w:sz w:val="20"/>
                <w:szCs w:val="20"/>
                <w:highlight w:val="none"/>
              </w:rPr>
              <w:t>行业名称</w:t>
            </w:r>
          </w:p>
        </w:tc>
        <w:tc>
          <w:tcPr>
            <w:tcW w:w="1473"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415DE0F1">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宋体" w:hAnsi="宋体" w:eastAsia="宋体" w:cs="宋体"/>
                <w:sz w:val="20"/>
                <w:szCs w:val="20"/>
                <w:highlight w:val="none"/>
              </w:rPr>
            </w:pPr>
            <w:r>
              <w:rPr>
                <w:rStyle w:val="51"/>
                <w:rFonts w:hint="eastAsia" w:ascii="宋体" w:hAnsi="宋体" w:eastAsia="宋体" w:cs="宋体"/>
                <w:i w:val="0"/>
                <w:caps w:val="0"/>
                <w:color w:val="FFFFFF"/>
                <w:spacing w:val="8"/>
                <w:sz w:val="20"/>
                <w:szCs w:val="20"/>
                <w:highlight w:val="none"/>
              </w:rPr>
              <w:t>指标名称</w:t>
            </w:r>
          </w:p>
        </w:tc>
        <w:tc>
          <w:tcPr>
            <w:tcW w:w="872"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5EFF74A0">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Style w:val="51"/>
                <w:rFonts w:hint="eastAsia" w:ascii="宋体" w:hAnsi="宋体" w:eastAsia="宋体" w:cs="宋体"/>
                <w:i w:val="0"/>
                <w:caps w:val="0"/>
                <w:color w:val="FFFFFF"/>
                <w:spacing w:val="8"/>
                <w:sz w:val="20"/>
                <w:szCs w:val="20"/>
                <w:highlight w:val="none"/>
              </w:rPr>
            </w:pPr>
            <w:r>
              <w:rPr>
                <w:rStyle w:val="51"/>
                <w:rFonts w:hint="eastAsia" w:ascii="宋体" w:hAnsi="宋体" w:eastAsia="宋体" w:cs="宋体"/>
                <w:i w:val="0"/>
                <w:caps w:val="0"/>
                <w:color w:val="FFFFFF"/>
                <w:spacing w:val="8"/>
                <w:sz w:val="20"/>
                <w:szCs w:val="20"/>
                <w:highlight w:val="none"/>
              </w:rPr>
              <w:t>计量</w:t>
            </w:r>
          </w:p>
          <w:p w14:paraId="7787AC13">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宋体" w:hAnsi="宋体" w:eastAsia="宋体" w:cs="宋体"/>
                <w:sz w:val="20"/>
                <w:szCs w:val="20"/>
                <w:highlight w:val="none"/>
              </w:rPr>
            </w:pPr>
            <w:r>
              <w:rPr>
                <w:rStyle w:val="51"/>
                <w:rFonts w:hint="eastAsia" w:ascii="宋体" w:hAnsi="宋体" w:eastAsia="宋体" w:cs="宋体"/>
                <w:i w:val="0"/>
                <w:caps w:val="0"/>
                <w:color w:val="FFFFFF"/>
                <w:spacing w:val="8"/>
                <w:sz w:val="20"/>
                <w:szCs w:val="20"/>
                <w:highlight w:val="none"/>
              </w:rPr>
              <w:t>单位</w:t>
            </w:r>
          </w:p>
        </w:tc>
        <w:tc>
          <w:tcPr>
            <w:tcW w:w="1241"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4DF42F09">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宋体" w:hAnsi="宋体" w:eastAsia="宋体" w:cs="宋体"/>
                <w:sz w:val="20"/>
                <w:szCs w:val="20"/>
                <w:highlight w:val="none"/>
              </w:rPr>
            </w:pPr>
            <w:r>
              <w:rPr>
                <w:rStyle w:val="51"/>
                <w:rFonts w:hint="eastAsia" w:ascii="宋体" w:hAnsi="宋体" w:eastAsia="宋体" w:cs="宋体"/>
                <w:i w:val="0"/>
                <w:caps w:val="0"/>
                <w:color w:val="FFFFFF"/>
                <w:spacing w:val="8"/>
                <w:sz w:val="20"/>
                <w:szCs w:val="20"/>
                <w:highlight w:val="none"/>
              </w:rPr>
              <w:t>大型</w:t>
            </w:r>
          </w:p>
        </w:tc>
        <w:tc>
          <w:tcPr>
            <w:tcW w:w="1882"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108D7EB9">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宋体" w:hAnsi="宋体" w:eastAsia="宋体" w:cs="宋体"/>
                <w:sz w:val="20"/>
                <w:szCs w:val="20"/>
                <w:highlight w:val="none"/>
              </w:rPr>
            </w:pPr>
            <w:r>
              <w:rPr>
                <w:rStyle w:val="51"/>
                <w:rFonts w:hint="eastAsia" w:ascii="宋体" w:hAnsi="宋体" w:eastAsia="宋体" w:cs="宋体"/>
                <w:i w:val="0"/>
                <w:caps w:val="0"/>
                <w:color w:val="FFFFFF"/>
                <w:spacing w:val="8"/>
                <w:sz w:val="20"/>
                <w:szCs w:val="20"/>
                <w:highlight w:val="none"/>
              </w:rPr>
              <w:t>中型</w:t>
            </w:r>
          </w:p>
        </w:tc>
        <w:tc>
          <w:tcPr>
            <w:tcW w:w="1644"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2372DB7E">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宋体" w:hAnsi="宋体" w:eastAsia="宋体" w:cs="宋体"/>
                <w:sz w:val="20"/>
                <w:szCs w:val="20"/>
                <w:highlight w:val="none"/>
              </w:rPr>
            </w:pPr>
            <w:r>
              <w:rPr>
                <w:rStyle w:val="51"/>
                <w:rFonts w:hint="eastAsia" w:ascii="宋体" w:hAnsi="宋体" w:eastAsia="宋体" w:cs="宋体"/>
                <w:i w:val="0"/>
                <w:caps w:val="0"/>
                <w:color w:val="FFFFFF"/>
                <w:spacing w:val="8"/>
                <w:sz w:val="20"/>
                <w:szCs w:val="20"/>
                <w:highlight w:val="none"/>
              </w:rPr>
              <w:t>小型</w:t>
            </w:r>
          </w:p>
        </w:tc>
        <w:tc>
          <w:tcPr>
            <w:tcW w:w="1067"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27C8C0F8">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宋体" w:hAnsi="宋体" w:eastAsia="宋体" w:cs="宋体"/>
                <w:sz w:val="20"/>
                <w:szCs w:val="20"/>
                <w:highlight w:val="none"/>
              </w:rPr>
            </w:pPr>
            <w:r>
              <w:rPr>
                <w:rStyle w:val="51"/>
                <w:rFonts w:hint="eastAsia" w:ascii="宋体" w:hAnsi="宋体" w:eastAsia="宋体" w:cs="宋体"/>
                <w:i w:val="0"/>
                <w:caps w:val="0"/>
                <w:color w:val="FFFFFF"/>
                <w:spacing w:val="8"/>
                <w:sz w:val="20"/>
                <w:szCs w:val="20"/>
                <w:highlight w:val="none"/>
              </w:rPr>
              <w:t>微型</w:t>
            </w:r>
          </w:p>
        </w:tc>
      </w:tr>
      <w:tr w14:paraId="06940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tcBorders>
              <w:top w:val="nil"/>
              <w:left w:val="single" w:color="4F81BD" w:sz="6" w:space="0"/>
              <w:bottom w:val="single" w:color="4F81BD" w:sz="6" w:space="0"/>
              <w:right w:val="single" w:color="4F81BD" w:sz="6" w:space="0"/>
            </w:tcBorders>
            <w:shd w:val="clear" w:color="auto" w:fill="B8CCE4"/>
            <w:noWrap w:val="0"/>
            <w:tcMar>
              <w:left w:w="105" w:type="dxa"/>
              <w:right w:w="105" w:type="dxa"/>
            </w:tcMar>
            <w:vAlign w:val="center"/>
          </w:tcPr>
          <w:p w14:paraId="6EB08AA0">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农、林、牧、渔业</w:t>
            </w:r>
          </w:p>
        </w:tc>
        <w:tc>
          <w:tcPr>
            <w:tcW w:w="147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F6677EB">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营业收入(Y)</w:t>
            </w:r>
          </w:p>
        </w:tc>
        <w:tc>
          <w:tcPr>
            <w:tcW w:w="8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0D8EA41">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7EC6499">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Y≥20000</w:t>
            </w:r>
          </w:p>
        </w:tc>
        <w:tc>
          <w:tcPr>
            <w:tcW w:w="188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7DA14DD">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500≤Y＜20000</w:t>
            </w:r>
          </w:p>
        </w:tc>
        <w:tc>
          <w:tcPr>
            <w:tcW w:w="1644"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3943B8B">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50≤Y＜500</w:t>
            </w:r>
          </w:p>
        </w:tc>
        <w:tc>
          <w:tcPr>
            <w:tcW w:w="106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5DCF6F7">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Y＜50</w:t>
            </w:r>
          </w:p>
        </w:tc>
      </w:tr>
      <w:tr w14:paraId="48A29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1D1CC265">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工业 *</w:t>
            </w:r>
          </w:p>
        </w:tc>
        <w:tc>
          <w:tcPr>
            <w:tcW w:w="147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8F79783">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从业人员(X)</w:t>
            </w:r>
          </w:p>
        </w:tc>
        <w:tc>
          <w:tcPr>
            <w:tcW w:w="8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CB3108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人</w:t>
            </w:r>
          </w:p>
        </w:tc>
        <w:tc>
          <w:tcPr>
            <w:tcW w:w="1241"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6070FB3">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X≥1000</w:t>
            </w:r>
          </w:p>
        </w:tc>
        <w:tc>
          <w:tcPr>
            <w:tcW w:w="188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7ECA6EB">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300≤X＜1000</w:t>
            </w:r>
          </w:p>
        </w:tc>
        <w:tc>
          <w:tcPr>
            <w:tcW w:w="1644"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4F723E1">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20≤X＜300</w:t>
            </w:r>
          </w:p>
        </w:tc>
        <w:tc>
          <w:tcPr>
            <w:tcW w:w="106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6F86D2D">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X＜20</w:t>
            </w:r>
          </w:p>
        </w:tc>
      </w:tr>
      <w:tr w14:paraId="43F45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25CD4090">
            <w:pPr>
              <w:jc w:val="both"/>
              <w:rPr>
                <w:rFonts w:hint="eastAsia" w:ascii="宋体" w:hAnsi="宋体" w:eastAsia="宋体" w:cs="宋体"/>
                <w:b w:val="0"/>
                <w:i w:val="0"/>
                <w:caps w:val="0"/>
                <w:color w:val="333333"/>
                <w:spacing w:val="8"/>
                <w:sz w:val="20"/>
                <w:szCs w:val="20"/>
                <w:highlight w:val="none"/>
              </w:rPr>
            </w:pPr>
          </w:p>
        </w:tc>
        <w:tc>
          <w:tcPr>
            <w:tcW w:w="147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77E12B7">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line="240" w:lineRule="atLeast"/>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营业收入(Y)</w:t>
            </w:r>
          </w:p>
        </w:tc>
        <w:tc>
          <w:tcPr>
            <w:tcW w:w="8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1A05F59">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5A85BE9">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Y≥40000</w:t>
            </w:r>
          </w:p>
        </w:tc>
        <w:tc>
          <w:tcPr>
            <w:tcW w:w="188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508559B">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2000≤Y＜40000</w:t>
            </w:r>
          </w:p>
        </w:tc>
        <w:tc>
          <w:tcPr>
            <w:tcW w:w="1644"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76EC9CF">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300≤Y＜2000</w:t>
            </w:r>
          </w:p>
        </w:tc>
        <w:tc>
          <w:tcPr>
            <w:tcW w:w="106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332D2E9">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Y＜300</w:t>
            </w:r>
          </w:p>
        </w:tc>
      </w:tr>
      <w:tr w14:paraId="55D95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976"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3EEA19BA">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建筑业</w:t>
            </w:r>
          </w:p>
        </w:tc>
        <w:tc>
          <w:tcPr>
            <w:tcW w:w="147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BAA79D2">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营业收入(Y)</w:t>
            </w:r>
          </w:p>
        </w:tc>
        <w:tc>
          <w:tcPr>
            <w:tcW w:w="8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B21A48F">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5366AC7">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Y≥80000</w:t>
            </w:r>
          </w:p>
        </w:tc>
        <w:tc>
          <w:tcPr>
            <w:tcW w:w="188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70A3B5A">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6000≤Y＜80000</w:t>
            </w:r>
          </w:p>
        </w:tc>
        <w:tc>
          <w:tcPr>
            <w:tcW w:w="1644"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5F049E1">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300≤Y＜6000</w:t>
            </w:r>
          </w:p>
        </w:tc>
        <w:tc>
          <w:tcPr>
            <w:tcW w:w="106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1CAF718">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Y＜300</w:t>
            </w:r>
          </w:p>
        </w:tc>
      </w:tr>
      <w:tr w14:paraId="6DBB0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11BE0BCE">
            <w:pPr>
              <w:jc w:val="both"/>
              <w:rPr>
                <w:rFonts w:hint="eastAsia" w:ascii="宋体" w:hAnsi="宋体" w:eastAsia="宋体" w:cs="宋体"/>
                <w:b w:val="0"/>
                <w:i w:val="0"/>
                <w:caps w:val="0"/>
                <w:color w:val="333333"/>
                <w:spacing w:val="8"/>
                <w:sz w:val="20"/>
                <w:szCs w:val="20"/>
                <w:highlight w:val="none"/>
              </w:rPr>
            </w:pPr>
          </w:p>
        </w:tc>
        <w:tc>
          <w:tcPr>
            <w:tcW w:w="147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519BE6D">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line="240" w:lineRule="atLeast"/>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资产总额(Z)</w:t>
            </w:r>
          </w:p>
        </w:tc>
        <w:tc>
          <w:tcPr>
            <w:tcW w:w="8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D62CE03">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4644066">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Z≥80000</w:t>
            </w:r>
          </w:p>
        </w:tc>
        <w:tc>
          <w:tcPr>
            <w:tcW w:w="188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8A3A795">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5000≤Z＜80000</w:t>
            </w:r>
          </w:p>
        </w:tc>
        <w:tc>
          <w:tcPr>
            <w:tcW w:w="1644"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1D0EEC0">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300≤Z＜5000</w:t>
            </w:r>
          </w:p>
        </w:tc>
        <w:tc>
          <w:tcPr>
            <w:tcW w:w="106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3551590">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Z＜300</w:t>
            </w:r>
          </w:p>
        </w:tc>
      </w:tr>
      <w:tr w14:paraId="66048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976"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515A07A8">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批发业</w:t>
            </w:r>
          </w:p>
        </w:tc>
        <w:tc>
          <w:tcPr>
            <w:tcW w:w="147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1F74F87">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从业人员(X)</w:t>
            </w:r>
          </w:p>
        </w:tc>
        <w:tc>
          <w:tcPr>
            <w:tcW w:w="8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C5F4EAA">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人</w:t>
            </w:r>
          </w:p>
        </w:tc>
        <w:tc>
          <w:tcPr>
            <w:tcW w:w="1241"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49A94D4">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X≥200</w:t>
            </w:r>
          </w:p>
        </w:tc>
        <w:tc>
          <w:tcPr>
            <w:tcW w:w="188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4781F45">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20≤X＜200</w:t>
            </w:r>
          </w:p>
        </w:tc>
        <w:tc>
          <w:tcPr>
            <w:tcW w:w="1644"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76CBD9B">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5≤X＜20</w:t>
            </w:r>
          </w:p>
        </w:tc>
        <w:tc>
          <w:tcPr>
            <w:tcW w:w="106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E164AFF">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X＜5</w:t>
            </w:r>
          </w:p>
        </w:tc>
      </w:tr>
      <w:tr w14:paraId="2B663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72A902B">
            <w:pPr>
              <w:jc w:val="both"/>
              <w:rPr>
                <w:rFonts w:hint="eastAsia" w:ascii="宋体" w:hAnsi="宋体" w:eastAsia="宋体" w:cs="宋体"/>
                <w:b w:val="0"/>
                <w:i w:val="0"/>
                <w:caps w:val="0"/>
                <w:color w:val="333333"/>
                <w:spacing w:val="8"/>
                <w:sz w:val="20"/>
                <w:szCs w:val="20"/>
                <w:highlight w:val="none"/>
              </w:rPr>
            </w:pPr>
          </w:p>
        </w:tc>
        <w:tc>
          <w:tcPr>
            <w:tcW w:w="147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122271A">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line="240" w:lineRule="atLeast"/>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营业收入(Y)</w:t>
            </w:r>
          </w:p>
        </w:tc>
        <w:tc>
          <w:tcPr>
            <w:tcW w:w="8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5A4ECD4">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B8A449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Y≥40000</w:t>
            </w:r>
          </w:p>
        </w:tc>
        <w:tc>
          <w:tcPr>
            <w:tcW w:w="188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A8C1AAD">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5000≤Y＜40000</w:t>
            </w:r>
          </w:p>
        </w:tc>
        <w:tc>
          <w:tcPr>
            <w:tcW w:w="1644"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13F4148">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1000≤Y＜5000</w:t>
            </w:r>
          </w:p>
        </w:tc>
        <w:tc>
          <w:tcPr>
            <w:tcW w:w="106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E40EC8F">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Y＜1000</w:t>
            </w:r>
          </w:p>
        </w:tc>
      </w:tr>
      <w:tr w14:paraId="18CA2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976"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77BFDE45">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零售业</w:t>
            </w:r>
          </w:p>
        </w:tc>
        <w:tc>
          <w:tcPr>
            <w:tcW w:w="147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610664B">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从业人员(X)</w:t>
            </w:r>
          </w:p>
        </w:tc>
        <w:tc>
          <w:tcPr>
            <w:tcW w:w="8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6347E96">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人</w:t>
            </w:r>
          </w:p>
        </w:tc>
        <w:tc>
          <w:tcPr>
            <w:tcW w:w="1241"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E77FA4C">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X≥300</w:t>
            </w:r>
          </w:p>
        </w:tc>
        <w:tc>
          <w:tcPr>
            <w:tcW w:w="188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47D1025">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50≤X＜300</w:t>
            </w:r>
          </w:p>
        </w:tc>
        <w:tc>
          <w:tcPr>
            <w:tcW w:w="1644"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AAC125D">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10≤X＜50</w:t>
            </w:r>
          </w:p>
        </w:tc>
        <w:tc>
          <w:tcPr>
            <w:tcW w:w="106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523B06A">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X＜10</w:t>
            </w:r>
          </w:p>
        </w:tc>
      </w:tr>
      <w:tr w14:paraId="6F19E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976"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71008F8A">
            <w:pPr>
              <w:jc w:val="both"/>
              <w:rPr>
                <w:rFonts w:hint="eastAsia" w:ascii="宋体" w:hAnsi="宋体" w:eastAsia="宋体" w:cs="宋体"/>
                <w:b w:val="0"/>
                <w:i w:val="0"/>
                <w:caps w:val="0"/>
                <w:color w:val="333333"/>
                <w:spacing w:val="8"/>
                <w:sz w:val="20"/>
                <w:szCs w:val="20"/>
                <w:highlight w:val="none"/>
              </w:rPr>
            </w:pPr>
          </w:p>
        </w:tc>
        <w:tc>
          <w:tcPr>
            <w:tcW w:w="147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53C2DC4">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line="240" w:lineRule="atLeast"/>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营业收入(Y)</w:t>
            </w:r>
          </w:p>
        </w:tc>
        <w:tc>
          <w:tcPr>
            <w:tcW w:w="8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8153DA9">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77ABFA0">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Y≥20000</w:t>
            </w:r>
          </w:p>
        </w:tc>
        <w:tc>
          <w:tcPr>
            <w:tcW w:w="188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EACF40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500≤Y＜20000</w:t>
            </w:r>
          </w:p>
        </w:tc>
        <w:tc>
          <w:tcPr>
            <w:tcW w:w="1644"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B578BE5">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100≤Y＜500</w:t>
            </w:r>
          </w:p>
        </w:tc>
        <w:tc>
          <w:tcPr>
            <w:tcW w:w="106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722835C">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Y＜100</w:t>
            </w:r>
          </w:p>
        </w:tc>
      </w:tr>
      <w:tr w14:paraId="0DD05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602546D6">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交通运输业 *</w:t>
            </w:r>
          </w:p>
        </w:tc>
        <w:tc>
          <w:tcPr>
            <w:tcW w:w="147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5820C4D">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从业人员(X)</w:t>
            </w:r>
          </w:p>
        </w:tc>
        <w:tc>
          <w:tcPr>
            <w:tcW w:w="8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46E3A3A">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人</w:t>
            </w:r>
          </w:p>
        </w:tc>
        <w:tc>
          <w:tcPr>
            <w:tcW w:w="1241"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08D0903">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X≥1000</w:t>
            </w:r>
          </w:p>
        </w:tc>
        <w:tc>
          <w:tcPr>
            <w:tcW w:w="188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D727AF2">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300≤X＜1000</w:t>
            </w:r>
          </w:p>
        </w:tc>
        <w:tc>
          <w:tcPr>
            <w:tcW w:w="1644"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7648ABC">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20≤X＜300</w:t>
            </w:r>
          </w:p>
        </w:tc>
        <w:tc>
          <w:tcPr>
            <w:tcW w:w="106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75E79E6">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X＜20</w:t>
            </w:r>
          </w:p>
        </w:tc>
      </w:tr>
      <w:tr w14:paraId="72F2D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D02190A">
            <w:pPr>
              <w:jc w:val="both"/>
              <w:rPr>
                <w:rFonts w:hint="eastAsia" w:ascii="宋体" w:hAnsi="宋体" w:eastAsia="宋体" w:cs="宋体"/>
                <w:b w:val="0"/>
                <w:i w:val="0"/>
                <w:caps w:val="0"/>
                <w:color w:val="333333"/>
                <w:spacing w:val="8"/>
                <w:sz w:val="20"/>
                <w:szCs w:val="20"/>
                <w:highlight w:val="none"/>
              </w:rPr>
            </w:pPr>
          </w:p>
        </w:tc>
        <w:tc>
          <w:tcPr>
            <w:tcW w:w="147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81FE4B7">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line="240" w:lineRule="atLeast"/>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营业收入(Y)</w:t>
            </w:r>
          </w:p>
        </w:tc>
        <w:tc>
          <w:tcPr>
            <w:tcW w:w="8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2EEFC58">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7863E0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Y≥30000</w:t>
            </w:r>
          </w:p>
        </w:tc>
        <w:tc>
          <w:tcPr>
            <w:tcW w:w="188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9845DA6">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3000≤Y＜30000</w:t>
            </w:r>
          </w:p>
        </w:tc>
        <w:tc>
          <w:tcPr>
            <w:tcW w:w="1644"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C9C5C78">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200≤Y＜3000</w:t>
            </w:r>
          </w:p>
        </w:tc>
        <w:tc>
          <w:tcPr>
            <w:tcW w:w="106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871AB26">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Y＜200</w:t>
            </w:r>
          </w:p>
        </w:tc>
      </w:tr>
      <w:tr w14:paraId="5CD66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976"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18B5B8B7">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仓储业*</w:t>
            </w:r>
          </w:p>
        </w:tc>
        <w:tc>
          <w:tcPr>
            <w:tcW w:w="147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3933EFC">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从业人员(X)</w:t>
            </w:r>
          </w:p>
        </w:tc>
        <w:tc>
          <w:tcPr>
            <w:tcW w:w="8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07DD461">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人</w:t>
            </w:r>
          </w:p>
        </w:tc>
        <w:tc>
          <w:tcPr>
            <w:tcW w:w="1241"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E22D7BC">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X≥200</w:t>
            </w:r>
          </w:p>
        </w:tc>
        <w:tc>
          <w:tcPr>
            <w:tcW w:w="188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EE47850">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100≤X＜200</w:t>
            </w:r>
          </w:p>
        </w:tc>
        <w:tc>
          <w:tcPr>
            <w:tcW w:w="1644"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2304B91">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20≤X＜100</w:t>
            </w:r>
          </w:p>
        </w:tc>
        <w:tc>
          <w:tcPr>
            <w:tcW w:w="106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298F9D5">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X＜20</w:t>
            </w:r>
          </w:p>
        </w:tc>
      </w:tr>
      <w:tr w14:paraId="0B83B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976"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89A2868">
            <w:pPr>
              <w:jc w:val="both"/>
              <w:rPr>
                <w:rFonts w:hint="eastAsia" w:ascii="宋体" w:hAnsi="宋体" w:eastAsia="宋体" w:cs="宋体"/>
                <w:b w:val="0"/>
                <w:i w:val="0"/>
                <w:caps w:val="0"/>
                <w:color w:val="333333"/>
                <w:spacing w:val="8"/>
                <w:sz w:val="20"/>
                <w:szCs w:val="20"/>
                <w:highlight w:val="none"/>
              </w:rPr>
            </w:pPr>
          </w:p>
        </w:tc>
        <w:tc>
          <w:tcPr>
            <w:tcW w:w="147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DDC15F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line="240" w:lineRule="atLeast"/>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营业收入(Y)</w:t>
            </w:r>
          </w:p>
        </w:tc>
        <w:tc>
          <w:tcPr>
            <w:tcW w:w="8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C0FB2D4">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8E3B426">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Y≥30000</w:t>
            </w:r>
          </w:p>
        </w:tc>
        <w:tc>
          <w:tcPr>
            <w:tcW w:w="188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8080C19">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1000≤Y＜30000</w:t>
            </w:r>
          </w:p>
        </w:tc>
        <w:tc>
          <w:tcPr>
            <w:tcW w:w="1644"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AB0EA34">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100≤Y＜1000</w:t>
            </w:r>
          </w:p>
        </w:tc>
        <w:tc>
          <w:tcPr>
            <w:tcW w:w="106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A27AA27">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Y＜100</w:t>
            </w:r>
          </w:p>
        </w:tc>
      </w:tr>
      <w:tr w14:paraId="74B11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7EB7AE33">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邮政业</w:t>
            </w:r>
          </w:p>
        </w:tc>
        <w:tc>
          <w:tcPr>
            <w:tcW w:w="147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2B02342">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从业人员(X)</w:t>
            </w:r>
          </w:p>
        </w:tc>
        <w:tc>
          <w:tcPr>
            <w:tcW w:w="8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6A6CE2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人</w:t>
            </w:r>
          </w:p>
        </w:tc>
        <w:tc>
          <w:tcPr>
            <w:tcW w:w="1241"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A7BAB5B">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X≥1000</w:t>
            </w:r>
          </w:p>
        </w:tc>
        <w:tc>
          <w:tcPr>
            <w:tcW w:w="188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30A57D9">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300≤X＜1000</w:t>
            </w:r>
          </w:p>
        </w:tc>
        <w:tc>
          <w:tcPr>
            <w:tcW w:w="1644"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42F4008">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20≤X＜300</w:t>
            </w:r>
          </w:p>
        </w:tc>
        <w:tc>
          <w:tcPr>
            <w:tcW w:w="106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0EF9DEB">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X＜20</w:t>
            </w:r>
          </w:p>
        </w:tc>
      </w:tr>
      <w:tr w14:paraId="2F582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976"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3453C4E1">
            <w:pPr>
              <w:jc w:val="both"/>
              <w:rPr>
                <w:rFonts w:hint="eastAsia" w:ascii="宋体" w:hAnsi="宋体" w:eastAsia="宋体" w:cs="宋体"/>
                <w:b w:val="0"/>
                <w:i w:val="0"/>
                <w:caps w:val="0"/>
                <w:color w:val="333333"/>
                <w:spacing w:val="8"/>
                <w:sz w:val="20"/>
                <w:szCs w:val="20"/>
                <w:highlight w:val="none"/>
              </w:rPr>
            </w:pPr>
          </w:p>
        </w:tc>
        <w:tc>
          <w:tcPr>
            <w:tcW w:w="147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D29447A">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line="240" w:lineRule="atLeast"/>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营业收入(Y)</w:t>
            </w:r>
          </w:p>
        </w:tc>
        <w:tc>
          <w:tcPr>
            <w:tcW w:w="8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7158E2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B7F17A1">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Y≥30000</w:t>
            </w:r>
          </w:p>
        </w:tc>
        <w:tc>
          <w:tcPr>
            <w:tcW w:w="188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1445E92">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2000≤Y＜30000</w:t>
            </w:r>
          </w:p>
        </w:tc>
        <w:tc>
          <w:tcPr>
            <w:tcW w:w="1644"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0E87829">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100≤Y＜2000</w:t>
            </w:r>
          </w:p>
        </w:tc>
        <w:tc>
          <w:tcPr>
            <w:tcW w:w="106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CC37BD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Y＜100</w:t>
            </w:r>
          </w:p>
        </w:tc>
      </w:tr>
      <w:tr w14:paraId="0F85E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7C3AE5A8">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住宿业</w:t>
            </w:r>
          </w:p>
        </w:tc>
        <w:tc>
          <w:tcPr>
            <w:tcW w:w="147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C131620">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从业人员(X)</w:t>
            </w:r>
          </w:p>
        </w:tc>
        <w:tc>
          <w:tcPr>
            <w:tcW w:w="8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5D01241">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人</w:t>
            </w:r>
          </w:p>
        </w:tc>
        <w:tc>
          <w:tcPr>
            <w:tcW w:w="1241"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6B1087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X≥300</w:t>
            </w:r>
          </w:p>
        </w:tc>
        <w:tc>
          <w:tcPr>
            <w:tcW w:w="188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0C4D75A">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100≤X＜300</w:t>
            </w:r>
          </w:p>
        </w:tc>
        <w:tc>
          <w:tcPr>
            <w:tcW w:w="1644"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4B9D484">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10≤X＜100</w:t>
            </w:r>
          </w:p>
        </w:tc>
        <w:tc>
          <w:tcPr>
            <w:tcW w:w="106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0637903">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X＜10</w:t>
            </w:r>
          </w:p>
        </w:tc>
      </w:tr>
      <w:tr w14:paraId="3797D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976"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23898EE7">
            <w:pPr>
              <w:jc w:val="both"/>
              <w:rPr>
                <w:rFonts w:hint="eastAsia" w:ascii="宋体" w:hAnsi="宋体" w:eastAsia="宋体" w:cs="宋体"/>
                <w:b w:val="0"/>
                <w:i w:val="0"/>
                <w:caps w:val="0"/>
                <w:color w:val="333333"/>
                <w:spacing w:val="8"/>
                <w:sz w:val="20"/>
                <w:szCs w:val="20"/>
                <w:highlight w:val="none"/>
              </w:rPr>
            </w:pPr>
          </w:p>
        </w:tc>
        <w:tc>
          <w:tcPr>
            <w:tcW w:w="147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8CD12DD">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line="240" w:lineRule="atLeast"/>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营业收入(Y)</w:t>
            </w:r>
          </w:p>
        </w:tc>
        <w:tc>
          <w:tcPr>
            <w:tcW w:w="8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EA4C13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D0AA35A">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Y≥10000</w:t>
            </w:r>
          </w:p>
        </w:tc>
        <w:tc>
          <w:tcPr>
            <w:tcW w:w="188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445BC26">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2000≤Y＜10000</w:t>
            </w:r>
          </w:p>
        </w:tc>
        <w:tc>
          <w:tcPr>
            <w:tcW w:w="1644"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420B85B">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100≤Y＜2000</w:t>
            </w:r>
          </w:p>
        </w:tc>
        <w:tc>
          <w:tcPr>
            <w:tcW w:w="106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A41CEB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Y＜100</w:t>
            </w:r>
          </w:p>
        </w:tc>
      </w:tr>
      <w:tr w14:paraId="4AB41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2BC3ED79">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餐饮业</w:t>
            </w:r>
          </w:p>
        </w:tc>
        <w:tc>
          <w:tcPr>
            <w:tcW w:w="147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C19AEC0">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从业人员(X)</w:t>
            </w:r>
          </w:p>
        </w:tc>
        <w:tc>
          <w:tcPr>
            <w:tcW w:w="8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6E825F2">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人</w:t>
            </w:r>
          </w:p>
        </w:tc>
        <w:tc>
          <w:tcPr>
            <w:tcW w:w="1241"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805BA95">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X≥300</w:t>
            </w:r>
          </w:p>
        </w:tc>
        <w:tc>
          <w:tcPr>
            <w:tcW w:w="188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E0CA0A5">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100≤X＜300</w:t>
            </w:r>
          </w:p>
        </w:tc>
        <w:tc>
          <w:tcPr>
            <w:tcW w:w="1644"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8760475">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10≤X＜100</w:t>
            </w:r>
          </w:p>
        </w:tc>
        <w:tc>
          <w:tcPr>
            <w:tcW w:w="106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F44EEED">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X＜10</w:t>
            </w:r>
          </w:p>
        </w:tc>
      </w:tr>
      <w:tr w14:paraId="4ABC1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1634157D">
            <w:pPr>
              <w:jc w:val="both"/>
              <w:rPr>
                <w:rFonts w:hint="eastAsia" w:ascii="宋体" w:hAnsi="宋体" w:eastAsia="宋体" w:cs="宋体"/>
                <w:b w:val="0"/>
                <w:i w:val="0"/>
                <w:caps w:val="0"/>
                <w:color w:val="333333"/>
                <w:spacing w:val="8"/>
                <w:sz w:val="20"/>
                <w:szCs w:val="20"/>
                <w:highlight w:val="none"/>
              </w:rPr>
            </w:pPr>
          </w:p>
        </w:tc>
        <w:tc>
          <w:tcPr>
            <w:tcW w:w="147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92843B1">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line="240" w:lineRule="atLeast"/>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营业收入(Y)</w:t>
            </w:r>
          </w:p>
        </w:tc>
        <w:tc>
          <w:tcPr>
            <w:tcW w:w="8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33A8DD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D2FD707">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Y≥10000</w:t>
            </w:r>
          </w:p>
        </w:tc>
        <w:tc>
          <w:tcPr>
            <w:tcW w:w="188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6A4FA6B">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2000≤Y＜10000</w:t>
            </w:r>
          </w:p>
        </w:tc>
        <w:tc>
          <w:tcPr>
            <w:tcW w:w="1644"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7DD9E29">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100≤Y＜2000</w:t>
            </w:r>
          </w:p>
        </w:tc>
        <w:tc>
          <w:tcPr>
            <w:tcW w:w="106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77D2252">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Y＜100</w:t>
            </w:r>
          </w:p>
        </w:tc>
      </w:tr>
      <w:tr w14:paraId="3E8FD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976"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12F3DCB5">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信息传输业 *</w:t>
            </w:r>
          </w:p>
        </w:tc>
        <w:tc>
          <w:tcPr>
            <w:tcW w:w="147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B6E02FA">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从业人员(X)</w:t>
            </w:r>
          </w:p>
        </w:tc>
        <w:tc>
          <w:tcPr>
            <w:tcW w:w="8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80F3206">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人</w:t>
            </w:r>
          </w:p>
        </w:tc>
        <w:tc>
          <w:tcPr>
            <w:tcW w:w="1241"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954B206">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X≥2000</w:t>
            </w:r>
          </w:p>
        </w:tc>
        <w:tc>
          <w:tcPr>
            <w:tcW w:w="188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FE010FC">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100≤X＜2000</w:t>
            </w:r>
          </w:p>
        </w:tc>
        <w:tc>
          <w:tcPr>
            <w:tcW w:w="1644"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59D764F">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10≤X＜100</w:t>
            </w:r>
          </w:p>
        </w:tc>
        <w:tc>
          <w:tcPr>
            <w:tcW w:w="106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FFFCCC9">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X＜10</w:t>
            </w:r>
          </w:p>
        </w:tc>
      </w:tr>
      <w:tr w14:paraId="0A7B9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976"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4E602172">
            <w:pPr>
              <w:jc w:val="both"/>
              <w:rPr>
                <w:rFonts w:hint="eastAsia" w:ascii="宋体" w:hAnsi="宋体" w:eastAsia="宋体" w:cs="宋体"/>
                <w:b w:val="0"/>
                <w:i w:val="0"/>
                <w:caps w:val="0"/>
                <w:color w:val="333333"/>
                <w:spacing w:val="8"/>
                <w:sz w:val="20"/>
                <w:szCs w:val="20"/>
                <w:highlight w:val="none"/>
              </w:rPr>
            </w:pPr>
          </w:p>
        </w:tc>
        <w:tc>
          <w:tcPr>
            <w:tcW w:w="147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2088ECC">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line="240" w:lineRule="atLeast"/>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营业收入(Y)</w:t>
            </w:r>
          </w:p>
        </w:tc>
        <w:tc>
          <w:tcPr>
            <w:tcW w:w="8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B0BC710">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4529624">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Y≥100000</w:t>
            </w:r>
          </w:p>
        </w:tc>
        <w:tc>
          <w:tcPr>
            <w:tcW w:w="188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E6B999F">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1000≤Y＜100000</w:t>
            </w:r>
          </w:p>
        </w:tc>
        <w:tc>
          <w:tcPr>
            <w:tcW w:w="1644"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104833B">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100≤Y＜1000</w:t>
            </w:r>
          </w:p>
        </w:tc>
        <w:tc>
          <w:tcPr>
            <w:tcW w:w="106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177E354">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Y＜100</w:t>
            </w:r>
          </w:p>
        </w:tc>
      </w:tr>
      <w:tr w14:paraId="709EC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976"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195AE5B9">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eastAsia" w:ascii="宋体" w:hAnsi="宋体" w:eastAsia="宋体" w:cs="宋体"/>
                <w:sz w:val="20"/>
                <w:szCs w:val="20"/>
                <w:highlight w:val="none"/>
              </w:rPr>
            </w:pPr>
            <w:r>
              <w:rPr>
                <w:rFonts w:hint="eastAsia" w:ascii="宋体" w:hAnsi="宋体" w:eastAsia="宋体" w:cs="宋体"/>
                <w:b w:val="0"/>
                <w:i w:val="0"/>
                <w:caps w:val="0"/>
                <w:color w:val="000000"/>
                <w:spacing w:val="-15"/>
                <w:sz w:val="20"/>
                <w:szCs w:val="20"/>
                <w:highlight w:val="none"/>
              </w:rPr>
              <w:t>软件和信息技术服</w:t>
            </w:r>
            <w:r>
              <w:rPr>
                <w:rFonts w:hint="eastAsia" w:ascii="宋体" w:hAnsi="宋体" w:eastAsia="宋体" w:cs="宋体"/>
                <w:b w:val="0"/>
                <w:i w:val="0"/>
                <w:caps w:val="0"/>
                <w:color w:val="000000"/>
                <w:spacing w:val="8"/>
                <w:sz w:val="20"/>
                <w:szCs w:val="20"/>
                <w:highlight w:val="none"/>
              </w:rPr>
              <w:t>务业</w:t>
            </w:r>
          </w:p>
        </w:tc>
        <w:tc>
          <w:tcPr>
            <w:tcW w:w="147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ED371C1">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从业人员(X)</w:t>
            </w:r>
          </w:p>
        </w:tc>
        <w:tc>
          <w:tcPr>
            <w:tcW w:w="8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ED0FDC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人</w:t>
            </w:r>
          </w:p>
        </w:tc>
        <w:tc>
          <w:tcPr>
            <w:tcW w:w="1241"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AA6AE2F">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X≥300</w:t>
            </w:r>
          </w:p>
        </w:tc>
        <w:tc>
          <w:tcPr>
            <w:tcW w:w="188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29896B7">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100≤X＜300</w:t>
            </w:r>
          </w:p>
        </w:tc>
        <w:tc>
          <w:tcPr>
            <w:tcW w:w="1644"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3A23C75">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10≤X＜100</w:t>
            </w:r>
          </w:p>
        </w:tc>
        <w:tc>
          <w:tcPr>
            <w:tcW w:w="106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0132F99">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X＜10</w:t>
            </w:r>
          </w:p>
        </w:tc>
      </w:tr>
      <w:tr w14:paraId="1BFEF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47FAF4D6">
            <w:pPr>
              <w:jc w:val="both"/>
              <w:rPr>
                <w:rFonts w:hint="eastAsia" w:ascii="宋体" w:hAnsi="宋体" w:eastAsia="宋体" w:cs="宋体"/>
                <w:b w:val="0"/>
                <w:i w:val="0"/>
                <w:caps w:val="0"/>
                <w:color w:val="333333"/>
                <w:spacing w:val="8"/>
                <w:sz w:val="20"/>
                <w:szCs w:val="20"/>
                <w:highlight w:val="none"/>
              </w:rPr>
            </w:pPr>
          </w:p>
        </w:tc>
        <w:tc>
          <w:tcPr>
            <w:tcW w:w="147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B40A156">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营业收入(Y)</w:t>
            </w:r>
          </w:p>
        </w:tc>
        <w:tc>
          <w:tcPr>
            <w:tcW w:w="8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D2F8291">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EBADF46">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Y≥10000</w:t>
            </w:r>
          </w:p>
        </w:tc>
        <w:tc>
          <w:tcPr>
            <w:tcW w:w="188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366182D">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1000≤Y＜10000</w:t>
            </w:r>
          </w:p>
        </w:tc>
        <w:tc>
          <w:tcPr>
            <w:tcW w:w="1644"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ABE8D65">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50≤Y＜1000</w:t>
            </w:r>
          </w:p>
        </w:tc>
        <w:tc>
          <w:tcPr>
            <w:tcW w:w="106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3274E65">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Y＜50</w:t>
            </w:r>
          </w:p>
        </w:tc>
      </w:tr>
      <w:tr w14:paraId="448DB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976"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525721AE">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房地产开发经营</w:t>
            </w:r>
          </w:p>
        </w:tc>
        <w:tc>
          <w:tcPr>
            <w:tcW w:w="147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6E3CFCF">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营业收入(Y)</w:t>
            </w:r>
          </w:p>
        </w:tc>
        <w:tc>
          <w:tcPr>
            <w:tcW w:w="8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100900C">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26DC706">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Y≥200000</w:t>
            </w:r>
          </w:p>
        </w:tc>
        <w:tc>
          <w:tcPr>
            <w:tcW w:w="188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58014EF">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1000≤Y＜200000</w:t>
            </w:r>
          </w:p>
        </w:tc>
        <w:tc>
          <w:tcPr>
            <w:tcW w:w="1644"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982AFE4">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100≤Y＜1000</w:t>
            </w:r>
          </w:p>
        </w:tc>
        <w:tc>
          <w:tcPr>
            <w:tcW w:w="106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C4068C4">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Y＜100</w:t>
            </w:r>
          </w:p>
        </w:tc>
      </w:tr>
      <w:tr w14:paraId="1C8CA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976"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1527F172">
            <w:pPr>
              <w:jc w:val="both"/>
              <w:rPr>
                <w:rFonts w:hint="eastAsia" w:ascii="宋体" w:hAnsi="宋体" w:eastAsia="宋体" w:cs="宋体"/>
                <w:b w:val="0"/>
                <w:i w:val="0"/>
                <w:caps w:val="0"/>
                <w:color w:val="333333"/>
                <w:spacing w:val="8"/>
                <w:sz w:val="20"/>
                <w:szCs w:val="20"/>
                <w:highlight w:val="none"/>
              </w:rPr>
            </w:pPr>
          </w:p>
        </w:tc>
        <w:tc>
          <w:tcPr>
            <w:tcW w:w="147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A8648E9">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line="240" w:lineRule="atLeast"/>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资产总额(Z)</w:t>
            </w:r>
          </w:p>
        </w:tc>
        <w:tc>
          <w:tcPr>
            <w:tcW w:w="8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D7EE462">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197C2F5">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Z≥10000</w:t>
            </w:r>
          </w:p>
        </w:tc>
        <w:tc>
          <w:tcPr>
            <w:tcW w:w="188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20CA5EC">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5000≤Z＜10000</w:t>
            </w:r>
          </w:p>
        </w:tc>
        <w:tc>
          <w:tcPr>
            <w:tcW w:w="1644"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C202601">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lang w:eastAsia="zh-CN"/>
              </w:rPr>
            </w:pPr>
            <w:r>
              <w:rPr>
                <w:rFonts w:hint="eastAsia" w:ascii="宋体" w:hAnsi="宋体" w:eastAsia="宋体" w:cs="宋体"/>
                <w:b w:val="0"/>
                <w:i w:val="0"/>
                <w:caps w:val="0"/>
                <w:color w:val="000000"/>
                <w:spacing w:val="8"/>
                <w:sz w:val="20"/>
                <w:szCs w:val="20"/>
                <w:highlight w:val="none"/>
              </w:rPr>
              <w:t xml:space="preserve">2000≤Z＜500 </w:t>
            </w:r>
          </w:p>
        </w:tc>
        <w:tc>
          <w:tcPr>
            <w:tcW w:w="106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9C3AAE8">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Z＜2000</w:t>
            </w:r>
          </w:p>
        </w:tc>
      </w:tr>
      <w:tr w14:paraId="77E27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FF21DFB">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物业管理</w:t>
            </w:r>
          </w:p>
        </w:tc>
        <w:tc>
          <w:tcPr>
            <w:tcW w:w="147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257AA4D">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从业人员(X)</w:t>
            </w:r>
          </w:p>
        </w:tc>
        <w:tc>
          <w:tcPr>
            <w:tcW w:w="8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4E1A0E6">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人</w:t>
            </w:r>
          </w:p>
        </w:tc>
        <w:tc>
          <w:tcPr>
            <w:tcW w:w="1241"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085A8A3">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X≥1000</w:t>
            </w:r>
          </w:p>
        </w:tc>
        <w:tc>
          <w:tcPr>
            <w:tcW w:w="188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BBB1CDD">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300≤X＜1000</w:t>
            </w:r>
          </w:p>
        </w:tc>
        <w:tc>
          <w:tcPr>
            <w:tcW w:w="1644"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76BE503">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100≤X＜300</w:t>
            </w:r>
          </w:p>
        </w:tc>
        <w:tc>
          <w:tcPr>
            <w:tcW w:w="106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25AD8A1">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X＜100</w:t>
            </w:r>
          </w:p>
        </w:tc>
      </w:tr>
      <w:tr w14:paraId="396EA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142C97A3">
            <w:pPr>
              <w:jc w:val="both"/>
              <w:rPr>
                <w:rFonts w:hint="eastAsia" w:ascii="宋体" w:hAnsi="宋体" w:eastAsia="宋体" w:cs="宋体"/>
                <w:b w:val="0"/>
                <w:i w:val="0"/>
                <w:caps w:val="0"/>
                <w:color w:val="333333"/>
                <w:spacing w:val="8"/>
                <w:sz w:val="20"/>
                <w:szCs w:val="20"/>
                <w:highlight w:val="none"/>
              </w:rPr>
            </w:pPr>
          </w:p>
        </w:tc>
        <w:tc>
          <w:tcPr>
            <w:tcW w:w="147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A36C12D">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line="240" w:lineRule="atLeast"/>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营业收入(Y)</w:t>
            </w:r>
          </w:p>
        </w:tc>
        <w:tc>
          <w:tcPr>
            <w:tcW w:w="8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641F3F3">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0B10CBC">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Y≥5000</w:t>
            </w:r>
          </w:p>
        </w:tc>
        <w:tc>
          <w:tcPr>
            <w:tcW w:w="188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1DADF1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1000≤Y＜5000</w:t>
            </w:r>
          </w:p>
        </w:tc>
        <w:tc>
          <w:tcPr>
            <w:tcW w:w="1644"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B63073D">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500≤Y＜1000</w:t>
            </w:r>
          </w:p>
        </w:tc>
        <w:tc>
          <w:tcPr>
            <w:tcW w:w="106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4F6749B">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Y＜500</w:t>
            </w:r>
          </w:p>
        </w:tc>
      </w:tr>
      <w:tr w14:paraId="42941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77A85468">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租赁和商务服务业</w:t>
            </w:r>
          </w:p>
        </w:tc>
        <w:tc>
          <w:tcPr>
            <w:tcW w:w="147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EC4F443">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从业人员(X)</w:t>
            </w:r>
          </w:p>
        </w:tc>
        <w:tc>
          <w:tcPr>
            <w:tcW w:w="8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9D7E2F7">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人</w:t>
            </w:r>
          </w:p>
        </w:tc>
        <w:tc>
          <w:tcPr>
            <w:tcW w:w="1241"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0DB3FF5">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X≥300</w:t>
            </w:r>
          </w:p>
        </w:tc>
        <w:tc>
          <w:tcPr>
            <w:tcW w:w="188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4EA0B6F">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100≤X＜300</w:t>
            </w:r>
          </w:p>
        </w:tc>
        <w:tc>
          <w:tcPr>
            <w:tcW w:w="1644"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0944DBF">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10≤X＜100</w:t>
            </w:r>
          </w:p>
        </w:tc>
        <w:tc>
          <w:tcPr>
            <w:tcW w:w="106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BEF8C24">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X＜10</w:t>
            </w:r>
          </w:p>
        </w:tc>
      </w:tr>
      <w:tr w14:paraId="2D62B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54E0D500">
            <w:pPr>
              <w:jc w:val="both"/>
              <w:rPr>
                <w:rFonts w:hint="eastAsia" w:ascii="宋体" w:hAnsi="宋体" w:eastAsia="宋体" w:cs="宋体"/>
                <w:b w:val="0"/>
                <w:i w:val="0"/>
                <w:caps w:val="0"/>
                <w:color w:val="333333"/>
                <w:spacing w:val="8"/>
                <w:sz w:val="20"/>
                <w:szCs w:val="20"/>
                <w:highlight w:val="none"/>
              </w:rPr>
            </w:pPr>
          </w:p>
        </w:tc>
        <w:tc>
          <w:tcPr>
            <w:tcW w:w="147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2A5DA93">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line="240" w:lineRule="atLeast"/>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资产总额(Z)</w:t>
            </w:r>
          </w:p>
        </w:tc>
        <w:tc>
          <w:tcPr>
            <w:tcW w:w="8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EBC106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81575D0">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Z≥120000</w:t>
            </w:r>
          </w:p>
        </w:tc>
        <w:tc>
          <w:tcPr>
            <w:tcW w:w="188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AAD1FA4">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8000≤Z＜120000</w:t>
            </w:r>
          </w:p>
        </w:tc>
        <w:tc>
          <w:tcPr>
            <w:tcW w:w="1644"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FF0C8C4">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100≤Z＜8000</w:t>
            </w:r>
          </w:p>
        </w:tc>
        <w:tc>
          <w:tcPr>
            <w:tcW w:w="106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5D84769">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Z＜100</w:t>
            </w:r>
          </w:p>
        </w:tc>
      </w:tr>
      <w:tr w14:paraId="584F7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976" w:type="dxa"/>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4F2338B0">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其他未列明行业 *</w:t>
            </w:r>
          </w:p>
        </w:tc>
        <w:tc>
          <w:tcPr>
            <w:tcW w:w="147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A1FC6E3">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从业人员(X)</w:t>
            </w:r>
          </w:p>
        </w:tc>
        <w:tc>
          <w:tcPr>
            <w:tcW w:w="8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2E81AB7">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人</w:t>
            </w:r>
          </w:p>
        </w:tc>
        <w:tc>
          <w:tcPr>
            <w:tcW w:w="1241"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8A02471">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X≥300</w:t>
            </w:r>
          </w:p>
        </w:tc>
        <w:tc>
          <w:tcPr>
            <w:tcW w:w="188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9E0C594">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100≤X＜300</w:t>
            </w:r>
          </w:p>
        </w:tc>
        <w:tc>
          <w:tcPr>
            <w:tcW w:w="1644"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28BE3B4">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10≤X＜100</w:t>
            </w:r>
          </w:p>
        </w:tc>
        <w:tc>
          <w:tcPr>
            <w:tcW w:w="106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A3B75E2">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X＜10</w:t>
            </w:r>
          </w:p>
        </w:tc>
      </w:tr>
    </w:tbl>
    <w:p w14:paraId="01D404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pacing w:val="15"/>
          <w:sz w:val="24"/>
          <w:szCs w:val="24"/>
          <w:highlight w:val="none"/>
        </w:rPr>
      </w:pPr>
      <w:r>
        <w:rPr>
          <w:rFonts w:hint="eastAsia" w:ascii="宋体" w:hAnsi="宋体" w:eastAsia="宋体" w:cs="宋体"/>
          <w:color w:val="auto"/>
          <w:spacing w:val="15"/>
          <w:sz w:val="21"/>
          <w:szCs w:val="21"/>
          <w:highlight w:val="none"/>
        </w:rPr>
        <w:br w:type="page"/>
      </w:r>
      <w:r>
        <w:rPr>
          <w:rFonts w:hint="eastAsia" w:ascii="宋体" w:hAnsi="宋体" w:eastAsia="宋体" w:cs="宋体"/>
          <w:color w:val="auto"/>
          <w:spacing w:val="15"/>
          <w:sz w:val="24"/>
          <w:szCs w:val="24"/>
          <w:highlight w:val="none"/>
        </w:rPr>
        <w:t>说明：1.大型、中型和小型企业须</w:t>
      </w:r>
      <w:r>
        <w:rPr>
          <w:rFonts w:hint="eastAsia" w:ascii="宋体" w:hAnsi="宋体" w:eastAsia="宋体" w:cs="宋体"/>
          <w:b/>
          <w:bCs/>
          <w:color w:val="auto"/>
          <w:spacing w:val="15"/>
          <w:sz w:val="24"/>
          <w:szCs w:val="24"/>
          <w:highlight w:val="none"/>
        </w:rPr>
        <w:t>同时满足所列指标的下限</w:t>
      </w:r>
      <w:r>
        <w:rPr>
          <w:rFonts w:hint="eastAsia" w:ascii="宋体" w:hAnsi="宋体" w:eastAsia="宋体" w:cs="宋体"/>
          <w:color w:val="auto"/>
          <w:spacing w:val="15"/>
          <w:sz w:val="24"/>
          <w:szCs w:val="24"/>
          <w:highlight w:val="none"/>
        </w:rPr>
        <w:t>，否则下划一档；微型企业只须满足所列指标中的一项即可。</w:t>
      </w:r>
    </w:p>
    <w:p w14:paraId="11138AE1">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540" w:firstLineChars="200"/>
        <w:textAlignment w:val="auto"/>
        <w:rPr>
          <w:rFonts w:hint="eastAsia" w:ascii="宋体" w:hAnsi="宋体" w:eastAsia="宋体" w:cs="宋体"/>
          <w:b w:val="0"/>
          <w:bCs w:val="0"/>
          <w:color w:val="auto"/>
          <w:spacing w:val="15"/>
          <w:sz w:val="24"/>
          <w:szCs w:val="24"/>
          <w:highlight w:val="none"/>
        </w:rPr>
      </w:pPr>
      <w:r>
        <w:rPr>
          <w:rFonts w:hint="eastAsia" w:ascii="宋体" w:hAnsi="宋体" w:eastAsia="宋体" w:cs="宋体"/>
          <w:color w:val="auto"/>
          <w:spacing w:val="15"/>
          <w:sz w:val="24"/>
          <w:szCs w:val="24"/>
          <w:highlight w:val="none"/>
        </w:rPr>
        <w:t>附表中各行业的范围以《国民经济行业分类》（GB/T4754-2017）为准。</w:t>
      </w:r>
      <w:r>
        <w:rPr>
          <w:rFonts w:hint="eastAsia" w:ascii="宋体" w:hAnsi="宋体" w:eastAsia="宋体" w:cs="宋体"/>
          <w:b/>
          <w:bCs/>
          <w:color w:val="auto"/>
          <w:spacing w:val="15"/>
          <w:sz w:val="24"/>
          <w:szCs w:val="24"/>
          <w:highlight w:val="none"/>
        </w:rPr>
        <w:t>带*的项为行业组合类别</w:t>
      </w:r>
      <w:r>
        <w:rPr>
          <w:rFonts w:hint="eastAsia" w:ascii="宋体" w:hAnsi="宋体" w:eastAsia="宋体" w:cs="宋体"/>
          <w:color w:val="auto"/>
          <w:spacing w:val="15"/>
          <w:sz w:val="24"/>
          <w:szCs w:val="24"/>
          <w:highlight w:val="none"/>
        </w:rPr>
        <w:t>，其中，</w:t>
      </w:r>
      <w:r>
        <w:rPr>
          <w:rFonts w:hint="eastAsia" w:ascii="宋体" w:hAnsi="宋体" w:eastAsia="宋体" w:cs="宋体"/>
          <w:b w:val="0"/>
          <w:bCs w:val="0"/>
          <w:color w:val="auto"/>
          <w:spacing w:val="15"/>
          <w:sz w:val="24"/>
          <w:szCs w:val="24"/>
          <w:highlight w:val="none"/>
        </w:rPr>
        <w:t>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hint="eastAsia" w:ascii="宋体" w:hAnsi="宋体" w:cs="宋体"/>
          <w:b w:val="0"/>
          <w:bCs w:val="0"/>
          <w:color w:val="auto"/>
          <w:spacing w:val="15"/>
          <w:sz w:val="24"/>
          <w:szCs w:val="24"/>
          <w:highlight w:val="none"/>
          <w:lang w:eastAsia="zh-CN"/>
        </w:rPr>
        <w:t>；</w:t>
      </w:r>
      <w:r>
        <w:rPr>
          <w:rFonts w:hint="eastAsia" w:ascii="宋体" w:hAnsi="宋体" w:eastAsia="宋体" w:cs="宋体"/>
          <w:b w:val="0"/>
          <w:bCs w:val="0"/>
          <w:color w:val="auto"/>
          <w:spacing w:val="15"/>
          <w:sz w:val="24"/>
          <w:szCs w:val="24"/>
          <w:highlight w:val="none"/>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758BA84D">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540" w:firstLineChars="200"/>
        <w:textAlignment w:val="auto"/>
        <w:rPr>
          <w:rFonts w:hint="eastAsia" w:ascii="宋体" w:hAnsi="宋体" w:eastAsia="宋体" w:cs="宋体"/>
          <w:color w:val="auto"/>
          <w:spacing w:val="15"/>
          <w:sz w:val="24"/>
          <w:szCs w:val="24"/>
          <w:highlight w:val="none"/>
        </w:rPr>
      </w:pPr>
      <w:r>
        <w:rPr>
          <w:rFonts w:hint="eastAsia" w:ascii="宋体" w:hAnsi="宋体" w:eastAsia="宋体" w:cs="宋体"/>
          <w:color w:val="auto"/>
          <w:spacing w:val="15"/>
          <w:sz w:val="24"/>
          <w:szCs w:val="24"/>
          <w:highlight w:val="none"/>
        </w:rPr>
        <w:t>企业划分指标以现行统计制度为准。</w:t>
      </w:r>
    </w:p>
    <w:p w14:paraId="69C09F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40" w:firstLineChars="200"/>
        <w:textAlignment w:val="auto"/>
        <w:rPr>
          <w:rFonts w:hint="eastAsia" w:ascii="宋体" w:hAnsi="宋体" w:eastAsia="宋体" w:cs="宋体"/>
          <w:color w:val="auto"/>
          <w:spacing w:val="15"/>
          <w:sz w:val="24"/>
          <w:szCs w:val="24"/>
          <w:highlight w:val="none"/>
        </w:rPr>
      </w:pPr>
      <w:r>
        <w:rPr>
          <w:rFonts w:hint="eastAsia" w:ascii="宋体" w:hAnsi="宋体" w:cs="宋体"/>
          <w:color w:val="auto"/>
          <w:spacing w:val="15"/>
          <w:sz w:val="24"/>
          <w:szCs w:val="24"/>
          <w:highlight w:val="none"/>
          <w:lang w:eastAsia="zh-CN"/>
        </w:rPr>
        <w:t>（</w:t>
      </w:r>
      <w:r>
        <w:rPr>
          <w:rFonts w:hint="eastAsia" w:ascii="宋体" w:hAnsi="宋体" w:cs="宋体"/>
          <w:color w:val="auto"/>
          <w:spacing w:val="15"/>
          <w:sz w:val="24"/>
          <w:szCs w:val="24"/>
          <w:highlight w:val="none"/>
          <w:lang w:val="en-US" w:eastAsia="zh-CN"/>
        </w:rPr>
        <w:t>1</w:t>
      </w:r>
      <w:r>
        <w:rPr>
          <w:rFonts w:hint="eastAsia" w:ascii="宋体" w:hAnsi="宋体" w:cs="宋体"/>
          <w:color w:val="auto"/>
          <w:spacing w:val="15"/>
          <w:sz w:val="24"/>
          <w:szCs w:val="24"/>
          <w:highlight w:val="none"/>
          <w:lang w:eastAsia="zh-CN"/>
        </w:rPr>
        <w:t>）</w:t>
      </w:r>
      <w:r>
        <w:rPr>
          <w:rFonts w:hint="eastAsia" w:ascii="宋体" w:hAnsi="宋体" w:eastAsia="宋体" w:cs="宋体"/>
          <w:color w:val="auto"/>
          <w:spacing w:val="15"/>
          <w:sz w:val="24"/>
          <w:szCs w:val="24"/>
          <w:highlight w:val="none"/>
        </w:rPr>
        <w:t>从业人员，是指期末从业人员数，没有期末从业人员数的，采用全年平均人员数代替。</w:t>
      </w:r>
    </w:p>
    <w:p w14:paraId="6823F7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40" w:firstLineChars="200"/>
        <w:textAlignment w:val="auto"/>
        <w:rPr>
          <w:rFonts w:hint="eastAsia" w:ascii="宋体" w:hAnsi="宋体" w:eastAsia="宋体" w:cs="宋体"/>
          <w:color w:val="auto"/>
          <w:spacing w:val="15"/>
          <w:sz w:val="24"/>
          <w:szCs w:val="24"/>
          <w:highlight w:val="none"/>
        </w:rPr>
      </w:pPr>
      <w:r>
        <w:rPr>
          <w:rFonts w:hint="eastAsia" w:ascii="宋体" w:hAnsi="宋体" w:cs="宋体"/>
          <w:color w:val="auto"/>
          <w:spacing w:val="15"/>
          <w:sz w:val="24"/>
          <w:szCs w:val="24"/>
          <w:highlight w:val="none"/>
          <w:lang w:eastAsia="zh-CN"/>
        </w:rPr>
        <w:t>（</w:t>
      </w:r>
      <w:r>
        <w:rPr>
          <w:rFonts w:hint="eastAsia" w:ascii="宋体" w:hAnsi="宋体" w:cs="宋体"/>
          <w:color w:val="auto"/>
          <w:spacing w:val="15"/>
          <w:sz w:val="24"/>
          <w:szCs w:val="24"/>
          <w:highlight w:val="none"/>
          <w:lang w:val="en-US" w:eastAsia="zh-CN"/>
        </w:rPr>
        <w:t>2</w:t>
      </w:r>
      <w:r>
        <w:rPr>
          <w:rFonts w:hint="eastAsia" w:ascii="宋体" w:hAnsi="宋体" w:cs="宋体"/>
          <w:color w:val="auto"/>
          <w:spacing w:val="15"/>
          <w:sz w:val="24"/>
          <w:szCs w:val="24"/>
          <w:highlight w:val="none"/>
          <w:lang w:eastAsia="zh-CN"/>
        </w:rPr>
        <w:t>）</w:t>
      </w:r>
      <w:r>
        <w:rPr>
          <w:rFonts w:hint="eastAsia" w:ascii="宋体" w:hAnsi="宋体" w:eastAsia="宋体" w:cs="宋体"/>
          <w:color w:val="auto"/>
          <w:spacing w:val="15"/>
          <w:sz w:val="24"/>
          <w:szCs w:val="24"/>
          <w:highlight w:val="none"/>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9F4D0D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5"/>
          <w:sz w:val="24"/>
          <w:szCs w:val="24"/>
          <w:highlight w:val="none"/>
        </w:rPr>
        <w:t>（3）资产总额，采用资产总计代替。</w:t>
      </w:r>
    </w:p>
    <w:p w14:paraId="55125936">
      <w:pPr>
        <w:autoSpaceDE w:val="0"/>
        <w:autoSpaceDN w:val="0"/>
        <w:adjustRightInd w:val="0"/>
        <w:spacing w:line="420" w:lineRule="exact"/>
        <w:ind w:firstLine="482" w:firstLineChars="200"/>
        <w:jc w:val="left"/>
        <w:rPr>
          <w:rFonts w:hint="eastAsia" w:ascii="宋体" w:hAnsi="宋体" w:cs="仿宋_GB2312"/>
          <w:color w:val="auto"/>
          <w:kern w:val="0"/>
          <w:sz w:val="22"/>
          <w:szCs w:val="22"/>
          <w:highlight w:val="none"/>
          <w:lang w:eastAsia="zh-CN"/>
        </w:rPr>
      </w:pPr>
      <w:r>
        <w:rPr>
          <w:rFonts w:hint="eastAsia" w:cs="仿宋_GB2312"/>
          <w:b/>
          <w:bCs/>
          <w:color w:val="auto"/>
          <w:kern w:val="0"/>
          <w:szCs w:val="21"/>
          <w:highlight w:val="none"/>
          <w:lang w:val="en-US" w:eastAsia="zh-CN"/>
        </w:rPr>
        <w:br w:type="page"/>
      </w:r>
      <w:r>
        <w:rPr>
          <w:rFonts w:hint="eastAsia" w:cs="仿宋_GB2312"/>
          <w:b/>
          <w:bCs/>
          <w:color w:val="auto"/>
          <w:kern w:val="0"/>
          <w:sz w:val="24"/>
          <w:szCs w:val="24"/>
          <w:highlight w:val="none"/>
          <w:lang w:val="en-US" w:eastAsia="zh-CN"/>
        </w:rPr>
        <w:t>附件2</w:t>
      </w:r>
      <w:r>
        <w:rPr>
          <w:rFonts w:hint="eastAsia" w:ascii="宋体" w:hAnsi="宋体" w:cs="仿宋_GB2312"/>
          <w:b/>
          <w:bCs/>
          <w:color w:val="auto"/>
          <w:kern w:val="0"/>
          <w:sz w:val="24"/>
          <w:szCs w:val="24"/>
          <w:highlight w:val="none"/>
          <w:lang w:eastAsia="zh-CN"/>
        </w:rPr>
        <w:t>：</w:t>
      </w:r>
    </w:p>
    <w:p w14:paraId="173CA2BC">
      <w:pPr>
        <w:autoSpaceDE w:val="0"/>
        <w:autoSpaceDN w:val="0"/>
        <w:adjustRightInd w:val="0"/>
        <w:spacing w:line="420" w:lineRule="exact"/>
        <w:ind w:firstLine="440" w:firstLineChars="200"/>
        <w:jc w:val="left"/>
        <w:rPr>
          <w:rFonts w:hint="eastAsia" w:ascii="宋体" w:hAnsi="宋体" w:cs="仿宋_GB2312"/>
          <w:color w:val="auto"/>
          <w:kern w:val="0"/>
          <w:sz w:val="22"/>
          <w:szCs w:val="22"/>
          <w:highlight w:val="none"/>
          <w:lang w:eastAsia="zh-CN"/>
        </w:rPr>
      </w:pPr>
    </w:p>
    <w:p w14:paraId="1A65570A">
      <w:pPr>
        <w:autoSpaceDE w:val="0"/>
        <w:autoSpaceDN w:val="0"/>
        <w:adjustRightInd w:val="0"/>
        <w:spacing w:line="420" w:lineRule="exact"/>
        <w:ind w:firstLine="643" w:firstLineChars="200"/>
        <w:jc w:val="center"/>
        <w:rPr>
          <w:rFonts w:hint="eastAsia" w:ascii="宋体" w:hAnsi="宋体" w:cs="仿宋_GB2312"/>
          <w:b/>
          <w:bCs/>
          <w:color w:val="auto"/>
          <w:kern w:val="0"/>
          <w:sz w:val="32"/>
          <w:szCs w:val="32"/>
          <w:highlight w:val="none"/>
          <w:lang w:eastAsia="zh-CN"/>
        </w:rPr>
      </w:pPr>
      <w:r>
        <w:rPr>
          <w:rFonts w:hint="eastAsia" w:ascii="宋体" w:hAnsi="宋体" w:cs="仿宋_GB2312"/>
          <w:b/>
          <w:bCs/>
          <w:color w:val="auto"/>
          <w:kern w:val="0"/>
          <w:sz w:val="32"/>
          <w:szCs w:val="32"/>
          <w:highlight w:val="none"/>
          <w:lang w:val="en-US" w:eastAsia="zh-CN"/>
        </w:rPr>
        <w:t>河南省政府采购合同融资政策告知函</w:t>
      </w:r>
    </w:p>
    <w:p w14:paraId="57731212">
      <w:pPr>
        <w:keepNext w:val="0"/>
        <w:keepLines w:val="0"/>
        <w:pageBreakBefore w:val="0"/>
        <w:widowControl w:val="0"/>
        <w:kinsoku/>
        <w:wordWrap w:val="0"/>
        <w:overflowPunct/>
        <w:topLinePunct/>
        <w:autoSpaceDE w:val="0"/>
        <w:autoSpaceDN w:val="0"/>
        <w:bidi w:val="0"/>
        <w:adjustRightInd w:val="0"/>
        <w:snapToGrid/>
        <w:spacing w:line="360" w:lineRule="auto"/>
        <w:ind w:firstLine="440" w:firstLineChars="200"/>
        <w:jc w:val="left"/>
        <w:textAlignment w:val="auto"/>
        <w:rPr>
          <w:rFonts w:hint="eastAsia" w:ascii="宋体" w:hAnsi="宋体" w:cs="仿宋_GB2312"/>
          <w:color w:val="auto"/>
          <w:kern w:val="0"/>
          <w:sz w:val="22"/>
          <w:szCs w:val="22"/>
          <w:highlight w:val="none"/>
          <w:lang w:eastAsia="zh-CN"/>
        </w:rPr>
      </w:pPr>
      <w:r>
        <w:rPr>
          <w:rFonts w:hint="eastAsia" w:ascii="宋体" w:hAnsi="宋体" w:cs="仿宋_GB2312"/>
          <w:color w:val="auto"/>
          <w:kern w:val="0"/>
          <w:sz w:val="22"/>
          <w:szCs w:val="22"/>
          <w:highlight w:val="none"/>
          <w:lang w:val="en-US" w:eastAsia="zh-CN"/>
        </w:rPr>
        <w:t> </w:t>
      </w:r>
    </w:p>
    <w:p w14:paraId="5336697C">
      <w:pPr>
        <w:keepNext w:val="0"/>
        <w:keepLines w:val="0"/>
        <w:pageBreakBefore w:val="0"/>
        <w:widowControl w:val="0"/>
        <w:kinsoku/>
        <w:wordWrap w:val="0"/>
        <w:overflowPunct/>
        <w:topLinePunct/>
        <w:autoSpaceDE w:val="0"/>
        <w:autoSpaceDN w:val="0"/>
        <w:bidi w:val="0"/>
        <w:adjustRightInd w:val="0"/>
        <w:snapToGrid/>
        <w:spacing w:line="360" w:lineRule="auto"/>
        <w:ind w:firstLine="480" w:firstLineChars="200"/>
        <w:jc w:val="left"/>
        <w:textAlignment w:val="auto"/>
        <w:rPr>
          <w:rFonts w:hint="eastAsia" w:ascii="宋体" w:hAnsi="宋体" w:cs="仿宋_GB2312"/>
          <w:color w:val="auto"/>
          <w:kern w:val="0"/>
          <w:sz w:val="24"/>
          <w:szCs w:val="24"/>
          <w:highlight w:val="none"/>
          <w:lang w:eastAsia="zh-CN"/>
        </w:rPr>
      </w:pPr>
      <w:r>
        <w:rPr>
          <w:rFonts w:hint="eastAsia" w:ascii="宋体" w:hAnsi="宋体" w:cs="仿宋_GB2312"/>
          <w:color w:val="auto"/>
          <w:kern w:val="0"/>
          <w:sz w:val="24"/>
          <w:szCs w:val="24"/>
          <w:highlight w:val="none"/>
          <w:lang w:val="en-US" w:eastAsia="zh-CN"/>
        </w:rPr>
        <w:t>各供应商：</w:t>
      </w:r>
    </w:p>
    <w:p w14:paraId="37D8E563">
      <w:pPr>
        <w:keepNext w:val="0"/>
        <w:keepLines w:val="0"/>
        <w:pageBreakBefore w:val="0"/>
        <w:widowControl w:val="0"/>
        <w:kinsoku/>
        <w:wordWrap w:val="0"/>
        <w:overflowPunct/>
        <w:topLinePunct/>
        <w:autoSpaceDE w:val="0"/>
        <w:autoSpaceDN w:val="0"/>
        <w:bidi w:val="0"/>
        <w:adjustRightInd w:val="0"/>
        <w:snapToGrid/>
        <w:spacing w:line="360" w:lineRule="auto"/>
        <w:ind w:firstLine="480" w:firstLineChars="200"/>
        <w:jc w:val="left"/>
        <w:textAlignment w:val="auto"/>
        <w:rPr>
          <w:rFonts w:hint="eastAsia" w:ascii="宋体" w:hAnsi="宋体" w:cs="仿宋_GB2312"/>
          <w:color w:val="auto"/>
          <w:kern w:val="0"/>
          <w:sz w:val="24"/>
          <w:szCs w:val="24"/>
          <w:highlight w:val="none"/>
          <w:lang w:eastAsia="zh-CN"/>
        </w:rPr>
      </w:pPr>
      <w:r>
        <w:rPr>
          <w:rFonts w:hint="eastAsia" w:ascii="宋体" w:hAnsi="宋体" w:cs="仿宋_GB2312"/>
          <w:color w:val="auto"/>
          <w:kern w:val="0"/>
          <w:sz w:val="24"/>
          <w:szCs w:val="24"/>
          <w:highlight w:val="none"/>
          <w:lang w:val="en-US" w:eastAsia="zh-CN"/>
        </w:rPr>
        <w:t>欢迎贵公司参与河南省政府采购活动！</w:t>
      </w:r>
    </w:p>
    <w:p w14:paraId="2E8B109E">
      <w:pPr>
        <w:keepNext w:val="0"/>
        <w:keepLines w:val="0"/>
        <w:pageBreakBefore w:val="0"/>
        <w:widowControl w:val="0"/>
        <w:kinsoku/>
        <w:wordWrap w:val="0"/>
        <w:overflowPunct/>
        <w:topLinePunct/>
        <w:autoSpaceDE w:val="0"/>
        <w:autoSpaceDN w:val="0"/>
        <w:bidi w:val="0"/>
        <w:adjustRightInd w:val="0"/>
        <w:snapToGrid/>
        <w:spacing w:line="360" w:lineRule="auto"/>
        <w:ind w:firstLine="480" w:firstLineChars="200"/>
        <w:jc w:val="left"/>
        <w:textAlignment w:val="auto"/>
        <w:rPr>
          <w:rFonts w:hint="eastAsia" w:ascii="宋体" w:hAnsi="宋体" w:cs="仿宋_GB2312"/>
          <w:color w:val="auto"/>
          <w:kern w:val="0"/>
          <w:sz w:val="24"/>
          <w:szCs w:val="24"/>
          <w:highlight w:val="none"/>
          <w:lang w:eastAsia="zh-CN"/>
        </w:rPr>
      </w:pPr>
      <w:r>
        <w:rPr>
          <w:rFonts w:hint="eastAsia" w:ascii="宋体" w:hAnsi="宋体" w:cs="仿宋_GB2312"/>
          <w:color w:val="auto"/>
          <w:kern w:val="0"/>
          <w:sz w:val="24"/>
          <w:szCs w:val="24"/>
          <w:highlight w:val="none"/>
          <w:lang w:val="en-US" w:eastAsia="zh-CN"/>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10E8CCF2">
      <w:pPr>
        <w:keepNext w:val="0"/>
        <w:keepLines w:val="0"/>
        <w:pageBreakBefore w:val="0"/>
        <w:widowControl w:val="0"/>
        <w:kinsoku/>
        <w:wordWrap w:val="0"/>
        <w:overflowPunct/>
        <w:topLinePunct/>
        <w:autoSpaceDE w:val="0"/>
        <w:autoSpaceDN w:val="0"/>
        <w:bidi w:val="0"/>
        <w:adjustRightInd w:val="0"/>
        <w:snapToGrid/>
        <w:spacing w:line="360" w:lineRule="auto"/>
        <w:ind w:firstLine="480" w:firstLineChars="200"/>
        <w:jc w:val="left"/>
        <w:textAlignment w:val="auto"/>
        <w:rPr>
          <w:rFonts w:hint="eastAsia" w:ascii="宋体" w:hAnsi="宋体" w:cs="仿宋_GB2312"/>
          <w:color w:val="auto"/>
          <w:kern w:val="0"/>
          <w:sz w:val="24"/>
          <w:szCs w:val="24"/>
          <w:highlight w:val="none"/>
          <w:lang w:eastAsia="zh-CN"/>
        </w:rPr>
      </w:pPr>
      <w:r>
        <w:rPr>
          <w:rFonts w:hint="eastAsia" w:ascii="宋体" w:hAnsi="宋体" w:cs="仿宋_GB2312"/>
          <w:color w:val="auto"/>
          <w:kern w:val="0"/>
          <w:sz w:val="24"/>
          <w:szCs w:val="24"/>
          <w:highlight w:val="none"/>
          <w:lang w:val="en-US" w:eastAsia="zh-CN"/>
        </w:rPr>
        <w:t>贷款渠道和提供贷款的金融机构，可在河南省政府采购网“河南省政府采购合同融资平台”查询联系。</w:t>
      </w:r>
    </w:p>
    <w:p w14:paraId="74887181">
      <w:pPr>
        <w:autoSpaceDE w:val="0"/>
        <w:autoSpaceDN w:val="0"/>
        <w:adjustRightInd w:val="0"/>
        <w:spacing w:line="420" w:lineRule="exact"/>
        <w:ind w:firstLine="440" w:firstLineChars="200"/>
        <w:jc w:val="left"/>
        <w:rPr>
          <w:rFonts w:hint="eastAsia" w:ascii="宋体" w:hAnsi="宋体" w:cs="仿宋_GB2312"/>
          <w:color w:val="auto"/>
          <w:kern w:val="0"/>
          <w:sz w:val="22"/>
          <w:szCs w:val="22"/>
          <w:highlight w:val="none"/>
          <w:lang w:eastAsia="zh-CN"/>
        </w:rPr>
      </w:pPr>
    </w:p>
    <w:p w14:paraId="1BB0890B">
      <w:pPr>
        <w:autoSpaceDE w:val="0"/>
        <w:autoSpaceDN w:val="0"/>
        <w:adjustRightInd w:val="0"/>
        <w:snapToGrid w:val="0"/>
        <w:spacing w:line="360" w:lineRule="auto"/>
        <w:ind w:firstLine="480" w:firstLineChars="200"/>
        <w:contextualSpacing/>
        <w:jc w:val="left"/>
        <w:rPr>
          <w:rFonts w:hint="eastAsia" w:ascii="宋体" w:hAnsi="宋体" w:cs="仿宋_GB2312"/>
          <w:color w:val="0000FF"/>
          <w:kern w:val="0"/>
          <w:szCs w:val="21"/>
          <w:highlight w:val="none"/>
        </w:rPr>
      </w:pPr>
    </w:p>
    <w:p w14:paraId="22485062">
      <w:pPr>
        <w:pStyle w:val="22"/>
        <w:rPr>
          <w:rFonts w:hint="eastAsia"/>
          <w:color w:val="0000FF"/>
          <w:highlight w:val="none"/>
        </w:rPr>
      </w:pPr>
    </w:p>
    <w:p w14:paraId="364E5DA2">
      <w:pPr>
        <w:pStyle w:val="22"/>
        <w:rPr>
          <w:color w:val="0000FF"/>
          <w:highlight w:val="none"/>
        </w:rPr>
      </w:pPr>
    </w:p>
    <w:p w14:paraId="4533BF12">
      <w:pPr>
        <w:pStyle w:val="20"/>
        <w:numPr>
          <w:ilvl w:val="0"/>
          <w:numId w:val="13"/>
        </w:numPr>
        <w:spacing w:before="312" w:beforeLines="100" w:after="312" w:afterLines="100" w:line="600" w:lineRule="exact"/>
        <w:jc w:val="center"/>
        <w:outlineLvl w:val="0"/>
        <w:rPr>
          <w:rFonts w:hint="eastAsia" w:ascii="宋体" w:hAnsi="Courier New" w:eastAsia="宋体" w:cs="Courier New"/>
          <w:b/>
          <w:bCs/>
          <w:color w:val="auto"/>
          <w:kern w:val="2"/>
          <w:sz w:val="32"/>
          <w:szCs w:val="32"/>
          <w:highlight w:val="none"/>
          <w:lang w:val="en-US" w:eastAsia="zh-CN" w:bidi="ar-SA"/>
        </w:rPr>
      </w:pPr>
      <w:r>
        <w:rPr>
          <w:rFonts w:hint="eastAsia" w:ascii="宋体" w:hAnsi="Courier New" w:cs="Courier New"/>
          <w:b/>
          <w:bCs/>
          <w:color w:val="auto"/>
          <w:kern w:val="2"/>
          <w:sz w:val="32"/>
          <w:szCs w:val="32"/>
          <w:highlight w:val="none"/>
          <w:lang w:val="en-US" w:eastAsia="zh-CN" w:bidi="ar-SA"/>
        </w:rPr>
        <w:br w:type="page"/>
      </w:r>
      <w:bookmarkEnd w:id="585"/>
      <w:bookmarkStart w:id="587" w:name="_Toc1582"/>
      <w:r>
        <w:rPr>
          <w:rFonts w:hint="eastAsia" w:hAnsi="Courier New" w:cs="Courier New"/>
          <w:b/>
          <w:bCs/>
          <w:color w:val="auto"/>
          <w:kern w:val="2"/>
          <w:sz w:val="32"/>
          <w:szCs w:val="32"/>
          <w:highlight w:val="none"/>
          <w:lang w:val="en-US" w:eastAsia="zh-CN" w:bidi="ar-SA"/>
        </w:rPr>
        <w:t xml:space="preserve"> </w:t>
      </w:r>
      <w:bookmarkEnd w:id="587"/>
      <w:bookmarkStart w:id="588" w:name="_Toc9305"/>
      <w:bookmarkStart w:id="589" w:name="_Toc28021"/>
      <w:r>
        <w:rPr>
          <w:rFonts w:hint="eastAsia" w:ascii="宋体" w:hAnsi="Courier New" w:eastAsia="宋体" w:cs="Courier New"/>
          <w:b/>
          <w:bCs/>
          <w:color w:val="auto"/>
          <w:kern w:val="2"/>
          <w:sz w:val="32"/>
          <w:szCs w:val="32"/>
          <w:highlight w:val="none"/>
          <w:lang w:val="en-US" w:eastAsia="zh-CN" w:bidi="ar-SA"/>
        </w:rPr>
        <w:t>评审办法（综合评分法）</w:t>
      </w:r>
      <w:bookmarkEnd w:id="588"/>
      <w:bookmarkEnd w:id="589"/>
    </w:p>
    <w:tbl>
      <w:tblPr>
        <w:tblStyle w:val="48"/>
        <w:tblW w:w="879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2"/>
        <w:gridCol w:w="87"/>
        <w:gridCol w:w="830"/>
        <w:gridCol w:w="38"/>
        <w:gridCol w:w="1773"/>
        <w:gridCol w:w="333"/>
        <w:gridCol w:w="4996"/>
      </w:tblGrid>
      <w:tr w14:paraId="3EFBA5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8" w:hRule="atLeast"/>
          <w:jc w:val="center"/>
        </w:trPr>
        <w:tc>
          <w:tcPr>
            <w:tcW w:w="1659" w:type="dxa"/>
            <w:gridSpan w:val="3"/>
            <w:tcBorders>
              <w:top w:val="single" w:color="auto" w:sz="4" w:space="0"/>
              <w:bottom w:val="single" w:color="auto" w:sz="4" w:space="0"/>
              <w:right w:val="single" w:color="auto" w:sz="4" w:space="0"/>
            </w:tcBorders>
            <w:noWrap w:val="0"/>
            <w:vAlign w:val="center"/>
          </w:tcPr>
          <w:p w14:paraId="37699F93">
            <w:pPr>
              <w:adjustRightInd w:val="0"/>
              <w:spacing w:line="400" w:lineRule="exact"/>
              <w:jc w:val="center"/>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条款号</w:t>
            </w:r>
          </w:p>
        </w:tc>
        <w:tc>
          <w:tcPr>
            <w:tcW w:w="1811" w:type="dxa"/>
            <w:gridSpan w:val="2"/>
            <w:tcBorders>
              <w:top w:val="single" w:color="auto" w:sz="4" w:space="0"/>
              <w:left w:val="single" w:color="auto" w:sz="4" w:space="0"/>
              <w:bottom w:val="single" w:color="auto" w:sz="4" w:space="0"/>
              <w:right w:val="single" w:color="auto" w:sz="4" w:space="0"/>
            </w:tcBorders>
            <w:noWrap w:val="0"/>
            <w:vAlign w:val="center"/>
          </w:tcPr>
          <w:p w14:paraId="12438C4D">
            <w:pPr>
              <w:adjustRightInd w:val="0"/>
              <w:spacing w:line="400" w:lineRule="exact"/>
              <w:jc w:val="center"/>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评审因素</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1FD3EEB4">
            <w:pPr>
              <w:adjustRightInd w:val="0"/>
              <w:spacing w:line="400" w:lineRule="exact"/>
              <w:jc w:val="center"/>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评审标准</w:t>
            </w:r>
          </w:p>
        </w:tc>
      </w:tr>
      <w:tr w14:paraId="6775E6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29" w:type="dxa"/>
            <w:gridSpan w:val="2"/>
            <w:vMerge w:val="restart"/>
            <w:tcBorders>
              <w:top w:val="single" w:color="auto" w:sz="4" w:space="0"/>
              <w:right w:val="single" w:color="auto" w:sz="4" w:space="0"/>
            </w:tcBorders>
            <w:noWrap w:val="0"/>
            <w:vAlign w:val="center"/>
          </w:tcPr>
          <w:p w14:paraId="2E9379A3">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2.1.1</w:t>
            </w:r>
          </w:p>
        </w:tc>
        <w:tc>
          <w:tcPr>
            <w:tcW w:w="830" w:type="dxa"/>
            <w:vMerge w:val="restart"/>
            <w:tcBorders>
              <w:top w:val="single" w:color="auto" w:sz="4" w:space="0"/>
              <w:right w:val="single" w:color="auto" w:sz="4" w:space="0"/>
            </w:tcBorders>
            <w:noWrap w:val="0"/>
            <w:vAlign w:val="center"/>
          </w:tcPr>
          <w:p w14:paraId="4D0437BF">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符合性评审</w:t>
            </w:r>
          </w:p>
        </w:tc>
        <w:tc>
          <w:tcPr>
            <w:tcW w:w="1811" w:type="dxa"/>
            <w:gridSpan w:val="2"/>
            <w:tcBorders>
              <w:top w:val="single" w:color="auto" w:sz="4" w:space="0"/>
              <w:left w:val="single" w:color="auto" w:sz="4" w:space="0"/>
              <w:bottom w:val="single" w:color="auto" w:sz="4" w:space="0"/>
              <w:right w:val="single" w:color="auto" w:sz="4" w:space="0"/>
            </w:tcBorders>
            <w:noWrap w:val="0"/>
            <w:vAlign w:val="center"/>
          </w:tcPr>
          <w:p w14:paraId="3DC3F369">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名称</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11787C01">
            <w:pPr>
              <w:rPr>
                <w:rFonts w:hint="eastAsia" w:ascii="宋体" w:hAnsi="宋体" w:eastAsia="宋体" w:cs="宋体"/>
                <w:sz w:val="21"/>
                <w:szCs w:val="21"/>
                <w:highlight w:val="none"/>
              </w:rPr>
            </w:pPr>
            <w:r>
              <w:rPr>
                <w:rFonts w:hint="eastAsia" w:ascii="宋体" w:hAnsi="宋体" w:eastAsia="宋体" w:cs="宋体"/>
                <w:sz w:val="21"/>
                <w:szCs w:val="21"/>
                <w:highlight w:val="none"/>
              </w:rPr>
              <w:t>与营业执照、资质证书一致</w:t>
            </w:r>
          </w:p>
        </w:tc>
      </w:tr>
      <w:tr w14:paraId="1643EF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29" w:type="dxa"/>
            <w:gridSpan w:val="2"/>
            <w:vMerge w:val="continue"/>
            <w:tcBorders>
              <w:right w:val="single" w:color="auto" w:sz="4" w:space="0"/>
            </w:tcBorders>
            <w:noWrap w:val="0"/>
            <w:vAlign w:val="center"/>
          </w:tcPr>
          <w:p w14:paraId="0632B807">
            <w:pPr>
              <w:pStyle w:val="22"/>
              <w:spacing w:line="240" w:lineRule="atLeast"/>
              <w:jc w:val="center"/>
              <w:rPr>
                <w:rFonts w:hint="eastAsia" w:ascii="宋体" w:hAnsi="宋体" w:eastAsia="宋体" w:cs="宋体"/>
                <w:sz w:val="21"/>
                <w:szCs w:val="21"/>
                <w:highlight w:val="none"/>
              </w:rPr>
            </w:pPr>
          </w:p>
        </w:tc>
        <w:tc>
          <w:tcPr>
            <w:tcW w:w="830" w:type="dxa"/>
            <w:vMerge w:val="continue"/>
            <w:tcBorders>
              <w:right w:val="single" w:color="auto" w:sz="4" w:space="0"/>
            </w:tcBorders>
            <w:noWrap w:val="0"/>
            <w:vAlign w:val="center"/>
          </w:tcPr>
          <w:p w14:paraId="0E6DB518">
            <w:pPr>
              <w:pStyle w:val="22"/>
              <w:spacing w:line="240" w:lineRule="atLeast"/>
              <w:jc w:val="center"/>
              <w:rPr>
                <w:rFonts w:hint="eastAsia" w:ascii="宋体" w:hAnsi="宋体" w:eastAsia="宋体" w:cs="宋体"/>
                <w:sz w:val="21"/>
                <w:szCs w:val="21"/>
                <w:highlight w:val="none"/>
              </w:rPr>
            </w:pPr>
          </w:p>
        </w:tc>
        <w:tc>
          <w:tcPr>
            <w:tcW w:w="1811" w:type="dxa"/>
            <w:gridSpan w:val="2"/>
            <w:tcBorders>
              <w:top w:val="single" w:color="auto" w:sz="4" w:space="0"/>
              <w:left w:val="single" w:color="auto" w:sz="4" w:space="0"/>
              <w:bottom w:val="single" w:color="auto" w:sz="4" w:space="0"/>
              <w:right w:val="single" w:color="auto" w:sz="4" w:space="0"/>
            </w:tcBorders>
            <w:noWrap w:val="0"/>
            <w:vAlign w:val="center"/>
          </w:tcPr>
          <w:p w14:paraId="52A3C1BA">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响应函签字盖章</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091FFC51">
            <w:pPr>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盖章及法定代表人签章</w:t>
            </w:r>
          </w:p>
        </w:tc>
      </w:tr>
      <w:tr w14:paraId="350CAB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29" w:type="dxa"/>
            <w:gridSpan w:val="2"/>
            <w:vMerge w:val="continue"/>
            <w:tcBorders>
              <w:bottom w:val="single" w:color="auto" w:sz="4" w:space="0"/>
              <w:right w:val="single" w:color="auto" w:sz="4" w:space="0"/>
            </w:tcBorders>
            <w:noWrap w:val="0"/>
            <w:vAlign w:val="center"/>
          </w:tcPr>
          <w:p w14:paraId="27BE5E19">
            <w:pPr>
              <w:pStyle w:val="22"/>
              <w:spacing w:line="240" w:lineRule="atLeast"/>
              <w:jc w:val="center"/>
              <w:rPr>
                <w:rFonts w:hint="eastAsia" w:ascii="宋体" w:hAnsi="宋体" w:eastAsia="宋体" w:cs="宋体"/>
                <w:sz w:val="21"/>
                <w:szCs w:val="21"/>
                <w:highlight w:val="none"/>
              </w:rPr>
            </w:pPr>
          </w:p>
        </w:tc>
        <w:tc>
          <w:tcPr>
            <w:tcW w:w="830" w:type="dxa"/>
            <w:vMerge w:val="continue"/>
            <w:tcBorders>
              <w:bottom w:val="single" w:color="auto" w:sz="4" w:space="0"/>
              <w:right w:val="single" w:color="auto" w:sz="4" w:space="0"/>
            </w:tcBorders>
            <w:noWrap w:val="0"/>
            <w:vAlign w:val="center"/>
          </w:tcPr>
          <w:p w14:paraId="6F4E2AE3">
            <w:pPr>
              <w:pStyle w:val="22"/>
              <w:spacing w:line="240" w:lineRule="atLeast"/>
              <w:jc w:val="center"/>
              <w:rPr>
                <w:rFonts w:hint="eastAsia" w:ascii="宋体" w:hAnsi="宋体" w:eastAsia="宋体" w:cs="宋体"/>
                <w:sz w:val="21"/>
                <w:szCs w:val="21"/>
                <w:highlight w:val="none"/>
              </w:rPr>
            </w:pPr>
          </w:p>
        </w:tc>
        <w:tc>
          <w:tcPr>
            <w:tcW w:w="1811" w:type="dxa"/>
            <w:gridSpan w:val="2"/>
            <w:tcBorders>
              <w:top w:val="single" w:color="auto" w:sz="4" w:space="0"/>
              <w:left w:val="single" w:color="auto" w:sz="4" w:space="0"/>
              <w:bottom w:val="single" w:color="auto" w:sz="4" w:space="0"/>
              <w:right w:val="single" w:color="auto" w:sz="4" w:space="0"/>
            </w:tcBorders>
            <w:noWrap w:val="0"/>
            <w:vAlign w:val="center"/>
          </w:tcPr>
          <w:p w14:paraId="71BEF15D">
            <w:pPr>
              <w:jc w:val="center"/>
              <w:rPr>
                <w:rFonts w:hint="eastAsia" w:ascii="宋体" w:hAnsi="宋体" w:eastAsia="宋体" w:cs="宋体"/>
                <w:bCs/>
                <w:sz w:val="21"/>
                <w:szCs w:val="21"/>
                <w:highlight w:val="none"/>
              </w:rPr>
            </w:pPr>
            <w:r>
              <w:rPr>
                <w:rFonts w:hint="eastAsia" w:ascii="宋体" w:hAnsi="宋体" w:eastAsia="宋体" w:cs="宋体"/>
                <w:sz w:val="21"/>
                <w:szCs w:val="21"/>
                <w:highlight w:val="none"/>
              </w:rPr>
              <w:t>报价唯一</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4C7D6627">
            <w:pPr>
              <w:rPr>
                <w:rFonts w:hint="eastAsia" w:ascii="宋体" w:hAnsi="宋体" w:eastAsia="宋体" w:cs="宋体"/>
                <w:bCs/>
                <w:sz w:val="21"/>
                <w:szCs w:val="21"/>
                <w:highlight w:val="none"/>
              </w:rPr>
            </w:pPr>
            <w:r>
              <w:rPr>
                <w:rFonts w:hint="eastAsia" w:ascii="宋体" w:hAnsi="宋体" w:eastAsia="宋体" w:cs="宋体"/>
                <w:sz w:val="21"/>
                <w:szCs w:val="21"/>
                <w:highlight w:val="none"/>
              </w:rPr>
              <w:t>只能有一个有效报价</w:t>
            </w:r>
          </w:p>
        </w:tc>
      </w:tr>
      <w:tr w14:paraId="584985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29" w:type="dxa"/>
            <w:gridSpan w:val="2"/>
            <w:vMerge w:val="restart"/>
            <w:tcBorders>
              <w:top w:val="single" w:color="auto" w:sz="4" w:space="0"/>
              <w:right w:val="single" w:color="auto" w:sz="4" w:space="0"/>
            </w:tcBorders>
            <w:noWrap w:val="0"/>
            <w:vAlign w:val="center"/>
          </w:tcPr>
          <w:p w14:paraId="54C3B3E5">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2.1.2</w:t>
            </w:r>
          </w:p>
        </w:tc>
        <w:tc>
          <w:tcPr>
            <w:tcW w:w="830" w:type="dxa"/>
            <w:vMerge w:val="restart"/>
            <w:tcBorders>
              <w:top w:val="single" w:color="auto" w:sz="4" w:space="0"/>
              <w:right w:val="single" w:color="auto" w:sz="4" w:space="0"/>
            </w:tcBorders>
            <w:noWrap w:val="0"/>
            <w:vAlign w:val="center"/>
          </w:tcPr>
          <w:p w14:paraId="6D8E9704">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资</w:t>
            </w:r>
          </w:p>
          <w:p w14:paraId="3B662E9D">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格</w:t>
            </w:r>
          </w:p>
          <w:p w14:paraId="1036F955">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w:t>
            </w:r>
          </w:p>
          <w:p w14:paraId="0B3F2168">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审</w:t>
            </w:r>
          </w:p>
          <w:p w14:paraId="0F835C55">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标</w:t>
            </w:r>
          </w:p>
          <w:p w14:paraId="55CFE375">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准</w:t>
            </w:r>
          </w:p>
        </w:tc>
        <w:tc>
          <w:tcPr>
            <w:tcW w:w="1811" w:type="dxa"/>
            <w:gridSpan w:val="2"/>
            <w:tcBorders>
              <w:top w:val="single" w:color="auto" w:sz="4" w:space="0"/>
              <w:left w:val="single" w:color="auto" w:sz="4" w:space="0"/>
              <w:right w:val="single" w:color="auto" w:sz="4" w:space="0"/>
            </w:tcBorders>
            <w:noWrap w:val="0"/>
            <w:vAlign w:val="center"/>
          </w:tcPr>
          <w:p w14:paraId="6F35C1BB">
            <w:pPr>
              <w:pStyle w:val="22"/>
              <w:widowControl/>
              <w:spacing w:line="240" w:lineRule="atLeast"/>
              <w:jc w:val="center"/>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满足《中华人民共和国政府采购法》第二十二条规定</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28CDDA04">
            <w:pPr>
              <w:pStyle w:val="22"/>
              <w:widowControl/>
              <w:spacing w:line="240" w:lineRule="atLeast"/>
              <w:jc w:val="both"/>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提供承诺函</w:t>
            </w:r>
            <w:r>
              <w:rPr>
                <w:rFonts w:hint="eastAsia" w:cs="宋体"/>
                <w:b w:val="0"/>
                <w:bCs w:val="0"/>
                <w:sz w:val="21"/>
                <w:szCs w:val="21"/>
                <w:highlight w:val="none"/>
                <w:lang w:val="en-US" w:eastAsia="zh-CN"/>
              </w:rPr>
              <w:t>，格式自拟</w:t>
            </w:r>
          </w:p>
        </w:tc>
      </w:tr>
      <w:tr w14:paraId="21E3E6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29" w:type="dxa"/>
            <w:gridSpan w:val="2"/>
            <w:vMerge w:val="continue"/>
            <w:tcBorders>
              <w:right w:val="single" w:color="auto" w:sz="4" w:space="0"/>
            </w:tcBorders>
            <w:noWrap w:val="0"/>
            <w:vAlign w:val="center"/>
          </w:tcPr>
          <w:p w14:paraId="37A3FE82">
            <w:pPr>
              <w:pStyle w:val="22"/>
              <w:spacing w:line="240" w:lineRule="atLeast"/>
              <w:jc w:val="center"/>
              <w:rPr>
                <w:rFonts w:hint="eastAsia" w:ascii="宋体" w:hAnsi="宋体" w:eastAsia="宋体" w:cs="宋体"/>
                <w:sz w:val="21"/>
                <w:szCs w:val="21"/>
                <w:highlight w:val="none"/>
              </w:rPr>
            </w:pPr>
          </w:p>
        </w:tc>
        <w:tc>
          <w:tcPr>
            <w:tcW w:w="830" w:type="dxa"/>
            <w:vMerge w:val="continue"/>
            <w:tcBorders>
              <w:right w:val="single" w:color="auto" w:sz="4" w:space="0"/>
            </w:tcBorders>
            <w:noWrap w:val="0"/>
            <w:vAlign w:val="center"/>
          </w:tcPr>
          <w:p w14:paraId="42563115">
            <w:pPr>
              <w:pStyle w:val="22"/>
              <w:spacing w:line="240" w:lineRule="atLeast"/>
              <w:jc w:val="center"/>
              <w:rPr>
                <w:rFonts w:hint="eastAsia" w:ascii="宋体" w:hAnsi="宋体" w:eastAsia="宋体" w:cs="宋体"/>
                <w:sz w:val="21"/>
                <w:szCs w:val="21"/>
                <w:highlight w:val="none"/>
              </w:rPr>
            </w:pPr>
          </w:p>
        </w:tc>
        <w:tc>
          <w:tcPr>
            <w:tcW w:w="1811" w:type="dxa"/>
            <w:gridSpan w:val="2"/>
            <w:tcBorders>
              <w:top w:val="single" w:color="auto" w:sz="4" w:space="0"/>
              <w:left w:val="single" w:color="auto" w:sz="4" w:space="0"/>
              <w:right w:val="single" w:color="auto" w:sz="4" w:space="0"/>
            </w:tcBorders>
            <w:noWrap w:val="0"/>
            <w:vAlign w:val="center"/>
          </w:tcPr>
          <w:p w14:paraId="052D6440">
            <w:pPr>
              <w:pStyle w:val="22"/>
              <w:widowControl/>
              <w:spacing w:line="240" w:lineRule="atLeast"/>
              <w:jc w:val="center"/>
              <w:rPr>
                <w:rFonts w:hint="default" w:ascii="宋体" w:hAnsi="宋体" w:eastAsia="宋体" w:cs="宋体"/>
                <w:b w:val="0"/>
                <w:bCs w:val="0"/>
                <w:color w:val="000000"/>
                <w:sz w:val="21"/>
                <w:szCs w:val="21"/>
                <w:highlight w:val="none"/>
                <w:lang w:val="en-US" w:eastAsia="zh-CN" w:bidi="ar-SA"/>
              </w:rPr>
            </w:pPr>
            <w:r>
              <w:rPr>
                <w:rFonts w:hint="eastAsia" w:cs="宋体"/>
                <w:b w:val="0"/>
                <w:bCs w:val="0"/>
                <w:color w:val="000000"/>
                <w:sz w:val="21"/>
                <w:szCs w:val="21"/>
                <w:highlight w:val="none"/>
                <w:lang w:val="en-US" w:eastAsia="zh-CN" w:bidi="ar-SA"/>
              </w:rPr>
              <w:t>营业执照</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4A216E3F">
            <w:pPr>
              <w:pStyle w:val="22"/>
              <w:widowControl/>
              <w:spacing w:line="240" w:lineRule="atLeast"/>
              <w:jc w:val="both"/>
              <w:rPr>
                <w:rFonts w:hint="eastAsia" w:ascii="宋体" w:hAnsi="宋体" w:eastAsia="宋体" w:cs="宋体"/>
                <w:b w:val="0"/>
                <w:bCs w:val="0"/>
                <w:color w:val="000000"/>
                <w:sz w:val="21"/>
                <w:szCs w:val="21"/>
                <w:highlight w:val="none"/>
                <w:lang w:val="en-US" w:eastAsia="zh-CN" w:bidi="ar-SA"/>
              </w:rPr>
            </w:pPr>
            <w:r>
              <w:rPr>
                <w:rFonts w:hint="eastAsia" w:cs="宋体"/>
                <w:b w:val="0"/>
                <w:bCs w:val="0"/>
                <w:sz w:val="21"/>
                <w:szCs w:val="21"/>
                <w:highlight w:val="none"/>
                <w:lang w:eastAsia="zh-CN"/>
              </w:rPr>
              <w:t>具有有效的营业执照</w:t>
            </w:r>
          </w:p>
        </w:tc>
      </w:tr>
      <w:tr w14:paraId="334333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29" w:type="dxa"/>
            <w:gridSpan w:val="2"/>
            <w:vMerge w:val="continue"/>
            <w:tcBorders>
              <w:right w:val="single" w:color="auto" w:sz="4" w:space="0"/>
            </w:tcBorders>
            <w:noWrap w:val="0"/>
            <w:vAlign w:val="center"/>
          </w:tcPr>
          <w:p w14:paraId="4D3B540C">
            <w:pPr>
              <w:pStyle w:val="22"/>
              <w:spacing w:line="240" w:lineRule="atLeast"/>
              <w:jc w:val="center"/>
              <w:rPr>
                <w:rFonts w:hint="eastAsia" w:ascii="宋体" w:hAnsi="宋体" w:eastAsia="宋体" w:cs="宋体"/>
                <w:sz w:val="21"/>
                <w:szCs w:val="21"/>
                <w:highlight w:val="none"/>
              </w:rPr>
            </w:pPr>
          </w:p>
        </w:tc>
        <w:tc>
          <w:tcPr>
            <w:tcW w:w="830" w:type="dxa"/>
            <w:vMerge w:val="continue"/>
            <w:tcBorders>
              <w:right w:val="single" w:color="auto" w:sz="4" w:space="0"/>
            </w:tcBorders>
            <w:noWrap w:val="0"/>
            <w:vAlign w:val="center"/>
          </w:tcPr>
          <w:p w14:paraId="709EB433">
            <w:pPr>
              <w:pStyle w:val="22"/>
              <w:spacing w:line="240" w:lineRule="atLeast"/>
              <w:jc w:val="center"/>
              <w:rPr>
                <w:rFonts w:hint="eastAsia" w:ascii="宋体" w:hAnsi="宋体" w:eastAsia="宋体" w:cs="宋体"/>
                <w:sz w:val="21"/>
                <w:szCs w:val="21"/>
                <w:highlight w:val="none"/>
              </w:rPr>
            </w:pPr>
          </w:p>
        </w:tc>
        <w:tc>
          <w:tcPr>
            <w:tcW w:w="1811" w:type="dxa"/>
            <w:gridSpan w:val="2"/>
            <w:tcBorders>
              <w:top w:val="single" w:color="auto" w:sz="4" w:space="0"/>
              <w:left w:val="single" w:color="auto" w:sz="4" w:space="0"/>
              <w:right w:val="single" w:color="auto" w:sz="4" w:space="0"/>
            </w:tcBorders>
            <w:noWrap w:val="0"/>
            <w:vAlign w:val="center"/>
          </w:tcPr>
          <w:p w14:paraId="6A8769E0">
            <w:pPr>
              <w:jc w:val="center"/>
              <w:rPr>
                <w:rFonts w:hint="eastAsia" w:ascii="宋体" w:hAnsi="宋体" w:eastAsia="宋体" w:cs="宋体"/>
                <w:b w:val="0"/>
                <w:bCs w:val="0"/>
                <w:color w:val="000000"/>
                <w:kern w:val="0"/>
                <w:sz w:val="21"/>
                <w:szCs w:val="21"/>
                <w:highlight w:val="none"/>
              </w:rPr>
            </w:pPr>
            <w:r>
              <w:rPr>
                <w:rFonts w:hint="eastAsia" w:ascii="宋体" w:hAnsi="宋体" w:eastAsia="宋体" w:cs="宋体"/>
                <w:b w:val="0"/>
                <w:bCs w:val="0"/>
                <w:sz w:val="21"/>
                <w:szCs w:val="21"/>
                <w:highlight w:val="none"/>
                <w:lang w:val="en-US" w:eastAsia="zh-CN"/>
              </w:rPr>
              <w:t>企业</w:t>
            </w:r>
            <w:r>
              <w:rPr>
                <w:rFonts w:hint="eastAsia" w:ascii="宋体" w:hAnsi="宋体" w:eastAsia="宋体" w:cs="宋体"/>
                <w:b w:val="0"/>
                <w:bCs w:val="0"/>
                <w:sz w:val="21"/>
                <w:szCs w:val="21"/>
                <w:highlight w:val="none"/>
              </w:rPr>
              <w:t>资质</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36963497">
            <w:pPr>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val="en-US" w:eastAsia="zh-CN"/>
              </w:rPr>
              <w:t>具有桥梁养护乙级及以上资质，具有有效的安全生产许可证，并在人员、设备、资金等方面具有相应的施工能力</w:t>
            </w:r>
          </w:p>
        </w:tc>
      </w:tr>
      <w:tr w14:paraId="68FB12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29" w:type="dxa"/>
            <w:gridSpan w:val="2"/>
            <w:vMerge w:val="continue"/>
            <w:tcBorders>
              <w:right w:val="single" w:color="auto" w:sz="4" w:space="0"/>
            </w:tcBorders>
            <w:noWrap w:val="0"/>
            <w:vAlign w:val="center"/>
          </w:tcPr>
          <w:p w14:paraId="4A2548FE">
            <w:pPr>
              <w:pStyle w:val="22"/>
              <w:spacing w:line="240" w:lineRule="atLeast"/>
              <w:jc w:val="center"/>
              <w:rPr>
                <w:rFonts w:hint="eastAsia" w:ascii="宋体" w:hAnsi="宋体" w:eastAsia="宋体" w:cs="宋体"/>
                <w:sz w:val="21"/>
                <w:szCs w:val="21"/>
                <w:highlight w:val="none"/>
              </w:rPr>
            </w:pPr>
          </w:p>
        </w:tc>
        <w:tc>
          <w:tcPr>
            <w:tcW w:w="830" w:type="dxa"/>
            <w:vMerge w:val="continue"/>
            <w:tcBorders>
              <w:right w:val="single" w:color="auto" w:sz="4" w:space="0"/>
            </w:tcBorders>
            <w:noWrap w:val="0"/>
            <w:vAlign w:val="center"/>
          </w:tcPr>
          <w:p w14:paraId="4AD7D5B3">
            <w:pPr>
              <w:pStyle w:val="22"/>
              <w:spacing w:line="240" w:lineRule="atLeast"/>
              <w:jc w:val="center"/>
              <w:rPr>
                <w:rFonts w:hint="eastAsia" w:ascii="宋体" w:hAnsi="宋体" w:eastAsia="宋体" w:cs="宋体"/>
                <w:sz w:val="21"/>
                <w:szCs w:val="21"/>
                <w:highlight w:val="none"/>
              </w:rPr>
            </w:pPr>
          </w:p>
        </w:tc>
        <w:tc>
          <w:tcPr>
            <w:tcW w:w="1811" w:type="dxa"/>
            <w:gridSpan w:val="2"/>
            <w:tcBorders>
              <w:top w:val="single" w:color="auto" w:sz="4" w:space="0"/>
              <w:left w:val="single" w:color="auto" w:sz="4" w:space="0"/>
              <w:right w:val="single" w:color="auto" w:sz="4" w:space="0"/>
            </w:tcBorders>
            <w:noWrap w:val="0"/>
            <w:vAlign w:val="center"/>
          </w:tcPr>
          <w:p w14:paraId="04ED7F26">
            <w:pPr>
              <w:jc w:val="center"/>
              <w:rPr>
                <w:rFonts w:hint="eastAsia" w:ascii="宋体" w:hAnsi="宋体" w:eastAsia="宋体" w:cs="宋体"/>
                <w:b w:val="0"/>
                <w:bCs w:val="0"/>
                <w:color w:val="000000"/>
                <w:kern w:val="0"/>
                <w:sz w:val="21"/>
                <w:szCs w:val="21"/>
                <w:highlight w:val="none"/>
                <w:lang w:val="en-US" w:eastAsia="zh-CN"/>
              </w:rPr>
            </w:pPr>
            <w:r>
              <w:rPr>
                <w:rFonts w:hint="eastAsia" w:ascii="宋体" w:hAnsi="宋体" w:eastAsia="宋体" w:cs="宋体"/>
                <w:b w:val="0"/>
                <w:bCs w:val="0"/>
                <w:sz w:val="21"/>
                <w:szCs w:val="21"/>
                <w:highlight w:val="none"/>
              </w:rPr>
              <w:t>项目</w:t>
            </w:r>
            <w:r>
              <w:rPr>
                <w:rFonts w:hint="eastAsia" w:ascii="宋体" w:hAnsi="宋体" w:eastAsia="宋体" w:cs="宋体"/>
                <w:b w:val="0"/>
                <w:bCs w:val="0"/>
                <w:sz w:val="21"/>
                <w:szCs w:val="21"/>
                <w:highlight w:val="none"/>
                <w:lang w:val="en-US" w:eastAsia="zh-CN"/>
              </w:rPr>
              <w:t>经理/项目总工</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0DCD5336">
            <w:pPr>
              <w:pStyle w:val="43"/>
              <w:keepNext w:val="0"/>
              <w:keepLines w:val="0"/>
              <w:widowControl/>
              <w:suppressLineNumbers w:val="0"/>
              <w:wordWrap w:val="0"/>
              <w:spacing w:before="0" w:beforeAutospacing="0" w:after="0" w:afterAutospacing="0" w:line="360" w:lineRule="auto"/>
              <w:ind w:right="0"/>
              <w:jc w:val="left"/>
              <w:rPr>
                <w:rFonts w:hint="eastAsia" w:ascii="宋体" w:hAnsi="宋体" w:eastAsia="宋体" w:cs="宋体"/>
                <w:b w:val="0"/>
                <w:bCs w:val="0"/>
                <w:color w:val="000000"/>
                <w:kern w:val="0"/>
                <w:sz w:val="21"/>
                <w:szCs w:val="21"/>
                <w:highlight w:val="none"/>
              </w:rPr>
            </w:pPr>
            <w:r>
              <w:rPr>
                <w:rFonts w:hint="eastAsia" w:cs="宋体"/>
                <w:color w:val="auto"/>
                <w:kern w:val="0"/>
                <w:sz w:val="21"/>
                <w:szCs w:val="21"/>
                <w:highlight w:val="none"/>
                <w:shd w:val="clear" w:color="auto" w:fill="FFFFFF"/>
                <w:lang w:val="en-US" w:eastAsia="zh-CN" w:bidi="ar"/>
              </w:rPr>
              <w:t>拟派项目经理须具备公路工程专业贰级及以上注册建造师资格、具备有效的安全生产考核合格证书；项目总工应具备相关专业的中级及以上技术职称</w:t>
            </w:r>
            <w:r>
              <w:rPr>
                <w:rFonts w:hint="eastAsia" w:ascii="宋体" w:hAnsi="宋体" w:eastAsia="宋体" w:cs="宋体"/>
                <w:color w:val="auto"/>
                <w:kern w:val="0"/>
                <w:sz w:val="21"/>
                <w:szCs w:val="21"/>
                <w:highlight w:val="none"/>
                <w:shd w:val="clear" w:color="auto" w:fill="FFFFFF"/>
                <w:lang w:val="en-US" w:eastAsia="zh-CN" w:bidi="ar"/>
              </w:rPr>
              <w:t>；</w:t>
            </w:r>
          </w:p>
        </w:tc>
      </w:tr>
      <w:tr w14:paraId="6D3CB8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84" w:hRule="atLeast"/>
          <w:jc w:val="center"/>
        </w:trPr>
        <w:tc>
          <w:tcPr>
            <w:tcW w:w="829" w:type="dxa"/>
            <w:gridSpan w:val="2"/>
            <w:vMerge w:val="continue"/>
            <w:tcBorders>
              <w:right w:val="single" w:color="auto" w:sz="4" w:space="0"/>
            </w:tcBorders>
            <w:noWrap w:val="0"/>
            <w:vAlign w:val="center"/>
          </w:tcPr>
          <w:p w14:paraId="350F9833">
            <w:pPr>
              <w:pStyle w:val="22"/>
              <w:spacing w:line="240" w:lineRule="atLeast"/>
              <w:jc w:val="center"/>
              <w:rPr>
                <w:rFonts w:hint="eastAsia" w:ascii="宋体" w:hAnsi="宋体" w:eastAsia="宋体" w:cs="宋体"/>
                <w:sz w:val="21"/>
                <w:szCs w:val="21"/>
                <w:highlight w:val="none"/>
              </w:rPr>
            </w:pPr>
          </w:p>
        </w:tc>
        <w:tc>
          <w:tcPr>
            <w:tcW w:w="830" w:type="dxa"/>
            <w:vMerge w:val="continue"/>
            <w:tcBorders>
              <w:right w:val="single" w:color="auto" w:sz="4" w:space="0"/>
            </w:tcBorders>
            <w:noWrap w:val="0"/>
            <w:vAlign w:val="center"/>
          </w:tcPr>
          <w:p w14:paraId="7D2D740A">
            <w:pPr>
              <w:pStyle w:val="22"/>
              <w:spacing w:line="240" w:lineRule="atLeast"/>
              <w:jc w:val="center"/>
              <w:rPr>
                <w:rFonts w:hint="eastAsia" w:ascii="宋体" w:hAnsi="宋体" w:eastAsia="宋体" w:cs="宋体"/>
                <w:sz w:val="21"/>
                <w:szCs w:val="21"/>
                <w:highlight w:val="none"/>
              </w:rPr>
            </w:pPr>
          </w:p>
        </w:tc>
        <w:tc>
          <w:tcPr>
            <w:tcW w:w="1811" w:type="dxa"/>
            <w:gridSpan w:val="2"/>
            <w:tcBorders>
              <w:top w:val="single" w:color="auto" w:sz="4" w:space="0"/>
              <w:left w:val="single" w:color="auto" w:sz="4" w:space="0"/>
              <w:right w:val="single" w:color="auto" w:sz="4" w:space="0"/>
            </w:tcBorders>
            <w:noWrap w:val="0"/>
            <w:vAlign w:val="center"/>
          </w:tcPr>
          <w:p w14:paraId="11B5922D">
            <w:pPr>
              <w:jc w:val="center"/>
              <w:rPr>
                <w:rFonts w:hint="eastAsia" w:ascii="宋体" w:hAnsi="宋体" w:eastAsia="宋体" w:cs="宋体"/>
                <w:b w:val="0"/>
                <w:bCs w:val="0"/>
                <w:color w:val="000000"/>
                <w:kern w:val="0"/>
                <w:sz w:val="21"/>
                <w:szCs w:val="21"/>
                <w:highlight w:val="none"/>
              </w:rPr>
            </w:pPr>
            <w:r>
              <w:rPr>
                <w:rFonts w:hint="eastAsia" w:ascii="宋体" w:hAnsi="宋体" w:eastAsia="宋体" w:cs="宋体"/>
                <w:b w:val="0"/>
                <w:bCs w:val="0"/>
                <w:sz w:val="21"/>
                <w:szCs w:val="21"/>
                <w:highlight w:val="none"/>
              </w:rPr>
              <w:t>无商业贿赂和不正当竞争行为承诺书</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14DDE1FF">
            <w:pPr>
              <w:rPr>
                <w:rFonts w:hint="eastAsia" w:ascii="宋体" w:hAnsi="宋体" w:eastAsia="宋体" w:cs="宋体"/>
                <w:b w:val="0"/>
                <w:bCs w:val="0"/>
                <w:color w:val="000000"/>
                <w:kern w:val="0"/>
                <w:sz w:val="21"/>
                <w:szCs w:val="21"/>
                <w:highlight w:val="none"/>
              </w:rPr>
            </w:pPr>
            <w:r>
              <w:rPr>
                <w:rFonts w:hint="eastAsia" w:ascii="宋体" w:hAnsi="宋体" w:eastAsia="宋体" w:cs="宋体"/>
                <w:b w:val="0"/>
                <w:bCs w:val="0"/>
                <w:color w:val="000000"/>
                <w:kern w:val="0"/>
                <w:sz w:val="21"/>
                <w:szCs w:val="21"/>
                <w:highlight w:val="none"/>
              </w:rPr>
              <w:t>供应商须自行承诺本企业无商业贿赂和不正当竞争行为</w:t>
            </w:r>
          </w:p>
        </w:tc>
      </w:tr>
      <w:tr w14:paraId="5A1E88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84" w:hRule="atLeast"/>
          <w:jc w:val="center"/>
        </w:trPr>
        <w:tc>
          <w:tcPr>
            <w:tcW w:w="829" w:type="dxa"/>
            <w:gridSpan w:val="2"/>
            <w:vMerge w:val="continue"/>
            <w:tcBorders>
              <w:right w:val="single" w:color="auto" w:sz="4" w:space="0"/>
            </w:tcBorders>
            <w:noWrap w:val="0"/>
            <w:vAlign w:val="center"/>
          </w:tcPr>
          <w:p w14:paraId="619E95C9">
            <w:pPr>
              <w:pStyle w:val="22"/>
              <w:spacing w:line="240" w:lineRule="atLeast"/>
              <w:jc w:val="center"/>
              <w:rPr>
                <w:rFonts w:hint="eastAsia" w:ascii="宋体" w:hAnsi="宋体" w:eastAsia="宋体" w:cs="宋体"/>
                <w:sz w:val="21"/>
                <w:szCs w:val="21"/>
                <w:highlight w:val="none"/>
              </w:rPr>
            </w:pPr>
          </w:p>
        </w:tc>
        <w:tc>
          <w:tcPr>
            <w:tcW w:w="830" w:type="dxa"/>
            <w:vMerge w:val="continue"/>
            <w:tcBorders>
              <w:right w:val="single" w:color="auto" w:sz="4" w:space="0"/>
            </w:tcBorders>
            <w:noWrap w:val="0"/>
            <w:vAlign w:val="center"/>
          </w:tcPr>
          <w:p w14:paraId="1E20E331">
            <w:pPr>
              <w:pStyle w:val="22"/>
              <w:spacing w:line="240" w:lineRule="atLeast"/>
              <w:jc w:val="center"/>
              <w:rPr>
                <w:rFonts w:hint="eastAsia" w:ascii="宋体" w:hAnsi="宋体" w:eastAsia="宋体" w:cs="宋体"/>
                <w:sz w:val="21"/>
                <w:szCs w:val="21"/>
                <w:highlight w:val="none"/>
              </w:rPr>
            </w:pPr>
          </w:p>
        </w:tc>
        <w:tc>
          <w:tcPr>
            <w:tcW w:w="1811" w:type="dxa"/>
            <w:gridSpan w:val="2"/>
            <w:tcBorders>
              <w:top w:val="single" w:color="auto" w:sz="4" w:space="0"/>
              <w:left w:val="single" w:color="auto" w:sz="4" w:space="0"/>
              <w:right w:val="single" w:color="auto" w:sz="4" w:space="0"/>
            </w:tcBorders>
            <w:noWrap w:val="0"/>
            <w:vAlign w:val="center"/>
          </w:tcPr>
          <w:p w14:paraId="78C0EDCA">
            <w:pPr>
              <w:jc w:val="center"/>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无行贿犯罪记录</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5B4C0BBA">
            <w:pPr>
              <w:rPr>
                <w:rFonts w:hint="eastAsia" w:ascii="宋体" w:hAnsi="宋体" w:eastAsia="宋体" w:cs="宋体"/>
                <w:b w:val="0"/>
                <w:bCs w:val="0"/>
                <w:color w:val="000000"/>
                <w:kern w:val="0"/>
                <w:sz w:val="21"/>
                <w:szCs w:val="21"/>
                <w:highlight w:val="none"/>
              </w:rPr>
            </w:pPr>
            <w:r>
              <w:rPr>
                <w:rFonts w:hint="eastAsia" w:ascii="宋体" w:hAnsi="宋体" w:eastAsia="宋体" w:cs="宋体"/>
                <w:b w:val="0"/>
                <w:bCs w:val="0"/>
                <w:color w:val="000000"/>
                <w:kern w:val="0"/>
                <w:sz w:val="21"/>
                <w:szCs w:val="21"/>
                <w:highlight w:val="none"/>
              </w:rPr>
              <w:t>供应商出具无行贿犯罪记录，在中国裁判文书网自行查询或自行承诺(查询/承诺对象：企业、法定代表人、拟派项目经理)；</w:t>
            </w:r>
          </w:p>
        </w:tc>
      </w:tr>
      <w:tr w14:paraId="07397C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29" w:type="dxa"/>
            <w:gridSpan w:val="2"/>
            <w:vMerge w:val="continue"/>
            <w:tcBorders>
              <w:right w:val="single" w:color="auto" w:sz="4" w:space="0"/>
            </w:tcBorders>
            <w:noWrap w:val="0"/>
            <w:vAlign w:val="center"/>
          </w:tcPr>
          <w:p w14:paraId="447A3A18">
            <w:pPr>
              <w:pStyle w:val="22"/>
              <w:spacing w:line="240" w:lineRule="atLeast"/>
              <w:jc w:val="center"/>
              <w:rPr>
                <w:rFonts w:hint="eastAsia" w:ascii="宋体" w:hAnsi="宋体" w:eastAsia="宋体" w:cs="宋体"/>
                <w:sz w:val="21"/>
                <w:szCs w:val="21"/>
                <w:highlight w:val="none"/>
              </w:rPr>
            </w:pPr>
          </w:p>
        </w:tc>
        <w:tc>
          <w:tcPr>
            <w:tcW w:w="830" w:type="dxa"/>
            <w:vMerge w:val="continue"/>
            <w:tcBorders>
              <w:right w:val="single" w:color="auto" w:sz="4" w:space="0"/>
            </w:tcBorders>
            <w:noWrap w:val="0"/>
            <w:vAlign w:val="center"/>
          </w:tcPr>
          <w:p w14:paraId="600376BB">
            <w:pPr>
              <w:pStyle w:val="22"/>
              <w:spacing w:line="240" w:lineRule="atLeast"/>
              <w:jc w:val="center"/>
              <w:rPr>
                <w:rFonts w:hint="eastAsia" w:ascii="宋体" w:hAnsi="宋体" w:eastAsia="宋体" w:cs="宋体"/>
                <w:sz w:val="21"/>
                <w:szCs w:val="21"/>
                <w:highlight w:val="none"/>
              </w:rPr>
            </w:pPr>
          </w:p>
        </w:tc>
        <w:tc>
          <w:tcPr>
            <w:tcW w:w="1811" w:type="dxa"/>
            <w:gridSpan w:val="2"/>
            <w:tcBorders>
              <w:top w:val="single" w:color="auto" w:sz="4" w:space="0"/>
              <w:left w:val="single" w:color="auto" w:sz="4" w:space="0"/>
              <w:right w:val="single" w:color="auto" w:sz="4" w:space="0"/>
            </w:tcBorders>
            <w:noWrap w:val="0"/>
            <w:vAlign w:val="center"/>
          </w:tcPr>
          <w:p w14:paraId="465A83AD">
            <w:pPr>
              <w:spacing w:line="240" w:lineRule="exact"/>
              <w:jc w:val="center"/>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信用要求</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52B6F954">
            <w:pPr>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根据《关于在政府采购活动中查询及使用信用记录有关问题的通知》(财库[2016]125号)的规定，对列入“中国执行信息公开网”网站（http://zxgk.court.gov.cn/shixin/）的“失信被执行人”、“信用中国”网站（www.creditchina.gov.cn）的“重大税收违法失信主体”、“政府采购严重违法失信行为记录名单”及“中国政府采购网”www.ccgp.gov.cn网站的“政府采购严重违法失信行为记录名单”的供应商，将被拒绝参与本项目政府采购活动；供应商须提供查询截图并加盖公章（查询时间为自公告发布之日起至响应文件提交截止时间，在规定的查询时间之后，网站信息发生的任何变更均不再作为评标依据。供应商自行提供的与网站信息不一致的其他证明材料亦不作为资格审查的依据）。</w:t>
            </w:r>
          </w:p>
        </w:tc>
      </w:tr>
      <w:tr w14:paraId="07DBDF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9" w:hRule="atLeast"/>
          <w:jc w:val="center"/>
        </w:trPr>
        <w:tc>
          <w:tcPr>
            <w:tcW w:w="829" w:type="dxa"/>
            <w:gridSpan w:val="2"/>
            <w:vMerge w:val="continue"/>
            <w:tcBorders>
              <w:right w:val="single" w:color="auto" w:sz="4" w:space="0"/>
            </w:tcBorders>
            <w:noWrap w:val="0"/>
            <w:vAlign w:val="center"/>
          </w:tcPr>
          <w:p w14:paraId="2C8B5B4D">
            <w:pPr>
              <w:pStyle w:val="22"/>
              <w:spacing w:line="240" w:lineRule="atLeast"/>
              <w:jc w:val="center"/>
              <w:rPr>
                <w:rFonts w:hint="eastAsia" w:ascii="宋体" w:hAnsi="宋体" w:eastAsia="宋体" w:cs="宋体"/>
                <w:sz w:val="21"/>
                <w:szCs w:val="21"/>
                <w:highlight w:val="none"/>
              </w:rPr>
            </w:pPr>
          </w:p>
        </w:tc>
        <w:tc>
          <w:tcPr>
            <w:tcW w:w="830" w:type="dxa"/>
            <w:vMerge w:val="continue"/>
            <w:tcBorders>
              <w:right w:val="single" w:color="auto" w:sz="4" w:space="0"/>
            </w:tcBorders>
            <w:noWrap w:val="0"/>
            <w:vAlign w:val="center"/>
          </w:tcPr>
          <w:p w14:paraId="71428F76">
            <w:pPr>
              <w:pStyle w:val="22"/>
              <w:spacing w:line="240" w:lineRule="atLeast"/>
              <w:jc w:val="center"/>
              <w:rPr>
                <w:rFonts w:hint="eastAsia" w:ascii="宋体" w:hAnsi="宋体" w:eastAsia="宋体" w:cs="宋体"/>
                <w:sz w:val="21"/>
                <w:szCs w:val="21"/>
                <w:highlight w:val="none"/>
              </w:rPr>
            </w:pPr>
          </w:p>
        </w:tc>
        <w:tc>
          <w:tcPr>
            <w:tcW w:w="1811" w:type="dxa"/>
            <w:gridSpan w:val="2"/>
            <w:tcBorders>
              <w:top w:val="single" w:color="auto" w:sz="4" w:space="0"/>
              <w:left w:val="single" w:color="auto" w:sz="4" w:space="0"/>
              <w:right w:val="single" w:color="auto" w:sz="4" w:space="0"/>
            </w:tcBorders>
            <w:noWrap w:val="0"/>
            <w:vAlign w:val="center"/>
          </w:tcPr>
          <w:p w14:paraId="67B2B8DD">
            <w:pPr>
              <w:spacing w:line="240" w:lineRule="exact"/>
              <w:jc w:val="center"/>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val="en-US" w:eastAsia="zh-CN"/>
              </w:rPr>
              <w:t>单位负责人为同一人或者存在直接控股、管理关系的不同供应商，不得参加同一合同项下的政府采购活动</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798E37B4">
            <w:pPr>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提供“国家企业信用信息公示系统”中查询打印的相关材料（需包含公司基础信息、股东及出资信息),查询时间为自公告发布之日起至响应文件提交截止时间</w:t>
            </w:r>
            <w:r>
              <w:rPr>
                <w:rFonts w:hint="eastAsia" w:ascii="宋体" w:hAnsi="宋体" w:eastAsia="宋体" w:cs="宋体"/>
                <w:b w:val="0"/>
                <w:bCs w:val="0"/>
                <w:sz w:val="21"/>
                <w:szCs w:val="21"/>
                <w:highlight w:val="none"/>
                <w:lang w:eastAsia="zh-CN"/>
              </w:rPr>
              <w:t>。</w:t>
            </w:r>
          </w:p>
        </w:tc>
      </w:tr>
      <w:tr w14:paraId="5DA215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1" w:hRule="atLeast"/>
          <w:jc w:val="center"/>
        </w:trPr>
        <w:tc>
          <w:tcPr>
            <w:tcW w:w="829" w:type="dxa"/>
            <w:gridSpan w:val="2"/>
            <w:vMerge w:val="continue"/>
            <w:tcBorders>
              <w:right w:val="single" w:color="auto" w:sz="4" w:space="0"/>
            </w:tcBorders>
            <w:noWrap w:val="0"/>
            <w:vAlign w:val="center"/>
          </w:tcPr>
          <w:p w14:paraId="334DFA39">
            <w:pPr>
              <w:pStyle w:val="22"/>
              <w:spacing w:line="240" w:lineRule="atLeast"/>
              <w:jc w:val="center"/>
              <w:rPr>
                <w:rFonts w:hint="eastAsia" w:ascii="宋体" w:hAnsi="宋体" w:eastAsia="宋体" w:cs="宋体"/>
                <w:sz w:val="21"/>
                <w:szCs w:val="21"/>
                <w:highlight w:val="none"/>
              </w:rPr>
            </w:pPr>
          </w:p>
        </w:tc>
        <w:tc>
          <w:tcPr>
            <w:tcW w:w="830" w:type="dxa"/>
            <w:vMerge w:val="continue"/>
            <w:tcBorders>
              <w:right w:val="single" w:color="auto" w:sz="4" w:space="0"/>
            </w:tcBorders>
            <w:noWrap w:val="0"/>
            <w:vAlign w:val="center"/>
          </w:tcPr>
          <w:p w14:paraId="36C5DCB6">
            <w:pPr>
              <w:pStyle w:val="22"/>
              <w:spacing w:line="240" w:lineRule="atLeast"/>
              <w:jc w:val="center"/>
              <w:rPr>
                <w:rFonts w:hint="eastAsia" w:ascii="宋体" w:hAnsi="宋体" w:eastAsia="宋体" w:cs="宋体"/>
                <w:sz w:val="21"/>
                <w:szCs w:val="21"/>
                <w:highlight w:val="none"/>
              </w:rPr>
            </w:pPr>
          </w:p>
        </w:tc>
        <w:tc>
          <w:tcPr>
            <w:tcW w:w="1811" w:type="dxa"/>
            <w:gridSpan w:val="2"/>
            <w:tcBorders>
              <w:top w:val="single" w:color="auto" w:sz="4" w:space="0"/>
              <w:left w:val="single" w:color="auto" w:sz="4" w:space="0"/>
              <w:right w:val="single" w:color="auto" w:sz="4" w:space="0"/>
            </w:tcBorders>
            <w:noWrap w:val="0"/>
            <w:vAlign w:val="center"/>
          </w:tcPr>
          <w:p w14:paraId="6B267DBE">
            <w:pPr>
              <w:jc w:val="center"/>
              <w:rPr>
                <w:rFonts w:hint="eastAsia" w:ascii="宋体" w:hAnsi="宋体" w:eastAsia="宋体" w:cs="宋体"/>
                <w:b w:val="0"/>
                <w:bCs w:val="0"/>
                <w:color w:val="000000"/>
                <w:kern w:val="0"/>
                <w:sz w:val="21"/>
                <w:szCs w:val="21"/>
                <w:highlight w:val="none"/>
                <w:lang w:val="en-US" w:eastAsia="zh-CN"/>
              </w:rPr>
            </w:pPr>
            <w:r>
              <w:rPr>
                <w:rFonts w:hint="eastAsia" w:ascii="宋体" w:hAnsi="宋体" w:eastAsia="宋体" w:cs="宋体"/>
                <w:b w:val="0"/>
                <w:bCs w:val="0"/>
                <w:color w:val="000000"/>
                <w:kern w:val="0"/>
                <w:sz w:val="21"/>
                <w:szCs w:val="21"/>
                <w:highlight w:val="none"/>
                <w:lang w:val="en-US" w:eastAsia="zh-CN"/>
              </w:rPr>
              <w:t>其他要求</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712B3FC5">
            <w:pPr>
              <w:rPr>
                <w:rFonts w:hint="eastAsia" w:ascii="宋体" w:hAnsi="宋体" w:eastAsia="宋体" w:cs="宋体"/>
                <w:b w:val="0"/>
                <w:bCs w:val="0"/>
                <w:color w:val="000000"/>
                <w:kern w:val="0"/>
                <w:sz w:val="21"/>
                <w:szCs w:val="21"/>
                <w:highlight w:val="none"/>
                <w:lang w:val="en-US" w:eastAsia="zh-CN"/>
              </w:rPr>
            </w:pPr>
            <w:r>
              <w:rPr>
                <w:rFonts w:hint="eastAsia" w:ascii="宋体" w:hAnsi="宋体" w:eastAsia="宋体" w:cs="宋体"/>
                <w:b w:val="0"/>
                <w:bCs w:val="0"/>
                <w:color w:val="000000"/>
                <w:kern w:val="0"/>
                <w:sz w:val="21"/>
                <w:szCs w:val="21"/>
                <w:highlight w:val="none"/>
                <w:lang w:val="en-US" w:eastAsia="zh-CN"/>
              </w:rPr>
              <w:t>见供应商须知前附表1.4.1</w:t>
            </w:r>
          </w:p>
        </w:tc>
      </w:tr>
      <w:tr w14:paraId="452219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29" w:type="dxa"/>
            <w:gridSpan w:val="2"/>
            <w:vMerge w:val="restart"/>
            <w:tcBorders>
              <w:top w:val="single" w:color="auto" w:sz="4" w:space="0"/>
              <w:right w:val="single" w:color="auto" w:sz="4" w:space="0"/>
            </w:tcBorders>
            <w:noWrap w:val="0"/>
            <w:vAlign w:val="center"/>
          </w:tcPr>
          <w:p w14:paraId="4FD6D4C7">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2.1.3</w:t>
            </w:r>
          </w:p>
        </w:tc>
        <w:tc>
          <w:tcPr>
            <w:tcW w:w="830" w:type="dxa"/>
            <w:vMerge w:val="restart"/>
            <w:tcBorders>
              <w:top w:val="single" w:color="auto" w:sz="4" w:space="0"/>
              <w:right w:val="single" w:color="auto" w:sz="4" w:space="0"/>
            </w:tcBorders>
            <w:noWrap w:val="0"/>
            <w:vAlign w:val="center"/>
          </w:tcPr>
          <w:p w14:paraId="26A00CCF">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响</w:t>
            </w:r>
          </w:p>
          <w:p w14:paraId="7B9B7739">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应</w:t>
            </w:r>
          </w:p>
          <w:p w14:paraId="7D34831F">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性</w:t>
            </w:r>
          </w:p>
          <w:p w14:paraId="695E690E">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w:t>
            </w:r>
          </w:p>
          <w:p w14:paraId="0A12FE6B">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审</w:t>
            </w:r>
          </w:p>
          <w:p w14:paraId="73B5E7EF">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标</w:t>
            </w:r>
          </w:p>
          <w:p w14:paraId="6B2E8DD3">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准</w:t>
            </w:r>
          </w:p>
        </w:tc>
        <w:tc>
          <w:tcPr>
            <w:tcW w:w="1811" w:type="dxa"/>
            <w:gridSpan w:val="2"/>
            <w:tcBorders>
              <w:top w:val="single" w:color="auto" w:sz="4" w:space="0"/>
              <w:left w:val="single" w:color="auto" w:sz="4" w:space="0"/>
              <w:right w:val="single" w:color="auto" w:sz="4" w:space="0"/>
            </w:tcBorders>
            <w:noWrap w:val="0"/>
            <w:vAlign w:val="center"/>
          </w:tcPr>
          <w:p w14:paraId="25FF666B">
            <w:pPr>
              <w:jc w:val="center"/>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磋商范围</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5F558E82">
            <w:pP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本项目竞争性磋商文件、工程量清单、补充文件及答疑文件（如有）等列明的所有内容</w:t>
            </w:r>
          </w:p>
        </w:tc>
      </w:tr>
      <w:tr w14:paraId="7F8CC3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29" w:type="dxa"/>
            <w:gridSpan w:val="2"/>
            <w:vMerge w:val="continue"/>
            <w:tcBorders>
              <w:right w:val="single" w:color="auto" w:sz="4" w:space="0"/>
            </w:tcBorders>
            <w:noWrap w:val="0"/>
            <w:vAlign w:val="center"/>
          </w:tcPr>
          <w:p w14:paraId="49181B35">
            <w:pPr>
              <w:adjustRightInd w:val="0"/>
              <w:spacing w:line="360" w:lineRule="auto"/>
              <w:jc w:val="center"/>
              <w:textAlignment w:val="baseline"/>
              <w:rPr>
                <w:rFonts w:hint="eastAsia" w:ascii="宋体" w:hAnsi="宋体" w:eastAsia="宋体" w:cs="宋体"/>
                <w:color w:val="000000"/>
                <w:sz w:val="21"/>
                <w:szCs w:val="21"/>
                <w:highlight w:val="none"/>
              </w:rPr>
            </w:pPr>
          </w:p>
        </w:tc>
        <w:tc>
          <w:tcPr>
            <w:tcW w:w="830" w:type="dxa"/>
            <w:vMerge w:val="continue"/>
            <w:tcBorders>
              <w:right w:val="single" w:color="auto" w:sz="4" w:space="0"/>
            </w:tcBorders>
            <w:noWrap w:val="0"/>
            <w:vAlign w:val="center"/>
          </w:tcPr>
          <w:p w14:paraId="7D66C085">
            <w:pPr>
              <w:adjustRightInd w:val="0"/>
              <w:spacing w:line="360" w:lineRule="auto"/>
              <w:jc w:val="center"/>
              <w:textAlignment w:val="baseline"/>
              <w:rPr>
                <w:rFonts w:hint="eastAsia" w:ascii="宋体" w:hAnsi="宋体" w:eastAsia="宋体" w:cs="宋体"/>
                <w:color w:val="000000"/>
                <w:kern w:val="0"/>
                <w:sz w:val="21"/>
                <w:szCs w:val="21"/>
                <w:highlight w:val="none"/>
              </w:rPr>
            </w:pPr>
          </w:p>
        </w:tc>
        <w:tc>
          <w:tcPr>
            <w:tcW w:w="1811" w:type="dxa"/>
            <w:gridSpan w:val="2"/>
            <w:tcBorders>
              <w:top w:val="single" w:color="auto" w:sz="4" w:space="0"/>
              <w:left w:val="single" w:color="auto" w:sz="4" w:space="0"/>
              <w:right w:val="single" w:color="auto" w:sz="4" w:space="0"/>
            </w:tcBorders>
            <w:noWrap w:val="0"/>
            <w:vAlign w:val="center"/>
          </w:tcPr>
          <w:p w14:paraId="31A998BF">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计划工期</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66CD4C56">
            <w:pPr>
              <w:rPr>
                <w:rFonts w:hint="eastAsia" w:ascii="宋体" w:hAnsi="宋体" w:eastAsia="宋体" w:cs="宋体"/>
                <w:color w:val="000000"/>
                <w:sz w:val="21"/>
                <w:szCs w:val="21"/>
                <w:highlight w:val="none"/>
              </w:rPr>
            </w:pPr>
            <w:r>
              <w:rPr>
                <w:rFonts w:hint="eastAsia" w:ascii="宋体" w:hAnsi="宋体" w:eastAsia="宋体" w:cs="宋体"/>
                <w:sz w:val="21"/>
                <w:szCs w:val="21"/>
                <w:highlight w:val="none"/>
                <w:lang w:val="en-US" w:eastAsia="zh-CN"/>
              </w:rPr>
              <w:t>50日历天</w:t>
            </w:r>
          </w:p>
        </w:tc>
      </w:tr>
      <w:tr w14:paraId="25A5B9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29" w:type="dxa"/>
            <w:gridSpan w:val="2"/>
            <w:vMerge w:val="continue"/>
            <w:tcBorders>
              <w:right w:val="single" w:color="auto" w:sz="4" w:space="0"/>
            </w:tcBorders>
            <w:noWrap w:val="0"/>
            <w:vAlign w:val="center"/>
          </w:tcPr>
          <w:p w14:paraId="6E61F2D5">
            <w:pPr>
              <w:adjustRightInd w:val="0"/>
              <w:spacing w:line="360" w:lineRule="auto"/>
              <w:jc w:val="center"/>
              <w:textAlignment w:val="baseline"/>
              <w:rPr>
                <w:rFonts w:hint="eastAsia" w:ascii="宋体" w:hAnsi="宋体" w:eastAsia="宋体" w:cs="宋体"/>
                <w:color w:val="000000"/>
                <w:sz w:val="21"/>
                <w:szCs w:val="21"/>
                <w:highlight w:val="none"/>
              </w:rPr>
            </w:pPr>
          </w:p>
        </w:tc>
        <w:tc>
          <w:tcPr>
            <w:tcW w:w="830" w:type="dxa"/>
            <w:vMerge w:val="continue"/>
            <w:tcBorders>
              <w:right w:val="single" w:color="auto" w:sz="4" w:space="0"/>
            </w:tcBorders>
            <w:noWrap w:val="0"/>
            <w:vAlign w:val="center"/>
          </w:tcPr>
          <w:p w14:paraId="7AB00A6C">
            <w:pPr>
              <w:adjustRightInd w:val="0"/>
              <w:spacing w:line="360" w:lineRule="auto"/>
              <w:jc w:val="center"/>
              <w:textAlignment w:val="baseline"/>
              <w:rPr>
                <w:rFonts w:hint="eastAsia" w:ascii="宋体" w:hAnsi="宋体" w:eastAsia="宋体" w:cs="宋体"/>
                <w:color w:val="000000"/>
                <w:kern w:val="0"/>
                <w:sz w:val="21"/>
                <w:szCs w:val="21"/>
                <w:highlight w:val="none"/>
              </w:rPr>
            </w:pPr>
          </w:p>
        </w:tc>
        <w:tc>
          <w:tcPr>
            <w:tcW w:w="1811" w:type="dxa"/>
            <w:gridSpan w:val="2"/>
            <w:tcBorders>
              <w:top w:val="single" w:color="auto" w:sz="4" w:space="0"/>
              <w:left w:val="single" w:color="auto" w:sz="4" w:space="0"/>
              <w:right w:val="single" w:color="auto" w:sz="4" w:space="0"/>
            </w:tcBorders>
            <w:noWrap w:val="0"/>
            <w:vAlign w:val="center"/>
          </w:tcPr>
          <w:p w14:paraId="7D5711D4">
            <w:pPr>
              <w:jc w:val="center"/>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质量要求</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7CF9E6C9">
            <w:pPr>
              <w:pStyle w:val="18"/>
              <w:adjustRightInd/>
              <w:spacing w:after="0" w:line="360" w:lineRule="auto"/>
              <w:ind w:left="63" w:right="63"/>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工程交工验收的质量评定：合格</w:t>
            </w:r>
          </w:p>
          <w:p w14:paraId="0043CA67">
            <w:pPr>
              <w:pStyle w:val="18"/>
              <w:adjustRightInd/>
              <w:spacing w:after="0" w:line="360" w:lineRule="auto"/>
              <w:ind w:left="63" w:right="63"/>
              <w:jc w:val="both"/>
              <w:textAlignment w:val="auto"/>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竣工验收的质量评定：优良。</w:t>
            </w:r>
          </w:p>
        </w:tc>
      </w:tr>
      <w:tr w14:paraId="5FA1FB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29" w:type="dxa"/>
            <w:gridSpan w:val="2"/>
            <w:vMerge w:val="continue"/>
            <w:tcBorders>
              <w:right w:val="single" w:color="auto" w:sz="4" w:space="0"/>
            </w:tcBorders>
            <w:noWrap w:val="0"/>
            <w:vAlign w:val="center"/>
          </w:tcPr>
          <w:p w14:paraId="7D393182">
            <w:pPr>
              <w:adjustRightInd w:val="0"/>
              <w:spacing w:line="360" w:lineRule="auto"/>
              <w:jc w:val="center"/>
              <w:textAlignment w:val="baseline"/>
              <w:rPr>
                <w:rFonts w:hint="eastAsia" w:ascii="宋体" w:hAnsi="宋体" w:eastAsia="宋体" w:cs="宋体"/>
                <w:color w:val="000000"/>
                <w:sz w:val="21"/>
                <w:szCs w:val="21"/>
                <w:highlight w:val="none"/>
              </w:rPr>
            </w:pPr>
          </w:p>
        </w:tc>
        <w:tc>
          <w:tcPr>
            <w:tcW w:w="830" w:type="dxa"/>
            <w:vMerge w:val="continue"/>
            <w:tcBorders>
              <w:right w:val="single" w:color="auto" w:sz="4" w:space="0"/>
            </w:tcBorders>
            <w:noWrap w:val="0"/>
            <w:vAlign w:val="center"/>
          </w:tcPr>
          <w:p w14:paraId="4D81B4A2">
            <w:pPr>
              <w:adjustRightInd w:val="0"/>
              <w:spacing w:line="360" w:lineRule="auto"/>
              <w:jc w:val="center"/>
              <w:textAlignment w:val="baseline"/>
              <w:rPr>
                <w:rFonts w:hint="eastAsia" w:ascii="宋体" w:hAnsi="宋体" w:eastAsia="宋体" w:cs="宋体"/>
                <w:color w:val="000000"/>
                <w:kern w:val="0"/>
                <w:sz w:val="21"/>
                <w:szCs w:val="21"/>
                <w:highlight w:val="none"/>
              </w:rPr>
            </w:pPr>
          </w:p>
        </w:tc>
        <w:tc>
          <w:tcPr>
            <w:tcW w:w="1811" w:type="dxa"/>
            <w:gridSpan w:val="2"/>
            <w:tcBorders>
              <w:top w:val="single" w:color="auto" w:sz="4" w:space="0"/>
              <w:left w:val="single" w:color="auto" w:sz="4" w:space="0"/>
              <w:right w:val="single" w:color="auto" w:sz="4" w:space="0"/>
            </w:tcBorders>
            <w:noWrap w:val="0"/>
            <w:vAlign w:val="center"/>
          </w:tcPr>
          <w:p w14:paraId="4A7BC03F">
            <w:pPr>
              <w:jc w:val="center"/>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磋商有效期</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245EDC3B">
            <w:pPr>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磋商截止之日起60日历天</w:t>
            </w:r>
          </w:p>
        </w:tc>
      </w:tr>
      <w:tr w14:paraId="5A4D57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29" w:type="dxa"/>
            <w:gridSpan w:val="2"/>
            <w:vMerge w:val="continue"/>
            <w:tcBorders>
              <w:right w:val="single" w:color="auto" w:sz="4" w:space="0"/>
            </w:tcBorders>
            <w:noWrap w:val="0"/>
            <w:vAlign w:val="center"/>
          </w:tcPr>
          <w:p w14:paraId="6389AA9A">
            <w:pPr>
              <w:adjustRightInd w:val="0"/>
              <w:spacing w:line="360" w:lineRule="auto"/>
              <w:jc w:val="center"/>
              <w:textAlignment w:val="baseline"/>
              <w:rPr>
                <w:rFonts w:hint="eastAsia" w:ascii="宋体" w:hAnsi="宋体" w:eastAsia="宋体" w:cs="宋体"/>
                <w:color w:val="000000"/>
                <w:sz w:val="21"/>
                <w:szCs w:val="21"/>
                <w:highlight w:val="none"/>
              </w:rPr>
            </w:pPr>
          </w:p>
        </w:tc>
        <w:tc>
          <w:tcPr>
            <w:tcW w:w="830" w:type="dxa"/>
            <w:vMerge w:val="continue"/>
            <w:tcBorders>
              <w:right w:val="single" w:color="auto" w:sz="4" w:space="0"/>
            </w:tcBorders>
            <w:noWrap w:val="0"/>
            <w:vAlign w:val="center"/>
          </w:tcPr>
          <w:p w14:paraId="2B0E3656">
            <w:pPr>
              <w:adjustRightInd w:val="0"/>
              <w:spacing w:line="360" w:lineRule="auto"/>
              <w:jc w:val="center"/>
              <w:textAlignment w:val="baseline"/>
              <w:rPr>
                <w:rFonts w:hint="eastAsia" w:ascii="宋体" w:hAnsi="宋体" w:eastAsia="宋体" w:cs="宋体"/>
                <w:color w:val="000000"/>
                <w:kern w:val="0"/>
                <w:sz w:val="21"/>
                <w:szCs w:val="21"/>
                <w:highlight w:val="none"/>
              </w:rPr>
            </w:pPr>
          </w:p>
        </w:tc>
        <w:tc>
          <w:tcPr>
            <w:tcW w:w="1811" w:type="dxa"/>
            <w:gridSpan w:val="2"/>
            <w:tcBorders>
              <w:top w:val="single" w:color="auto" w:sz="4" w:space="0"/>
              <w:left w:val="single" w:color="auto" w:sz="4" w:space="0"/>
              <w:right w:val="single" w:color="auto" w:sz="4" w:space="0"/>
            </w:tcBorders>
            <w:noWrap w:val="0"/>
            <w:vAlign w:val="center"/>
          </w:tcPr>
          <w:p w14:paraId="5C088262">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eastAsia="zh-CN"/>
              </w:rPr>
              <w:t>响应报价</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2A99A435">
            <w:pPr>
              <w:jc w:val="both"/>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eastAsia="zh-CN"/>
              </w:rPr>
              <w:t>响应报价</w:t>
            </w:r>
            <w:r>
              <w:rPr>
                <w:rFonts w:hint="eastAsia" w:ascii="宋体" w:hAnsi="宋体" w:eastAsia="宋体" w:cs="宋体"/>
                <w:sz w:val="21"/>
                <w:szCs w:val="21"/>
                <w:highlight w:val="none"/>
              </w:rPr>
              <w:t>在规定的报价要求范围之内，未超出控制价</w:t>
            </w:r>
          </w:p>
        </w:tc>
      </w:tr>
      <w:tr w14:paraId="4B31D6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29" w:type="dxa"/>
            <w:gridSpan w:val="2"/>
            <w:vMerge w:val="continue"/>
            <w:tcBorders>
              <w:right w:val="single" w:color="auto" w:sz="4" w:space="0"/>
            </w:tcBorders>
            <w:noWrap w:val="0"/>
            <w:vAlign w:val="center"/>
          </w:tcPr>
          <w:p w14:paraId="093B959B">
            <w:pPr>
              <w:adjustRightInd w:val="0"/>
              <w:spacing w:line="360" w:lineRule="auto"/>
              <w:jc w:val="center"/>
              <w:textAlignment w:val="baseline"/>
              <w:rPr>
                <w:rFonts w:hint="eastAsia" w:ascii="宋体" w:hAnsi="宋体" w:eastAsia="宋体" w:cs="宋体"/>
                <w:color w:val="000000"/>
                <w:sz w:val="21"/>
                <w:szCs w:val="21"/>
                <w:highlight w:val="none"/>
              </w:rPr>
            </w:pPr>
          </w:p>
        </w:tc>
        <w:tc>
          <w:tcPr>
            <w:tcW w:w="830" w:type="dxa"/>
            <w:vMerge w:val="continue"/>
            <w:tcBorders>
              <w:right w:val="single" w:color="auto" w:sz="4" w:space="0"/>
            </w:tcBorders>
            <w:noWrap w:val="0"/>
            <w:vAlign w:val="center"/>
          </w:tcPr>
          <w:p w14:paraId="76ACA83A">
            <w:pPr>
              <w:adjustRightInd w:val="0"/>
              <w:spacing w:line="360" w:lineRule="auto"/>
              <w:jc w:val="center"/>
              <w:textAlignment w:val="baseline"/>
              <w:rPr>
                <w:rFonts w:hint="eastAsia" w:ascii="宋体" w:hAnsi="宋体" w:eastAsia="宋体" w:cs="宋体"/>
                <w:color w:val="000000"/>
                <w:kern w:val="0"/>
                <w:sz w:val="21"/>
                <w:szCs w:val="21"/>
                <w:highlight w:val="none"/>
              </w:rPr>
            </w:pPr>
          </w:p>
        </w:tc>
        <w:tc>
          <w:tcPr>
            <w:tcW w:w="1811" w:type="dxa"/>
            <w:gridSpan w:val="2"/>
            <w:tcBorders>
              <w:top w:val="single" w:color="auto" w:sz="4" w:space="0"/>
              <w:left w:val="single" w:color="auto" w:sz="4" w:space="0"/>
              <w:right w:val="single" w:color="auto" w:sz="4" w:space="0"/>
            </w:tcBorders>
            <w:noWrap w:val="0"/>
            <w:vAlign w:val="center"/>
          </w:tcPr>
          <w:p w14:paraId="581C94AF">
            <w:pPr>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其他要求</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411C230A">
            <w:pPr>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响应竞争性磋商文件</w:t>
            </w:r>
            <w:r>
              <w:rPr>
                <w:rFonts w:hint="eastAsia" w:ascii="宋体" w:hAnsi="宋体" w:eastAsia="宋体" w:cs="宋体"/>
                <w:sz w:val="21"/>
                <w:szCs w:val="21"/>
                <w:highlight w:val="none"/>
                <w:lang w:val="en-US" w:eastAsia="zh-CN"/>
              </w:rPr>
              <w:t>其他实质性</w:t>
            </w:r>
            <w:r>
              <w:rPr>
                <w:rFonts w:hint="eastAsia" w:ascii="宋体" w:hAnsi="宋体" w:eastAsia="宋体" w:cs="宋体"/>
                <w:sz w:val="21"/>
                <w:szCs w:val="21"/>
                <w:highlight w:val="none"/>
                <w:lang w:eastAsia="zh-CN"/>
              </w:rPr>
              <w:t>要求</w:t>
            </w:r>
          </w:p>
        </w:tc>
      </w:tr>
      <w:tr w14:paraId="3D7B8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799" w:type="dxa"/>
            <w:gridSpan w:val="7"/>
            <w:noWrap w:val="0"/>
            <w:vAlign w:val="center"/>
          </w:tcPr>
          <w:p w14:paraId="11F78922">
            <w:pPr>
              <w:snapToGrid w:val="0"/>
              <w:spacing w:line="360" w:lineRule="auto"/>
              <w:ind w:firstLine="367" w:firstLineChars="175"/>
              <w:rPr>
                <w:rFonts w:hint="eastAsia" w:ascii="宋体" w:hAnsi="宋体" w:eastAsia="宋体" w:cs="宋体"/>
                <w:sz w:val="21"/>
                <w:szCs w:val="21"/>
                <w:highlight w:val="none"/>
              </w:rPr>
            </w:pPr>
            <w:r>
              <w:rPr>
                <w:rFonts w:hint="eastAsia" w:ascii="宋体" w:hAnsi="宋体" w:eastAsia="宋体" w:cs="宋体"/>
                <w:sz w:val="21"/>
                <w:szCs w:val="21"/>
                <w:highlight w:val="none"/>
              </w:rPr>
              <w:t>2.2在评审过程中，凡遇到磋商文件中无界定或界定不清、前后不一致使磋商小组意见有分歧且又难于协商一致的问题，均由磋商小组予以表决，获半数以上同意的即为通过，未获半数同意的即为否决。</w:t>
            </w:r>
          </w:p>
        </w:tc>
      </w:tr>
      <w:tr w14:paraId="7A3A3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697" w:type="dxa"/>
            <w:gridSpan w:val="4"/>
            <w:noWrap w:val="0"/>
            <w:vAlign w:val="center"/>
          </w:tcPr>
          <w:p w14:paraId="7425DC2A">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条款号</w:t>
            </w:r>
          </w:p>
        </w:tc>
        <w:tc>
          <w:tcPr>
            <w:tcW w:w="2106" w:type="dxa"/>
            <w:gridSpan w:val="2"/>
            <w:noWrap w:val="0"/>
            <w:vAlign w:val="center"/>
          </w:tcPr>
          <w:p w14:paraId="03E88AF7">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条款内容</w:t>
            </w:r>
          </w:p>
        </w:tc>
        <w:tc>
          <w:tcPr>
            <w:tcW w:w="4996" w:type="dxa"/>
            <w:noWrap w:val="0"/>
            <w:vAlign w:val="center"/>
          </w:tcPr>
          <w:p w14:paraId="1A54964E">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编列内容</w:t>
            </w:r>
          </w:p>
        </w:tc>
      </w:tr>
      <w:tr w14:paraId="06B1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1697" w:type="dxa"/>
            <w:gridSpan w:val="4"/>
            <w:noWrap w:val="0"/>
            <w:vAlign w:val="center"/>
          </w:tcPr>
          <w:p w14:paraId="554EB7D5">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2.2.1</w:t>
            </w:r>
          </w:p>
        </w:tc>
        <w:tc>
          <w:tcPr>
            <w:tcW w:w="2106" w:type="dxa"/>
            <w:gridSpan w:val="2"/>
            <w:noWrap w:val="0"/>
            <w:vAlign w:val="center"/>
          </w:tcPr>
          <w:p w14:paraId="72745B80">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分值构成</w:t>
            </w:r>
          </w:p>
          <w:p w14:paraId="64DEB0B6">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（总分100分）</w:t>
            </w:r>
          </w:p>
        </w:tc>
        <w:tc>
          <w:tcPr>
            <w:tcW w:w="4996" w:type="dxa"/>
            <w:noWrap w:val="0"/>
            <w:vAlign w:val="center"/>
          </w:tcPr>
          <w:p w14:paraId="1952E742">
            <w:pP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eastAsia="zh-CN"/>
              </w:rPr>
              <w:t>响应报价</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lang w:val="en-US" w:eastAsia="zh-CN"/>
              </w:rPr>
              <w:t>30</w:t>
            </w:r>
            <w:r>
              <w:rPr>
                <w:rFonts w:hint="eastAsia" w:ascii="宋体" w:hAnsi="宋体" w:eastAsia="宋体" w:cs="宋体"/>
                <w:kern w:val="0"/>
                <w:sz w:val="21"/>
                <w:szCs w:val="21"/>
                <w:highlight w:val="none"/>
              </w:rPr>
              <w:t>分</w:t>
            </w:r>
          </w:p>
          <w:p w14:paraId="4D4C0308">
            <w:pP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技术标：</w:t>
            </w:r>
            <w:r>
              <w:rPr>
                <w:rFonts w:hint="eastAsia" w:ascii="宋体" w:hAnsi="宋体" w:eastAsia="宋体" w:cs="宋体"/>
                <w:kern w:val="0"/>
                <w:sz w:val="21"/>
                <w:szCs w:val="21"/>
                <w:highlight w:val="none"/>
                <w:lang w:val="en-US" w:eastAsia="zh-CN"/>
              </w:rPr>
              <w:t>40</w:t>
            </w:r>
            <w:r>
              <w:rPr>
                <w:rFonts w:hint="eastAsia" w:ascii="宋体" w:hAnsi="宋体" w:eastAsia="宋体" w:cs="宋体"/>
                <w:kern w:val="0"/>
                <w:sz w:val="21"/>
                <w:szCs w:val="21"/>
                <w:highlight w:val="none"/>
              </w:rPr>
              <w:t>分</w:t>
            </w:r>
          </w:p>
          <w:p w14:paraId="212365C0">
            <w:pPr>
              <w:rPr>
                <w:rFonts w:hint="eastAsia" w:ascii="宋体" w:hAnsi="宋体" w:eastAsia="宋体" w:cs="宋体"/>
                <w:sz w:val="21"/>
                <w:szCs w:val="21"/>
                <w:highlight w:val="none"/>
              </w:rPr>
            </w:pPr>
            <w:r>
              <w:rPr>
                <w:rFonts w:hint="eastAsia" w:ascii="宋体" w:hAnsi="宋体" w:eastAsia="宋体" w:cs="宋体"/>
                <w:kern w:val="0"/>
                <w:sz w:val="21"/>
                <w:szCs w:val="21"/>
                <w:highlight w:val="none"/>
              </w:rPr>
              <w:t>商务标：</w:t>
            </w:r>
            <w:r>
              <w:rPr>
                <w:rFonts w:hint="eastAsia" w:ascii="宋体" w:hAnsi="宋体" w:eastAsia="宋体" w:cs="宋体"/>
                <w:kern w:val="0"/>
                <w:sz w:val="21"/>
                <w:szCs w:val="21"/>
                <w:highlight w:val="none"/>
                <w:lang w:val="en-US" w:eastAsia="zh-CN"/>
              </w:rPr>
              <w:t>30</w:t>
            </w:r>
            <w:r>
              <w:rPr>
                <w:rFonts w:hint="eastAsia" w:ascii="宋体" w:hAnsi="宋体" w:eastAsia="宋体" w:cs="宋体"/>
                <w:kern w:val="0"/>
                <w:sz w:val="21"/>
                <w:szCs w:val="21"/>
                <w:highlight w:val="none"/>
              </w:rPr>
              <w:t>分</w:t>
            </w:r>
          </w:p>
        </w:tc>
      </w:tr>
      <w:tr w14:paraId="02A10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697" w:type="dxa"/>
            <w:gridSpan w:val="4"/>
            <w:noWrap w:val="0"/>
            <w:vAlign w:val="center"/>
          </w:tcPr>
          <w:p w14:paraId="2B504072">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条款号</w:t>
            </w:r>
          </w:p>
        </w:tc>
        <w:tc>
          <w:tcPr>
            <w:tcW w:w="2106" w:type="dxa"/>
            <w:gridSpan w:val="2"/>
            <w:noWrap w:val="0"/>
            <w:vAlign w:val="center"/>
          </w:tcPr>
          <w:p w14:paraId="71CEAC3C">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评分因素</w:t>
            </w:r>
          </w:p>
        </w:tc>
        <w:tc>
          <w:tcPr>
            <w:tcW w:w="4996" w:type="dxa"/>
            <w:noWrap w:val="0"/>
            <w:vAlign w:val="center"/>
          </w:tcPr>
          <w:p w14:paraId="6251BA12">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评分标准</w:t>
            </w:r>
          </w:p>
        </w:tc>
      </w:tr>
      <w:tr w14:paraId="3FB59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42" w:type="dxa"/>
            <w:noWrap w:val="0"/>
            <w:vAlign w:val="center"/>
          </w:tcPr>
          <w:p w14:paraId="4DEC829D">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2.2.2</w:t>
            </w:r>
          </w:p>
          <w:p w14:paraId="44125CB5">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955" w:type="dxa"/>
            <w:gridSpan w:val="3"/>
            <w:noWrap w:val="0"/>
            <w:vAlign w:val="center"/>
          </w:tcPr>
          <w:p w14:paraId="53CAE786">
            <w:pPr>
              <w:pStyle w:val="22"/>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w:t>
            </w:r>
          </w:p>
          <w:p w14:paraId="4BBA27F6">
            <w:pPr>
              <w:pStyle w:val="22"/>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报价评</w:t>
            </w:r>
          </w:p>
          <w:p w14:paraId="23F5C0AB">
            <w:pPr>
              <w:pStyle w:val="22"/>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分标准</w:t>
            </w:r>
          </w:p>
          <w:p w14:paraId="51C5CBBB">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30</w:t>
            </w:r>
            <w:r>
              <w:rPr>
                <w:rFonts w:hint="eastAsia" w:ascii="宋体" w:hAnsi="宋体" w:eastAsia="宋体" w:cs="宋体"/>
                <w:sz w:val="21"/>
                <w:szCs w:val="21"/>
                <w:highlight w:val="none"/>
              </w:rPr>
              <w:t>分</w:t>
            </w:r>
          </w:p>
        </w:tc>
        <w:tc>
          <w:tcPr>
            <w:tcW w:w="2106" w:type="dxa"/>
            <w:gridSpan w:val="2"/>
            <w:noWrap w:val="0"/>
            <w:vAlign w:val="center"/>
          </w:tcPr>
          <w:p w14:paraId="5E22FA08">
            <w:pPr>
              <w:spacing w:line="360" w:lineRule="auto"/>
              <w:jc w:val="center"/>
              <w:rPr>
                <w:rFonts w:hint="eastAsia" w:ascii="宋体" w:hAnsi="宋体" w:eastAsia="宋体" w:cs="宋体"/>
                <w:sz w:val="21"/>
                <w:szCs w:val="21"/>
                <w:highlight w:val="none"/>
              </w:rPr>
            </w:pPr>
          </w:p>
          <w:p w14:paraId="4F251C8B">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最后</w:t>
            </w:r>
            <w:r>
              <w:rPr>
                <w:rFonts w:hint="eastAsia" w:ascii="宋体" w:hAnsi="宋体" w:eastAsia="宋体" w:cs="宋体"/>
                <w:sz w:val="21"/>
                <w:szCs w:val="21"/>
                <w:highlight w:val="none"/>
                <w:lang w:eastAsia="zh-CN"/>
              </w:rPr>
              <w:t>响应报价</w:t>
            </w:r>
            <w:r>
              <w:rPr>
                <w:rFonts w:hint="eastAsia" w:ascii="宋体" w:hAnsi="宋体" w:eastAsia="宋体" w:cs="宋体"/>
                <w:sz w:val="21"/>
                <w:szCs w:val="21"/>
                <w:highlight w:val="none"/>
              </w:rPr>
              <w:t>得分</w:t>
            </w:r>
          </w:p>
          <w:p w14:paraId="2807CB36">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30</w:t>
            </w:r>
            <w:r>
              <w:rPr>
                <w:rFonts w:hint="eastAsia" w:ascii="宋体" w:hAnsi="宋体" w:eastAsia="宋体" w:cs="宋体"/>
                <w:sz w:val="21"/>
                <w:szCs w:val="21"/>
                <w:highlight w:val="none"/>
              </w:rPr>
              <w:t>分）</w:t>
            </w:r>
          </w:p>
          <w:p w14:paraId="198B5BC9">
            <w:pPr>
              <w:spacing w:line="360" w:lineRule="auto"/>
              <w:jc w:val="center"/>
              <w:rPr>
                <w:rFonts w:hint="eastAsia" w:ascii="宋体" w:hAnsi="宋体" w:eastAsia="宋体" w:cs="宋体"/>
                <w:sz w:val="21"/>
                <w:szCs w:val="21"/>
                <w:highlight w:val="none"/>
              </w:rPr>
            </w:pPr>
          </w:p>
        </w:tc>
        <w:tc>
          <w:tcPr>
            <w:tcW w:w="4996" w:type="dxa"/>
            <w:noWrap w:val="0"/>
            <w:vAlign w:val="center"/>
          </w:tcPr>
          <w:p w14:paraId="34624EF3">
            <w:pPr>
              <w:keepNext w:val="0"/>
              <w:keepLines w:val="0"/>
              <w:pageBreakBefore w:val="0"/>
              <w:widowControl w:val="0"/>
              <w:kinsoku/>
              <w:overflowPunct/>
              <w:autoSpaceDE/>
              <w:autoSpaceDN/>
              <w:bidi w:val="0"/>
              <w:adjustRightInd w:val="0"/>
              <w:spacing w:line="360" w:lineRule="auto"/>
              <w:ind w:firstLine="48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价格分统一采用低价优先法计算，既满足磋商文件要求</w:t>
            </w:r>
            <w:r>
              <w:rPr>
                <w:rFonts w:hint="eastAsia" w:ascii="宋体" w:hAnsi="宋体" w:eastAsia="宋体" w:cs="宋体"/>
                <w:b w:val="0"/>
                <w:bCs w:val="0"/>
                <w:color w:val="auto"/>
                <w:sz w:val="21"/>
                <w:szCs w:val="21"/>
                <w:highlight w:val="none"/>
              </w:rPr>
              <w:t>且最终</w:t>
            </w:r>
            <w:r>
              <w:rPr>
                <w:rFonts w:hint="eastAsia" w:ascii="宋体" w:hAnsi="宋体" w:eastAsia="宋体" w:cs="宋体"/>
                <w:b w:val="0"/>
                <w:bCs w:val="0"/>
                <w:color w:val="auto"/>
                <w:sz w:val="21"/>
                <w:szCs w:val="21"/>
                <w:highlight w:val="none"/>
                <w:lang w:eastAsia="zh-CN"/>
              </w:rPr>
              <w:t>评审</w:t>
            </w:r>
            <w:r>
              <w:rPr>
                <w:rFonts w:hint="eastAsia" w:ascii="宋体" w:hAnsi="宋体" w:eastAsia="宋体" w:cs="宋体"/>
                <w:b w:val="0"/>
                <w:bCs w:val="0"/>
                <w:color w:val="auto"/>
                <w:sz w:val="21"/>
                <w:szCs w:val="21"/>
                <w:highlight w:val="none"/>
              </w:rPr>
              <w:t>报价最低的为评标基准价，</w:t>
            </w:r>
            <w:r>
              <w:rPr>
                <w:rFonts w:hint="eastAsia" w:ascii="宋体" w:hAnsi="宋体" w:eastAsia="宋体" w:cs="宋体"/>
                <w:color w:val="auto"/>
                <w:sz w:val="21"/>
                <w:szCs w:val="21"/>
                <w:highlight w:val="none"/>
              </w:rPr>
              <w:t>其价格分为满分。其他供应商的价格分统一按照下列公式计算：</w:t>
            </w:r>
          </w:p>
          <w:p w14:paraId="54E2BF35">
            <w:pPr>
              <w:keepNext w:val="0"/>
              <w:keepLines w:val="0"/>
              <w:pageBreakBefore w:val="0"/>
              <w:widowControl w:val="0"/>
              <w:kinsoku/>
              <w:overflowPunct/>
              <w:autoSpaceDE/>
              <w:autoSpaceDN/>
              <w:bidi w:val="0"/>
              <w:adjustRightInd w:val="0"/>
              <w:spacing w:line="360" w:lineRule="auto"/>
              <w:ind w:firstLine="48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供应商报价得分=（评标基准价/供应商最终</w:t>
            </w:r>
            <w:r>
              <w:rPr>
                <w:rFonts w:hint="eastAsia" w:ascii="宋体" w:hAnsi="宋体" w:eastAsia="宋体" w:cs="宋体"/>
                <w:color w:val="auto"/>
                <w:sz w:val="21"/>
                <w:szCs w:val="21"/>
                <w:highlight w:val="none"/>
                <w:lang w:eastAsia="zh-CN"/>
              </w:rPr>
              <w:t>评审报价</w:t>
            </w:r>
            <w:r>
              <w:rPr>
                <w:rFonts w:hint="eastAsia" w:ascii="宋体" w:hAnsi="宋体" w:eastAsia="宋体" w:cs="宋体"/>
                <w:color w:val="auto"/>
                <w:sz w:val="21"/>
                <w:szCs w:val="21"/>
                <w:highlight w:val="none"/>
              </w:rPr>
              <w:t>）×30</w:t>
            </w:r>
          </w:p>
          <w:p w14:paraId="7888913F">
            <w:pPr>
              <w:keepNext w:val="0"/>
              <w:keepLines w:val="0"/>
              <w:pageBreakBefore w:val="0"/>
              <w:widowControl w:val="0"/>
              <w:kinsoku/>
              <w:overflowPunct/>
              <w:autoSpaceDE/>
              <w:autoSpaceDN/>
              <w:bidi w:val="0"/>
              <w:adjustRightInd w:val="0"/>
              <w:spacing w:line="360" w:lineRule="auto"/>
              <w:ind w:firstLine="480"/>
              <w:jc w:val="both"/>
              <w:textAlignment w:val="baseline"/>
              <w:rPr>
                <w:rFonts w:hint="eastAsia" w:ascii="宋体" w:hAnsi="宋体" w:eastAsia="宋体" w:cs="宋体"/>
                <w:color w:val="auto"/>
                <w:sz w:val="21"/>
                <w:szCs w:val="21"/>
                <w:highlight w:val="none"/>
                <w:lang w:val="en-US"/>
              </w:rPr>
            </w:pPr>
            <w:r>
              <w:rPr>
                <w:rFonts w:hint="eastAsia" w:ascii="宋体" w:hAnsi="宋体" w:eastAsia="宋体" w:cs="宋体"/>
                <w:b/>
                <w:bCs/>
                <w:color w:val="auto"/>
                <w:sz w:val="21"/>
                <w:szCs w:val="21"/>
                <w:highlight w:val="none"/>
                <w:lang w:val="en-US" w:eastAsia="zh-CN"/>
              </w:rPr>
              <w:t>如供应商为小微企业，供应商最终评审报价=供应商最终响应报价×（1-3%）；非小微企业供应商最终评审报价=供应商最终响应报价。</w:t>
            </w:r>
          </w:p>
          <w:p w14:paraId="305EA859">
            <w:pPr>
              <w:keepNext w:val="0"/>
              <w:keepLines w:val="0"/>
              <w:pageBreakBefore w:val="0"/>
              <w:widowControl w:val="0"/>
              <w:kinsoku/>
              <w:overflowPunct/>
              <w:autoSpaceDE/>
              <w:autoSpaceDN/>
              <w:bidi w:val="0"/>
              <w:adjustRightInd w:val="0"/>
              <w:spacing w:line="360" w:lineRule="auto"/>
              <w:ind w:firstLine="480"/>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注：根据《政府采购促进中小企业发展管理办法》（财库﹝2020﹞46 号）的规定，对小型、微型企业承建的价格给予3%～5%的扣除，用扣除后的价格参与评审，本项目的扣除比例为：小型企业扣除3%，微型企业扣除3%。监狱企业和残疾人福利性单位属于小型、微型企业的，不重复享受政策。</w:t>
            </w:r>
          </w:p>
          <w:p w14:paraId="62940724">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小企业应在响应文件提供《中小企业声明函》，并同时满足小微企业划分标准，否则不予认可。监狱企业应当在响应文件中提供由省级以上监狱管理局、戒毒管理局(含新疆生产建设兵团)出具的属于监狱企业的证明文件。残疾人福利性单位应当在响应文件中提供《残疾人福利性单位声明函》。</w:t>
            </w:r>
          </w:p>
          <w:p w14:paraId="752A418B">
            <w:pPr>
              <w:keepNext w:val="0"/>
              <w:keepLines w:val="0"/>
              <w:pageBreakBefore w:val="0"/>
              <w:widowControl w:val="0"/>
              <w:numPr>
                <w:ilvl w:val="0"/>
                <w:numId w:val="0"/>
              </w:numPr>
              <w:kinsoku/>
              <w:overflowPunct/>
              <w:autoSpaceDE/>
              <w:autoSpaceDN/>
              <w:bidi w:val="0"/>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磋商小组认为供应商的报价明显低于其他通过符合性审查供应商的报价，有可能影响</w:t>
            </w:r>
            <w:r>
              <w:rPr>
                <w:rFonts w:hint="eastAsia" w:ascii="宋体" w:hAnsi="宋体" w:eastAsia="宋体" w:cs="宋体"/>
                <w:sz w:val="21"/>
                <w:szCs w:val="21"/>
                <w:highlight w:val="none"/>
                <w:lang w:val="en-US" w:eastAsia="zh-CN"/>
              </w:rPr>
              <w:t>工程</w:t>
            </w:r>
            <w:r>
              <w:rPr>
                <w:rFonts w:hint="eastAsia" w:ascii="宋体" w:hAnsi="宋体" w:eastAsia="宋体" w:cs="宋体"/>
                <w:sz w:val="21"/>
                <w:szCs w:val="21"/>
                <w:highlight w:val="none"/>
                <w:lang w:eastAsia="zh-CN"/>
              </w:rPr>
              <w:t>质量或者不能诚信履约的，应当要求其在评标现场合理的时间内提供书面说明，必要时提交相关证明材料；供应商不能证明其报价合理性的，磋商小组应当将其作为无效报价处理。</w:t>
            </w:r>
          </w:p>
          <w:p w14:paraId="5A137BD7">
            <w:pPr>
              <w:keepNext w:val="0"/>
              <w:keepLines w:val="0"/>
              <w:pageBreakBefore w:val="0"/>
              <w:widowControl w:val="0"/>
              <w:kinsoku/>
              <w:overflowPunct/>
              <w:autoSpaceDE/>
              <w:autoSpaceDN/>
              <w:bidi w:val="0"/>
              <w:spacing w:line="360" w:lineRule="auto"/>
              <w:rPr>
                <w:rFonts w:hint="eastAsia" w:ascii="宋体" w:hAnsi="宋体" w:eastAsia="宋体" w:cs="宋体"/>
                <w:sz w:val="21"/>
                <w:szCs w:val="21"/>
                <w:highlight w:val="none"/>
                <w:lang w:eastAsia="zh-CN"/>
              </w:rPr>
            </w:pPr>
            <w:r>
              <w:rPr>
                <w:rFonts w:hint="eastAsia" w:ascii="宋体" w:hAnsi="宋体" w:eastAsia="宋体" w:cs="宋体"/>
                <w:b w:val="0"/>
                <w:bCs w:val="0"/>
                <w:color w:val="auto"/>
                <w:kern w:val="2"/>
                <w:sz w:val="21"/>
                <w:szCs w:val="21"/>
                <w:highlight w:val="none"/>
                <w:lang w:val="en-US" w:eastAsia="zh-CN" w:bidi="ar-SA"/>
              </w:rPr>
              <w:t>说明：对于供应商为小型和微型企业以扣除后的报价参与价格分计算，但不作为成交价和合同签约价</w:t>
            </w:r>
            <w:r>
              <w:rPr>
                <w:rFonts w:hint="eastAsia" w:ascii="宋体" w:hAnsi="宋体" w:eastAsia="宋体" w:cs="宋体"/>
                <w:sz w:val="21"/>
                <w:szCs w:val="21"/>
                <w:highlight w:val="none"/>
                <w:lang w:eastAsia="zh-CN"/>
              </w:rPr>
              <w:t>。</w:t>
            </w:r>
          </w:p>
        </w:tc>
      </w:tr>
      <w:tr w14:paraId="7321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742" w:type="dxa"/>
            <w:vMerge w:val="restart"/>
            <w:noWrap w:val="0"/>
            <w:vAlign w:val="center"/>
          </w:tcPr>
          <w:p w14:paraId="276AE949">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2.2.2</w:t>
            </w:r>
          </w:p>
          <w:p w14:paraId="40596D64">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955" w:type="dxa"/>
            <w:gridSpan w:val="3"/>
            <w:vMerge w:val="restart"/>
            <w:noWrap w:val="0"/>
            <w:vAlign w:val="center"/>
          </w:tcPr>
          <w:p w14:paraId="16378E2E">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技术标 </w:t>
            </w:r>
            <w:r>
              <w:rPr>
                <w:rFonts w:hint="eastAsia" w:ascii="宋体" w:hAnsi="宋体" w:eastAsia="宋体" w:cs="宋体"/>
                <w:sz w:val="21"/>
                <w:szCs w:val="21"/>
                <w:highlight w:val="none"/>
                <w:lang w:val="en-US" w:eastAsia="zh-CN"/>
              </w:rPr>
              <w:t>40</w:t>
            </w:r>
            <w:r>
              <w:rPr>
                <w:rFonts w:hint="eastAsia" w:ascii="宋体" w:hAnsi="宋体" w:eastAsia="宋体" w:cs="宋体"/>
                <w:sz w:val="21"/>
                <w:szCs w:val="21"/>
                <w:highlight w:val="none"/>
              </w:rPr>
              <w:t>分</w:t>
            </w:r>
          </w:p>
          <w:p w14:paraId="567A3C26">
            <w:pPr>
              <w:spacing w:line="360" w:lineRule="auto"/>
              <w:jc w:val="center"/>
              <w:rPr>
                <w:rFonts w:hint="eastAsia" w:ascii="宋体" w:hAnsi="宋体" w:eastAsia="宋体" w:cs="宋体"/>
                <w:sz w:val="21"/>
                <w:szCs w:val="21"/>
                <w:highlight w:val="none"/>
              </w:rPr>
            </w:pPr>
          </w:p>
        </w:tc>
        <w:tc>
          <w:tcPr>
            <w:tcW w:w="2106" w:type="dxa"/>
            <w:gridSpan w:val="2"/>
            <w:noWrap w:val="0"/>
            <w:vAlign w:val="center"/>
          </w:tcPr>
          <w:p w14:paraId="08A3EB43">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总体施工组织布置及规划（0-</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分）</w:t>
            </w:r>
          </w:p>
        </w:tc>
        <w:tc>
          <w:tcPr>
            <w:tcW w:w="4996" w:type="dxa"/>
            <w:noWrap w:val="0"/>
            <w:vAlign w:val="center"/>
          </w:tcPr>
          <w:p w14:paraId="1E9F7345">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根据总体施工组织布置及规划的详实程度及可实施性打分：内容</w:t>
            </w:r>
            <w:r>
              <w:rPr>
                <w:rFonts w:hint="eastAsia" w:ascii="宋体" w:hAnsi="宋体" w:eastAsia="宋体" w:cs="宋体"/>
                <w:sz w:val="21"/>
                <w:szCs w:val="21"/>
                <w:highlight w:val="none"/>
                <w:lang w:val="en-US" w:eastAsia="zh-CN"/>
              </w:rPr>
              <w:t>完整，</w:t>
            </w:r>
            <w:r>
              <w:rPr>
                <w:rFonts w:hint="eastAsia" w:ascii="宋体" w:hAnsi="宋体" w:eastAsia="宋体" w:cs="宋体"/>
                <w:sz w:val="21"/>
                <w:szCs w:val="21"/>
                <w:highlight w:val="none"/>
                <w:lang w:eastAsia="zh-CN"/>
              </w:rPr>
              <w:t>针对性强，切实可行的得</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lang w:eastAsia="zh-CN"/>
              </w:rPr>
              <w:t>分；内容基本完整，针对性一般，基本切实可行的，得2分；未提供者不得分。</w:t>
            </w:r>
          </w:p>
        </w:tc>
      </w:tr>
      <w:tr w14:paraId="013FE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742" w:type="dxa"/>
            <w:vMerge w:val="continue"/>
            <w:noWrap w:val="0"/>
            <w:vAlign w:val="center"/>
          </w:tcPr>
          <w:p w14:paraId="7D905AC4">
            <w:pPr>
              <w:spacing w:line="360" w:lineRule="auto"/>
              <w:jc w:val="center"/>
              <w:rPr>
                <w:rFonts w:hint="eastAsia" w:ascii="宋体" w:hAnsi="宋体" w:eastAsia="宋体" w:cs="宋体"/>
                <w:sz w:val="21"/>
                <w:szCs w:val="21"/>
                <w:highlight w:val="none"/>
              </w:rPr>
            </w:pPr>
          </w:p>
        </w:tc>
        <w:tc>
          <w:tcPr>
            <w:tcW w:w="955" w:type="dxa"/>
            <w:gridSpan w:val="3"/>
            <w:vMerge w:val="continue"/>
            <w:noWrap w:val="0"/>
            <w:vAlign w:val="center"/>
          </w:tcPr>
          <w:p w14:paraId="4F4C0EFD">
            <w:pPr>
              <w:spacing w:line="360" w:lineRule="auto"/>
              <w:jc w:val="center"/>
              <w:rPr>
                <w:rFonts w:hint="eastAsia" w:ascii="宋体" w:hAnsi="宋体" w:eastAsia="宋体" w:cs="宋体"/>
                <w:sz w:val="21"/>
                <w:szCs w:val="21"/>
                <w:highlight w:val="none"/>
              </w:rPr>
            </w:pPr>
          </w:p>
        </w:tc>
        <w:tc>
          <w:tcPr>
            <w:tcW w:w="2106" w:type="dxa"/>
            <w:gridSpan w:val="2"/>
            <w:noWrap w:val="0"/>
            <w:vAlign w:val="center"/>
          </w:tcPr>
          <w:p w14:paraId="12173CFA">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主要施工方案与技术措施（0-</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分）</w:t>
            </w:r>
          </w:p>
        </w:tc>
        <w:tc>
          <w:tcPr>
            <w:tcW w:w="4996" w:type="dxa"/>
            <w:noWrap w:val="0"/>
            <w:vAlign w:val="center"/>
          </w:tcPr>
          <w:p w14:paraId="62D9E81C">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施工方案（含工程特点、施工重点与难点及绿色施工）总体安排合理，运用先进、合理的施工工艺、施工机械；对施工难点有先进和合理的建议，</w:t>
            </w:r>
            <w:r>
              <w:rPr>
                <w:rFonts w:hint="eastAsia" w:ascii="宋体" w:hAnsi="宋体" w:eastAsia="宋体" w:cs="宋体"/>
                <w:sz w:val="21"/>
                <w:szCs w:val="21"/>
                <w:highlight w:val="none"/>
                <w:lang w:val="en-US" w:eastAsia="zh-CN"/>
              </w:rPr>
              <w:t>得6分；</w:t>
            </w:r>
          </w:p>
          <w:p w14:paraId="0BFFE461">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施工方案（含工程特点、施工重点与难点及绿色施工）总体安排合理，施工工艺、施工机械合理、可行；对施工难点有合理的建议，</w:t>
            </w:r>
            <w:r>
              <w:rPr>
                <w:rFonts w:hint="eastAsia" w:ascii="宋体" w:hAnsi="宋体" w:eastAsia="宋体" w:cs="宋体"/>
                <w:sz w:val="21"/>
                <w:szCs w:val="21"/>
                <w:highlight w:val="none"/>
                <w:lang w:val="en-US" w:eastAsia="zh-CN"/>
              </w:rPr>
              <w:t>得3分；</w:t>
            </w:r>
          </w:p>
          <w:p w14:paraId="62866BEC">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施工方案总体安排简略、欠完善的</w:t>
            </w:r>
            <w:r>
              <w:rPr>
                <w:rFonts w:hint="eastAsia" w:cs="宋体"/>
                <w:sz w:val="21"/>
                <w:szCs w:val="21"/>
                <w:highlight w:val="none"/>
                <w:lang w:val="en-US" w:eastAsia="zh-CN"/>
              </w:rPr>
              <w:t>，</w:t>
            </w:r>
            <w:r>
              <w:rPr>
                <w:rFonts w:hint="eastAsia" w:ascii="宋体" w:hAnsi="宋体" w:eastAsia="宋体" w:cs="宋体"/>
                <w:sz w:val="21"/>
                <w:szCs w:val="21"/>
                <w:highlight w:val="none"/>
                <w:lang w:val="en-US" w:eastAsia="zh-CN"/>
              </w:rPr>
              <w:t>得 1分</w:t>
            </w:r>
            <w:r>
              <w:rPr>
                <w:rFonts w:hint="eastAsia" w:cs="宋体"/>
                <w:sz w:val="21"/>
                <w:szCs w:val="21"/>
                <w:highlight w:val="none"/>
                <w:lang w:val="en-US" w:eastAsia="zh-CN"/>
              </w:rPr>
              <w:t>；</w:t>
            </w:r>
          </w:p>
          <w:p w14:paraId="25F07C73">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未提供者不得分。</w:t>
            </w:r>
          </w:p>
        </w:tc>
      </w:tr>
      <w:tr w14:paraId="6E1CD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42" w:type="dxa"/>
            <w:vMerge w:val="continue"/>
            <w:noWrap w:val="0"/>
            <w:vAlign w:val="center"/>
          </w:tcPr>
          <w:p w14:paraId="504047F5">
            <w:pPr>
              <w:spacing w:line="360" w:lineRule="auto"/>
              <w:jc w:val="center"/>
              <w:rPr>
                <w:rFonts w:hint="eastAsia" w:ascii="宋体" w:hAnsi="宋体" w:eastAsia="宋体" w:cs="宋体"/>
                <w:sz w:val="21"/>
                <w:szCs w:val="21"/>
                <w:highlight w:val="none"/>
              </w:rPr>
            </w:pPr>
          </w:p>
        </w:tc>
        <w:tc>
          <w:tcPr>
            <w:tcW w:w="955" w:type="dxa"/>
            <w:gridSpan w:val="3"/>
            <w:vMerge w:val="continue"/>
            <w:noWrap w:val="0"/>
            <w:vAlign w:val="center"/>
          </w:tcPr>
          <w:p w14:paraId="46C9F408">
            <w:pPr>
              <w:spacing w:line="360" w:lineRule="auto"/>
              <w:jc w:val="center"/>
              <w:rPr>
                <w:rFonts w:hint="eastAsia" w:ascii="宋体" w:hAnsi="宋体" w:eastAsia="宋体" w:cs="宋体"/>
                <w:sz w:val="21"/>
                <w:szCs w:val="21"/>
                <w:highlight w:val="none"/>
              </w:rPr>
            </w:pPr>
          </w:p>
        </w:tc>
        <w:tc>
          <w:tcPr>
            <w:tcW w:w="2106" w:type="dxa"/>
            <w:gridSpan w:val="2"/>
            <w:noWrap w:val="0"/>
            <w:vAlign w:val="center"/>
          </w:tcPr>
          <w:p w14:paraId="7A184D36">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养护工程作业方案</w:t>
            </w:r>
          </w:p>
          <w:p w14:paraId="6E60F626">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（0-</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分）</w:t>
            </w:r>
          </w:p>
        </w:tc>
        <w:tc>
          <w:tcPr>
            <w:tcW w:w="4996" w:type="dxa"/>
            <w:noWrap w:val="0"/>
            <w:vAlign w:val="center"/>
          </w:tcPr>
          <w:p w14:paraId="6D54478C">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进度安排</w:t>
            </w:r>
            <w:r>
              <w:rPr>
                <w:rFonts w:hint="eastAsia" w:ascii="宋体" w:hAnsi="宋体" w:eastAsia="宋体" w:cs="宋体"/>
                <w:sz w:val="21"/>
                <w:szCs w:val="21"/>
                <w:highlight w:val="none"/>
                <w:lang w:val="en-US" w:eastAsia="zh-CN"/>
              </w:rPr>
              <w:t>合理</w:t>
            </w:r>
            <w:r>
              <w:rPr>
                <w:rFonts w:hint="eastAsia" w:ascii="宋体" w:hAnsi="宋体" w:eastAsia="宋体" w:cs="宋体"/>
                <w:sz w:val="21"/>
                <w:szCs w:val="21"/>
                <w:highlight w:val="none"/>
                <w:lang w:eastAsia="zh-CN"/>
              </w:rPr>
              <w:t>，平面布置</w:t>
            </w:r>
            <w:r>
              <w:rPr>
                <w:rFonts w:hint="eastAsia" w:ascii="宋体" w:hAnsi="宋体" w:eastAsia="宋体" w:cs="宋体"/>
                <w:sz w:val="21"/>
                <w:szCs w:val="21"/>
                <w:highlight w:val="none"/>
                <w:lang w:val="en-US" w:eastAsia="zh-CN"/>
              </w:rPr>
              <w:t>合理</w:t>
            </w:r>
            <w:r>
              <w:rPr>
                <w:rFonts w:hint="eastAsia" w:ascii="宋体" w:hAnsi="宋体" w:eastAsia="宋体" w:cs="宋体"/>
                <w:sz w:val="21"/>
                <w:szCs w:val="21"/>
                <w:highlight w:val="none"/>
                <w:lang w:eastAsia="zh-CN"/>
              </w:rPr>
              <w:t>，主要养护作业方法，交通疏导方案</w:t>
            </w:r>
            <w:r>
              <w:rPr>
                <w:rFonts w:hint="eastAsia" w:ascii="宋体" w:hAnsi="宋体" w:eastAsia="宋体" w:cs="宋体"/>
                <w:sz w:val="21"/>
                <w:szCs w:val="21"/>
                <w:highlight w:val="none"/>
                <w:lang w:val="en-US" w:eastAsia="zh-CN"/>
              </w:rPr>
              <w:t>完整</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定期检查切实可行的得4分；</w:t>
            </w:r>
          </w:p>
          <w:p w14:paraId="1CF647B0">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进度安排</w:t>
            </w:r>
            <w:r>
              <w:rPr>
                <w:rFonts w:hint="eastAsia" w:ascii="宋体" w:hAnsi="宋体" w:eastAsia="宋体" w:cs="宋体"/>
                <w:sz w:val="21"/>
                <w:szCs w:val="21"/>
                <w:highlight w:val="none"/>
                <w:lang w:val="en-US" w:eastAsia="zh-CN"/>
              </w:rPr>
              <w:t>基本合理</w:t>
            </w:r>
            <w:r>
              <w:rPr>
                <w:rFonts w:hint="eastAsia" w:ascii="宋体" w:hAnsi="宋体" w:eastAsia="宋体" w:cs="宋体"/>
                <w:sz w:val="21"/>
                <w:szCs w:val="21"/>
                <w:highlight w:val="none"/>
                <w:lang w:eastAsia="zh-CN"/>
              </w:rPr>
              <w:t>，平面布置</w:t>
            </w:r>
            <w:r>
              <w:rPr>
                <w:rFonts w:hint="eastAsia" w:ascii="宋体" w:hAnsi="宋体" w:eastAsia="宋体" w:cs="宋体"/>
                <w:sz w:val="21"/>
                <w:szCs w:val="21"/>
                <w:highlight w:val="none"/>
                <w:lang w:val="en-US" w:eastAsia="zh-CN"/>
              </w:rPr>
              <w:t>基本合理</w:t>
            </w:r>
            <w:r>
              <w:rPr>
                <w:rFonts w:hint="eastAsia" w:ascii="宋体" w:hAnsi="宋体" w:eastAsia="宋体" w:cs="宋体"/>
                <w:sz w:val="21"/>
                <w:szCs w:val="21"/>
                <w:highlight w:val="none"/>
                <w:lang w:eastAsia="zh-CN"/>
              </w:rPr>
              <w:t>，主要养护作业方法，交通疏导方案</w:t>
            </w:r>
            <w:r>
              <w:rPr>
                <w:rFonts w:hint="eastAsia" w:ascii="宋体" w:hAnsi="宋体" w:eastAsia="宋体" w:cs="宋体"/>
                <w:sz w:val="21"/>
                <w:szCs w:val="21"/>
                <w:highlight w:val="none"/>
                <w:lang w:val="en-US" w:eastAsia="zh-CN"/>
              </w:rPr>
              <w:t>基本完整，定期检查基本切实可行的，得2分；</w:t>
            </w:r>
          </w:p>
          <w:p w14:paraId="1DE20129">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进度安排</w:t>
            </w:r>
            <w:r>
              <w:rPr>
                <w:rFonts w:hint="eastAsia" w:cs="宋体"/>
                <w:sz w:val="21"/>
                <w:szCs w:val="21"/>
                <w:highlight w:val="none"/>
                <w:lang w:eastAsia="zh-CN"/>
              </w:rPr>
              <w:t>、</w:t>
            </w:r>
            <w:r>
              <w:rPr>
                <w:rFonts w:hint="eastAsia" w:ascii="宋体" w:hAnsi="宋体" w:eastAsia="宋体" w:cs="宋体"/>
                <w:sz w:val="21"/>
                <w:szCs w:val="21"/>
                <w:highlight w:val="none"/>
                <w:lang w:eastAsia="zh-CN"/>
              </w:rPr>
              <w:t>平面布置</w:t>
            </w:r>
            <w:r>
              <w:rPr>
                <w:rFonts w:hint="eastAsia" w:cs="宋体"/>
                <w:sz w:val="21"/>
                <w:szCs w:val="21"/>
                <w:highlight w:val="none"/>
                <w:lang w:eastAsia="zh-CN"/>
              </w:rPr>
              <w:t>、</w:t>
            </w:r>
            <w:r>
              <w:rPr>
                <w:rFonts w:hint="eastAsia" w:ascii="宋体" w:hAnsi="宋体" w:eastAsia="宋体" w:cs="宋体"/>
                <w:sz w:val="21"/>
                <w:szCs w:val="21"/>
                <w:highlight w:val="none"/>
                <w:lang w:eastAsia="zh-CN"/>
              </w:rPr>
              <w:t>主要作业方法、交通疏导方案</w:t>
            </w:r>
            <w:r>
              <w:rPr>
                <w:rFonts w:hint="eastAsia" w:ascii="宋体" w:hAnsi="宋体" w:eastAsia="宋体" w:cs="宋体"/>
                <w:sz w:val="21"/>
                <w:szCs w:val="21"/>
                <w:highlight w:val="none"/>
                <w:lang w:val="en-US" w:eastAsia="zh-CN"/>
              </w:rPr>
              <w:t>简略、欠完善的得</w:t>
            </w:r>
            <w:r>
              <w:rPr>
                <w:rFonts w:hint="eastAsia" w:cs="宋体"/>
                <w:sz w:val="21"/>
                <w:szCs w:val="21"/>
                <w:highlight w:val="none"/>
                <w:lang w:val="en-US" w:eastAsia="zh-CN"/>
              </w:rPr>
              <w:t>1</w:t>
            </w:r>
            <w:r>
              <w:rPr>
                <w:rFonts w:hint="eastAsia" w:ascii="宋体" w:hAnsi="宋体" w:eastAsia="宋体" w:cs="宋体"/>
                <w:sz w:val="21"/>
                <w:szCs w:val="21"/>
                <w:highlight w:val="none"/>
                <w:lang w:val="en-US" w:eastAsia="zh-CN"/>
              </w:rPr>
              <w:t>分</w:t>
            </w:r>
            <w:r>
              <w:rPr>
                <w:rFonts w:hint="eastAsia" w:cs="宋体"/>
                <w:sz w:val="21"/>
                <w:szCs w:val="21"/>
                <w:highlight w:val="none"/>
                <w:lang w:val="en-US" w:eastAsia="zh-CN"/>
              </w:rPr>
              <w:t>；</w:t>
            </w:r>
          </w:p>
          <w:p w14:paraId="7137B939">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未提供者不得分。</w:t>
            </w:r>
          </w:p>
        </w:tc>
      </w:tr>
      <w:tr w14:paraId="45002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42" w:type="dxa"/>
            <w:vMerge w:val="continue"/>
            <w:noWrap w:val="0"/>
            <w:vAlign w:val="center"/>
          </w:tcPr>
          <w:p w14:paraId="735837D8">
            <w:pPr>
              <w:spacing w:line="360" w:lineRule="auto"/>
              <w:jc w:val="center"/>
              <w:rPr>
                <w:rFonts w:hint="eastAsia" w:ascii="宋体" w:hAnsi="宋体" w:eastAsia="宋体" w:cs="宋体"/>
                <w:sz w:val="21"/>
                <w:szCs w:val="21"/>
                <w:highlight w:val="none"/>
              </w:rPr>
            </w:pPr>
          </w:p>
        </w:tc>
        <w:tc>
          <w:tcPr>
            <w:tcW w:w="955" w:type="dxa"/>
            <w:gridSpan w:val="3"/>
            <w:vMerge w:val="continue"/>
            <w:noWrap w:val="0"/>
            <w:vAlign w:val="center"/>
          </w:tcPr>
          <w:p w14:paraId="6F5807F6">
            <w:pPr>
              <w:spacing w:line="360" w:lineRule="auto"/>
              <w:jc w:val="center"/>
              <w:rPr>
                <w:rFonts w:hint="eastAsia" w:ascii="宋体" w:hAnsi="宋体" w:eastAsia="宋体" w:cs="宋体"/>
                <w:sz w:val="21"/>
                <w:szCs w:val="21"/>
                <w:highlight w:val="none"/>
              </w:rPr>
            </w:pPr>
          </w:p>
        </w:tc>
        <w:tc>
          <w:tcPr>
            <w:tcW w:w="2106" w:type="dxa"/>
            <w:gridSpan w:val="2"/>
            <w:noWrap w:val="0"/>
            <w:vAlign w:val="center"/>
          </w:tcPr>
          <w:p w14:paraId="0CF6D741">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工期保证措施</w:t>
            </w:r>
          </w:p>
          <w:p w14:paraId="2B83FBBA">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（0-</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分）</w:t>
            </w:r>
          </w:p>
        </w:tc>
        <w:tc>
          <w:tcPr>
            <w:tcW w:w="4996" w:type="dxa"/>
            <w:noWrap w:val="0"/>
            <w:vAlign w:val="center"/>
          </w:tcPr>
          <w:p w14:paraId="3CA9C87F">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工期承诺满足竞争性磋商文件要求，工期保证措施合理且有针对性，有具体的违约责任承诺，得4分；</w:t>
            </w:r>
          </w:p>
          <w:p w14:paraId="6B4D9CA6">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工期承诺满足竞争性磋商文件要求，工期保证措施基本合理，有具体的违约责任承诺，得</w:t>
            </w:r>
            <w:r>
              <w:rPr>
                <w:rFonts w:hint="eastAsia" w:cs="宋体"/>
                <w:sz w:val="21"/>
                <w:szCs w:val="21"/>
                <w:highlight w:val="none"/>
                <w:lang w:val="en-US" w:eastAsia="zh-CN"/>
              </w:rPr>
              <w:t>2</w:t>
            </w:r>
            <w:r>
              <w:rPr>
                <w:rFonts w:hint="eastAsia" w:ascii="宋体" w:hAnsi="宋体" w:eastAsia="宋体" w:cs="宋体"/>
                <w:sz w:val="21"/>
                <w:szCs w:val="21"/>
                <w:highlight w:val="none"/>
                <w:lang w:val="en-US" w:eastAsia="zh-CN"/>
              </w:rPr>
              <w:t>分；</w:t>
            </w:r>
          </w:p>
          <w:p w14:paraId="53674FFE">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工期承诺</w:t>
            </w:r>
            <w:r>
              <w:rPr>
                <w:rFonts w:hint="eastAsia" w:cs="宋体"/>
                <w:sz w:val="21"/>
                <w:szCs w:val="21"/>
                <w:highlight w:val="none"/>
                <w:lang w:val="en-US" w:eastAsia="zh-CN"/>
              </w:rPr>
              <w:t>基本</w:t>
            </w:r>
            <w:r>
              <w:rPr>
                <w:rFonts w:hint="eastAsia" w:ascii="宋体" w:hAnsi="宋体" w:eastAsia="宋体" w:cs="宋体"/>
                <w:sz w:val="21"/>
                <w:szCs w:val="21"/>
                <w:highlight w:val="none"/>
                <w:lang w:val="en-US" w:eastAsia="zh-CN"/>
              </w:rPr>
              <w:t xml:space="preserve">满足竞争性磋商文件要求，工期保证措施简略、欠完善得 </w:t>
            </w:r>
            <w:r>
              <w:rPr>
                <w:rFonts w:hint="eastAsia" w:cs="宋体"/>
                <w:sz w:val="21"/>
                <w:szCs w:val="21"/>
                <w:highlight w:val="none"/>
                <w:lang w:val="en-US" w:eastAsia="zh-CN"/>
              </w:rPr>
              <w:t>1</w:t>
            </w:r>
            <w:r>
              <w:rPr>
                <w:rFonts w:hint="eastAsia" w:ascii="宋体" w:hAnsi="宋体" w:eastAsia="宋体" w:cs="宋体"/>
                <w:sz w:val="21"/>
                <w:szCs w:val="21"/>
                <w:highlight w:val="none"/>
                <w:lang w:val="en-US" w:eastAsia="zh-CN"/>
              </w:rPr>
              <w:t xml:space="preserve"> 分</w:t>
            </w:r>
            <w:r>
              <w:rPr>
                <w:rFonts w:hint="eastAsia" w:cs="宋体"/>
                <w:sz w:val="21"/>
                <w:szCs w:val="21"/>
                <w:highlight w:val="none"/>
                <w:lang w:val="en-US" w:eastAsia="zh-CN"/>
              </w:rPr>
              <w:t>；</w:t>
            </w:r>
          </w:p>
          <w:p w14:paraId="4D8EAD4F">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未提供者不得分。</w:t>
            </w:r>
          </w:p>
        </w:tc>
      </w:tr>
      <w:tr w14:paraId="29246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42" w:type="dxa"/>
            <w:vMerge w:val="continue"/>
            <w:noWrap w:val="0"/>
            <w:vAlign w:val="center"/>
          </w:tcPr>
          <w:p w14:paraId="33582708">
            <w:pPr>
              <w:spacing w:line="360" w:lineRule="auto"/>
              <w:jc w:val="center"/>
              <w:rPr>
                <w:rFonts w:hint="eastAsia" w:ascii="宋体" w:hAnsi="宋体" w:eastAsia="宋体" w:cs="宋体"/>
                <w:sz w:val="21"/>
                <w:szCs w:val="21"/>
                <w:highlight w:val="none"/>
              </w:rPr>
            </w:pPr>
          </w:p>
        </w:tc>
        <w:tc>
          <w:tcPr>
            <w:tcW w:w="955" w:type="dxa"/>
            <w:gridSpan w:val="3"/>
            <w:vMerge w:val="continue"/>
            <w:noWrap w:val="0"/>
            <w:vAlign w:val="center"/>
          </w:tcPr>
          <w:p w14:paraId="2FA7739B">
            <w:pPr>
              <w:spacing w:line="360" w:lineRule="auto"/>
              <w:jc w:val="center"/>
              <w:rPr>
                <w:rFonts w:hint="eastAsia" w:ascii="宋体" w:hAnsi="宋体" w:eastAsia="宋体" w:cs="宋体"/>
                <w:sz w:val="21"/>
                <w:szCs w:val="21"/>
                <w:highlight w:val="none"/>
              </w:rPr>
            </w:pPr>
          </w:p>
        </w:tc>
        <w:tc>
          <w:tcPr>
            <w:tcW w:w="2106" w:type="dxa"/>
            <w:gridSpan w:val="2"/>
            <w:noWrap w:val="0"/>
            <w:vAlign w:val="center"/>
          </w:tcPr>
          <w:p w14:paraId="3B7AFCCE">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质量管理体系与措施（0-</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分）</w:t>
            </w:r>
          </w:p>
        </w:tc>
        <w:tc>
          <w:tcPr>
            <w:tcW w:w="4996" w:type="dxa"/>
            <w:noWrap w:val="0"/>
            <w:vAlign w:val="center"/>
          </w:tcPr>
          <w:p w14:paraId="03842AA1">
            <w:pPr>
              <w:spacing w:line="360" w:lineRule="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组织机构形式合理，有完善的指挥系统、质量监控系统、联络协调系统，对项目提出先进、可行、具体的</w:t>
            </w:r>
            <w:r>
              <w:rPr>
                <w:rFonts w:hint="eastAsia" w:ascii="宋体" w:hAnsi="宋体" w:eastAsia="宋体" w:cs="宋体"/>
                <w:b w:val="0"/>
                <w:bCs w:val="0"/>
                <w:sz w:val="21"/>
                <w:szCs w:val="21"/>
                <w:highlight w:val="none"/>
                <w:lang w:val="en-US" w:eastAsia="zh-CN"/>
              </w:rPr>
              <w:t>质量</w:t>
            </w:r>
            <w:r>
              <w:rPr>
                <w:rFonts w:hint="eastAsia" w:ascii="宋体" w:hAnsi="宋体" w:eastAsia="宋体" w:cs="宋体"/>
                <w:b w:val="0"/>
                <w:bCs w:val="0"/>
                <w:sz w:val="21"/>
                <w:szCs w:val="21"/>
                <w:highlight w:val="none"/>
                <w:lang w:val="en-US" w:eastAsia="zh-CN"/>
              </w:rPr>
              <w:t>保证措施，得5分；</w:t>
            </w:r>
          </w:p>
          <w:p w14:paraId="4A86F5A0">
            <w:pPr>
              <w:spacing w:line="360" w:lineRule="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组织机构形式基本合理，指挥系统、质量监控系统、联络协调系统，具体措施可行。质量保证措施经济、安全、基本可行，得3分；</w:t>
            </w:r>
          </w:p>
          <w:p w14:paraId="158FBB9C">
            <w:pPr>
              <w:spacing w:line="360" w:lineRule="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织机构形式不太明确，措施简略、欠完善的，得 1 分；</w:t>
            </w:r>
          </w:p>
          <w:p w14:paraId="62918175">
            <w:pPr>
              <w:spacing w:line="360" w:lineRule="auto"/>
              <w:rPr>
                <w:rFonts w:hint="eastAsia" w:ascii="宋体" w:hAnsi="宋体" w:eastAsia="宋体" w:cs="宋体"/>
                <w:b/>
                <w:bCs/>
                <w:sz w:val="21"/>
                <w:szCs w:val="21"/>
                <w:highlight w:val="none"/>
                <w:lang w:val="en-US" w:eastAsia="zh-CN"/>
              </w:rPr>
            </w:pPr>
            <w:r>
              <w:rPr>
                <w:rFonts w:hint="eastAsia" w:ascii="宋体" w:hAnsi="宋体" w:eastAsia="宋体" w:cs="宋体"/>
                <w:b w:val="0"/>
                <w:bCs w:val="0"/>
                <w:sz w:val="21"/>
                <w:szCs w:val="21"/>
                <w:highlight w:val="none"/>
                <w:lang w:val="en-US" w:eastAsia="zh-CN"/>
              </w:rPr>
              <w:t>未提供者不得分。</w:t>
            </w:r>
          </w:p>
        </w:tc>
      </w:tr>
      <w:tr w14:paraId="1F6CF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jc w:val="center"/>
        </w:trPr>
        <w:tc>
          <w:tcPr>
            <w:tcW w:w="742" w:type="dxa"/>
            <w:vMerge w:val="continue"/>
            <w:noWrap w:val="0"/>
            <w:vAlign w:val="center"/>
          </w:tcPr>
          <w:p w14:paraId="6815BC89">
            <w:pPr>
              <w:spacing w:line="360" w:lineRule="auto"/>
              <w:jc w:val="center"/>
              <w:rPr>
                <w:rFonts w:hint="eastAsia" w:ascii="宋体" w:hAnsi="宋体" w:eastAsia="宋体" w:cs="宋体"/>
                <w:sz w:val="21"/>
                <w:szCs w:val="21"/>
                <w:highlight w:val="none"/>
              </w:rPr>
            </w:pPr>
          </w:p>
        </w:tc>
        <w:tc>
          <w:tcPr>
            <w:tcW w:w="955" w:type="dxa"/>
            <w:gridSpan w:val="3"/>
            <w:vMerge w:val="continue"/>
            <w:noWrap w:val="0"/>
            <w:vAlign w:val="center"/>
          </w:tcPr>
          <w:p w14:paraId="07B59BA0">
            <w:pPr>
              <w:spacing w:line="360" w:lineRule="auto"/>
              <w:jc w:val="center"/>
              <w:rPr>
                <w:rFonts w:hint="eastAsia" w:ascii="宋体" w:hAnsi="宋体" w:eastAsia="宋体" w:cs="宋体"/>
                <w:sz w:val="21"/>
                <w:szCs w:val="21"/>
                <w:highlight w:val="none"/>
              </w:rPr>
            </w:pPr>
          </w:p>
        </w:tc>
        <w:tc>
          <w:tcPr>
            <w:tcW w:w="2106" w:type="dxa"/>
            <w:gridSpan w:val="2"/>
            <w:noWrap w:val="0"/>
            <w:vAlign w:val="center"/>
          </w:tcPr>
          <w:p w14:paraId="02A9FC8D">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安全管理体系与措施（0-</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分）</w:t>
            </w:r>
          </w:p>
        </w:tc>
        <w:tc>
          <w:tcPr>
            <w:tcW w:w="4996" w:type="dxa"/>
            <w:noWrap w:val="0"/>
            <w:vAlign w:val="center"/>
          </w:tcPr>
          <w:p w14:paraId="6FF870CD">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施工安全生产保障体系健全，安全管理制度完善，安全管理目标具体，全员安全责任制明确，现场安全管理组织机构。根据工程特点、施工工艺，现场重大危险源辨识全面，明确有相应的安全管理措施。安全技术方案措施科学合理、先进可行，得5分；</w:t>
            </w:r>
          </w:p>
          <w:p w14:paraId="2C95E274">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有施工安全生产保障体系、安全责任制和安全管理制度，现场安全管理机构。根据工程特点、施工工艺，正确识别现场重大危险源并有相应的安全防护管理措施。安全技术方案、措施基本可行，得3分；</w:t>
            </w:r>
          </w:p>
          <w:p w14:paraId="22556634">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安全管理体系和措施简略、欠完善的得 1分；</w:t>
            </w:r>
          </w:p>
          <w:p w14:paraId="392D98EA">
            <w:pPr>
              <w:spacing w:line="360" w:lineRule="auto"/>
              <w:rPr>
                <w:rFonts w:hint="eastAsia" w:ascii="宋体" w:hAnsi="宋体" w:eastAsia="宋体" w:cs="宋体"/>
                <w:b/>
                <w:bCs/>
                <w:color w:val="auto"/>
                <w:sz w:val="21"/>
                <w:szCs w:val="21"/>
                <w:highlight w:val="none"/>
              </w:rPr>
            </w:pPr>
            <w:r>
              <w:rPr>
                <w:rFonts w:hint="eastAsia" w:ascii="宋体" w:hAnsi="宋体" w:eastAsia="宋体" w:cs="宋体"/>
                <w:sz w:val="21"/>
                <w:szCs w:val="21"/>
                <w:highlight w:val="none"/>
                <w:lang w:val="en-US" w:eastAsia="zh-CN"/>
              </w:rPr>
              <w:t>未提供者不得分。</w:t>
            </w:r>
          </w:p>
        </w:tc>
      </w:tr>
      <w:tr w14:paraId="1569C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42" w:type="dxa"/>
            <w:vMerge w:val="continue"/>
            <w:noWrap w:val="0"/>
            <w:vAlign w:val="center"/>
          </w:tcPr>
          <w:p w14:paraId="432A1541">
            <w:pPr>
              <w:spacing w:line="360" w:lineRule="auto"/>
              <w:jc w:val="center"/>
              <w:rPr>
                <w:rFonts w:hint="eastAsia" w:ascii="宋体" w:hAnsi="宋体" w:eastAsia="宋体" w:cs="宋体"/>
                <w:sz w:val="21"/>
                <w:szCs w:val="21"/>
                <w:highlight w:val="none"/>
              </w:rPr>
            </w:pPr>
          </w:p>
        </w:tc>
        <w:tc>
          <w:tcPr>
            <w:tcW w:w="955" w:type="dxa"/>
            <w:gridSpan w:val="3"/>
            <w:vMerge w:val="continue"/>
            <w:noWrap w:val="0"/>
            <w:vAlign w:val="center"/>
          </w:tcPr>
          <w:p w14:paraId="4484211D">
            <w:pPr>
              <w:spacing w:line="360" w:lineRule="auto"/>
              <w:jc w:val="center"/>
              <w:rPr>
                <w:rFonts w:hint="eastAsia" w:ascii="宋体" w:hAnsi="宋体" w:eastAsia="宋体" w:cs="宋体"/>
                <w:sz w:val="21"/>
                <w:szCs w:val="21"/>
                <w:highlight w:val="none"/>
              </w:rPr>
            </w:pPr>
          </w:p>
        </w:tc>
        <w:tc>
          <w:tcPr>
            <w:tcW w:w="2106" w:type="dxa"/>
            <w:gridSpan w:val="2"/>
            <w:noWrap w:val="0"/>
            <w:vAlign w:val="center"/>
          </w:tcPr>
          <w:p w14:paraId="22EDB248">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拟投入资源配备计划（0-</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分）</w:t>
            </w:r>
          </w:p>
        </w:tc>
        <w:tc>
          <w:tcPr>
            <w:tcW w:w="4996" w:type="dxa"/>
            <w:noWrap w:val="0"/>
            <w:vAlign w:val="center"/>
          </w:tcPr>
          <w:p w14:paraId="64A21A73">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机械：投入计划与进度计划呼应，采用先进机械设备且配置合理、先进，满足安全技术规范和施工进度需要；劳动力：投入计划与进度计划呼应，较好满足施工需要，调配投入计划合理、准确；主要物资计划：主要物资投入计划与进度计划呼应，较好满足施工需要，调配投入计划合理、准确。得4分；</w:t>
            </w:r>
          </w:p>
          <w:p w14:paraId="5FFE9250">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机械：投入计划与进度计划呼应，机械设备配置基本合理，满足安全技术规范和施工进度需要；劳动力：投入计划与进度计划呼应，基本满足施工需要，调配投入计划基本合理；主要物资计划：主要物资投入计划与进度计划呼应，基本满足施工需要，调配投入计划基本合理。得2分；</w:t>
            </w:r>
          </w:p>
          <w:p w14:paraId="6A246439">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机械、劳动力、主要物资投入计划简略、欠完善</w:t>
            </w:r>
            <w:r>
              <w:rPr>
                <w:rFonts w:hint="eastAsia" w:cs="宋体"/>
                <w:sz w:val="21"/>
                <w:szCs w:val="21"/>
                <w:highlight w:val="none"/>
                <w:lang w:val="en-US" w:eastAsia="zh-CN"/>
              </w:rPr>
              <w:t>。</w:t>
            </w:r>
            <w:r>
              <w:rPr>
                <w:rFonts w:hint="eastAsia" w:ascii="宋体" w:hAnsi="宋体" w:eastAsia="宋体" w:cs="宋体"/>
                <w:sz w:val="21"/>
                <w:szCs w:val="21"/>
                <w:highlight w:val="none"/>
                <w:lang w:val="en-US" w:eastAsia="zh-CN"/>
              </w:rPr>
              <w:t>得 1 分；</w:t>
            </w:r>
          </w:p>
          <w:p w14:paraId="1F8BEC70">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未提供者不得分。</w:t>
            </w:r>
          </w:p>
        </w:tc>
      </w:tr>
      <w:tr w14:paraId="6B37B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742" w:type="dxa"/>
            <w:vMerge w:val="continue"/>
            <w:noWrap w:val="0"/>
            <w:vAlign w:val="center"/>
          </w:tcPr>
          <w:p w14:paraId="197F54A6">
            <w:pPr>
              <w:spacing w:line="360" w:lineRule="auto"/>
              <w:jc w:val="center"/>
              <w:rPr>
                <w:rFonts w:hint="eastAsia" w:ascii="宋体" w:hAnsi="宋体" w:eastAsia="宋体" w:cs="宋体"/>
                <w:sz w:val="21"/>
                <w:szCs w:val="21"/>
                <w:highlight w:val="none"/>
              </w:rPr>
            </w:pPr>
          </w:p>
        </w:tc>
        <w:tc>
          <w:tcPr>
            <w:tcW w:w="955" w:type="dxa"/>
            <w:gridSpan w:val="3"/>
            <w:vMerge w:val="continue"/>
            <w:noWrap w:val="0"/>
            <w:vAlign w:val="center"/>
          </w:tcPr>
          <w:p w14:paraId="33D897E5">
            <w:pPr>
              <w:spacing w:line="360" w:lineRule="auto"/>
              <w:jc w:val="center"/>
              <w:rPr>
                <w:rFonts w:hint="eastAsia" w:ascii="宋体" w:hAnsi="宋体" w:eastAsia="宋体" w:cs="宋体"/>
                <w:sz w:val="21"/>
                <w:szCs w:val="21"/>
                <w:highlight w:val="none"/>
              </w:rPr>
            </w:pPr>
          </w:p>
        </w:tc>
        <w:tc>
          <w:tcPr>
            <w:tcW w:w="2106" w:type="dxa"/>
            <w:gridSpan w:val="2"/>
            <w:noWrap w:val="0"/>
            <w:vAlign w:val="center"/>
          </w:tcPr>
          <w:p w14:paraId="5AFEC7B3">
            <w:pPr>
              <w:spacing w:line="36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文明施工、环境保护管理体系及施工现场扬尘治理措施</w:t>
            </w:r>
          </w:p>
          <w:p w14:paraId="1008E024">
            <w:pPr>
              <w:spacing w:line="36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（0-5分）</w:t>
            </w:r>
          </w:p>
        </w:tc>
        <w:tc>
          <w:tcPr>
            <w:tcW w:w="4996" w:type="dxa"/>
            <w:noWrap w:val="0"/>
            <w:vAlign w:val="center"/>
          </w:tcPr>
          <w:p w14:paraId="12D2FCC8">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有针对项目实际情况，科学可行的创建计划和符合相关标准、规范、规程的创建保证措施和安全文明措施费用投入使用计划，现场施工区设置科学规范，符合有关文明施工、健康卫生的规定：</w:t>
            </w:r>
            <w:r>
              <w:rPr>
                <w:rFonts w:hint="eastAsia" w:ascii="宋体" w:hAnsi="宋体" w:eastAsia="宋体" w:cs="宋体"/>
                <w:sz w:val="21"/>
                <w:szCs w:val="21"/>
                <w:highlight w:val="none"/>
                <w:lang w:eastAsia="zh-CN"/>
              </w:rPr>
              <w:t>内容</w:t>
            </w:r>
            <w:r>
              <w:rPr>
                <w:rFonts w:hint="eastAsia" w:ascii="宋体" w:hAnsi="宋体" w:eastAsia="宋体" w:cs="宋体"/>
                <w:sz w:val="21"/>
                <w:szCs w:val="21"/>
                <w:highlight w:val="none"/>
                <w:lang w:val="en-US" w:eastAsia="zh-CN"/>
              </w:rPr>
              <w:t>完整、措施合理、切实可行的，得5分；</w:t>
            </w:r>
          </w:p>
          <w:p w14:paraId="20C7D49B">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内容基本完整、</w:t>
            </w:r>
            <w:r>
              <w:rPr>
                <w:rFonts w:hint="eastAsia" w:ascii="宋体" w:hAnsi="宋体" w:eastAsia="宋体" w:cs="宋体"/>
                <w:sz w:val="21"/>
                <w:szCs w:val="21"/>
                <w:highlight w:val="none"/>
                <w:lang w:val="en-US" w:eastAsia="zh-CN"/>
              </w:rPr>
              <w:t>措施基本合理、可行的，得3分；</w:t>
            </w:r>
          </w:p>
          <w:p w14:paraId="7977397C">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内容、</w:t>
            </w:r>
            <w:r>
              <w:rPr>
                <w:rFonts w:hint="eastAsia" w:ascii="宋体" w:hAnsi="宋体" w:eastAsia="宋体" w:cs="宋体"/>
                <w:sz w:val="21"/>
                <w:szCs w:val="21"/>
                <w:highlight w:val="none"/>
                <w:lang w:val="en-US" w:eastAsia="zh-CN"/>
              </w:rPr>
              <w:t>措施简略、欠完善的</w:t>
            </w:r>
            <w:r>
              <w:rPr>
                <w:rFonts w:hint="eastAsia" w:cs="宋体"/>
                <w:sz w:val="21"/>
                <w:szCs w:val="21"/>
                <w:highlight w:val="none"/>
                <w:lang w:val="en-US" w:eastAsia="zh-CN"/>
              </w:rPr>
              <w:t>，</w:t>
            </w:r>
            <w:r>
              <w:rPr>
                <w:rFonts w:hint="eastAsia" w:ascii="宋体" w:hAnsi="宋体" w:eastAsia="宋体" w:cs="宋体"/>
                <w:sz w:val="21"/>
                <w:szCs w:val="21"/>
                <w:highlight w:val="none"/>
                <w:lang w:val="en-US" w:eastAsia="zh-CN"/>
              </w:rPr>
              <w:t>得 1 分；</w:t>
            </w:r>
          </w:p>
          <w:p w14:paraId="41C5ECA1">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未提供者不得分。</w:t>
            </w:r>
          </w:p>
        </w:tc>
      </w:tr>
      <w:tr w14:paraId="1A510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742" w:type="dxa"/>
            <w:vMerge w:val="continue"/>
            <w:noWrap w:val="0"/>
            <w:vAlign w:val="center"/>
          </w:tcPr>
          <w:p w14:paraId="1E8796E0">
            <w:pPr>
              <w:spacing w:line="360" w:lineRule="auto"/>
              <w:jc w:val="center"/>
              <w:rPr>
                <w:rFonts w:hint="eastAsia" w:ascii="宋体" w:hAnsi="宋体" w:eastAsia="宋体" w:cs="宋体"/>
                <w:sz w:val="21"/>
                <w:szCs w:val="21"/>
                <w:highlight w:val="none"/>
              </w:rPr>
            </w:pPr>
          </w:p>
        </w:tc>
        <w:tc>
          <w:tcPr>
            <w:tcW w:w="955" w:type="dxa"/>
            <w:gridSpan w:val="3"/>
            <w:vMerge w:val="continue"/>
            <w:noWrap w:val="0"/>
            <w:vAlign w:val="center"/>
          </w:tcPr>
          <w:p w14:paraId="04FE53CE">
            <w:pPr>
              <w:spacing w:line="360" w:lineRule="auto"/>
              <w:jc w:val="center"/>
              <w:rPr>
                <w:rFonts w:hint="eastAsia" w:ascii="宋体" w:hAnsi="宋体" w:eastAsia="宋体" w:cs="宋体"/>
                <w:sz w:val="21"/>
                <w:szCs w:val="21"/>
                <w:highlight w:val="none"/>
              </w:rPr>
            </w:pPr>
          </w:p>
        </w:tc>
        <w:tc>
          <w:tcPr>
            <w:tcW w:w="2106" w:type="dxa"/>
            <w:gridSpan w:val="2"/>
            <w:noWrap w:val="0"/>
            <w:vAlign w:val="center"/>
          </w:tcPr>
          <w:p w14:paraId="70909A6E">
            <w:pPr>
              <w:spacing w:line="36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风险管理措施</w:t>
            </w:r>
          </w:p>
          <w:p w14:paraId="53F22ABD">
            <w:pPr>
              <w:spacing w:line="36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（0-3分）</w:t>
            </w:r>
          </w:p>
        </w:tc>
        <w:tc>
          <w:tcPr>
            <w:tcW w:w="4996" w:type="dxa"/>
            <w:noWrap w:val="0"/>
            <w:vAlign w:val="center"/>
          </w:tcPr>
          <w:p w14:paraId="0A68F56F">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风险防控管理措施齐全，风险预控符合规范要求，风险控制要点定位准确，各阶段风险控制及应急措施得力，得3分；</w:t>
            </w:r>
          </w:p>
          <w:p w14:paraId="78768EB5">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风险防控管理措施基本齐全，风险预控符合规范要求，风险控制要点定位基本准确，有各阶段风险控制及应急措施，得2分；</w:t>
            </w:r>
          </w:p>
          <w:p w14:paraId="70B4D977">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措施简略、欠完善的得1分；</w:t>
            </w:r>
          </w:p>
          <w:p w14:paraId="00CB7C38">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未提供者不得分。</w:t>
            </w:r>
          </w:p>
        </w:tc>
      </w:tr>
      <w:tr w14:paraId="7FEAD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42" w:type="dxa"/>
            <w:vMerge w:val="restart"/>
            <w:noWrap w:val="0"/>
            <w:vAlign w:val="center"/>
          </w:tcPr>
          <w:p w14:paraId="26F104AC">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2.2.2</w:t>
            </w:r>
          </w:p>
          <w:p w14:paraId="21139E67">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955" w:type="dxa"/>
            <w:gridSpan w:val="3"/>
            <w:vMerge w:val="restart"/>
            <w:noWrap w:val="0"/>
            <w:vAlign w:val="center"/>
          </w:tcPr>
          <w:p w14:paraId="52A81B4D">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商务标</w:t>
            </w:r>
          </w:p>
          <w:p w14:paraId="160429B5">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30</w:t>
            </w:r>
            <w:r>
              <w:rPr>
                <w:rFonts w:hint="eastAsia" w:ascii="宋体" w:hAnsi="宋体" w:eastAsia="宋体" w:cs="宋体"/>
                <w:sz w:val="21"/>
                <w:szCs w:val="21"/>
                <w:highlight w:val="none"/>
              </w:rPr>
              <w:t>分</w:t>
            </w:r>
          </w:p>
        </w:tc>
        <w:tc>
          <w:tcPr>
            <w:tcW w:w="2106" w:type="dxa"/>
            <w:gridSpan w:val="2"/>
            <w:noWrap w:val="0"/>
            <w:vAlign w:val="center"/>
          </w:tcPr>
          <w:p w14:paraId="21A530CC">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主要人员</w:t>
            </w:r>
          </w:p>
          <w:p w14:paraId="3A0D8C4D">
            <w:pPr>
              <w:spacing w:line="360" w:lineRule="auto"/>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0-10分</w:t>
            </w:r>
            <w:r>
              <w:rPr>
                <w:rFonts w:hint="eastAsia" w:ascii="宋体" w:hAnsi="宋体" w:eastAsia="宋体" w:cs="宋体"/>
                <w:sz w:val="21"/>
                <w:szCs w:val="21"/>
                <w:highlight w:val="none"/>
                <w:lang w:eastAsia="zh-CN"/>
              </w:rPr>
              <w:t>）</w:t>
            </w:r>
          </w:p>
        </w:tc>
        <w:tc>
          <w:tcPr>
            <w:tcW w:w="4996" w:type="dxa"/>
            <w:noWrap w:val="0"/>
            <w:vAlign w:val="center"/>
          </w:tcPr>
          <w:p w14:paraId="42D80583">
            <w:pPr>
              <w:spacing w:line="360" w:lineRule="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lang w:val="zh-CN"/>
              </w:rPr>
              <w:t>.项目经理具有公路工程相关中级职称或一级建造师（公路工程）的加2分；</w:t>
            </w:r>
          </w:p>
          <w:p w14:paraId="586C9335">
            <w:pPr>
              <w:spacing w:line="360" w:lineRule="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val="zh-CN"/>
              </w:rPr>
              <w:t>.总工具有相关专业高级职称或</w:t>
            </w:r>
            <w:r>
              <w:rPr>
                <w:rFonts w:hint="eastAsia" w:ascii="宋体" w:hAnsi="宋体" w:eastAsia="宋体" w:cs="宋体"/>
                <w:sz w:val="21"/>
                <w:szCs w:val="21"/>
                <w:highlight w:val="none"/>
                <w:lang w:val="zh-CN"/>
              </w:rPr>
              <w:t>二级</w:t>
            </w:r>
            <w:r>
              <w:rPr>
                <w:rFonts w:hint="eastAsia" w:cs="宋体"/>
                <w:sz w:val="21"/>
                <w:szCs w:val="21"/>
                <w:highlight w:val="none"/>
                <w:lang w:val="en-US" w:eastAsia="zh-CN"/>
              </w:rPr>
              <w:t>及以上</w:t>
            </w:r>
            <w:r>
              <w:rPr>
                <w:rFonts w:hint="eastAsia" w:ascii="宋体" w:hAnsi="宋体" w:eastAsia="宋体" w:cs="宋体"/>
                <w:sz w:val="21"/>
                <w:szCs w:val="21"/>
                <w:highlight w:val="none"/>
                <w:lang w:val="zh-CN"/>
              </w:rPr>
              <w:t>建造师（公路工程）</w:t>
            </w:r>
            <w:r>
              <w:rPr>
                <w:rFonts w:hint="eastAsia" w:ascii="宋体" w:hAnsi="宋体" w:eastAsia="宋体" w:cs="宋体"/>
                <w:sz w:val="21"/>
                <w:szCs w:val="21"/>
                <w:highlight w:val="none"/>
                <w:lang w:val="zh-CN"/>
              </w:rPr>
              <w:t>的加2分。</w:t>
            </w:r>
          </w:p>
          <w:p w14:paraId="5746AB93">
            <w:pPr>
              <w:spacing w:line="360" w:lineRule="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lang w:val="zh-CN"/>
              </w:rPr>
              <w:t>.项目经理或总工自</w:t>
            </w:r>
            <w:r>
              <w:rPr>
                <w:rFonts w:hint="eastAsia" w:cs="宋体"/>
                <w:sz w:val="21"/>
                <w:szCs w:val="21"/>
                <w:highlight w:val="none"/>
                <w:lang w:val="zh-CN"/>
              </w:rPr>
              <w:t>2022年1月1日</w:t>
            </w:r>
            <w:r>
              <w:rPr>
                <w:rFonts w:hint="eastAsia" w:ascii="宋体" w:hAnsi="宋体" w:eastAsia="宋体" w:cs="宋体"/>
                <w:sz w:val="21"/>
                <w:szCs w:val="21"/>
                <w:highlight w:val="none"/>
                <w:lang w:val="zh-CN"/>
              </w:rPr>
              <w:t>起完成过类似业绩，每提供一个业绩的得6分，最多得6分；（</w:t>
            </w:r>
            <w:r>
              <w:rPr>
                <w:rFonts w:hint="eastAsia" w:cs="宋体"/>
                <w:sz w:val="21"/>
                <w:szCs w:val="21"/>
                <w:highlight w:val="none"/>
                <w:lang w:val="zh-CN"/>
              </w:rPr>
              <w:t>时间以合同签订日期为准，需提供合同协议书</w:t>
            </w:r>
            <w:r>
              <w:rPr>
                <w:rFonts w:hint="eastAsia" w:ascii="宋体" w:hAnsi="宋体" w:eastAsia="宋体" w:cs="宋体"/>
                <w:sz w:val="21"/>
                <w:szCs w:val="21"/>
                <w:highlight w:val="none"/>
                <w:lang w:val="zh-CN"/>
              </w:rPr>
              <w:t>）；</w:t>
            </w:r>
          </w:p>
        </w:tc>
      </w:tr>
      <w:tr w14:paraId="494DC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742" w:type="dxa"/>
            <w:vMerge w:val="continue"/>
            <w:noWrap w:val="0"/>
            <w:vAlign w:val="center"/>
          </w:tcPr>
          <w:p w14:paraId="174027B9">
            <w:pPr>
              <w:spacing w:line="360" w:lineRule="auto"/>
              <w:jc w:val="center"/>
              <w:rPr>
                <w:rFonts w:hint="eastAsia" w:ascii="宋体" w:hAnsi="宋体" w:eastAsia="宋体" w:cs="宋体"/>
                <w:sz w:val="21"/>
                <w:szCs w:val="21"/>
                <w:highlight w:val="none"/>
              </w:rPr>
            </w:pPr>
          </w:p>
        </w:tc>
        <w:tc>
          <w:tcPr>
            <w:tcW w:w="955" w:type="dxa"/>
            <w:gridSpan w:val="3"/>
            <w:vMerge w:val="continue"/>
            <w:noWrap w:val="0"/>
            <w:vAlign w:val="center"/>
          </w:tcPr>
          <w:p w14:paraId="14BFF08E">
            <w:pPr>
              <w:spacing w:line="360" w:lineRule="auto"/>
              <w:jc w:val="center"/>
              <w:rPr>
                <w:rFonts w:hint="eastAsia" w:ascii="宋体" w:hAnsi="宋体" w:eastAsia="宋体" w:cs="宋体"/>
                <w:sz w:val="21"/>
                <w:szCs w:val="21"/>
                <w:highlight w:val="none"/>
              </w:rPr>
            </w:pPr>
          </w:p>
        </w:tc>
        <w:tc>
          <w:tcPr>
            <w:tcW w:w="2106" w:type="dxa"/>
            <w:gridSpan w:val="2"/>
            <w:noWrap w:val="0"/>
            <w:vAlign w:val="center"/>
          </w:tcPr>
          <w:p w14:paraId="0EEF363A">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企业业绩</w:t>
            </w:r>
          </w:p>
          <w:p w14:paraId="6386A5EE">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（0-10分）</w:t>
            </w:r>
          </w:p>
        </w:tc>
        <w:tc>
          <w:tcPr>
            <w:tcW w:w="4996" w:type="dxa"/>
            <w:noWrap w:val="0"/>
            <w:vAlign w:val="center"/>
          </w:tcPr>
          <w:p w14:paraId="08BD6034">
            <w:pPr>
              <w:spacing w:line="360" w:lineRule="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自</w:t>
            </w:r>
            <w:r>
              <w:rPr>
                <w:rFonts w:hint="eastAsia" w:cs="宋体"/>
                <w:sz w:val="21"/>
                <w:szCs w:val="21"/>
                <w:highlight w:val="none"/>
                <w:lang w:val="zh-CN"/>
              </w:rPr>
              <w:t>2022年1月1日</w:t>
            </w:r>
            <w:r>
              <w:rPr>
                <w:rFonts w:hint="eastAsia" w:ascii="宋体" w:hAnsi="宋体" w:eastAsia="宋体" w:cs="宋体"/>
                <w:sz w:val="21"/>
                <w:szCs w:val="21"/>
                <w:highlight w:val="none"/>
                <w:lang w:val="zh-CN"/>
              </w:rPr>
              <w:t>起</w:t>
            </w:r>
            <w:r>
              <w:rPr>
                <w:rFonts w:hint="eastAsia" w:ascii="宋体" w:hAnsi="宋体" w:eastAsia="宋体" w:cs="宋体"/>
                <w:sz w:val="21"/>
                <w:szCs w:val="21"/>
                <w:highlight w:val="none"/>
              </w:rPr>
              <w:t>（以合同协议书签订时间为准）</w:t>
            </w:r>
            <w:r>
              <w:rPr>
                <w:rFonts w:hint="eastAsia" w:ascii="宋体" w:hAnsi="宋体" w:eastAsia="宋体" w:cs="宋体"/>
                <w:sz w:val="21"/>
                <w:szCs w:val="21"/>
                <w:highlight w:val="none"/>
                <w:lang w:val="zh-CN"/>
              </w:rPr>
              <w:t>完成过类似业绩，提供一份得6分；每多提供一份业绩加</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val="zh-CN"/>
              </w:rPr>
              <w:t>分，最多得10分。（</w:t>
            </w:r>
            <w:r>
              <w:rPr>
                <w:rFonts w:hint="eastAsia" w:cs="宋体"/>
                <w:sz w:val="21"/>
                <w:szCs w:val="21"/>
                <w:highlight w:val="none"/>
                <w:lang w:val="zh-CN"/>
              </w:rPr>
              <w:t>需提供合同协议书</w:t>
            </w:r>
            <w:r>
              <w:rPr>
                <w:rFonts w:hint="eastAsia" w:ascii="宋体" w:hAnsi="宋体" w:eastAsia="宋体" w:cs="宋体"/>
                <w:sz w:val="21"/>
                <w:szCs w:val="21"/>
                <w:highlight w:val="none"/>
                <w:lang w:val="zh-CN"/>
              </w:rPr>
              <w:t>。）</w:t>
            </w:r>
          </w:p>
          <w:p w14:paraId="311DD817">
            <w:pPr>
              <w:spacing w:line="360" w:lineRule="auto"/>
              <w:rPr>
                <w:rFonts w:hint="eastAsia" w:ascii="宋体" w:hAnsi="宋体" w:eastAsia="宋体" w:cs="宋体"/>
                <w:b/>
                <w:bCs/>
                <w:sz w:val="21"/>
                <w:szCs w:val="21"/>
                <w:highlight w:val="none"/>
                <w:lang w:val="zh-CN"/>
              </w:rPr>
            </w:pPr>
            <w:r>
              <w:rPr>
                <w:rFonts w:hint="eastAsia" w:ascii="宋体" w:hAnsi="宋体" w:eastAsia="宋体" w:cs="宋体"/>
                <w:b w:val="0"/>
                <w:bCs w:val="0"/>
                <w:sz w:val="21"/>
                <w:szCs w:val="21"/>
                <w:highlight w:val="none"/>
                <w:lang w:val="zh-CN"/>
              </w:rPr>
              <w:t>注：企业业绩与项目经理业绩、项目总工业绩可重复计分。</w:t>
            </w:r>
          </w:p>
        </w:tc>
      </w:tr>
      <w:tr w14:paraId="75206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742" w:type="dxa"/>
            <w:vMerge w:val="continue"/>
            <w:noWrap w:val="0"/>
            <w:vAlign w:val="center"/>
          </w:tcPr>
          <w:p w14:paraId="45DDF10E">
            <w:pPr>
              <w:spacing w:line="360" w:lineRule="auto"/>
              <w:jc w:val="center"/>
              <w:rPr>
                <w:rFonts w:hint="eastAsia" w:ascii="宋体" w:hAnsi="宋体" w:eastAsia="宋体" w:cs="宋体"/>
                <w:sz w:val="21"/>
                <w:szCs w:val="21"/>
                <w:highlight w:val="none"/>
              </w:rPr>
            </w:pPr>
          </w:p>
        </w:tc>
        <w:tc>
          <w:tcPr>
            <w:tcW w:w="955" w:type="dxa"/>
            <w:gridSpan w:val="3"/>
            <w:vMerge w:val="continue"/>
            <w:noWrap w:val="0"/>
            <w:vAlign w:val="center"/>
          </w:tcPr>
          <w:p w14:paraId="02A1184C">
            <w:pPr>
              <w:spacing w:line="360" w:lineRule="auto"/>
              <w:jc w:val="center"/>
              <w:rPr>
                <w:rFonts w:hint="eastAsia" w:ascii="宋体" w:hAnsi="宋体" w:eastAsia="宋体" w:cs="宋体"/>
                <w:sz w:val="21"/>
                <w:szCs w:val="21"/>
                <w:highlight w:val="none"/>
              </w:rPr>
            </w:pPr>
          </w:p>
        </w:tc>
        <w:tc>
          <w:tcPr>
            <w:tcW w:w="2106" w:type="dxa"/>
            <w:gridSpan w:val="2"/>
            <w:vMerge w:val="restart"/>
            <w:noWrap w:val="0"/>
            <w:vAlign w:val="center"/>
          </w:tcPr>
          <w:p w14:paraId="6187CE65">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服务承诺</w:t>
            </w:r>
          </w:p>
          <w:p w14:paraId="4E22DE66">
            <w:pPr>
              <w:spacing w:line="360" w:lineRule="auto"/>
              <w:jc w:val="center"/>
              <w:rPr>
                <w:rFonts w:hint="eastAsia" w:ascii="宋体" w:hAnsi="宋体" w:eastAsia="宋体" w:cs="宋体"/>
                <w:kern w:val="0"/>
                <w:sz w:val="21"/>
                <w:szCs w:val="21"/>
                <w:highlight w:val="none"/>
              </w:rPr>
            </w:pPr>
            <w:r>
              <w:rPr>
                <w:rFonts w:hint="eastAsia" w:ascii="宋体" w:hAnsi="宋体" w:eastAsia="宋体" w:cs="宋体"/>
                <w:sz w:val="21"/>
                <w:szCs w:val="21"/>
                <w:highlight w:val="none"/>
              </w:rPr>
              <w:t>（0-</w:t>
            </w:r>
            <w:r>
              <w:rPr>
                <w:rFonts w:hint="eastAsia" w:ascii="宋体" w:hAnsi="宋体" w:eastAsia="宋体" w:cs="宋体"/>
                <w:sz w:val="21"/>
                <w:szCs w:val="21"/>
                <w:highlight w:val="none"/>
                <w:lang w:val="en-US" w:eastAsia="zh-CN"/>
              </w:rPr>
              <w:t>10</w:t>
            </w:r>
            <w:r>
              <w:rPr>
                <w:rFonts w:hint="eastAsia" w:ascii="宋体" w:hAnsi="宋体" w:eastAsia="宋体" w:cs="宋体"/>
                <w:sz w:val="21"/>
                <w:szCs w:val="21"/>
                <w:highlight w:val="none"/>
              </w:rPr>
              <w:t>分）</w:t>
            </w:r>
          </w:p>
        </w:tc>
        <w:tc>
          <w:tcPr>
            <w:tcW w:w="4996" w:type="dxa"/>
            <w:noWrap w:val="0"/>
            <w:vAlign w:val="center"/>
          </w:tcPr>
          <w:p w14:paraId="7753582E">
            <w:pPr>
              <w:numPr>
                <w:ilvl w:val="0"/>
                <w:numId w:val="14"/>
              </w:numPr>
              <w:spacing w:line="360" w:lineRule="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履职尽责承诺：具有全面、详实、可行、合法有效的书面保证技术措施落实到位的承诺和落实不到位的处理承诺，提供履约保证，得</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lang w:val="zh-CN"/>
              </w:rPr>
              <w:t>分</w:t>
            </w:r>
            <w:r>
              <w:rPr>
                <w:rFonts w:hint="eastAsia" w:cs="宋体"/>
                <w:sz w:val="21"/>
                <w:szCs w:val="21"/>
                <w:highlight w:val="none"/>
                <w:lang w:val="zh-CN"/>
              </w:rPr>
              <w:t>；</w:t>
            </w:r>
            <w:r>
              <w:rPr>
                <w:rFonts w:hint="eastAsia" w:ascii="宋体" w:hAnsi="宋体" w:eastAsia="宋体" w:cs="宋体"/>
                <w:sz w:val="21"/>
                <w:szCs w:val="21"/>
                <w:highlight w:val="none"/>
                <w:lang w:val="zh-CN"/>
              </w:rPr>
              <w:t>具有可行、合法有效的书面保证技术措施，落实到位的承诺和落实不到位的处理承诺，提供履约保证，得</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val="zh-CN"/>
              </w:rPr>
              <w:t>分</w:t>
            </w:r>
            <w:r>
              <w:rPr>
                <w:rFonts w:hint="eastAsia" w:cs="宋体"/>
                <w:sz w:val="21"/>
                <w:szCs w:val="21"/>
                <w:highlight w:val="none"/>
                <w:lang w:val="zh-CN"/>
              </w:rPr>
              <w:t>；</w:t>
            </w:r>
            <w:r>
              <w:rPr>
                <w:rFonts w:hint="eastAsia" w:ascii="宋体" w:hAnsi="宋体" w:eastAsia="宋体" w:cs="宋体"/>
                <w:sz w:val="21"/>
                <w:szCs w:val="21"/>
                <w:highlight w:val="none"/>
                <w:lang w:val="en-US" w:eastAsia="zh-CN"/>
              </w:rPr>
              <w:t>未提供者不得分。</w:t>
            </w:r>
          </w:p>
        </w:tc>
      </w:tr>
      <w:tr w14:paraId="6767B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42" w:type="dxa"/>
            <w:vMerge w:val="continue"/>
            <w:noWrap w:val="0"/>
            <w:vAlign w:val="center"/>
          </w:tcPr>
          <w:p w14:paraId="3433B6A3">
            <w:pPr>
              <w:spacing w:line="360" w:lineRule="auto"/>
              <w:jc w:val="center"/>
              <w:rPr>
                <w:rFonts w:hint="eastAsia" w:ascii="宋体" w:hAnsi="宋体" w:eastAsia="宋体" w:cs="宋体"/>
                <w:sz w:val="21"/>
                <w:szCs w:val="21"/>
                <w:highlight w:val="none"/>
              </w:rPr>
            </w:pPr>
          </w:p>
        </w:tc>
        <w:tc>
          <w:tcPr>
            <w:tcW w:w="955" w:type="dxa"/>
            <w:gridSpan w:val="3"/>
            <w:vMerge w:val="continue"/>
            <w:noWrap w:val="0"/>
            <w:vAlign w:val="center"/>
          </w:tcPr>
          <w:p w14:paraId="18DED0FC">
            <w:pPr>
              <w:spacing w:line="360" w:lineRule="auto"/>
              <w:jc w:val="center"/>
              <w:rPr>
                <w:rFonts w:hint="eastAsia" w:ascii="宋体" w:hAnsi="宋体" w:eastAsia="宋体" w:cs="宋体"/>
                <w:sz w:val="21"/>
                <w:szCs w:val="21"/>
                <w:highlight w:val="none"/>
              </w:rPr>
            </w:pPr>
          </w:p>
        </w:tc>
        <w:tc>
          <w:tcPr>
            <w:tcW w:w="2106" w:type="dxa"/>
            <w:gridSpan w:val="2"/>
            <w:vMerge w:val="continue"/>
            <w:noWrap w:val="0"/>
            <w:vAlign w:val="center"/>
          </w:tcPr>
          <w:p w14:paraId="4F933F15">
            <w:pPr>
              <w:spacing w:line="360" w:lineRule="auto"/>
              <w:jc w:val="center"/>
              <w:rPr>
                <w:rFonts w:hint="eastAsia" w:ascii="宋体" w:hAnsi="宋体" w:eastAsia="宋体" w:cs="宋体"/>
                <w:sz w:val="21"/>
                <w:szCs w:val="21"/>
                <w:highlight w:val="none"/>
              </w:rPr>
            </w:pPr>
          </w:p>
        </w:tc>
        <w:tc>
          <w:tcPr>
            <w:tcW w:w="4996" w:type="dxa"/>
            <w:noWrap w:val="0"/>
            <w:vAlign w:val="center"/>
          </w:tcPr>
          <w:p w14:paraId="2110DF55">
            <w:pPr>
              <w:spacing w:line="360" w:lineRule="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val="zh-CN"/>
              </w:rPr>
              <w:t>工程保修服务承诺</w:t>
            </w:r>
            <w:r>
              <w:rPr>
                <w:rFonts w:hint="eastAsia" w:cs="宋体"/>
                <w:sz w:val="21"/>
                <w:szCs w:val="21"/>
                <w:highlight w:val="none"/>
                <w:lang w:val="zh-CN"/>
              </w:rPr>
              <w:t>：</w:t>
            </w:r>
            <w:r>
              <w:rPr>
                <w:rFonts w:hint="eastAsia" w:ascii="宋体" w:hAnsi="宋体" w:eastAsia="宋体" w:cs="宋体"/>
                <w:sz w:val="21"/>
                <w:szCs w:val="21"/>
                <w:highlight w:val="none"/>
                <w:lang w:val="zh-CN"/>
              </w:rPr>
              <w:t>具有全面、详实、可行的书面保证技术措施落实到位的承诺和落实不到位的处理承诺,得</w:t>
            </w:r>
            <w:r>
              <w:rPr>
                <w:rFonts w:hint="eastAsia" w:cs="宋体"/>
                <w:sz w:val="21"/>
                <w:szCs w:val="21"/>
                <w:highlight w:val="none"/>
                <w:lang w:val="en-US" w:eastAsia="zh-CN"/>
              </w:rPr>
              <w:t>4</w:t>
            </w:r>
            <w:r>
              <w:rPr>
                <w:rFonts w:hint="eastAsia" w:ascii="宋体" w:hAnsi="宋体" w:eastAsia="宋体" w:cs="宋体"/>
                <w:sz w:val="21"/>
                <w:szCs w:val="21"/>
                <w:highlight w:val="none"/>
                <w:lang w:val="zh-CN"/>
              </w:rPr>
              <w:t>分</w:t>
            </w:r>
            <w:r>
              <w:rPr>
                <w:rFonts w:hint="eastAsia" w:cs="宋体"/>
                <w:sz w:val="21"/>
                <w:szCs w:val="21"/>
                <w:highlight w:val="none"/>
                <w:lang w:val="zh-CN"/>
              </w:rPr>
              <w:t>；</w:t>
            </w:r>
            <w:r>
              <w:rPr>
                <w:rFonts w:hint="eastAsia" w:ascii="宋体" w:hAnsi="宋体" w:eastAsia="宋体" w:cs="宋体"/>
                <w:sz w:val="21"/>
                <w:szCs w:val="21"/>
                <w:highlight w:val="none"/>
                <w:lang w:val="zh-CN"/>
              </w:rPr>
              <w:t>具有可行的书面保证技术措施落实到位的承诺和落实不到位的处理承诺,得</w:t>
            </w:r>
            <w:r>
              <w:rPr>
                <w:rFonts w:hint="eastAsia" w:cs="宋体"/>
                <w:sz w:val="21"/>
                <w:szCs w:val="21"/>
                <w:highlight w:val="none"/>
                <w:lang w:val="en-US" w:eastAsia="zh-CN"/>
              </w:rPr>
              <w:t>2</w:t>
            </w:r>
            <w:r>
              <w:rPr>
                <w:rFonts w:hint="eastAsia" w:ascii="宋体" w:hAnsi="宋体" w:eastAsia="宋体" w:cs="宋体"/>
                <w:sz w:val="21"/>
                <w:szCs w:val="21"/>
                <w:highlight w:val="none"/>
                <w:lang w:val="zh-CN"/>
              </w:rPr>
              <w:t>分</w:t>
            </w:r>
            <w:r>
              <w:rPr>
                <w:rFonts w:hint="eastAsia" w:cs="宋体"/>
                <w:sz w:val="21"/>
                <w:szCs w:val="21"/>
                <w:highlight w:val="none"/>
                <w:lang w:val="zh-CN"/>
              </w:rPr>
              <w:t>；</w:t>
            </w:r>
            <w:r>
              <w:rPr>
                <w:rFonts w:hint="eastAsia" w:ascii="宋体" w:hAnsi="宋体" w:eastAsia="宋体" w:cs="宋体"/>
                <w:sz w:val="21"/>
                <w:szCs w:val="21"/>
                <w:highlight w:val="none"/>
                <w:lang w:val="en-US" w:eastAsia="zh-CN"/>
              </w:rPr>
              <w:t>未提供者不得分。</w:t>
            </w:r>
          </w:p>
        </w:tc>
      </w:tr>
      <w:tr w14:paraId="0687D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742" w:type="dxa"/>
            <w:vMerge w:val="continue"/>
            <w:noWrap w:val="0"/>
            <w:vAlign w:val="center"/>
          </w:tcPr>
          <w:p w14:paraId="5D095E12">
            <w:pPr>
              <w:spacing w:line="360" w:lineRule="auto"/>
              <w:jc w:val="center"/>
              <w:rPr>
                <w:rFonts w:hint="eastAsia" w:ascii="宋体" w:hAnsi="宋体" w:eastAsia="宋体" w:cs="宋体"/>
                <w:sz w:val="21"/>
                <w:szCs w:val="21"/>
                <w:highlight w:val="none"/>
              </w:rPr>
            </w:pPr>
          </w:p>
        </w:tc>
        <w:tc>
          <w:tcPr>
            <w:tcW w:w="955" w:type="dxa"/>
            <w:gridSpan w:val="3"/>
            <w:vMerge w:val="continue"/>
            <w:noWrap w:val="0"/>
            <w:vAlign w:val="center"/>
          </w:tcPr>
          <w:p w14:paraId="5BB7D8DB">
            <w:pPr>
              <w:spacing w:line="360" w:lineRule="auto"/>
              <w:jc w:val="center"/>
              <w:rPr>
                <w:rFonts w:hint="eastAsia" w:ascii="宋体" w:hAnsi="宋体" w:eastAsia="宋体" w:cs="宋体"/>
                <w:sz w:val="21"/>
                <w:szCs w:val="21"/>
                <w:highlight w:val="none"/>
              </w:rPr>
            </w:pPr>
          </w:p>
        </w:tc>
        <w:tc>
          <w:tcPr>
            <w:tcW w:w="2106" w:type="dxa"/>
            <w:gridSpan w:val="2"/>
            <w:vMerge w:val="continue"/>
            <w:noWrap w:val="0"/>
            <w:vAlign w:val="center"/>
          </w:tcPr>
          <w:p w14:paraId="19DC318F">
            <w:pPr>
              <w:spacing w:line="360" w:lineRule="auto"/>
              <w:jc w:val="center"/>
              <w:rPr>
                <w:rFonts w:hint="eastAsia" w:ascii="宋体" w:hAnsi="宋体" w:eastAsia="宋体" w:cs="宋体"/>
                <w:kern w:val="0"/>
                <w:sz w:val="21"/>
                <w:szCs w:val="21"/>
                <w:highlight w:val="none"/>
              </w:rPr>
            </w:pPr>
          </w:p>
        </w:tc>
        <w:tc>
          <w:tcPr>
            <w:tcW w:w="4996" w:type="dxa"/>
            <w:noWrap w:val="0"/>
            <w:vAlign w:val="center"/>
          </w:tcPr>
          <w:p w14:paraId="11CA1747">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cs="宋体"/>
                <w:sz w:val="21"/>
                <w:szCs w:val="21"/>
                <w:lang w:val="en-US" w:eastAsia="zh-CN"/>
              </w:rPr>
              <w:t>.</w:t>
            </w:r>
            <w:r>
              <w:rPr>
                <w:rFonts w:hint="eastAsia" w:ascii="宋体" w:hAnsi="宋体" w:eastAsia="宋体" w:cs="宋体"/>
                <w:color w:val="auto"/>
                <w:kern w:val="2"/>
                <w:sz w:val="21"/>
                <w:szCs w:val="21"/>
                <w:highlight w:val="none"/>
                <w:lang w:val="en-US" w:eastAsia="zh-CN" w:bidi="ar-SA"/>
              </w:rPr>
              <w:t>不拖欠农民工工资承诺：承诺不拖欠农民工工资的得2分，缺项得0分。</w:t>
            </w:r>
          </w:p>
        </w:tc>
      </w:tr>
    </w:tbl>
    <w:p w14:paraId="4CBE3E70">
      <w:pPr>
        <w:snapToGrid w:val="0"/>
        <w:spacing w:line="360" w:lineRule="auto"/>
        <w:ind w:firstLine="420" w:firstLineChars="200"/>
        <w:rPr>
          <w:rFonts w:hint="eastAsia" w:ascii="宋体" w:hAnsi="宋体"/>
          <w:sz w:val="21"/>
          <w:szCs w:val="21"/>
          <w:highlight w:val="none"/>
        </w:rPr>
      </w:pPr>
      <w:bookmarkStart w:id="590" w:name="_Toc10297"/>
    </w:p>
    <w:p w14:paraId="4894612A">
      <w:pPr>
        <w:snapToGrid w:val="0"/>
        <w:spacing w:line="360" w:lineRule="auto"/>
        <w:ind w:firstLine="420" w:firstLineChars="200"/>
        <w:rPr>
          <w:rFonts w:ascii="宋体" w:hAnsi="宋体"/>
          <w:sz w:val="24"/>
          <w:szCs w:val="24"/>
          <w:highlight w:val="none"/>
        </w:rPr>
      </w:pPr>
      <w:r>
        <w:rPr>
          <w:rFonts w:hint="eastAsia" w:ascii="宋体" w:hAnsi="宋体"/>
          <w:sz w:val="21"/>
          <w:szCs w:val="21"/>
          <w:highlight w:val="none"/>
        </w:rPr>
        <w:br w:type="page"/>
      </w:r>
      <w:r>
        <w:rPr>
          <w:rFonts w:hint="eastAsia" w:ascii="宋体" w:hAnsi="宋体"/>
          <w:sz w:val="24"/>
          <w:szCs w:val="24"/>
          <w:highlight w:val="none"/>
        </w:rPr>
        <w:t>1. 评审方法</w:t>
      </w:r>
    </w:p>
    <w:p w14:paraId="386DE4C7">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本次评审采用综合评分法。磋商小组对满足磋商文件实质性要求的响应文件，按照本章规定的评分标准进行打分，并按得分由高到低顺序推荐成交候选人，综合评分相等时，以报价得分高的优先；报价得分也相等的，由招标人自行确定。</w:t>
      </w:r>
    </w:p>
    <w:p w14:paraId="1E1DCA12">
      <w:pPr>
        <w:snapToGrid w:val="0"/>
        <w:spacing w:line="360" w:lineRule="auto"/>
        <w:ind w:firstLine="420" w:firstLineChars="175"/>
        <w:rPr>
          <w:rFonts w:ascii="宋体" w:hAnsi="宋体"/>
          <w:sz w:val="24"/>
          <w:szCs w:val="24"/>
          <w:highlight w:val="none"/>
        </w:rPr>
      </w:pPr>
      <w:bookmarkStart w:id="591" w:name="_Toc318450723"/>
      <w:bookmarkStart w:id="592" w:name="_Toc26131"/>
      <w:bookmarkStart w:id="593" w:name="_Toc24936"/>
      <w:bookmarkStart w:id="594" w:name="_Toc490667876"/>
      <w:bookmarkStart w:id="595" w:name="_Toc466298140"/>
      <w:bookmarkStart w:id="596" w:name="_Toc6612"/>
      <w:bookmarkStart w:id="597" w:name="_Toc281405529"/>
      <w:bookmarkStart w:id="598" w:name="_Toc455867817"/>
      <w:bookmarkStart w:id="599" w:name="_Toc152045601"/>
      <w:bookmarkStart w:id="600" w:name="_Toc144974568"/>
      <w:bookmarkStart w:id="601" w:name="_Toc152042378"/>
      <w:bookmarkStart w:id="602" w:name="_Toc455080157"/>
      <w:bookmarkStart w:id="603" w:name="_Toc20837"/>
      <w:r>
        <w:rPr>
          <w:rFonts w:hint="eastAsia" w:ascii="宋体" w:hAnsi="宋体"/>
          <w:sz w:val="24"/>
          <w:szCs w:val="24"/>
          <w:highlight w:val="none"/>
        </w:rPr>
        <w:t>2. 评审标准</w:t>
      </w:r>
      <w:bookmarkEnd w:id="591"/>
      <w:bookmarkEnd w:id="592"/>
      <w:bookmarkEnd w:id="593"/>
      <w:bookmarkEnd w:id="594"/>
      <w:bookmarkEnd w:id="595"/>
      <w:bookmarkEnd w:id="596"/>
      <w:bookmarkEnd w:id="597"/>
      <w:bookmarkEnd w:id="598"/>
      <w:bookmarkEnd w:id="599"/>
      <w:bookmarkEnd w:id="600"/>
      <w:bookmarkEnd w:id="601"/>
      <w:bookmarkEnd w:id="602"/>
      <w:bookmarkEnd w:id="603"/>
    </w:p>
    <w:p w14:paraId="3F276E0C">
      <w:pPr>
        <w:snapToGrid w:val="0"/>
        <w:spacing w:line="360" w:lineRule="auto"/>
        <w:ind w:firstLine="420" w:firstLineChars="175"/>
        <w:rPr>
          <w:rFonts w:ascii="宋体" w:hAnsi="宋体"/>
          <w:sz w:val="24"/>
          <w:szCs w:val="24"/>
          <w:highlight w:val="none"/>
        </w:rPr>
      </w:pPr>
      <w:bookmarkStart w:id="604" w:name="_Toc6711"/>
      <w:bookmarkStart w:id="605" w:name="_Toc21120"/>
      <w:bookmarkStart w:id="606" w:name="_Toc152042379"/>
      <w:bookmarkStart w:id="607" w:name="_Toc466298141"/>
      <w:bookmarkStart w:id="608" w:name="_Toc24558"/>
      <w:bookmarkStart w:id="609" w:name="_Toc144974569"/>
      <w:bookmarkStart w:id="610" w:name="_Toc31037"/>
      <w:bookmarkStart w:id="611" w:name="_Toc318450724"/>
      <w:bookmarkStart w:id="612" w:name="_Toc25637"/>
      <w:bookmarkStart w:id="613" w:name="_Toc455867818"/>
      <w:bookmarkStart w:id="614" w:name="_Toc152045602"/>
      <w:bookmarkStart w:id="615" w:name="_Toc11223"/>
      <w:bookmarkStart w:id="616" w:name="_Toc15813"/>
      <w:bookmarkStart w:id="617" w:name="_Toc490667877"/>
      <w:bookmarkStart w:id="618" w:name="_Toc281405530"/>
      <w:bookmarkStart w:id="619" w:name="_Toc19934"/>
      <w:bookmarkStart w:id="620" w:name="_Toc455080158"/>
      <w:r>
        <w:rPr>
          <w:rFonts w:hint="eastAsia" w:ascii="宋体" w:hAnsi="宋体"/>
          <w:sz w:val="24"/>
          <w:szCs w:val="24"/>
          <w:highlight w:val="none"/>
        </w:rPr>
        <w:t>2.1 初步评审标准</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14:paraId="6301A560">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2.1.1 符合性评审标准：见评审办法前附表。</w:t>
      </w:r>
    </w:p>
    <w:p w14:paraId="40F95D76">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2.1.2 资格性检查评审标准：见评审办法前附表。</w:t>
      </w:r>
    </w:p>
    <w:p w14:paraId="69D2FD54">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2.1.3 响应性检查评审标准：见评审办法前附表。</w:t>
      </w:r>
    </w:p>
    <w:p w14:paraId="19A05A9A">
      <w:pPr>
        <w:snapToGrid w:val="0"/>
        <w:spacing w:line="360" w:lineRule="auto"/>
        <w:ind w:firstLine="420" w:firstLineChars="175"/>
        <w:rPr>
          <w:rFonts w:ascii="宋体" w:hAnsi="宋体"/>
          <w:sz w:val="24"/>
          <w:szCs w:val="24"/>
          <w:highlight w:val="none"/>
        </w:rPr>
      </w:pPr>
      <w:bookmarkStart w:id="621" w:name="_Toc455080159"/>
      <w:bookmarkStart w:id="622" w:name="_Toc281405531"/>
      <w:bookmarkStart w:id="623" w:name="_Toc25492"/>
      <w:bookmarkStart w:id="624" w:name="_Toc144974570"/>
      <w:bookmarkStart w:id="625" w:name="_Toc152042380"/>
      <w:bookmarkStart w:id="626" w:name="_Toc7284"/>
      <w:bookmarkStart w:id="627" w:name="_Toc318450725"/>
      <w:bookmarkStart w:id="628" w:name="_Toc152045603"/>
      <w:bookmarkStart w:id="629" w:name="_Toc24825"/>
      <w:bookmarkStart w:id="630" w:name="_Toc22439"/>
      <w:bookmarkStart w:id="631" w:name="_Toc490667878"/>
      <w:bookmarkStart w:id="632" w:name="_Toc21970"/>
      <w:bookmarkStart w:id="633" w:name="_Toc466298142"/>
      <w:bookmarkStart w:id="634" w:name="_Toc12013"/>
      <w:bookmarkStart w:id="635" w:name="_Toc11061"/>
      <w:bookmarkStart w:id="636" w:name="_Toc455867819"/>
      <w:bookmarkStart w:id="637" w:name="_Toc30189"/>
      <w:r>
        <w:rPr>
          <w:rFonts w:hint="eastAsia" w:ascii="宋体" w:hAnsi="宋体"/>
          <w:sz w:val="24"/>
          <w:szCs w:val="24"/>
          <w:highlight w:val="none"/>
        </w:rPr>
        <w:t>2.2 分值构成与评分标准</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5E64A3D2">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（1）最后</w:t>
      </w:r>
      <w:r>
        <w:rPr>
          <w:rFonts w:hint="eastAsia"/>
          <w:sz w:val="24"/>
          <w:szCs w:val="24"/>
          <w:highlight w:val="none"/>
          <w:lang w:eastAsia="zh-CN"/>
        </w:rPr>
        <w:t>响应报价</w:t>
      </w:r>
      <w:r>
        <w:rPr>
          <w:rFonts w:hint="eastAsia" w:ascii="宋体" w:hAnsi="宋体"/>
          <w:sz w:val="24"/>
          <w:szCs w:val="24"/>
          <w:highlight w:val="none"/>
        </w:rPr>
        <w:t>：见评审办法前附表</w:t>
      </w:r>
    </w:p>
    <w:p w14:paraId="406AA635">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（2）技术标：见评审办法前附表；</w:t>
      </w:r>
    </w:p>
    <w:p w14:paraId="1356AC4B">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（3）商务标：见评审办法前附表；</w:t>
      </w:r>
    </w:p>
    <w:p w14:paraId="0E39DC5C">
      <w:pPr>
        <w:snapToGrid w:val="0"/>
        <w:spacing w:line="360" w:lineRule="auto"/>
        <w:ind w:firstLine="420" w:firstLineChars="175"/>
        <w:rPr>
          <w:rFonts w:ascii="宋体" w:hAnsi="宋体"/>
          <w:sz w:val="24"/>
          <w:szCs w:val="24"/>
          <w:highlight w:val="none"/>
        </w:rPr>
      </w:pPr>
      <w:bookmarkStart w:id="638" w:name="_Toc455080160"/>
      <w:bookmarkStart w:id="639" w:name="_Toc29297"/>
      <w:bookmarkStart w:id="640" w:name="_Toc490667879"/>
      <w:bookmarkStart w:id="641" w:name="_Toc455867820"/>
      <w:bookmarkStart w:id="642" w:name="_Toc32314"/>
      <w:bookmarkStart w:id="643" w:name="_Toc466298143"/>
      <w:bookmarkStart w:id="644" w:name="_Toc17308"/>
      <w:bookmarkStart w:id="645" w:name="_Toc318450726"/>
      <w:bookmarkStart w:id="646" w:name="_Toc281405532"/>
      <w:bookmarkStart w:id="647" w:name="_Toc16479"/>
      <w:r>
        <w:rPr>
          <w:rFonts w:hint="eastAsia" w:ascii="宋体" w:hAnsi="宋体"/>
          <w:sz w:val="24"/>
          <w:szCs w:val="24"/>
          <w:highlight w:val="none"/>
        </w:rPr>
        <w:t>3. 评审程序</w:t>
      </w:r>
      <w:bookmarkEnd w:id="638"/>
      <w:bookmarkEnd w:id="639"/>
      <w:bookmarkEnd w:id="640"/>
      <w:bookmarkEnd w:id="641"/>
      <w:bookmarkEnd w:id="642"/>
      <w:bookmarkEnd w:id="643"/>
      <w:bookmarkEnd w:id="644"/>
      <w:bookmarkEnd w:id="645"/>
      <w:bookmarkEnd w:id="646"/>
      <w:bookmarkEnd w:id="647"/>
    </w:p>
    <w:p w14:paraId="1CBE170E">
      <w:pPr>
        <w:snapToGrid w:val="0"/>
        <w:spacing w:line="360" w:lineRule="auto"/>
        <w:ind w:firstLine="420" w:firstLineChars="175"/>
        <w:rPr>
          <w:rFonts w:ascii="宋体" w:hAnsi="宋体"/>
          <w:sz w:val="24"/>
          <w:szCs w:val="24"/>
          <w:highlight w:val="none"/>
        </w:rPr>
      </w:pPr>
      <w:bookmarkStart w:id="648" w:name="_Toc7272"/>
      <w:bookmarkStart w:id="649" w:name="_Toc466298144"/>
      <w:bookmarkStart w:id="650" w:name="_Toc281405533"/>
      <w:bookmarkStart w:id="651" w:name="_Toc16892"/>
      <w:bookmarkStart w:id="652" w:name="_Toc2410"/>
      <w:bookmarkStart w:id="653" w:name="_Toc318450727"/>
      <w:bookmarkStart w:id="654" w:name="_Toc455080161"/>
      <w:bookmarkStart w:id="655" w:name="_Toc490667880"/>
      <w:bookmarkStart w:id="656" w:name="_Toc9433"/>
      <w:bookmarkStart w:id="657" w:name="_Toc30986"/>
      <w:bookmarkStart w:id="658" w:name="_Toc5427"/>
      <w:bookmarkStart w:id="659" w:name="_Toc14633"/>
      <w:bookmarkStart w:id="660" w:name="_Toc18886"/>
      <w:bookmarkStart w:id="661" w:name="_Toc455867821"/>
      <w:bookmarkStart w:id="662" w:name="_Toc29614"/>
      <w:r>
        <w:rPr>
          <w:rFonts w:hint="eastAsia" w:ascii="宋体" w:hAnsi="宋体"/>
          <w:sz w:val="24"/>
          <w:szCs w:val="24"/>
          <w:highlight w:val="none"/>
        </w:rPr>
        <w:t>3.1 初步评审</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14:paraId="2293FA2B">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3.1.1 磋商小组依据本章第2.1款规定的标准对响应文件进行初步评审。有一项不符合评审标准的，其投标无效。</w:t>
      </w:r>
    </w:p>
    <w:p w14:paraId="1BC0DB46">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 xml:space="preserve">3.1.2 </w:t>
      </w:r>
      <w:r>
        <w:rPr>
          <w:rFonts w:hint="eastAsia"/>
          <w:sz w:val="24"/>
          <w:szCs w:val="24"/>
          <w:highlight w:val="none"/>
          <w:lang w:eastAsia="zh-CN"/>
        </w:rPr>
        <w:t>供应商</w:t>
      </w:r>
      <w:r>
        <w:rPr>
          <w:rFonts w:hint="eastAsia" w:ascii="宋体" w:hAnsi="宋体"/>
          <w:sz w:val="24"/>
          <w:szCs w:val="24"/>
          <w:highlight w:val="none"/>
        </w:rPr>
        <w:t>有以下情形之一的，其响应文件作无效处理：</w:t>
      </w:r>
    </w:p>
    <w:p w14:paraId="299D1176">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（1）串通或弄虚作假或有其他违法行为的；</w:t>
      </w:r>
    </w:p>
    <w:p w14:paraId="0A422052">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（2）不按磋商小组要求澄清、说明或补正的；</w:t>
      </w:r>
    </w:p>
    <w:p w14:paraId="6CA4322D">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（3）未按规定格式填写、内容不全或关键字迹模糊、无法辨认的；</w:t>
      </w:r>
    </w:p>
    <w:p w14:paraId="0C412639">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（4）响应文件附有招标人不能接受的条件；</w:t>
      </w:r>
    </w:p>
    <w:p w14:paraId="095F709E">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（5）不符合磋商文件规定的其他实质性要求。</w:t>
      </w:r>
    </w:p>
    <w:p w14:paraId="580AC24B">
      <w:pPr>
        <w:snapToGrid w:val="0"/>
        <w:spacing w:line="360" w:lineRule="auto"/>
        <w:ind w:firstLine="420" w:firstLineChars="175"/>
        <w:rPr>
          <w:rFonts w:ascii="宋体" w:hAnsi="宋体"/>
          <w:sz w:val="24"/>
          <w:szCs w:val="24"/>
          <w:highlight w:val="none"/>
        </w:rPr>
      </w:pPr>
      <w:bookmarkStart w:id="663" w:name="_Toc21570"/>
      <w:bookmarkStart w:id="664" w:name="_Toc318450728"/>
      <w:bookmarkStart w:id="665" w:name="_Toc12406"/>
      <w:bookmarkStart w:id="666" w:name="_Toc7121"/>
      <w:bookmarkStart w:id="667" w:name="_Toc22101"/>
      <w:bookmarkStart w:id="668" w:name="_Toc26049"/>
      <w:bookmarkStart w:id="669" w:name="_Toc455867822"/>
      <w:bookmarkStart w:id="670" w:name="_Toc13386"/>
      <w:bookmarkStart w:id="671" w:name="_Toc10692"/>
      <w:bookmarkStart w:id="672" w:name="_Toc466298145"/>
      <w:bookmarkStart w:id="673" w:name="_Toc21032"/>
      <w:bookmarkStart w:id="674" w:name="_Toc281405534"/>
      <w:bookmarkStart w:id="675" w:name="_Toc490667881"/>
      <w:bookmarkStart w:id="676" w:name="_Toc455080162"/>
      <w:bookmarkStart w:id="677" w:name="_Toc16964"/>
      <w:r>
        <w:rPr>
          <w:rFonts w:hint="eastAsia" w:ascii="宋体" w:hAnsi="宋体"/>
          <w:sz w:val="24"/>
          <w:szCs w:val="24"/>
          <w:highlight w:val="none"/>
        </w:rPr>
        <w:t>3.2 详细评审</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14:paraId="3E3A16E5">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3.2.1 磋商小组按本章第2.2款规定的量化因素和分值进行打分，并计算出综合评分得分。</w:t>
      </w:r>
    </w:p>
    <w:p w14:paraId="4EDBFB64">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3.2.2 评分分值计算保留小数点后两位，小数点后第三位“四舍五入”。</w:t>
      </w:r>
    </w:p>
    <w:p w14:paraId="671B35B1">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3.2.3</w:t>
      </w:r>
      <w:r>
        <w:rPr>
          <w:rFonts w:hint="eastAsia"/>
          <w:sz w:val="24"/>
          <w:szCs w:val="24"/>
          <w:highlight w:val="none"/>
          <w:lang w:eastAsia="zh-CN"/>
        </w:rPr>
        <w:t>供应商</w:t>
      </w:r>
      <w:r>
        <w:rPr>
          <w:rFonts w:hint="eastAsia" w:ascii="宋体" w:hAnsi="宋体"/>
          <w:sz w:val="24"/>
          <w:szCs w:val="24"/>
          <w:highlight w:val="none"/>
        </w:rPr>
        <w:t>的最后得分以全部小组成员打分的算术平均值为准，作为该</w:t>
      </w:r>
      <w:r>
        <w:rPr>
          <w:rFonts w:hint="eastAsia"/>
          <w:sz w:val="24"/>
          <w:szCs w:val="24"/>
          <w:highlight w:val="none"/>
          <w:lang w:eastAsia="zh-CN"/>
        </w:rPr>
        <w:t>供应商</w:t>
      </w:r>
      <w:r>
        <w:rPr>
          <w:rFonts w:hint="eastAsia" w:ascii="宋体" w:hAnsi="宋体"/>
          <w:sz w:val="24"/>
          <w:szCs w:val="24"/>
          <w:highlight w:val="none"/>
        </w:rPr>
        <w:t>的最终得分。</w:t>
      </w:r>
    </w:p>
    <w:p w14:paraId="15703011">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3.2.4在磋商过程中，凡遇到磋商文件中无界定或界定不清、前后不一致使磋商小组意见有分歧且又难以协商一致的问题，均由磋商小组予以表决，获半数以上同意的即为通过，未获半数同意的即为否决。</w:t>
      </w:r>
    </w:p>
    <w:p w14:paraId="16FFD816">
      <w:pPr>
        <w:snapToGrid w:val="0"/>
        <w:spacing w:line="360" w:lineRule="auto"/>
        <w:ind w:firstLine="420" w:firstLineChars="175"/>
        <w:rPr>
          <w:rFonts w:ascii="宋体" w:hAnsi="宋体"/>
          <w:sz w:val="24"/>
          <w:szCs w:val="24"/>
          <w:highlight w:val="none"/>
        </w:rPr>
      </w:pPr>
      <w:bookmarkStart w:id="678" w:name="_Toc24862"/>
      <w:bookmarkStart w:id="679" w:name="_Toc490667882"/>
      <w:bookmarkStart w:id="680" w:name="_Toc8342"/>
      <w:bookmarkStart w:id="681" w:name="_Toc331"/>
      <w:bookmarkStart w:id="682" w:name="_Toc281405535"/>
      <w:bookmarkStart w:id="683" w:name="_Toc11958"/>
      <w:bookmarkStart w:id="684" w:name="_Toc455867823"/>
      <w:bookmarkStart w:id="685" w:name="_Toc10153"/>
      <w:bookmarkStart w:id="686" w:name="_Toc12374"/>
      <w:bookmarkStart w:id="687" w:name="_Toc455080163"/>
      <w:bookmarkStart w:id="688" w:name="_Toc318450729"/>
      <w:bookmarkStart w:id="689" w:name="_Toc466298146"/>
      <w:bookmarkStart w:id="690" w:name="_Toc8813"/>
      <w:bookmarkStart w:id="691" w:name="_Toc28633"/>
      <w:bookmarkStart w:id="692" w:name="_Toc2657"/>
      <w:r>
        <w:rPr>
          <w:rFonts w:hint="eastAsia" w:ascii="宋体" w:hAnsi="宋体"/>
          <w:sz w:val="24"/>
          <w:szCs w:val="24"/>
          <w:highlight w:val="none"/>
        </w:rPr>
        <w:t>3.3 响应文件的澄清和补正</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4959FE25">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3.3.1在磋商过程中，磋商小组可以书面形式要求</w:t>
      </w:r>
      <w:r>
        <w:rPr>
          <w:rFonts w:hint="eastAsia"/>
          <w:sz w:val="24"/>
          <w:szCs w:val="24"/>
          <w:highlight w:val="none"/>
          <w:lang w:eastAsia="zh-CN"/>
        </w:rPr>
        <w:t>供应商</w:t>
      </w:r>
      <w:r>
        <w:rPr>
          <w:rFonts w:hint="eastAsia" w:ascii="宋体" w:hAnsi="宋体"/>
          <w:sz w:val="24"/>
          <w:szCs w:val="24"/>
          <w:highlight w:val="none"/>
        </w:rPr>
        <w:t>对所提交的响应文件中不明确的内容进行书面澄清或说明，或者对细微偏离进行补正。磋商小组不接受</w:t>
      </w:r>
      <w:r>
        <w:rPr>
          <w:rFonts w:hint="eastAsia"/>
          <w:sz w:val="24"/>
          <w:szCs w:val="24"/>
          <w:highlight w:val="none"/>
          <w:lang w:eastAsia="zh-CN"/>
        </w:rPr>
        <w:t>供应商</w:t>
      </w:r>
      <w:r>
        <w:rPr>
          <w:rFonts w:hint="eastAsia" w:ascii="宋体" w:hAnsi="宋体"/>
          <w:sz w:val="24"/>
          <w:szCs w:val="24"/>
          <w:highlight w:val="none"/>
        </w:rPr>
        <w:t>主动提出的澄清、说明或补正。</w:t>
      </w:r>
    </w:p>
    <w:p w14:paraId="4A2CF35D">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3.3.2 澄清、说明和补正不得超出响应文件的范围或者改变响应文件的实质性内容（算术性错误修正的除外）。</w:t>
      </w:r>
      <w:r>
        <w:rPr>
          <w:rFonts w:hint="eastAsia"/>
          <w:sz w:val="24"/>
          <w:szCs w:val="24"/>
          <w:highlight w:val="none"/>
          <w:lang w:eastAsia="zh-CN"/>
        </w:rPr>
        <w:t>供应商</w:t>
      </w:r>
      <w:r>
        <w:rPr>
          <w:rFonts w:hint="eastAsia" w:ascii="宋体" w:hAnsi="宋体"/>
          <w:sz w:val="24"/>
          <w:szCs w:val="24"/>
          <w:highlight w:val="none"/>
        </w:rPr>
        <w:t>的书面澄清、说明和补正属于响应文件的组成部分。</w:t>
      </w:r>
    </w:p>
    <w:p w14:paraId="0F37B3AC">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3.3.3 磋商小组对</w:t>
      </w:r>
      <w:r>
        <w:rPr>
          <w:rFonts w:hint="eastAsia"/>
          <w:sz w:val="24"/>
          <w:szCs w:val="24"/>
          <w:highlight w:val="none"/>
          <w:lang w:eastAsia="zh-CN"/>
        </w:rPr>
        <w:t>供应商</w:t>
      </w:r>
      <w:r>
        <w:rPr>
          <w:rFonts w:hint="eastAsia" w:ascii="宋体" w:hAnsi="宋体"/>
          <w:sz w:val="24"/>
          <w:szCs w:val="24"/>
          <w:highlight w:val="none"/>
        </w:rPr>
        <w:t>提交的澄清、说明或补正有疑问的，可以要求</w:t>
      </w:r>
      <w:r>
        <w:rPr>
          <w:rFonts w:hint="eastAsia"/>
          <w:sz w:val="24"/>
          <w:szCs w:val="24"/>
          <w:highlight w:val="none"/>
          <w:lang w:eastAsia="zh-CN"/>
        </w:rPr>
        <w:t>供应商</w:t>
      </w:r>
      <w:r>
        <w:rPr>
          <w:rFonts w:hint="eastAsia" w:ascii="宋体" w:hAnsi="宋体"/>
          <w:sz w:val="24"/>
          <w:szCs w:val="24"/>
          <w:highlight w:val="none"/>
        </w:rPr>
        <w:t>进一步澄清、说明或补正，直至满足磋商小组的要求。</w:t>
      </w:r>
    </w:p>
    <w:p w14:paraId="0AA93611">
      <w:pPr>
        <w:snapToGrid w:val="0"/>
        <w:spacing w:line="360" w:lineRule="auto"/>
        <w:ind w:firstLine="420" w:firstLineChars="175"/>
        <w:rPr>
          <w:rFonts w:ascii="宋体" w:hAnsi="宋体"/>
          <w:sz w:val="24"/>
          <w:szCs w:val="24"/>
          <w:highlight w:val="none"/>
        </w:rPr>
      </w:pPr>
      <w:bookmarkStart w:id="693" w:name="_Toc30053"/>
      <w:bookmarkStart w:id="694" w:name="_Toc455080164"/>
      <w:bookmarkStart w:id="695" w:name="_Toc490667883"/>
      <w:bookmarkStart w:id="696" w:name="_Toc26894"/>
      <w:bookmarkStart w:id="697" w:name="_Toc318450730"/>
      <w:bookmarkStart w:id="698" w:name="_Toc19453"/>
      <w:bookmarkStart w:id="699" w:name="_Toc455867824"/>
      <w:bookmarkStart w:id="700" w:name="_Toc1857"/>
      <w:bookmarkStart w:id="701" w:name="_Toc22049"/>
      <w:bookmarkStart w:id="702" w:name="_Toc22682"/>
      <w:bookmarkStart w:id="703" w:name="_Toc5903"/>
      <w:bookmarkStart w:id="704" w:name="_Toc32183"/>
      <w:bookmarkStart w:id="705" w:name="_Toc466298147"/>
      <w:bookmarkStart w:id="706" w:name="_Toc22986"/>
      <w:bookmarkStart w:id="707" w:name="_Toc281405536"/>
      <w:r>
        <w:rPr>
          <w:rFonts w:hint="eastAsia" w:ascii="宋体" w:hAnsi="宋体"/>
          <w:sz w:val="24"/>
          <w:szCs w:val="24"/>
          <w:highlight w:val="none"/>
        </w:rPr>
        <w:t>3.4 评审结果</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14:paraId="475A2845">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3.4.1磋商小组按照得分由高到低的顺序推荐成交候选人。</w:t>
      </w:r>
    </w:p>
    <w:p w14:paraId="26E6CD70">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3.4.2 磋商小组完成评审后，应当向招标人提交书面评审报告。</w:t>
      </w:r>
    </w:p>
    <w:p w14:paraId="36622120">
      <w:pPr>
        <w:spacing w:line="420" w:lineRule="exact"/>
        <w:jc w:val="center"/>
        <w:rPr>
          <w:rFonts w:ascii="宋体" w:hAnsi="宋体"/>
          <w:color w:val="000000"/>
          <w:sz w:val="24"/>
          <w:szCs w:val="24"/>
          <w:highlight w:val="none"/>
        </w:rPr>
      </w:pPr>
    </w:p>
    <w:p w14:paraId="11898C53">
      <w:pPr>
        <w:bidi w:val="0"/>
      </w:pPr>
    </w:p>
    <w:p w14:paraId="1A74FC30">
      <w:pPr>
        <w:bidi w:val="0"/>
        <w:rPr>
          <w:rFonts w:hint="eastAsia"/>
          <w:lang w:val="en-US" w:eastAsia="zh-CN"/>
        </w:rPr>
      </w:pPr>
    </w:p>
    <w:p w14:paraId="0115E355">
      <w:pPr>
        <w:bidi w:val="0"/>
        <w:rPr>
          <w:rFonts w:hint="eastAsia"/>
          <w:lang w:val="en-US" w:eastAsia="zh-CN"/>
        </w:rPr>
      </w:pPr>
    </w:p>
    <w:p w14:paraId="699A272F">
      <w:pPr>
        <w:bidi w:val="0"/>
        <w:rPr>
          <w:rFonts w:hint="eastAsia"/>
          <w:lang w:val="en-US" w:eastAsia="zh-CN"/>
        </w:rPr>
      </w:pPr>
    </w:p>
    <w:p w14:paraId="358B040E">
      <w:pPr>
        <w:bidi w:val="0"/>
        <w:rPr>
          <w:rFonts w:hint="eastAsia"/>
          <w:lang w:val="en-US" w:eastAsia="zh-CN"/>
        </w:rPr>
      </w:pPr>
    </w:p>
    <w:p w14:paraId="01D26F70">
      <w:pPr>
        <w:bidi w:val="0"/>
        <w:rPr>
          <w:rFonts w:hint="eastAsia"/>
          <w:lang w:val="en-US" w:eastAsia="zh-CN"/>
        </w:rPr>
      </w:pPr>
    </w:p>
    <w:p w14:paraId="73CB631A">
      <w:pPr>
        <w:bidi w:val="0"/>
        <w:rPr>
          <w:rFonts w:hint="eastAsia"/>
          <w:lang w:val="en-US" w:eastAsia="zh-CN"/>
        </w:rPr>
      </w:pPr>
    </w:p>
    <w:p w14:paraId="06C66AA5">
      <w:pPr>
        <w:bidi w:val="0"/>
        <w:rPr>
          <w:rFonts w:hint="eastAsia"/>
          <w:lang w:val="en-US" w:eastAsia="zh-CN"/>
        </w:rPr>
      </w:pPr>
    </w:p>
    <w:p w14:paraId="7192CEF4">
      <w:pPr>
        <w:bidi w:val="0"/>
        <w:rPr>
          <w:rFonts w:hint="eastAsia"/>
          <w:lang w:val="en-US" w:eastAsia="zh-CN"/>
        </w:rPr>
      </w:pPr>
    </w:p>
    <w:p w14:paraId="01A141C2">
      <w:pPr>
        <w:bidi w:val="0"/>
        <w:rPr>
          <w:rFonts w:hint="eastAsia"/>
          <w:lang w:val="en-US" w:eastAsia="zh-CN"/>
        </w:rPr>
      </w:pPr>
    </w:p>
    <w:p w14:paraId="377C3425">
      <w:pPr>
        <w:bidi w:val="0"/>
        <w:rPr>
          <w:rFonts w:hint="eastAsia"/>
          <w:lang w:val="en-US" w:eastAsia="zh-CN"/>
        </w:rPr>
      </w:pPr>
    </w:p>
    <w:p w14:paraId="221D7A64">
      <w:pPr>
        <w:bidi w:val="0"/>
        <w:rPr>
          <w:rFonts w:hint="eastAsia"/>
          <w:lang w:val="en-US" w:eastAsia="zh-CN"/>
        </w:rPr>
      </w:pPr>
    </w:p>
    <w:p w14:paraId="3B81C672">
      <w:pPr>
        <w:bidi w:val="0"/>
        <w:rPr>
          <w:rFonts w:hint="eastAsia"/>
          <w:lang w:val="en-US" w:eastAsia="zh-CN"/>
        </w:rPr>
      </w:pPr>
    </w:p>
    <w:p w14:paraId="072A093B">
      <w:pPr>
        <w:bidi w:val="0"/>
        <w:rPr>
          <w:rFonts w:hint="eastAsia"/>
          <w:lang w:val="en-US" w:eastAsia="zh-CN"/>
        </w:rPr>
      </w:pPr>
    </w:p>
    <w:p w14:paraId="3DA045A1">
      <w:pPr>
        <w:pStyle w:val="20"/>
        <w:numPr>
          <w:ilvl w:val="0"/>
          <w:numId w:val="13"/>
        </w:numPr>
        <w:spacing w:before="312" w:beforeLines="100" w:after="312" w:afterLines="100" w:line="600" w:lineRule="exact"/>
        <w:ind w:left="0" w:leftChars="0" w:firstLine="0" w:firstLineChars="0"/>
        <w:jc w:val="center"/>
        <w:outlineLvl w:val="0"/>
        <w:rPr>
          <w:rFonts w:hint="eastAsia" w:hAnsi="Courier New" w:cs="Courier New"/>
          <w:b/>
          <w:bCs/>
          <w:color w:val="auto"/>
          <w:sz w:val="32"/>
          <w:szCs w:val="32"/>
          <w:highlight w:val="none"/>
          <w:lang w:val="en-US" w:eastAsia="zh-CN"/>
        </w:rPr>
      </w:pPr>
      <w:r>
        <w:rPr>
          <w:rFonts w:hint="eastAsia" w:hAnsi="Courier New" w:cs="Courier New"/>
          <w:b/>
          <w:bCs/>
          <w:color w:val="auto"/>
          <w:sz w:val="32"/>
          <w:szCs w:val="32"/>
          <w:highlight w:val="none"/>
          <w:lang w:val="en-US" w:eastAsia="zh-CN"/>
        </w:rPr>
        <w:br w:type="page"/>
      </w:r>
      <w:r>
        <w:rPr>
          <w:rFonts w:hint="eastAsia" w:hAnsi="Courier New" w:cs="Courier New"/>
          <w:b/>
          <w:bCs/>
          <w:color w:val="auto"/>
          <w:sz w:val="32"/>
          <w:szCs w:val="32"/>
          <w:highlight w:val="none"/>
          <w:lang w:val="en-US" w:eastAsia="zh-CN"/>
        </w:rPr>
        <w:t xml:space="preserve"> </w:t>
      </w:r>
      <w:bookmarkStart w:id="708" w:name="_Toc20283"/>
      <w:bookmarkStart w:id="709" w:name="_Toc17359"/>
      <w:r>
        <w:rPr>
          <w:rFonts w:hint="eastAsia" w:hAnsi="Courier New" w:cs="Courier New"/>
          <w:b/>
          <w:bCs/>
          <w:color w:val="auto"/>
          <w:sz w:val="32"/>
          <w:szCs w:val="32"/>
          <w:highlight w:val="none"/>
          <w:lang w:val="en-US" w:eastAsia="zh-CN"/>
        </w:rPr>
        <w:t>合同</w:t>
      </w:r>
      <w:bookmarkEnd w:id="590"/>
      <w:r>
        <w:rPr>
          <w:rFonts w:hint="eastAsia" w:hAnsi="Courier New" w:cs="Courier New"/>
          <w:b/>
          <w:bCs/>
          <w:color w:val="auto"/>
          <w:sz w:val="32"/>
          <w:szCs w:val="32"/>
          <w:highlight w:val="none"/>
          <w:lang w:val="en-US" w:eastAsia="zh-CN"/>
        </w:rPr>
        <w:t>条款及格式</w:t>
      </w:r>
      <w:bookmarkEnd w:id="708"/>
      <w:bookmarkEnd w:id="709"/>
    </w:p>
    <w:p w14:paraId="34BF7EF4">
      <w:pPr>
        <w:jc w:val="center"/>
        <w:rPr>
          <w:rFonts w:hint="eastAsia" w:ascii="宋体" w:hAnsi="宋体" w:cs="宋体"/>
          <w:b/>
          <w:sz w:val="28"/>
          <w:szCs w:val="28"/>
        </w:rPr>
      </w:pPr>
      <w:r>
        <w:rPr>
          <w:rFonts w:hint="eastAsia" w:ascii="宋体" w:hAnsi="宋体" w:cs="宋体"/>
          <w:b/>
          <w:sz w:val="28"/>
          <w:szCs w:val="28"/>
        </w:rPr>
        <w:t>（本合同格式仅供参考，具体条款以签订合同为准）</w:t>
      </w:r>
    </w:p>
    <w:p w14:paraId="6A95ACE2">
      <w:pPr>
        <w:bidi w:val="0"/>
        <w:rPr>
          <w:rFonts w:hint="eastAsia"/>
          <w:lang w:val="en-US" w:eastAsia="zh-CN"/>
        </w:rPr>
      </w:pPr>
    </w:p>
    <w:p w14:paraId="377A00EA">
      <w:pPr>
        <w:spacing w:before="100" w:beforeAutospacing="1" w:after="120" w:line="360" w:lineRule="auto"/>
        <w:ind w:left="480" w:leftChars="200" w:firstLine="420"/>
        <w:rPr>
          <w:rFonts w:hint="eastAsia" w:ascii="宋体" w:hAnsi="宋体" w:cs="宋体"/>
          <w:kern w:val="0"/>
          <w:szCs w:val="21"/>
        </w:rPr>
      </w:pPr>
      <w:r>
        <w:rPr>
          <w:rFonts w:hint="eastAsia" w:ascii="宋体" w:hAnsi="宋体" w:cs="宋体"/>
          <w:kern w:val="0"/>
          <w:szCs w:val="21"/>
        </w:rPr>
        <w:t>注：按《三门峡市财政局关于市本级政府采购合同备案管理工作的通知》（三财购[2021]9号）文要求，集中采购目录以外政府采购项目，原则上自中标通知书发出之日起2个工作日内与中标人按照招标文件确定的事项与中标人签订施工合同。</w:t>
      </w:r>
    </w:p>
    <w:p w14:paraId="5DB2453E">
      <w:pPr>
        <w:keepNext/>
        <w:keepLines/>
        <w:spacing w:before="260" w:after="260" w:line="360" w:lineRule="auto"/>
        <w:jc w:val="center"/>
        <w:rPr>
          <w:rFonts w:hint="eastAsia" w:ascii="宋体" w:hAnsi="宋体" w:cs="宋体"/>
          <w:b/>
          <w:bCs/>
          <w:kern w:val="0"/>
          <w:sz w:val="24"/>
          <w:szCs w:val="24"/>
        </w:rPr>
      </w:pPr>
      <w:bookmarkStart w:id="710" w:name="_Toc485395250"/>
      <w:r>
        <w:rPr>
          <w:rFonts w:hint="eastAsia" w:ascii="宋体" w:hAnsi="宋体" w:cs="宋体"/>
          <w:b/>
          <w:bCs/>
          <w:kern w:val="0"/>
          <w:sz w:val="24"/>
          <w:szCs w:val="24"/>
        </w:rPr>
        <w:t>第一节通用合同条款</w:t>
      </w:r>
      <w:bookmarkEnd w:id="710"/>
    </w:p>
    <w:p w14:paraId="182206AB">
      <w:pPr>
        <w:autoSpaceDE w:val="0"/>
        <w:autoSpaceDN w:val="0"/>
        <w:adjustRightInd w:val="0"/>
        <w:spacing w:line="420" w:lineRule="exact"/>
        <w:jc w:val="center"/>
        <w:rPr>
          <w:rFonts w:hint="eastAsia" w:ascii="宋体" w:hAnsi="宋体" w:cs="黑体"/>
          <w:kern w:val="0"/>
          <w:sz w:val="24"/>
          <w:szCs w:val="24"/>
        </w:rPr>
      </w:pPr>
      <w:r>
        <w:rPr>
          <w:rFonts w:hint="eastAsia" w:ascii="宋体" w:hAnsi="宋体" w:cs="宋体"/>
          <w:sz w:val="24"/>
          <w:szCs w:val="24"/>
        </w:rPr>
        <w:t>“通用合同条款”采用《标准施工招标文件》的“通用合同条款”。</w:t>
      </w:r>
    </w:p>
    <w:p w14:paraId="1D7E6C39">
      <w:pPr>
        <w:autoSpaceDE w:val="0"/>
        <w:autoSpaceDN w:val="0"/>
        <w:adjustRightInd w:val="0"/>
        <w:spacing w:line="420" w:lineRule="exact"/>
        <w:jc w:val="left"/>
        <w:rPr>
          <w:rFonts w:hint="eastAsia" w:ascii="宋体" w:hAnsi="宋体" w:cs="黑体"/>
          <w:kern w:val="0"/>
          <w:sz w:val="28"/>
          <w:szCs w:val="28"/>
        </w:rPr>
      </w:pPr>
    </w:p>
    <w:p w14:paraId="63EBF10A">
      <w:pPr>
        <w:autoSpaceDE w:val="0"/>
        <w:autoSpaceDN w:val="0"/>
        <w:adjustRightInd w:val="0"/>
        <w:spacing w:line="420" w:lineRule="exact"/>
        <w:jc w:val="left"/>
        <w:rPr>
          <w:rFonts w:hint="eastAsia" w:ascii="宋体" w:hAnsi="宋体" w:cs="黑体"/>
          <w:kern w:val="0"/>
          <w:sz w:val="28"/>
          <w:szCs w:val="28"/>
        </w:rPr>
      </w:pPr>
    </w:p>
    <w:p w14:paraId="1BB63C52">
      <w:pPr>
        <w:autoSpaceDE w:val="0"/>
        <w:autoSpaceDN w:val="0"/>
        <w:adjustRightInd w:val="0"/>
        <w:spacing w:line="420" w:lineRule="exact"/>
        <w:jc w:val="left"/>
        <w:rPr>
          <w:rFonts w:hint="eastAsia" w:ascii="宋体" w:hAnsi="宋体" w:cs="黑体"/>
          <w:kern w:val="0"/>
          <w:sz w:val="28"/>
          <w:szCs w:val="28"/>
        </w:rPr>
      </w:pPr>
    </w:p>
    <w:p w14:paraId="2D6B439D">
      <w:pPr>
        <w:autoSpaceDE w:val="0"/>
        <w:autoSpaceDN w:val="0"/>
        <w:adjustRightInd w:val="0"/>
        <w:spacing w:line="420" w:lineRule="exact"/>
        <w:jc w:val="left"/>
        <w:rPr>
          <w:rFonts w:hint="eastAsia" w:ascii="宋体" w:hAnsi="宋体" w:cs="黑体"/>
          <w:kern w:val="0"/>
          <w:sz w:val="28"/>
          <w:szCs w:val="28"/>
        </w:rPr>
      </w:pPr>
    </w:p>
    <w:p w14:paraId="499C80E3">
      <w:pPr>
        <w:autoSpaceDE w:val="0"/>
        <w:autoSpaceDN w:val="0"/>
        <w:adjustRightInd w:val="0"/>
        <w:spacing w:line="420" w:lineRule="exact"/>
        <w:jc w:val="left"/>
        <w:rPr>
          <w:rFonts w:hint="eastAsia" w:ascii="宋体" w:hAnsi="宋体" w:cs="黑体"/>
          <w:kern w:val="0"/>
          <w:sz w:val="28"/>
          <w:szCs w:val="28"/>
        </w:rPr>
      </w:pPr>
    </w:p>
    <w:p w14:paraId="4DA83B2E">
      <w:pPr>
        <w:autoSpaceDE w:val="0"/>
        <w:autoSpaceDN w:val="0"/>
        <w:adjustRightInd w:val="0"/>
        <w:spacing w:line="420" w:lineRule="exact"/>
        <w:jc w:val="left"/>
        <w:rPr>
          <w:rFonts w:hint="eastAsia" w:ascii="宋体" w:hAnsi="宋体" w:cs="黑体"/>
          <w:kern w:val="0"/>
          <w:sz w:val="28"/>
          <w:szCs w:val="28"/>
        </w:rPr>
      </w:pPr>
    </w:p>
    <w:p w14:paraId="7A3A01B1">
      <w:pPr>
        <w:autoSpaceDE w:val="0"/>
        <w:autoSpaceDN w:val="0"/>
        <w:adjustRightInd w:val="0"/>
        <w:spacing w:line="420" w:lineRule="exact"/>
        <w:jc w:val="left"/>
        <w:rPr>
          <w:rFonts w:hint="eastAsia" w:ascii="宋体" w:hAnsi="宋体" w:cs="黑体"/>
          <w:kern w:val="0"/>
          <w:sz w:val="28"/>
          <w:szCs w:val="28"/>
        </w:rPr>
      </w:pPr>
    </w:p>
    <w:p w14:paraId="2C5B5EA9">
      <w:pPr>
        <w:autoSpaceDE w:val="0"/>
        <w:autoSpaceDN w:val="0"/>
        <w:adjustRightInd w:val="0"/>
        <w:spacing w:line="420" w:lineRule="exact"/>
        <w:jc w:val="left"/>
        <w:rPr>
          <w:rFonts w:hint="eastAsia" w:ascii="宋体" w:hAnsi="宋体" w:cs="黑体"/>
          <w:kern w:val="0"/>
          <w:sz w:val="28"/>
          <w:szCs w:val="28"/>
        </w:rPr>
      </w:pPr>
    </w:p>
    <w:p w14:paraId="643E0D99">
      <w:pPr>
        <w:autoSpaceDE w:val="0"/>
        <w:autoSpaceDN w:val="0"/>
        <w:adjustRightInd w:val="0"/>
        <w:spacing w:line="420" w:lineRule="exact"/>
        <w:jc w:val="left"/>
        <w:rPr>
          <w:rFonts w:hint="eastAsia" w:ascii="宋体" w:hAnsi="宋体" w:cs="黑体"/>
          <w:kern w:val="0"/>
          <w:sz w:val="28"/>
          <w:szCs w:val="28"/>
        </w:rPr>
      </w:pPr>
    </w:p>
    <w:p w14:paraId="03C7E865">
      <w:pPr>
        <w:autoSpaceDE w:val="0"/>
        <w:autoSpaceDN w:val="0"/>
        <w:adjustRightInd w:val="0"/>
        <w:spacing w:line="420" w:lineRule="exact"/>
        <w:jc w:val="left"/>
        <w:rPr>
          <w:rFonts w:hint="eastAsia" w:ascii="宋体" w:hAnsi="宋体" w:cs="黑体"/>
          <w:kern w:val="0"/>
          <w:sz w:val="28"/>
          <w:szCs w:val="28"/>
        </w:rPr>
      </w:pPr>
    </w:p>
    <w:p w14:paraId="4A02C708">
      <w:pPr>
        <w:autoSpaceDE w:val="0"/>
        <w:autoSpaceDN w:val="0"/>
        <w:adjustRightInd w:val="0"/>
        <w:spacing w:line="420" w:lineRule="exact"/>
        <w:jc w:val="left"/>
        <w:rPr>
          <w:rFonts w:hint="eastAsia" w:ascii="宋体" w:hAnsi="宋体" w:cs="黑体"/>
          <w:kern w:val="0"/>
          <w:sz w:val="28"/>
          <w:szCs w:val="28"/>
        </w:rPr>
      </w:pPr>
    </w:p>
    <w:p w14:paraId="4945C63B">
      <w:pPr>
        <w:widowControl/>
        <w:spacing w:after="200" w:line="360" w:lineRule="auto"/>
        <w:jc w:val="center"/>
        <w:rPr>
          <w:rFonts w:ascii="宋体"/>
          <w:b/>
          <w:bCs/>
          <w:kern w:val="0"/>
          <w:sz w:val="24"/>
          <w:szCs w:val="24"/>
          <w:lang w:eastAsia="en-US"/>
        </w:rPr>
      </w:pPr>
      <w:r>
        <w:rPr>
          <w:rFonts w:ascii="宋体" w:hAnsi="宋体" w:cs="宋体"/>
          <w:b/>
          <w:bCs/>
          <w:kern w:val="0"/>
          <w:sz w:val="24"/>
        </w:rPr>
        <w:br w:type="page"/>
      </w:r>
      <w:r>
        <w:rPr>
          <w:rFonts w:hint="eastAsia" w:ascii="宋体" w:hAnsi="宋体" w:cs="宋体"/>
          <w:b/>
          <w:bCs/>
          <w:kern w:val="0"/>
          <w:sz w:val="24"/>
          <w:szCs w:val="24"/>
          <w:lang w:eastAsia="en-US"/>
        </w:rPr>
        <w:t>第</w:t>
      </w:r>
      <w:r>
        <w:rPr>
          <w:rFonts w:ascii="宋体" w:hAnsi="宋体" w:cs="宋体"/>
          <w:b/>
          <w:bCs/>
          <w:kern w:val="0"/>
          <w:sz w:val="24"/>
          <w:szCs w:val="24"/>
          <w:lang w:eastAsia="en-US"/>
        </w:rPr>
        <w:t>2</w:t>
      </w:r>
      <w:r>
        <w:rPr>
          <w:rFonts w:hint="eastAsia" w:ascii="宋体" w:hAnsi="宋体" w:cs="宋体"/>
          <w:b/>
          <w:bCs/>
          <w:kern w:val="0"/>
          <w:sz w:val="24"/>
          <w:szCs w:val="24"/>
          <w:lang w:eastAsia="en-US"/>
        </w:rPr>
        <w:t>节专用合同条款</w:t>
      </w:r>
    </w:p>
    <w:p w14:paraId="4B9381F3">
      <w:pPr>
        <w:widowControl/>
        <w:numPr>
          <w:ilvl w:val="1"/>
          <w:numId w:val="15"/>
        </w:numPr>
        <w:spacing w:after="200" w:line="360" w:lineRule="auto"/>
        <w:jc w:val="center"/>
        <w:rPr>
          <w:rFonts w:hint="eastAsia" w:ascii="宋体" w:hAnsi="宋体" w:cs="宋体"/>
          <w:b/>
          <w:bCs/>
          <w:kern w:val="0"/>
          <w:sz w:val="24"/>
          <w:szCs w:val="24"/>
        </w:rPr>
      </w:pPr>
      <w:r>
        <w:rPr>
          <w:rFonts w:hint="eastAsia" w:ascii="宋体" w:hAnsi="宋体" w:cs="宋体"/>
          <w:b/>
          <w:bCs/>
          <w:kern w:val="0"/>
          <w:sz w:val="24"/>
          <w:szCs w:val="24"/>
        </w:rPr>
        <w:t>公路工程专用合同条款</w:t>
      </w:r>
    </w:p>
    <w:p w14:paraId="607A7DB6">
      <w:pPr>
        <w:spacing w:line="440" w:lineRule="exact"/>
        <w:ind w:firstLine="482" w:firstLineChars="200"/>
        <w:rPr>
          <w:rFonts w:hint="eastAsia" w:ascii="宋体" w:hAnsi="宋体" w:cs="宋体"/>
          <w:b/>
          <w:bCs/>
          <w:kern w:val="0"/>
          <w:sz w:val="24"/>
          <w:szCs w:val="24"/>
        </w:rPr>
      </w:pPr>
      <w:bookmarkStart w:id="711" w:name="_Toc512689654"/>
      <w:bookmarkStart w:id="712" w:name="_Toc513132287"/>
      <w:bookmarkStart w:id="713" w:name="_Toc488083526"/>
      <w:bookmarkStart w:id="714" w:name="_Toc480282292"/>
      <w:bookmarkStart w:id="715" w:name="_Toc479237717"/>
      <w:bookmarkStart w:id="716" w:name="_Toc513212807"/>
      <w:bookmarkStart w:id="717" w:name="_Toc234382841"/>
      <w:bookmarkStart w:id="718" w:name="_Toc479265546"/>
      <w:r>
        <w:rPr>
          <w:rFonts w:hint="eastAsia" w:ascii="宋体" w:hAnsi="宋体" w:cs="宋体"/>
          <w:b/>
          <w:bCs/>
          <w:kern w:val="0"/>
          <w:sz w:val="24"/>
          <w:szCs w:val="24"/>
        </w:rPr>
        <w:t>1．一般约定</w:t>
      </w:r>
      <w:bookmarkEnd w:id="711"/>
      <w:bookmarkEnd w:id="712"/>
      <w:bookmarkEnd w:id="713"/>
      <w:bookmarkEnd w:id="714"/>
      <w:bookmarkEnd w:id="715"/>
      <w:bookmarkEnd w:id="716"/>
      <w:bookmarkEnd w:id="717"/>
      <w:bookmarkEnd w:id="718"/>
    </w:p>
    <w:p w14:paraId="73430B50">
      <w:pPr>
        <w:spacing w:line="440" w:lineRule="exact"/>
        <w:ind w:firstLine="480" w:firstLineChars="200"/>
        <w:rPr>
          <w:rFonts w:ascii="宋体" w:hAnsi="宋体" w:cs="宋体"/>
          <w:kern w:val="0"/>
          <w:sz w:val="24"/>
          <w:szCs w:val="24"/>
        </w:rPr>
      </w:pPr>
      <w:bookmarkStart w:id="719" w:name="_Toc513132288"/>
      <w:bookmarkStart w:id="720" w:name="_Toc512689655"/>
      <w:bookmarkStart w:id="721" w:name="_Toc479265547"/>
      <w:bookmarkStart w:id="722" w:name="_Toc513212808"/>
      <w:bookmarkStart w:id="723" w:name="_Toc234382842"/>
      <w:bookmarkStart w:id="724" w:name="_Toc488083527"/>
      <w:bookmarkStart w:id="725" w:name="_Toc479237718"/>
      <w:bookmarkStart w:id="726" w:name="_Toc480282293"/>
      <w:r>
        <w:rPr>
          <w:rFonts w:hint="eastAsia" w:ascii="宋体" w:hAnsi="宋体" w:cs="宋体"/>
          <w:kern w:val="0"/>
          <w:sz w:val="24"/>
          <w:szCs w:val="24"/>
        </w:rPr>
        <w:t>1.1词语定义</w:t>
      </w:r>
      <w:bookmarkEnd w:id="719"/>
      <w:bookmarkEnd w:id="720"/>
      <w:bookmarkEnd w:id="721"/>
      <w:bookmarkEnd w:id="722"/>
      <w:bookmarkEnd w:id="723"/>
      <w:bookmarkEnd w:id="724"/>
      <w:bookmarkEnd w:id="725"/>
      <w:bookmarkEnd w:id="726"/>
    </w:p>
    <w:p w14:paraId="22536976">
      <w:pPr>
        <w:spacing w:line="440" w:lineRule="exact"/>
        <w:ind w:firstLine="480" w:firstLineChars="200"/>
        <w:rPr>
          <w:rFonts w:ascii="宋体" w:hAnsi="宋体" w:cs="宋体"/>
          <w:kern w:val="0"/>
          <w:sz w:val="24"/>
          <w:szCs w:val="24"/>
        </w:rPr>
      </w:pPr>
      <w:r>
        <w:rPr>
          <w:rFonts w:ascii="宋体" w:hAnsi="宋体" w:cs="宋体"/>
          <w:kern w:val="0"/>
          <w:sz w:val="24"/>
          <w:szCs w:val="24"/>
        </w:rPr>
        <w:t>1.1.1</w:t>
      </w:r>
      <w:r>
        <w:rPr>
          <w:rFonts w:hint="eastAsia" w:ascii="宋体" w:hAnsi="宋体" w:cs="宋体"/>
          <w:kern w:val="0"/>
          <w:sz w:val="24"/>
          <w:szCs w:val="24"/>
        </w:rPr>
        <w:t>合同</w:t>
      </w:r>
    </w:p>
    <w:p w14:paraId="3BAC3BF3">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1.1.1.6</w:t>
      </w:r>
      <w:r>
        <w:rPr>
          <w:rFonts w:hint="eastAsia" w:ascii="宋体" w:hAnsi="宋体" w:cs="宋体"/>
          <w:kern w:val="0"/>
          <w:sz w:val="24"/>
          <w:szCs w:val="24"/>
        </w:rPr>
        <w:t>目细化为：</w:t>
      </w:r>
    </w:p>
    <w:p w14:paraId="41A5C8E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技术规范：为本合同所约定的技术标准和要求，是合同文件的组成部分。通用合同条款中“技术标准和要求”一词具有相同含义。</w:t>
      </w:r>
    </w:p>
    <w:p w14:paraId="5D1ADB0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1.1.1.8</w:t>
      </w:r>
      <w:r>
        <w:rPr>
          <w:rFonts w:hint="eastAsia" w:ascii="宋体" w:hAnsi="宋体" w:cs="宋体"/>
          <w:kern w:val="0"/>
          <w:sz w:val="24"/>
          <w:szCs w:val="24"/>
        </w:rPr>
        <w:t>目细化为：</w:t>
      </w:r>
    </w:p>
    <w:p w14:paraId="5A12C064">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已标价工程量清单：指构成合同文件组成部分的已标明价格、经算术性错误修正及其他错误修正（如有）且承包人已确认的最终的工程量清单，包括工程量清单说明、投标报价说明、计日工说明、其他说明及工程量清单各项表格（工程量清单表</w:t>
      </w:r>
      <w:r>
        <w:rPr>
          <w:rFonts w:ascii="宋体" w:hAnsi="宋体" w:cs="宋体"/>
          <w:kern w:val="0"/>
          <w:sz w:val="24"/>
          <w:szCs w:val="24"/>
        </w:rPr>
        <w:t>5.1</w:t>
      </w:r>
      <w:r>
        <w:rPr>
          <w:rFonts w:hint="eastAsia" w:ascii="宋体" w:hAnsi="宋体" w:cs="宋体"/>
          <w:kern w:val="0"/>
          <w:sz w:val="24"/>
          <w:szCs w:val="24"/>
        </w:rPr>
        <w:t>～表</w:t>
      </w:r>
      <w:r>
        <w:rPr>
          <w:rFonts w:ascii="宋体" w:hAnsi="宋体" w:cs="宋体"/>
          <w:kern w:val="0"/>
          <w:sz w:val="24"/>
          <w:szCs w:val="24"/>
        </w:rPr>
        <w:t>5.5</w:t>
      </w:r>
      <w:r>
        <w:rPr>
          <w:rFonts w:hint="eastAsia" w:ascii="宋体" w:hAnsi="宋体" w:cs="宋体"/>
          <w:kern w:val="0"/>
          <w:sz w:val="24"/>
          <w:szCs w:val="24"/>
        </w:rPr>
        <w:t>）。</w:t>
      </w:r>
    </w:p>
    <w:p w14:paraId="33259C64">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本项补充第</w:t>
      </w:r>
      <w:r>
        <w:rPr>
          <w:rFonts w:ascii="宋体" w:hAnsi="宋体" w:cs="宋体"/>
          <w:kern w:val="0"/>
          <w:sz w:val="24"/>
          <w:szCs w:val="24"/>
        </w:rPr>
        <w:t>1.1.1.10</w:t>
      </w:r>
      <w:r>
        <w:rPr>
          <w:rFonts w:hint="eastAsia" w:ascii="宋体" w:hAnsi="宋体" w:cs="宋体"/>
          <w:kern w:val="0"/>
          <w:sz w:val="24"/>
          <w:szCs w:val="24"/>
        </w:rPr>
        <w:t>目：</w:t>
      </w:r>
    </w:p>
    <w:p w14:paraId="227B7F09">
      <w:pPr>
        <w:spacing w:line="440" w:lineRule="exact"/>
        <w:ind w:firstLine="480" w:firstLineChars="200"/>
        <w:rPr>
          <w:rFonts w:ascii="宋体" w:hAnsi="宋体" w:cs="宋体"/>
          <w:kern w:val="0"/>
          <w:sz w:val="24"/>
          <w:szCs w:val="24"/>
        </w:rPr>
      </w:pPr>
      <w:r>
        <w:rPr>
          <w:rFonts w:ascii="宋体" w:hAnsi="宋体" w:cs="宋体"/>
          <w:kern w:val="0"/>
          <w:sz w:val="24"/>
          <w:szCs w:val="24"/>
        </w:rPr>
        <w:t>1.1.1.10</w:t>
      </w:r>
      <w:r>
        <w:rPr>
          <w:rFonts w:hint="eastAsia" w:ascii="宋体" w:hAnsi="宋体" w:cs="宋体"/>
          <w:kern w:val="0"/>
          <w:sz w:val="24"/>
          <w:szCs w:val="24"/>
        </w:rPr>
        <w:t>补遗书：指发出招标文件之后由招标人向已取得招标文件的投标人发出的、编号的对招标文件所作的澄清、修改书。</w:t>
      </w:r>
    </w:p>
    <w:p w14:paraId="305AC380">
      <w:pPr>
        <w:spacing w:line="440" w:lineRule="exact"/>
        <w:ind w:firstLine="480" w:firstLineChars="200"/>
        <w:rPr>
          <w:rFonts w:ascii="宋体" w:hAnsi="宋体" w:cs="宋体"/>
          <w:kern w:val="0"/>
          <w:sz w:val="24"/>
          <w:szCs w:val="24"/>
        </w:rPr>
      </w:pPr>
      <w:r>
        <w:rPr>
          <w:rFonts w:ascii="宋体" w:hAnsi="宋体" w:cs="宋体"/>
          <w:kern w:val="0"/>
          <w:sz w:val="24"/>
          <w:szCs w:val="24"/>
        </w:rPr>
        <w:t>1.1.2</w:t>
      </w:r>
      <w:r>
        <w:rPr>
          <w:rFonts w:hint="eastAsia" w:ascii="宋体" w:hAnsi="宋体" w:cs="宋体"/>
          <w:kern w:val="0"/>
          <w:sz w:val="24"/>
          <w:szCs w:val="24"/>
        </w:rPr>
        <w:t>合同当事人和人员</w:t>
      </w:r>
    </w:p>
    <w:p w14:paraId="4AA99F1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本项补充第</w:t>
      </w:r>
      <w:r>
        <w:rPr>
          <w:rFonts w:ascii="宋体" w:hAnsi="宋体" w:cs="宋体"/>
          <w:kern w:val="0"/>
          <w:sz w:val="24"/>
          <w:szCs w:val="24"/>
        </w:rPr>
        <w:t>1.1.2.8</w:t>
      </w:r>
      <w:r>
        <w:rPr>
          <w:rFonts w:hint="eastAsia" w:ascii="宋体" w:hAnsi="宋体" w:cs="宋体"/>
          <w:kern w:val="0"/>
          <w:sz w:val="24"/>
          <w:szCs w:val="24"/>
        </w:rPr>
        <w:t>目：</w:t>
      </w:r>
    </w:p>
    <w:p w14:paraId="1F87DF26">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1.1.2.8 </w:t>
      </w:r>
      <w:r>
        <w:rPr>
          <w:rFonts w:hint="eastAsia" w:ascii="宋体" w:hAnsi="宋体" w:cs="宋体"/>
          <w:kern w:val="0"/>
          <w:sz w:val="24"/>
          <w:szCs w:val="24"/>
        </w:rPr>
        <w:t>承包人项目总工：指由承包人书面委派常驻现场负责管理本合同工程的总工程师或技术总负责人。</w:t>
      </w:r>
    </w:p>
    <w:p w14:paraId="2E08C1A1">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1.1.3 </w:t>
      </w:r>
      <w:r>
        <w:rPr>
          <w:rFonts w:hint="eastAsia" w:ascii="宋体" w:hAnsi="宋体" w:cs="宋体"/>
          <w:kern w:val="0"/>
          <w:sz w:val="24"/>
          <w:szCs w:val="24"/>
        </w:rPr>
        <w:t>工程和设备</w:t>
      </w:r>
    </w:p>
    <w:p w14:paraId="4375AF8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1.1.3.4</w:t>
      </w:r>
      <w:r>
        <w:rPr>
          <w:rFonts w:hint="eastAsia" w:ascii="宋体" w:hAnsi="宋体" w:cs="宋体"/>
          <w:kern w:val="0"/>
          <w:sz w:val="24"/>
          <w:szCs w:val="24"/>
        </w:rPr>
        <w:t>目细化为：</w:t>
      </w:r>
    </w:p>
    <w:p w14:paraId="4BD3F94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单位工程：指在建设项目中，根据签订的合同，具有独立施工条件的工程。</w:t>
      </w:r>
    </w:p>
    <w:p w14:paraId="61913ABD">
      <w:pPr>
        <w:spacing w:line="440" w:lineRule="exact"/>
        <w:ind w:firstLine="480" w:firstLineChars="200"/>
        <w:rPr>
          <w:rFonts w:ascii="宋体" w:hAnsi="宋体" w:cs="宋体"/>
          <w:kern w:val="0"/>
          <w:sz w:val="24"/>
          <w:szCs w:val="24"/>
        </w:rPr>
      </w:pPr>
      <w:r>
        <w:rPr>
          <w:rFonts w:ascii="宋体" w:hAnsi="宋体" w:cs="宋体"/>
          <w:kern w:val="0"/>
          <w:sz w:val="24"/>
          <w:szCs w:val="24"/>
        </w:rPr>
        <w:t>1.1.3.10</w:t>
      </w:r>
      <w:r>
        <w:rPr>
          <w:rFonts w:hint="eastAsia" w:ascii="宋体" w:hAnsi="宋体" w:cs="宋体"/>
          <w:kern w:val="0"/>
          <w:sz w:val="24"/>
          <w:szCs w:val="24"/>
        </w:rPr>
        <w:t>目细化为：</w:t>
      </w:r>
    </w:p>
    <w:p w14:paraId="60C17BAC">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永久占地：指为实施本合同工程而需要的一切永久占用的土地，包括公路两侧路权范围内的用地。</w:t>
      </w:r>
    </w:p>
    <w:p w14:paraId="33537750">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1.1.3.11</w:t>
      </w:r>
      <w:r>
        <w:rPr>
          <w:rFonts w:hint="eastAsia" w:ascii="宋体" w:hAnsi="宋体" w:cs="宋体"/>
          <w:kern w:val="0"/>
          <w:sz w:val="24"/>
          <w:szCs w:val="24"/>
        </w:rPr>
        <w:t>目细化为：</w:t>
      </w:r>
    </w:p>
    <w:p w14:paraId="49673E1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临时占地：指为实施本合同工程而需要的一切临时占用的土地，包括施工所用的临时支线、便道、便桥和现场的临时出入通道，以及生产（办公）、生活等临时设施用地等。</w:t>
      </w:r>
    </w:p>
    <w:p w14:paraId="25256525">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本项补充第</w:t>
      </w:r>
      <w:r>
        <w:rPr>
          <w:rFonts w:ascii="宋体" w:hAnsi="宋体" w:cs="宋体"/>
          <w:kern w:val="0"/>
          <w:sz w:val="24"/>
          <w:szCs w:val="24"/>
        </w:rPr>
        <w:t>1.1.3.12</w:t>
      </w:r>
      <w:r>
        <w:rPr>
          <w:rFonts w:hint="eastAsia" w:ascii="宋体" w:hAnsi="宋体" w:cs="宋体"/>
          <w:kern w:val="0"/>
          <w:sz w:val="24"/>
          <w:szCs w:val="24"/>
        </w:rPr>
        <w:t>目、第</w:t>
      </w:r>
      <w:r>
        <w:rPr>
          <w:rFonts w:ascii="宋体" w:hAnsi="宋体" w:cs="宋体"/>
          <w:kern w:val="0"/>
          <w:sz w:val="24"/>
          <w:szCs w:val="24"/>
        </w:rPr>
        <w:t>1.1.3.13</w:t>
      </w:r>
      <w:r>
        <w:rPr>
          <w:rFonts w:hint="eastAsia" w:ascii="宋体" w:hAnsi="宋体" w:cs="宋体"/>
          <w:kern w:val="0"/>
          <w:sz w:val="24"/>
          <w:szCs w:val="24"/>
        </w:rPr>
        <w:t>目：</w:t>
      </w:r>
    </w:p>
    <w:p w14:paraId="173DBC2C">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1.1.3.12 </w:t>
      </w:r>
      <w:r>
        <w:rPr>
          <w:rFonts w:hint="eastAsia" w:ascii="宋体" w:hAnsi="宋体" w:cs="宋体"/>
          <w:kern w:val="0"/>
          <w:sz w:val="24"/>
          <w:szCs w:val="24"/>
        </w:rPr>
        <w:t>分部工程：指在单位工程中，按结构部位、路段长度及施工特点或施工任务划分的若干个工程。</w:t>
      </w:r>
    </w:p>
    <w:p w14:paraId="7B8BB6AE">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1.1.3.13 </w:t>
      </w:r>
      <w:r>
        <w:rPr>
          <w:rFonts w:hint="eastAsia" w:ascii="宋体" w:hAnsi="宋体" w:cs="宋体"/>
          <w:kern w:val="0"/>
          <w:sz w:val="24"/>
          <w:szCs w:val="24"/>
        </w:rPr>
        <w:t>分项工程：指在分部工程中，按不同的施工方法、材料、工序及路段长度等划分的若干个过程。</w:t>
      </w:r>
    </w:p>
    <w:p w14:paraId="6CEAA071">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1.1.6 </w:t>
      </w:r>
      <w:r>
        <w:rPr>
          <w:rFonts w:hint="eastAsia" w:ascii="宋体" w:hAnsi="宋体" w:cs="宋体"/>
          <w:kern w:val="0"/>
          <w:sz w:val="24"/>
          <w:szCs w:val="24"/>
        </w:rPr>
        <w:t>其他</w:t>
      </w:r>
    </w:p>
    <w:p w14:paraId="1E3A618A">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1.1.6.2 本项目为</w:t>
      </w:r>
      <w:r>
        <w:rPr>
          <w:rFonts w:hint="eastAsia" w:ascii="宋体" w:hAnsi="宋体" w:cs="宋体"/>
          <w:b/>
          <w:kern w:val="0"/>
          <w:sz w:val="24"/>
          <w:szCs w:val="24"/>
          <w:u w:val="single"/>
        </w:rPr>
        <w:t>固定单价合同</w:t>
      </w:r>
    </w:p>
    <w:p w14:paraId="0C2C7F27">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1.1.6.2 </w:t>
      </w:r>
      <w:r>
        <w:rPr>
          <w:rFonts w:hint="eastAsia" w:ascii="宋体" w:hAnsi="宋体" w:cs="宋体"/>
          <w:kern w:val="0"/>
          <w:sz w:val="24"/>
          <w:szCs w:val="24"/>
        </w:rPr>
        <w:t>竣工验收：指《公路工程竣（交）工验收办法》中的竣工验收。通用合同条款中“国家验收”一词具有相同含义。</w:t>
      </w:r>
    </w:p>
    <w:p w14:paraId="0BCA3316">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1.1.6.3 </w:t>
      </w:r>
      <w:r>
        <w:rPr>
          <w:rFonts w:hint="eastAsia" w:ascii="宋体" w:hAnsi="宋体" w:cs="宋体"/>
          <w:kern w:val="0"/>
          <w:sz w:val="24"/>
          <w:szCs w:val="24"/>
        </w:rPr>
        <w:t>交工：指《公路工程竣（交）工验收办法》中的交工。通用合同条款中“竣工”一词具有相同含义。</w:t>
      </w:r>
    </w:p>
    <w:p w14:paraId="72AE5A98">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1.1.6.3 </w:t>
      </w:r>
      <w:r>
        <w:rPr>
          <w:rFonts w:hint="eastAsia" w:ascii="宋体" w:hAnsi="宋体" w:cs="宋体"/>
          <w:kern w:val="0"/>
          <w:sz w:val="24"/>
          <w:szCs w:val="24"/>
        </w:rPr>
        <w:t>交工验收：指《公路工程竣（交）工验收办法》中的交工验收。通用合同条款中“竣工验收”一词具有相同含义。</w:t>
      </w:r>
    </w:p>
    <w:p w14:paraId="40CBCB6B">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1.1.6.4 </w:t>
      </w:r>
      <w:r>
        <w:rPr>
          <w:rFonts w:hint="eastAsia" w:ascii="宋体" w:hAnsi="宋体" w:cs="宋体"/>
          <w:kern w:val="0"/>
          <w:sz w:val="24"/>
          <w:szCs w:val="24"/>
        </w:rPr>
        <w:t>交工验收证书：指《公路工程竣（交）工验收办法》中的交工验收证书。通用合同条款中“工程接收证书”一词具有相同含义。</w:t>
      </w:r>
    </w:p>
    <w:p w14:paraId="40D49161">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1.1.6.5 </w:t>
      </w:r>
      <w:r>
        <w:rPr>
          <w:rFonts w:hint="eastAsia" w:ascii="宋体" w:hAnsi="宋体" w:cs="宋体"/>
          <w:kern w:val="0"/>
          <w:sz w:val="24"/>
          <w:szCs w:val="24"/>
        </w:rPr>
        <w:t>转包：指承包人违反法律和不履行合同规定的责任和义务，将中标工程全部委托或以专业分包的名义将中标工程肢解后全部委托给其他施工企业施工的行为。</w:t>
      </w:r>
    </w:p>
    <w:p w14:paraId="48A83483">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1.1.6.6 </w:t>
      </w:r>
      <w:r>
        <w:rPr>
          <w:rFonts w:hint="eastAsia" w:ascii="宋体" w:hAnsi="宋体" w:cs="宋体"/>
          <w:kern w:val="0"/>
          <w:sz w:val="24"/>
          <w:szCs w:val="24"/>
        </w:rPr>
        <w:t>专业分包：指承包人与具有相应资质的施工企业签订专业分包合同，由分包人承担承包人委托的分部工程、分项工程或适合专业化队伍施工的其他工程，整体结算，并能独立控制工程质量、施工进度、材料采购、生产安全的施工行为。</w:t>
      </w:r>
    </w:p>
    <w:p w14:paraId="3C7A2303">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1.1.6.7 </w:t>
      </w:r>
      <w:r>
        <w:rPr>
          <w:rFonts w:hint="eastAsia" w:ascii="宋体" w:hAnsi="宋体" w:cs="宋体"/>
          <w:kern w:val="0"/>
          <w:sz w:val="24"/>
          <w:szCs w:val="24"/>
        </w:rPr>
        <w:t>劳务分包：指承包人与具有施工劳务分包资质的劳务企业签订劳务分包，由劳务企业提供劳务人员及机具，由承包人统一组织施工，统一控制工程质量、施工进度、材料采购、生产安全的施工行为。</w:t>
      </w:r>
    </w:p>
    <w:p w14:paraId="3F90C752">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1.1.6.8 </w:t>
      </w:r>
      <w:r>
        <w:rPr>
          <w:rFonts w:hint="eastAsia" w:ascii="宋体" w:hAnsi="宋体" w:cs="宋体"/>
          <w:kern w:val="0"/>
          <w:sz w:val="24"/>
          <w:szCs w:val="24"/>
        </w:rPr>
        <w:t>雇佣民工：指承包人与具有相应劳动能力的自然人签订劳动合同，由承包人统一组织管理，从事分项工程施工或配套工程施工的行为。</w:t>
      </w:r>
    </w:p>
    <w:p w14:paraId="01CC5A33">
      <w:pPr>
        <w:keepNext/>
        <w:keepLines/>
        <w:spacing w:line="440" w:lineRule="exact"/>
        <w:ind w:firstLine="482" w:firstLineChars="200"/>
        <w:jc w:val="left"/>
        <w:rPr>
          <w:rFonts w:hint="eastAsia" w:ascii="宋体" w:hAnsi="宋体" w:cs="宋体"/>
          <w:b/>
          <w:bCs/>
          <w:kern w:val="44"/>
          <w:sz w:val="24"/>
          <w:szCs w:val="24"/>
        </w:rPr>
      </w:pPr>
      <w:bookmarkStart w:id="727" w:name="_Toc512689656"/>
      <w:bookmarkStart w:id="728" w:name="_Toc234382843"/>
      <w:bookmarkStart w:id="729" w:name="_Toc479265548"/>
      <w:bookmarkStart w:id="730" w:name="_Toc192710462"/>
      <w:bookmarkStart w:id="731" w:name="_Toc513132289"/>
      <w:bookmarkStart w:id="732" w:name="_Toc488083528"/>
      <w:bookmarkStart w:id="733" w:name="_Toc480282294"/>
      <w:bookmarkStart w:id="734" w:name="_Toc479237719"/>
      <w:bookmarkStart w:id="735" w:name="_Toc513212809"/>
      <w:bookmarkStart w:id="736" w:name="_Toc3475531"/>
      <w:r>
        <w:rPr>
          <w:rFonts w:hint="eastAsia" w:ascii="宋体" w:hAnsi="宋体" w:cs="宋体"/>
          <w:b/>
          <w:bCs/>
          <w:kern w:val="44"/>
          <w:sz w:val="24"/>
          <w:szCs w:val="24"/>
        </w:rPr>
        <w:t>1.4合同文件的优先顺序</w:t>
      </w:r>
      <w:bookmarkEnd w:id="727"/>
      <w:bookmarkEnd w:id="728"/>
      <w:bookmarkEnd w:id="729"/>
      <w:bookmarkEnd w:id="730"/>
      <w:bookmarkEnd w:id="731"/>
      <w:bookmarkEnd w:id="732"/>
      <w:bookmarkEnd w:id="733"/>
      <w:bookmarkEnd w:id="734"/>
      <w:bookmarkEnd w:id="735"/>
      <w:bookmarkEnd w:id="736"/>
    </w:p>
    <w:p w14:paraId="474CA27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本款约定为：</w:t>
      </w:r>
    </w:p>
    <w:p w14:paraId="56A12465">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组成合同的各项文件应互相解释，互为说明。除项目专用合同条款另有约定外，解释合同文件的优先顺序如下：</w:t>
      </w:r>
    </w:p>
    <w:p w14:paraId="7CA1BB94">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）合同协议书及各种合同附件（含评标期间和合同谈判过程中的澄清文件和补充资料）；</w:t>
      </w:r>
    </w:p>
    <w:p w14:paraId="4718C41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）中标通知书；</w:t>
      </w:r>
    </w:p>
    <w:p w14:paraId="2FCFB33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）投标函及投标函附录；</w:t>
      </w:r>
    </w:p>
    <w:p w14:paraId="42CF432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）项目专用合同条款；</w:t>
      </w:r>
    </w:p>
    <w:p w14:paraId="55FD830C">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5</w:t>
      </w:r>
      <w:r>
        <w:rPr>
          <w:rFonts w:hint="eastAsia" w:ascii="宋体" w:hAnsi="宋体" w:cs="宋体"/>
          <w:kern w:val="0"/>
          <w:sz w:val="24"/>
          <w:szCs w:val="24"/>
        </w:rPr>
        <w:t>）公路工程专用合同条款；</w:t>
      </w:r>
    </w:p>
    <w:p w14:paraId="241D55B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6</w:t>
      </w:r>
      <w:r>
        <w:rPr>
          <w:rFonts w:hint="eastAsia" w:ascii="宋体" w:hAnsi="宋体" w:cs="宋体"/>
          <w:kern w:val="0"/>
          <w:sz w:val="24"/>
          <w:szCs w:val="24"/>
        </w:rPr>
        <w:t>）通用合同条款；</w:t>
      </w:r>
    </w:p>
    <w:p w14:paraId="32CBF02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7</w:t>
      </w:r>
      <w:r>
        <w:rPr>
          <w:rFonts w:hint="eastAsia" w:ascii="宋体" w:hAnsi="宋体" w:cs="宋体"/>
          <w:kern w:val="0"/>
          <w:sz w:val="24"/>
          <w:szCs w:val="24"/>
        </w:rPr>
        <w:t>）工程量清单计量规则；</w:t>
      </w:r>
    </w:p>
    <w:p w14:paraId="3C4D437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8</w:t>
      </w:r>
      <w:r>
        <w:rPr>
          <w:rFonts w:hint="eastAsia" w:ascii="宋体" w:hAnsi="宋体" w:cs="宋体"/>
          <w:kern w:val="0"/>
          <w:sz w:val="24"/>
          <w:szCs w:val="24"/>
        </w:rPr>
        <w:t>）技术规范；</w:t>
      </w:r>
    </w:p>
    <w:p w14:paraId="3F232D6E">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（9）图纸；</w:t>
      </w:r>
    </w:p>
    <w:p w14:paraId="44436033">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（10）已标价工程量清单；</w:t>
      </w:r>
    </w:p>
    <w:p w14:paraId="3106865E">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1）承包人有关人员、设备投入的承诺及电子投标文件中的施工组织设计；</w:t>
      </w:r>
    </w:p>
    <w:p w14:paraId="6448308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2）其他合同文件。</w:t>
      </w:r>
    </w:p>
    <w:p w14:paraId="4B7ADD9A">
      <w:pPr>
        <w:keepNext/>
        <w:keepLines/>
        <w:spacing w:line="440" w:lineRule="exact"/>
        <w:ind w:firstLine="482" w:firstLineChars="200"/>
        <w:jc w:val="left"/>
        <w:rPr>
          <w:rFonts w:hint="eastAsia" w:ascii="宋体" w:hAnsi="宋体" w:cs="宋体"/>
          <w:b/>
          <w:bCs/>
          <w:kern w:val="44"/>
          <w:sz w:val="24"/>
          <w:szCs w:val="24"/>
        </w:rPr>
      </w:pPr>
      <w:bookmarkStart w:id="737" w:name="_Toc479265549"/>
      <w:bookmarkStart w:id="738" w:name="_Toc513212810"/>
      <w:bookmarkStart w:id="739" w:name="_Toc512689657"/>
      <w:bookmarkStart w:id="740" w:name="_Toc488083529"/>
      <w:bookmarkStart w:id="741" w:name="_Toc480282295"/>
      <w:bookmarkStart w:id="742" w:name="_Toc3475532"/>
      <w:bookmarkStart w:id="743" w:name="_Toc234382844"/>
      <w:bookmarkStart w:id="744" w:name="_Toc479237720"/>
      <w:bookmarkStart w:id="745" w:name="_Toc513132290"/>
      <w:bookmarkStart w:id="746" w:name="_Toc192710463"/>
      <w:r>
        <w:rPr>
          <w:rFonts w:hint="eastAsia" w:ascii="宋体" w:hAnsi="宋体" w:cs="宋体"/>
          <w:b/>
          <w:bCs/>
          <w:kern w:val="44"/>
          <w:sz w:val="24"/>
          <w:szCs w:val="24"/>
        </w:rPr>
        <w:t>1.5合同协议书</w:t>
      </w:r>
      <w:bookmarkEnd w:id="737"/>
      <w:bookmarkEnd w:id="738"/>
      <w:bookmarkEnd w:id="739"/>
      <w:bookmarkEnd w:id="740"/>
      <w:bookmarkEnd w:id="741"/>
      <w:bookmarkEnd w:id="742"/>
      <w:bookmarkEnd w:id="743"/>
      <w:bookmarkEnd w:id="744"/>
      <w:bookmarkEnd w:id="745"/>
      <w:bookmarkEnd w:id="746"/>
    </w:p>
    <w:p w14:paraId="5AC0DF15">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本款补充：</w:t>
      </w:r>
    </w:p>
    <w:p w14:paraId="12AA3678">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制备本合同文件的费用由发包人承担。在合同协议书签订并生效之前，投标函和中标通知书将对双方具有约束力。</w:t>
      </w:r>
    </w:p>
    <w:p w14:paraId="5A0BEF96">
      <w:pPr>
        <w:keepNext/>
        <w:keepLines/>
        <w:spacing w:line="440" w:lineRule="exact"/>
        <w:ind w:firstLine="482" w:firstLineChars="200"/>
        <w:rPr>
          <w:rFonts w:hint="eastAsia" w:ascii="宋体" w:hAnsi="宋体" w:cs="宋体"/>
          <w:b/>
          <w:bCs/>
          <w:kern w:val="44"/>
          <w:sz w:val="24"/>
          <w:szCs w:val="24"/>
        </w:rPr>
      </w:pPr>
      <w:bookmarkStart w:id="747" w:name="_Toc479265550"/>
      <w:bookmarkStart w:id="748" w:name="_Toc513132291"/>
      <w:bookmarkStart w:id="749" w:name="_Toc234382845"/>
      <w:bookmarkStart w:id="750" w:name="_Toc192710464"/>
      <w:bookmarkStart w:id="751" w:name="_Toc479237721"/>
      <w:bookmarkStart w:id="752" w:name="_Toc513212811"/>
      <w:bookmarkStart w:id="753" w:name="_Toc3475533"/>
      <w:bookmarkStart w:id="754" w:name="_Toc488083530"/>
      <w:bookmarkStart w:id="755" w:name="_Toc480282296"/>
      <w:bookmarkStart w:id="756" w:name="_Toc512689658"/>
      <w:r>
        <w:rPr>
          <w:rFonts w:hint="eastAsia" w:ascii="宋体" w:hAnsi="宋体" w:cs="宋体"/>
          <w:b/>
          <w:bCs/>
          <w:kern w:val="44"/>
          <w:sz w:val="24"/>
          <w:szCs w:val="24"/>
        </w:rPr>
        <w:t>1.6图纸和承包人文件</w:t>
      </w:r>
      <w:bookmarkEnd w:id="747"/>
      <w:bookmarkEnd w:id="748"/>
      <w:bookmarkEnd w:id="749"/>
      <w:bookmarkEnd w:id="750"/>
      <w:bookmarkEnd w:id="751"/>
      <w:bookmarkEnd w:id="752"/>
      <w:bookmarkEnd w:id="753"/>
      <w:bookmarkEnd w:id="754"/>
      <w:bookmarkEnd w:id="755"/>
      <w:bookmarkEnd w:id="756"/>
    </w:p>
    <w:p w14:paraId="3E80DFC0">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1.6.1 </w:t>
      </w:r>
      <w:r>
        <w:rPr>
          <w:rFonts w:hint="eastAsia" w:ascii="宋体" w:hAnsi="宋体" w:cs="宋体"/>
          <w:kern w:val="0"/>
          <w:sz w:val="24"/>
          <w:szCs w:val="24"/>
        </w:rPr>
        <w:t>图纸的提供</w:t>
      </w:r>
    </w:p>
    <w:p w14:paraId="7621C9D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本项细化为：</w:t>
      </w:r>
    </w:p>
    <w:p w14:paraId="0321EF1E">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监理人应在发出中标通知书之后</w:t>
      </w:r>
      <w:r>
        <w:rPr>
          <w:rFonts w:ascii="宋体" w:hAnsi="宋体" w:cs="宋体"/>
          <w:kern w:val="0"/>
          <w:sz w:val="24"/>
          <w:szCs w:val="24"/>
        </w:rPr>
        <w:t>42</w:t>
      </w:r>
      <w:r>
        <w:rPr>
          <w:rFonts w:hint="eastAsia" w:ascii="宋体" w:hAnsi="宋体" w:cs="宋体"/>
          <w:kern w:val="0"/>
          <w:sz w:val="24"/>
          <w:szCs w:val="24"/>
        </w:rPr>
        <w:t>天内，向承包人免费提供由发包人或其委托的设计单位设计的施工图纸、技术规范和其他技术资料</w:t>
      </w:r>
      <w:r>
        <w:rPr>
          <w:rFonts w:ascii="宋体" w:hAnsi="宋体" w:cs="宋体"/>
          <w:kern w:val="0"/>
          <w:sz w:val="24"/>
          <w:szCs w:val="24"/>
        </w:rPr>
        <w:t>2</w:t>
      </w:r>
      <w:r>
        <w:rPr>
          <w:rFonts w:hint="eastAsia" w:ascii="宋体" w:hAnsi="宋体" w:cs="宋体"/>
          <w:kern w:val="0"/>
          <w:sz w:val="24"/>
          <w:szCs w:val="24"/>
        </w:rPr>
        <w:t>份，并向承包人进行技术交底。承包人需要更多份数时，应自费复制。由于发包人未按时提供图纸造成工期延误的，按第</w:t>
      </w:r>
      <w:r>
        <w:rPr>
          <w:rFonts w:ascii="宋体" w:hAnsi="宋体" w:cs="宋体"/>
          <w:kern w:val="0"/>
          <w:sz w:val="24"/>
          <w:szCs w:val="24"/>
        </w:rPr>
        <w:t>11.3</w:t>
      </w:r>
      <w:r>
        <w:rPr>
          <w:rFonts w:hint="eastAsia" w:ascii="宋体" w:hAnsi="宋体" w:cs="宋体"/>
          <w:kern w:val="0"/>
          <w:sz w:val="24"/>
          <w:szCs w:val="24"/>
        </w:rPr>
        <w:t>款的约定办理。</w:t>
      </w:r>
    </w:p>
    <w:p w14:paraId="54A4F199">
      <w:pPr>
        <w:spacing w:line="440" w:lineRule="exact"/>
        <w:ind w:firstLine="480" w:firstLineChars="200"/>
        <w:rPr>
          <w:rFonts w:ascii="宋体" w:hAnsi="宋体" w:cs="宋体"/>
          <w:kern w:val="0"/>
          <w:sz w:val="24"/>
          <w:szCs w:val="24"/>
        </w:rPr>
      </w:pPr>
      <w:r>
        <w:rPr>
          <w:rFonts w:ascii="宋体" w:hAnsi="宋体" w:cs="宋体"/>
          <w:kern w:val="0"/>
          <w:sz w:val="24"/>
          <w:szCs w:val="24"/>
        </w:rPr>
        <w:t>1.6.2</w:t>
      </w:r>
      <w:r>
        <w:rPr>
          <w:rFonts w:hint="eastAsia" w:ascii="宋体" w:hAnsi="宋体" w:cs="宋体"/>
          <w:kern w:val="0"/>
          <w:sz w:val="24"/>
          <w:szCs w:val="24"/>
        </w:rPr>
        <w:t>承包人提供的文件</w:t>
      </w:r>
    </w:p>
    <w:p w14:paraId="6C837E4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本项细化为：</w:t>
      </w:r>
    </w:p>
    <w:p w14:paraId="1C3A214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有下列情形之一的，承包人应免费向监理人提交相关部分工程的施工图纸</w:t>
      </w:r>
      <w:r>
        <w:rPr>
          <w:rFonts w:ascii="宋体" w:hAnsi="宋体" w:cs="宋体"/>
          <w:kern w:val="0"/>
          <w:sz w:val="24"/>
          <w:szCs w:val="24"/>
        </w:rPr>
        <w:t>3</w:t>
      </w:r>
      <w:r>
        <w:rPr>
          <w:rFonts w:hint="eastAsia" w:ascii="宋体" w:hAnsi="宋体" w:cs="宋体"/>
          <w:kern w:val="0"/>
          <w:sz w:val="24"/>
          <w:szCs w:val="24"/>
        </w:rPr>
        <w:t>份，并附必要的计算书、技术资料，或施工工艺图、设备安装图及安装设备的使用和维护手册各</w:t>
      </w:r>
      <w:r>
        <w:rPr>
          <w:rFonts w:ascii="宋体" w:hAnsi="宋体" w:cs="宋体"/>
          <w:kern w:val="0"/>
          <w:sz w:val="24"/>
          <w:szCs w:val="24"/>
        </w:rPr>
        <w:t>2</w:t>
      </w:r>
      <w:r>
        <w:rPr>
          <w:rFonts w:hint="eastAsia" w:ascii="宋体" w:hAnsi="宋体" w:cs="宋体"/>
          <w:kern w:val="0"/>
          <w:sz w:val="24"/>
          <w:szCs w:val="24"/>
        </w:rPr>
        <w:t>份供监理人批准。</w:t>
      </w:r>
    </w:p>
    <w:p w14:paraId="128C6525">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）为使第</w:t>
      </w:r>
      <w:r>
        <w:rPr>
          <w:rFonts w:ascii="宋体" w:hAnsi="宋体" w:cs="宋体"/>
          <w:kern w:val="0"/>
          <w:sz w:val="24"/>
          <w:szCs w:val="24"/>
        </w:rPr>
        <w:t>1.6.1</w:t>
      </w:r>
      <w:r>
        <w:rPr>
          <w:rFonts w:hint="eastAsia" w:ascii="宋体" w:hAnsi="宋体" w:cs="宋体"/>
          <w:kern w:val="0"/>
          <w:sz w:val="24"/>
          <w:szCs w:val="24"/>
        </w:rPr>
        <w:t>项所述的施工图纸适合于经现场测量后的纵、横断面；</w:t>
      </w:r>
    </w:p>
    <w:p w14:paraId="1AD20C4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）为使第</w:t>
      </w:r>
      <w:r>
        <w:rPr>
          <w:rFonts w:ascii="宋体" w:hAnsi="宋体" w:cs="宋体"/>
          <w:kern w:val="0"/>
          <w:sz w:val="24"/>
          <w:szCs w:val="24"/>
        </w:rPr>
        <w:t>1.6.1</w:t>
      </w:r>
      <w:r>
        <w:rPr>
          <w:rFonts w:hint="eastAsia" w:ascii="宋体" w:hAnsi="宋体" w:cs="宋体"/>
          <w:kern w:val="0"/>
          <w:sz w:val="24"/>
          <w:szCs w:val="24"/>
        </w:rPr>
        <w:t>项所述的施工图纸适合于现场具体地形；</w:t>
      </w:r>
    </w:p>
    <w:p w14:paraId="7720470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）为使第</w:t>
      </w:r>
      <w:r>
        <w:rPr>
          <w:rFonts w:ascii="宋体" w:hAnsi="宋体" w:cs="宋体"/>
          <w:kern w:val="0"/>
          <w:sz w:val="24"/>
          <w:szCs w:val="24"/>
        </w:rPr>
        <w:t>1.6.1</w:t>
      </w:r>
      <w:r>
        <w:rPr>
          <w:rFonts w:hint="eastAsia" w:ascii="宋体" w:hAnsi="宋体" w:cs="宋体"/>
          <w:kern w:val="0"/>
          <w:sz w:val="24"/>
          <w:szCs w:val="24"/>
        </w:rPr>
        <w:t>项所述的施工图纸适合于因尺寸与位置变化而引起局部变更；</w:t>
      </w:r>
    </w:p>
    <w:p w14:paraId="38A029CA">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）由于合同要求与施工需要。</w:t>
      </w:r>
    </w:p>
    <w:p w14:paraId="1DC4ABFE">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此类图纸应按监理人规定的格式和图幅绘制。监理人在收到由承包人绘制的上述工程、工艺图纸、计算书和有关技术资料后</w:t>
      </w:r>
      <w:r>
        <w:rPr>
          <w:rFonts w:ascii="宋体" w:hAnsi="宋体" w:cs="宋体"/>
          <w:kern w:val="0"/>
          <w:sz w:val="24"/>
          <w:szCs w:val="24"/>
        </w:rPr>
        <w:t>14</w:t>
      </w:r>
      <w:r>
        <w:rPr>
          <w:rFonts w:hint="eastAsia" w:ascii="宋体" w:hAnsi="宋体" w:cs="宋体"/>
          <w:kern w:val="0"/>
          <w:sz w:val="24"/>
          <w:szCs w:val="24"/>
        </w:rPr>
        <w:t>天内应予批准或提出修改要求，承包人应按监理人提出的要求做出修改，重新向监理人提交，监理人应在</w:t>
      </w:r>
      <w:r>
        <w:rPr>
          <w:rFonts w:ascii="宋体" w:hAnsi="宋体" w:cs="宋体"/>
          <w:kern w:val="0"/>
          <w:sz w:val="24"/>
          <w:szCs w:val="24"/>
        </w:rPr>
        <w:t>7</w:t>
      </w:r>
      <w:r>
        <w:rPr>
          <w:rFonts w:hint="eastAsia" w:ascii="宋体" w:hAnsi="宋体" w:cs="宋体"/>
          <w:kern w:val="0"/>
          <w:sz w:val="24"/>
          <w:szCs w:val="24"/>
        </w:rPr>
        <w:t>天内批准或提出进一步的修改意见。</w:t>
      </w:r>
    </w:p>
    <w:p w14:paraId="13B16D94">
      <w:pPr>
        <w:spacing w:line="440" w:lineRule="exact"/>
        <w:ind w:firstLine="480" w:firstLineChars="200"/>
        <w:rPr>
          <w:rFonts w:ascii="宋体" w:hAnsi="宋体" w:cs="宋体"/>
          <w:kern w:val="0"/>
          <w:sz w:val="24"/>
          <w:szCs w:val="24"/>
        </w:rPr>
      </w:pPr>
      <w:r>
        <w:rPr>
          <w:rFonts w:ascii="宋体" w:hAnsi="宋体" w:cs="宋体"/>
          <w:kern w:val="0"/>
          <w:sz w:val="24"/>
          <w:szCs w:val="24"/>
        </w:rPr>
        <w:t>1.6.4</w:t>
      </w:r>
      <w:r>
        <w:rPr>
          <w:rFonts w:hint="eastAsia" w:ascii="宋体" w:hAnsi="宋体" w:cs="宋体"/>
          <w:kern w:val="0"/>
          <w:sz w:val="24"/>
          <w:szCs w:val="24"/>
        </w:rPr>
        <w:t>图纸的错误</w:t>
      </w:r>
    </w:p>
    <w:p w14:paraId="1EE501B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本项细化为：</w:t>
      </w:r>
    </w:p>
    <w:p w14:paraId="18E5FBC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当承包人在查阅合同文件或在本合同工程实施过程中，发现有关的工程设计、技术规范、图纸或其他资料中的任何差错、遗漏或缺陷后，应及时通知监理人。监理人接到该通知后，应立即就此做出决定，并通知承包人和发包人。</w:t>
      </w:r>
    </w:p>
    <w:p w14:paraId="49B751BA">
      <w:pPr>
        <w:keepNext/>
        <w:keepLines/>
        <w:spacing w:line="440" w:lineRule="exact"/>
        <w:ind w:firstLine="482" w:firstLineChars="200"/>
        <w:rPr>
          <w:rFonts w:ascii="宋体" w:hAnsi="宋体"/>
          <w:b/>
          <w:bCs/>
          <w:kern w:val="44"/>
          <w:sz w:val="24"/>
          <w:szCs w:val="24"/>
        </w:rPr>
      </w:pPr>
      <w:bookmarkStart w:id="757" w:name="_Toc3475534"/>
      <w:bookmarkStart w:id="758" w:name="_Toc480282297"/>
      <w:bookmarkStart w:id="759" w:name="_Toc479237722"/>
      <w:bookmarkStart w:id="760" w:name="_Toc488083531"/>
      <w:bookmarkStart w:id="761" w:name="_Toc192710465"/>
      <w:bookmarkStart w:id="762" w:name="_Toc513212812"/>
      <w:bookmarkStart w:id="763" w:name="_Toc479265551"/>
      <w:bookmarkStart w:id="764" w:name="_Toc234382846"/>
      <w:bookmarkStart w:id="765" w:name="_Toc513132292"/>
      <w:bookmarkStart w:id="766" w:name="_Toc512689659"/>
      <w:r>
        <w:rPr>
          <w:rFonts w:ascii="宋体" w:hAnsi="宋体" w:cs="宋体"/>
          <w:b/>
          <w:bCs/>
          <w:kern w:val="44"/>
          <w:sz w:val="24"/>
          <w:szCs w:val="24"/>
        </w:rPr>
        <w:t>1.9</w:t>
      </w:r>
      <w:r>
        <w:rPr>
          <w:rFonts w:hint="eastAsia" w:ascii="宋体" w:hAnsi="宋体" w:cs="宋体"/>
          <w:b/>
          <w:bCs/>
          <w:kern w:val="44"/>
          <w:sz w:val="24"/>
          <w:szCs w:val="24"/>
        </w:rPr>
        <w:t>严禁贿赂</w:t>
      </w:r>
      <w:bookmarkEnd w:id="757"/>
      <w:bookmarkEnd w:id="758"/>
      <w:bookmarkEnd w:id="759"/>
      <w:bookmarkEnd w:id="760"/>
      <w:bookmarkEnd w:id="761"/>
      <w:bookmarkEnd w:id="762"/>
      <w:bookmarkEnd w:id="763"/>
      <w:bookmarkEnd w:id="764"/>
      <w:bookmarkEnd w:id="765"/>
      <w:bookmarkEnd w:id="766"/>
    </w:p>
    <w:p w14:paraId="16C98D2B">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本款补充：</w:t>
      </w:r>
    </w:p>
    <w:p w14:paraId="74F7315E">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在合同执行过程中，发包人和承包人应严格履行《廉政合同》约定的双方在廉政建设方面的权利和义务以及应承担的违约责任。承包人如果用行贿、送礼或其他不正当手段企图影响或已经影响了发包人或监理人的行为和（或）欲获得或已获得超出合同规定以外的额外费用，则发包人应按有关法纪严肃处理当事人，且承包人应对上述行为造成的工程损耗害、发包人的经济损失等承担一切责任，并予赔偿。情节严重者，发包人有权终止承包人在本合同项下的承包。</w:t>
      </w:r>
    </w:p>
    <w:p w14:paraId="335CD87D">
      <w:pPr>
        <w:keepNext/>
        <w:keepLines/>
        <w:spacing w:line="440" w:lineRule="exact"/>
        <w:ind w:firstLine="482" w:firstLineChars="200"/>
        <w:rPr>
          <w:rFonts w:hint="eastAsia" w:ascii="宋体" w:hAnsi="宋体" w:cs="宋体"/>
          <w:b/>
          <w:bCs/>
          <w:kern w:val="44"/>
          <w:sz w:val="24"/>
          <w:szCs w:val="24"/>
        </w:rPr>
      </w:pPr>
      <w:bookmarkStart w:id="767" w:name="_Toc3475535"/>
      <w:bookmarkStart w:id="768" w:name="_Toc479237723"/>
      <w:bookmarkStart w:id="769" w:name="_Toc513132293"/>
      <w:bookmarkStart w:id="770" w:name="_Toc488083532"/>
      <w:bookmarkStart w:id="771" w:name="_Toc480282298"/>
      <w:bookmarkStart w:id="772" w:name="_Toc192710466"/>
      <w:bookmarkStart w:id="773" w:name="_Toc479265552"/>
      <w:bookmarkStart w:id="774" w:name="_Toc513212813"/>
      <w:bookmarkStart w:id="775" w:name="_Toc234382847"/>
      <w:bookmarkStart w:id="776" w:name="_Toc512689660"/>
      <w:r>
        <w:rPr>
          <w:rFonts w:hint="eastAsia" w:ascii="宋体" w:hAnsi="宋体" w:cs="宋体"/>
          <w:b/>
          <w:bCs/>
          <w:kern w:val="44"/>
          <w:sz w:val="24"/>
          <w:szCs w:val="24"/>
        </w:rPr>
        <w:t>2．发包人义务</w:t>
      </w:r>
      <w:bookmarkEnd w:id="767"/>
      <w:bookmarkEnd w:id="768"/>
      <w:bookmarkEnd w:id="769"/>
      <w:bookmarkEnd w:id="770"/>
      <w:bookmarkEnd w:id="771"/>
      <w:bookmarkEnd w:id="772"/>
      <w:bookmarkEnd w:id="773"/>
      <w:bookmarkEnd w:id="774"/>
      <w:bookmarkEnd w:id="775"/>
      <w:bookmarkEnd w:id="776"/>
    </w:p>
    <w:p w14:paraId="2006A53E">
      <w:pPr>
        <w:keepNext/>
        <w:keepLines/>
        <w:spacing w:line="440" w:lineRule="exact"/>
        <w:ind w:firstLine="482" w:firstLineChars="200"/>
        <w:rPr>
          <w:rFonts w:hint="eastAsia" w:ascii="宋体" w:hAnsi="宋体" w:cs="宋体"/>
          <w:b/>
          <w:bCs/>
          <w:kern w:val="44"/>
          <w:sz w:val="24"/>
          <w:szCs w:val="24"/>
        </w:rPr>
      </w:pPr>
      <w:bookmarkStart w:id="777" w:name="_Toc513132294"/>
      <w:bookmarkStart w:id="778" w:name="_Toc479265553"/>
      <w:bookmarkStart w:id="779" w:name="_Toc513212814"/>
      <w:bookmarkStart w:id="780" w:name="_Toc234382848"/>
      <w:bookmarkStart w:id="781" w:name="_Toc488083533"/>
      <w:bookmarkStart w:id="782" w:name="_Toc479237724"/>
      <w:bookmarkStart w:id="783" w:name="_Toc3475536"/>
      <w:bookmarkStart w:id="784" w:name="_Toc480282299"/>
      <w:bookmarkStart w:id="785" w:name="_Toc512689661"/>
      <w:bookmarkStart w:id="786" w:name="_Toc192710467"/>
      <w:r>
        <w:rPr>
          <w:rFonts w:hint="eastAsia" w:ascii="宋体" w:hAnsi="宋体" w:cs="宋体"/>
          <w:b/>
          <w:bCs/>
          <w:kern w:val="44"/>
          <w:sz w:val="24"/>
          <w:szCs w:val="24"/>
        </w:rPr>
        <w:t>2.3提供施工场地</w:t>
      </w:r>
      <w:bookmarkEnd w:id="777"/>
      <w:bookmarkEnd w:id="778"/>
      <w:bookmarkEnd w:id="779"/>
      <w:bookmarkEnd w:id="780"/>
      <w:bookmarkEnd w:id="781"/>
      <w:bookmarkEnd w:id="782"/>
      <w:bookmarkEnd w:id="783"/>
      <w:bookmarkEnd w:id="784"/>
      <w:bookmarkEnd w:id="785"/>
      <w:bookmarkEnd w:id="786"/>
    </w:p>
    <w:p w14:paraId="2C981BF8">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本款补充：</w:t>
      </w:r>
    </w:p>
    <w:p w14:paraId="7266E543">
      <w:pPr>
        <w:keepNext w:val="0"/>
        <w:keepLines w:val="0"/>
        <w:pageBreakBefore w:val="0"/>
        <w:widowControl w:val="0"/>
        <w:kinsoku/>
        <w:wordWrap w:val="0"/>
        <w:overflowPunct/>
        <w:topLinePunct/>
        <w:autoSpaceDE/>
        <w:autoSpaceDN/>
        <w:bidi w:val="0"/>
        <w:adjustRightInd/>
        <w:snapToGrid/>
        <w:spacing w:line="440" w:lineRule="exact"/>
        <w:ind w:firstLine="480" w:firstLineChars="200"/>
        <w:textAlignment w:val="auto"/>
        <w:rPr>
          <w:rFonts w:ascii="宋体" w:hAnsi="宋体" w:cs="宋体"/>
          <w:kern w:val="0"/>
          <w:sz w:val="24"/>
          <w:szCs w:val="24"/>
        </w:rPr>
      </w:pPr>
      <w:r>
        <w:rPr>
          <w:rFonts w:hint="eastAsia" w:ascii="宋体" w:hAnsi="宋体" w:cs="宋体"/>
          <w:kern w:val="0"/>
          <w:sz w:val="24"/>
          <w:szCs w:val="24"/>
        </w:rPr>
        <w:t>发包人负责办理永久占地的征用及与之有关的拆迁赔偿手续并承担相关费用。承包人在按第</w:t>
      </w:r>
      <w:r>
        <w:rPr>
          <w:rFonts w:ascii="宋体" w:hAnsi="宋体" w:cs="宋体"/>
          <w:kern w:val="0"/>
          <w:sz w:val="24"/>
          <w:szCs w:val="24"/>
        </w:rPr>
        <w:t>10</w:t>
      </w:r>
      <w:r>
        <w:rPr>
          <w:rFonts w:hint="eastAsia" w:ascii="宋体" w:hAnsi="宋体" w:cs="宋体"/>
          <w:kern w:val="0"/>
          <w:sz w:val="24"/>
          <w:szCs w:val="24"/>
        </w:rPr>
        <w:t>条规定提交施工进度计划的同时，应向监理人提交一份按施工先后次序所需的永久占地计划。监理人应在收到此计划后的</w:t>
      </w:r>
      <w:r>
        <w:rPr>
          <w:rFonts w:ascii="宋体" w:hAnsi="宋体" w:cs="宋体"/>
          <w:kern w:val="0"/>
          <w:sz w:val="24"/>
          <w:szCs w:val="24"/>
        </w:rPr>
        <w:t>14</w:t>
      </w:r>
      <w:r>
        <w:rPr>
          <w:rFonts w:hint="eastAsia" w:ascii="宋体" w:hAnsi="宋体" w:cs="宋体"/>
          <w:kern w:val="0"/>
          <w:sz w:val="24"/>
          <w:szCs w:val="24"/>
        </w:rPr>
        <w:t>天内审核并转报发包人核备。发包人应在监理人发出本工程或分部工程开工通知之前，对承包人开工所需的永久占地办妥征用手续和相关拆迁赔偿手续，通知承包人使用，以使承包人能够及时开工；此后按承包人提交并经监理人同意的合同进度计划的安排，分期（也可以一次）将施工所需的其余永久占地办妥征用及拆迁赔偿手续，通知承包人使用，以使承包人能够连续不间断地施工。由于承包人施工考虑不周或措施不当等原因而造成的超计划占地或拆迁等发生的征用和赔偿费用，应由承包人承担。</w:t>
      </w:r>
    </w:p>
    <w:p w14:paraId="60B3F0E5">
      <w:pPr>
        <w:keepNext w:val="0"/>
        <w:keepLines w:val="0"/>
        <w:pageBreakBefore w:val="0"/>
        <w:widowControl w:val="0"/>
        <w:kinsoku/>
        <w:wordWrap w:val="0"/>
        <w:overflowPunct/>
        <w:topLinePunct/>
        <w:autoSpaceDE/>
        <w:autoSpaceDN/>
        <w:bidi w:val="0"/>
        <w:adjustRightInd/>
        <w:snapToGrid/>
        <w:spacing w:line="440" w:lineRule="exact"/>
        <w:ind w:firstLine="480" w:firstLineChars="200"/>
        <w:textAlignment w:val="auto"/>
        <w:rPr>
          <w:rFonts w:ascii="宋体" w:hAnsi="宋体" w:cs="宋体"/>
          <w:kern w:val="0"/>
          <w:sz w:val="24"/>
          <w:szCs w:val="24"/>
        </w:rPr>
      </w:pPr>
      <w:r>
        <w:rPr>
          <w:rFonts w:hint="eastAsia" w:ascii="宋体" w:hAnsi="宋体" w:cs="宋体"/>
          <w:kern w:val="0"/>
          <w:sz w:val="24"/>
          <w:szCs w:val="24"/>
        </w:rPr>
        <w:t>由于发包人未能按照本项规定办妥永久占地征用手续，影响承包人及时使用永久占地造成的费用增加和（或）工期延误应由发包人承担。由于承包人未能按照本项规定提交占地计划，影响发包人办理永久占地征用手续造成的费用增加和（或）工期延误由承包人承担。</w:t>
      </w:r>
    </w:p>
    <w:p w14:paraId="3E444A99">
      <w:pPr>
        <w:keepNext w:val="0"/>
        <w:keepLines w:val="0"/>
        <w:pageBreakBefore w:val="0"/>
        <w:widowControl w:val="0"/>
        <w:kinsoku/>
        <w:wordWrap w:val="0"/>
        <w:overflowPunct/>
        <w:topLinePunct/>
        <w:autoSpaceDE/>
        <w:autoSpaceDN/>
        <w:bidi w:val="0"/>
        <w:adjustRightInd/>
        <w:snapToGrid/>
        <w:spacing w:line="440" w:lineRule="exact"/>
        <w:ind w:firstLine="482" w:firstLineChars="200"/>
        <w:textAlignment w:val="auto"/>
        <w:rPr>
          <w:rFonts w:hint="eastAsia" w:ascii="宋体" w:hAnsi="宋体" w:cs="宋体"/>
          <w:b/>
          <w:bCs/>
          <w:kern w:val="44"/>
          <w:sz w:val="24"/>
          <w:szCs w:val="24"/>
        </w:rPr>
      </w:pPr>
      <w:bookmarkStart w:id="787" w:name="_Toc479265554"/>
      <w:bookmarkStart w:id="788" w:name="_Toc3475537"/>
      <w:bookmarkStart w:id="789" w:name="_Toc480282300"/>
      <w:bookmarkStart w:id="790" w:name="_Toc192710468"/>
      <w:bookmarkStart w:id="791" w:name="_Toc512689662"/>
      <w:bookmarkStart w:id="792" w:name="_Toc479237725"/>
      <w:bookmarkStart w:id="793" w:name="_Toc513212815"/>
      <w:bookmarkStart w:id="794" w:name="_Toc488083534"/>
      <w:bookmarkStart w:id="795" w:name="_Toc234382849"/>
      <w:bookmarkStart w:id="796" w:name="_Toc513132295"/>
      <w:r>
        <w:rPr>
          <w:rFonts w:hint="eastAsia" w:ascii="宋体" w:hAnsi="宋体" w:cs="宋体"/>
          <w:b/>
          <w:bCs/>
          <w:kern w:val="44"/>
          <w:sz w:val="24"/>
          <w:szCs w:val="24"/>
        </w:rPr>
        <w:t>3．监理人</w:t>
      </w:r>
      <w:bookmarkEnd w:id="787"/>
      <w:bookmarkEnd w:id="788"/>
      <w:bookmarkEnd w:id="789"/>
      <w:bookmarkEnd w:id="790"/>
      <w:bookmarkEnd w:id="791"/>
      <w:bookmarkEnd w:id="792"/>
      <w:bookmarkEnd w:id="793"/>
      <w:bookmarkEnd w:id="794"/>
      <w:bookmarkEnd w:id="795"/>
      <w:bookmarkEnd w:id="796"/>
    </w:p>
    <w:p w14:paraId="6D8CCD7C">
      <w:pPr>
        <w:keepNext w:val="0"/>
        <w:keepLines w:val="0"/>
        <w:pageBreakBefore w:val="0"/>
        <w:widowControl w:val="0"/>
        <w:kinsoku/>
        <w:wordWrap w:val="0"/>
        <w:overflowPunct/>
        <w:topLinePunct/>
        <w:autoSpaceDE/>
        <w:autoSpaceDN/>
        <w:bidi w:val="0"/>
        <w:adjustRightInd/>
        <w:snapToGrid/>
        <w:spacing w:line="440" w:lineRule="exact"/>
        <w:ind w:firstLine="482" w:firstLineChars="200"/>
        <w:textAlignment w:val="auto"/>
        <w:rPr>
          <w:rFonts w:hint="eastAsia" w:ascii="宋体" w:hAnsi="宋体" w:cs="宋体"/>
          <w:b/>
          <w:bCs/>
          <w:kern w:val="44"/>
          <w:sz w:val="24"/>
          <w:szCs w:val="24"/>
        </w:rPr>
      </w:pPr>
      <w:bookmarkStart w:id="797" w:name="_Toc480282301"/>
      <w:bookmarkStart w:id="798" w:name="_Toc234382850"/>
      <w:bookmarkStart w:id="799" w:name="_Toc513132296"/>
      <w:bookmarkStart w:id="800" w:name="_Toc192710469"/>
      <w:bookmarkStart w:id="801" w:name="_Toc512689663"/>
      <w:bookmarkStart w:id="802" w:name="_Toc488083535"/>
      <w:bookmarkStart w:id="803" w:name="_Toc3475538"/>
      <w:bookmarkStart w:id="804" w:name="_Toc513212816"/>
      <w:bookmarkStart w:id="805" w:name="_Toc479237726"/>
      <w:bookmarkStart w:id="806" w:name="_Toc479265555"/>
      <w:r>
        <w:rPr>
          <w:rFonts w:hint="eastAsia" w:ascii="宋体" w:hAnsi="宋体" w:cs="宋体"/>
          <w:b/>
          <w:bCs/>
          <w:kern w:val="44"/>
          <w:sz w:val="24"/>
          <w:szCs w:val="24"/>
        </w:rPr>
        <w:t>3.1监理人的职责和权力</w:t>
      </w:r>
      <w:bookmarkEnd w:id="797"/>
      <w:bookmarkEnd w:id="798"/>
      <w:bookmarkEnd w:id="799"/>
      <w:bookmarkEnd w:id="800"/>
      <w:bookmarkEnd w:id="801"/>
      <w:bookmarkEnd w:id="802"/>
      <w:bookmarkEnd w:id="803"/>
      <w:bookmarkEnd w:id="804"/>
      <w:bookmarkEnd w:id="805"/>
      <w:bookmarkEnd w:id="806"/>
    </w:p>
    <w:p w14:paraId="4AB20526">
      <w:pPr>
        <w:keepNext w:val="0"/>
        <w:keepLines w:val="0"/>
        <w:pageBreakBefore w:val="0"/>
        <w:widowControl w:val="0"/>
        <w:kinsoku/>
        <w:wordWrap w:val="0"/>
        <w:overflowPunct/>
        <w:topLinePunct/>
        <w:autoSpaceDE/>
        <w:autoSpaceDN/>
        <w:bidi w:val="0"/>
        <w:adjustRightInd/>
        <w:snapToGrid/>
        <w:spacing w:line="440" w:lineRule="exact"/>
        <w:ind w:firstLine="480" w:firstLineChars="200"/>
        <w:textAlignment w:val="auto"/>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3.1.1</w:t>
      </w:r>
      <w:r>
        <w:rPr>
          <w:rFonts w:hint="eastAsia" w:ascii="宋体" w:hAnsi="宋体" w:cs="宋体"/>
          <w:kern w:val="0"/>
          <w:sz w:val="24"/>
          <w:szCs w:val="24"/>
        </w:rPr>
        <w:t>项补充：</w:t>
      </w:r>
    </w:p>
    <w:p w14:paraId="72CD3B23">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监理人在行使下列权力前需要经发包人事先批准：</w:t>
      </w:r>
    </w:p>
    <w:p w14:paraId="59BEB9DC">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）根据第</w:t>
      </w:r>
      <w:r>
        <w:rPr>
          <w:rFonts w:ascii="宋体" w:hAnsi="宋体" w:cs="宋体"/>
          <w:kern w:val="0"/>
          <w:sz w:val="24"/>
          <w:szCs w:val="24"/>
        </w:rPr>
        <w:t>4.3</w:t>
      </w:r>
      <w:r>
        <w:rPr>
          <w:rFonts w:hint="eastAsia" w:ascii="宋体" w:hAnsi="宋体" w:cs="宋体"/>
          <w:kern w:val="0"/>
          <w:sz w:val="24"/>
          <w:szCs w:val="24"/>
        </w:rPr>
        <w:t>款，同意分包本工程的某些非主体和非关键性工作；</w:t>
      </w:r>
    </w:p>
    <w:p w14:paraId="4018769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）确定第</w:t>
      </w:r>
      <w:r>
        <w:rPr>
          <w:rFonts w:ascii="宋体" w:hAnsi="宋体" w:cs="宋体"/>
          <w:kern w:val="0"/>
          <w:sz w:val="24"/>
          <w:szCs w:val="24"/>
        </w:rPr>
        <w:t>4.11</w:t>
      </w:r>
      <w:r>
        <w:rPr>
          <w:rFonts w:hint="eastAsia" w:ascii="宋体" w:hAnsi="宋体" w:cs="宋体"/>
          <w:kern w:val="0"/>
          <w:sz w:val="24"/>
          <w:szCs w:val="24"/>
        </w:rPr>
        <w:t>款下产生的费用增加额；</w:t>
      </w:r>
    </w:p>
    <w:p w14:paraId="04B0C465">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）根据第</w:t>
      </w:r>
      <w:r>
        <w:rPr>
          <w:rFonts w:ascii="宋体" w:hAnsi="宋体" w:cs="宋体"/>
          <w:kern w:val="0"/>
          <w:sz w:val="24"/>
          <w:szCs w:val="24"/>
        </w:rPr>
        <w:t>11.1</w:t>
      </w:r>
      <w:r>
        <w:rPr>
          <w:rFonts w:hint="eastAsia" w:ascii="宋体" w:hAnsi="宋体" w:cs="宋体"/>
          <w:kern w:val="0"/>
          <w:sz w:val="24"/>
          <w:szCs w:val="24"/>
        </w:rPr>
        <w:t>款、第</w:t>
      </w:r>
      <w:r>
        <w:rPr>
          <w:rFonts w:ascii="宋体" w:hAnsi="宋体" w:cs="宋体"/>
          <w:kern w:val="0"/>
          <w:sz w:val="24"/>
          <w:szCs w:val="24"/>
        </w:rPr>
        <w:t>12.3</w:t>
      </w:r>
      <w:r>
        <w:rPr>
          <w:rFonts w:hint="eastAsia" w:ascii="宋体" w:hAnsi="宋体" w:cs="宋体"/>
          <w:kern w:val="0"/>
          <w:sz w:val="24"/>
          <w:szCs w:val="24"/>
        </w:rPr>
        <w:t>款、第</w:t>
      </w:r>
      <w:r>
        <w:rPr>
          <w:rFonts w:ascii="宋体" w:hAnsi="宋体" w:cs="宋体"/>
          <w:kern w:val="0"/>
          <w:sz w:val="24"/>
          <w:szCs w:val="24"/>
        </w:rPr>
        <w:t>12.4</w:t>
      </w:r>
      <w:r>
        <w:rPr>
          <w:rFonts w:hint="eastAsia" w:ascii="宋体" w:hAnsi="宋体" w:cs="宋体"/>
          <w:kern w:val="0"/>
          <w:sz w:val="24"/>
          <w:szCs w:val="24"/>
        </w:rPr>
        <w:t>款发布开工通知、暂停施工指示或复工通知；</w:t>
      </w:r>
    </w:p>
    <w:p w14:paraId="2FEF9933">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）决定第</w:t>
      </w:r>
      <w:r>
        <w:rPr>
          <w:rFonts w:ascii="宋体" w:hAnsi="宋体" w:cs="宋体"/>
          <w:kern w:val="0"/>
          <w:sz w:val="24"/>
          <w:szCs w:val="24"/>
        </w:rPr>
        <w:t>11.3</w:t>
      </w:r>
      <w:r>
        <w:rPr>
          <w:rFonts w:hint="eastAsia" w:ascii="宋体" w:hAnsi="宋体" w:cs="宋体"/>
          <w:kern w:val="0"/>
          <w:sz w:val="24"/>
          <w:szCs w:val="24"/>
        </w:rPr>
        <w:t>款、第</w:t>
      </w:r>
      <w:r>
        <w:rPr>
          <w:rFonts w:ascii="宋体" w:hAnsi="宋体" w:cs="宋体"/>
          <w:kern w:val="0"/>
          <w:sz w:val="24"/>
          <w:szCs w:val="24"/>
        </w:rPr>
        <w:t>11.4</w:t>
      </w:r>
      <w:r>
        <w:rPr>
          <w:rFonts w:hint="eastAsia" w:ascii="宋体" w:hAnsi="宋体" w:cs="宋体"/>
          <w:kern w:val="0"/>
          <w:sz w:val="24"/>
          <w:szCs w:val="24"/>
        </w:rPr>
        <w:t>款下的工期延长；</w:t>
      </w:r>
    </w:p>
    <w:p w14:paraId="5D04313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5</w:t>
      </w:r>
      <w:r>
        <w:rPr>
          <w:rFonts w:hint="eastAsia" w:ascii="宋体" w:hAnsi="宋体" w:cs="宋体"/>
          <w:kern w:val="0"/>
          <w:sz w:val="24"/>
          <w:szCs w:val="24"/>
        </w:rPr>
        <w:t>）审查批准技术规范或设计的变更；</w:t>
      </w:r>
    </w:p>
    <w:p w14:paraId="198F8F10">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6</w:t>
      </w:r>
      <w:r>
        <w:rPr>
          <w:rFonts w:hint="eastAsia" w:ascii="宋体" w:hAnsi="宋体" w:cs="宋体"/>
          <w:kern w:val="0"/>
          <w:sz w:val="24"/>
          <w:szCs w:val="24"/>
        </w:rPr>
        <w:t>）根据第</w:t>
      </w:r>
      <w:r>
        <w:rPr>
          <w:rFonts w:ascii="宋体" w:hAnsi="宋体" w:cs="宋体"/>
          <w:kern w:val="0"/>
          <w:sz w:val="24"/>
          <w:szCs w:val="24"/>
        </w:rPr>
        <w:t>15.3</w:t>
      </w:r>
      <w:r>
        <w:rPr>
          <w:rFonts w:hint="eastAsia" w:ascii="宋体" w:hAnsi="宋体" w:cs="宋体"/>
          <w:kern w:val="0"/>
          <w:sz w:val="24"/>
          <w:szCs w:val="24"/>
        </w:rPr>
        <w:t>款发出的变更指令，其单项工程变更或累计变更涉及的金额超过了项目专用合同条款数据表规定的金额；</w:t>
      </w:r>
    </w:p>
    <w:p w14:paraId="4E06E8E6">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7</w:t>
      </w:r>
      <w:r>
        <w:rPr>
          <w:rFonts w:hint="eastAsia" w:ascii="宋体" w:hAnsi="宋体" w:cs="宋体"/>
          <w:kern w:val="0"/>
          <w:sz w:val="24"/>
          <w:szCs w:val="24"/>
        </w:rPr>
        <w:t>）确定第</w:t>
      </w:r>
      <w:r>
        <w:rPr>
          <w:rFonts w:ascii="宋体" w:hAnsi="宋体" w:cs="宋体"/>
          <w:kern w:val="0"/>
          <w:sz w:val="24"/>
          <w:szCs w:val="24"/>
        </w:rPr>
        <w:t>15.4</w:t>
      </w:r>
      <w:r>
        <w:rPr>
          <w:rFonts w:hint="eastAsia" w:ascii="宋体" w:hAnsi="宋体" w:cs="宋体"/>
          <w:kern w:val="0"/>
          <w:sz w:val="24"/>
          <w:szCs w:val="24"/>
        </w:rPr>
        <w:t>款下变更工作的单价；</w:t>
      </w:r>
    </w:p>
    <w:p w14:paraId="2127E9B5">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8</w:t>
      </w:r>
      <w:r>
        <w:rPr>
          <w:rFonts w:hint="eastAsia" w:ascii="宋体" w:hAnsi="宋体" w:cs="宋体"/>
          <w:kern w:val="0"/>
          <w:sz w:val="24"/>
          <w:szCs w:val="24"/>
        </w:rPr>
        <w:t>）按照第</w:t>
      </w:r>
      <w:r>
        <w:rPr>
          <w:rFonts w:ascii="宋体" w:hAnsi="宋体" w:cs="宋体"/>
          <w:kern w:val="0"/>
          <w:sz w:val="24"/>
          <w:szCs w:val="24"/>
        </w:rPr>
        <w:t>15.6</w:t>
      </w:r>
      <w:r>
        <w:rPr>
          <w:rFonts w:hint="eastAsia" w:ascii="宋体" w:hAnsi="宋体" w:cs="宋体"/>
          <w:kern w:val="0"/>
          <w:sz w:val="24"/>
          <w:szCs w:val="24"/>
        </w:rPr>
        <w:t>款决定有关暂列金额的使用；</w:t>
      </w:r>
    </w:p>
    <w:p w14:paraId="46FB47DE">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9</w:t>
      </w:r>
      <w:r>
        <w:rPr>
          <w:rFonts w:hint="eastAsia" w:ascii="宋体" w:hAnsi="宋体" w:cs="宋体"/>
          <w:kern w:val="0"/>
          <w:sz w:val="24"/>
          <w:szCs w:val="24"/>
        </w:rPr>
        <w:t>）确定第</w:t>
      </w:r>
      <w:r>
        <w:rPr>
          <w:rFonts w:ascii="宋体" w:hAnsi="宋体" w:cs="宋体"/>
          <w:kern w:val="0"/>
          <w:sz w:val="24"/>
          <w:szCs w:val="24"/>
        </w:rPr>
        <w:t>15.8</w:t>
      </w:r>
      <w:r>
        <w:rPr>
          <w:rFonts w:hint="eastAsia" w:ascii="宋体" w:hAnsi="宋体" w:cs="宋体"/>
          <w:kern w:val="0"/>
          <w:sz w:val="24"/>
          <w:szCs w:val="24"/>
        </w:rPr>
        <w:t>款项下的暂估价金额；</w:t>
      </w:r>
    </w:p>
    <w:p w14:paraId="62ABE87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10</w:t>
      </w:r>
      <w:r>
        <w:rPr>
          <w:rFonts w:hint="eastAsia" w:ascii="宋体" w:hAnsi="宋体" w:cs="宋体"/>
          <w:kern w:val="0"/>
          <w:sz w:val="24"/>
          <w:szCs w:val="24"/>
        </w:rPr>
        <w:t>）确定第</w:t>
      </w:r>
      <w:r>
        <w:rPr>
          <w:rFonts w:ascii="宋体" w:hAnsi="宋体" w:cs="宋体"/>
          <w:kern w:val="0"/>
          <w:sz w:val="24"/>
          <w:szCs w:val="24"/>
        </w:rPr>
        <w:t>23.1</w:t>
      </w:r>
      <w:r>
        <w:rPr>
          <w:rFonts w:hint="eastAsia" w:ascii="宋体" w:hAnsi="宋体" w:cs="宋体"/>
          <w:kern w:val="0"/>
          <w:sz w:val="24"/>
          <w:szCs w:val="24"/>
        </w:rPr>
        <w:t>款项下的索赔额。</w:t>
      </w:r>
    </w:p>
    <w:p w14:paraId="46A7C6BB">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如果发生紧急情况，监理人认为将造成人员伤亡，或危及本工程或邻近的财产需立即采取行动，监理人有权在未征得发包人的批准的情况下发布处理紧急情况所比需的指令，承包人应予执行，由此造成的费用增加由监理人按第</w:t>
      </w:r>
      <w:r>
        <w:rPr>
          <w:rFonts w:ascii="宋体" w:hAnsi="宋体" w:cs="宋体"/>
          <w:kern w:val="0"/>
          <w:sz w:val="24"/>
          <w:szCs w:val="24"/>
        </w:rPr>
        <w:t>3.5</w:t>
      </w:r>
      <w:r>
        <w:rPr>
          <w:rFonts w:hint="eastAsia" w:ascii="宋体" w:hAnsi="宋体" w:cs="宋体"/>
          <w:kern w:val="0"/>
          <w:sz w:val="24"/>
          <w:szCs w:val="24"/>
        </w:rPr>
        <w:t>款商定或确定。</w:t>
      </w:r>
    </w:p>
    <w:p w14:paraId="466294AE">
      <w:pPr>
        <w:keepNext/>
        <w:keepLines/>
        <w:spacing w:line="440" w:lineRule="exact"/>
        <w:ind w:firstLine="482" w:firstLineChars="200"/>
        <w:rPr>
          <w:rFonts w:ascii="宋体" w:hAnsi="宋体"/>
          <w:b/>
          <w:bCs/>
          <w:kern w:val="44"/>
          <w:sz w:val="24"/>
          <w:szCs w:val="24"/>
        </w:rPr>
      </w:pPr>
      <w:bookmarkStart w:id="807" w:name="_Toc479265556"/>
      <w:bookmarkStart w:id="808" w:name="_Toc480282302"/>
      <w:bookmarkStart w:id="809" w:name="_Toc192710470"/>
      <w:bookmarkStart w:id="810" w:name="_Toc479237727"/>
      <w:bookmarkStart w:id="811" w:name="_Toc488083536"/>
      <w:bookmarkStart w:id="812" w:name="_Toc3475539"/>
      <w:bookmarkStart w:id="813" w:name="_Toc513132297"/>
      <w:bookmarkStart w:id="814" w:name="_Toc513212817"/>
      <w:bookmarkStart w:id="815" w:name="_Toc512689664"/>
      <w:bookmarkStart w:id="816" w:name="_Toc234382851"/>
      <w:r>
        <w:rPr>
          <w:rFonts w:ascii="宋体" w:hAnsi="宋体" w:cs="宋体"/>
          <w:b/>
          <w:bCs/>
          <w:kern w:val="44"/>
          <w:sz w:val="24"/>
          <w:szCs w:val="24"/>
        </w:rPr>
        <w:t>3.5</w:t>
      </w:r>
      <w:r>
        <w:rPr>
          <w:rFonts w:hint="eastAsia" w:ascii="宋体" w:hAnsi="宋体" w:cs="宋体"/>
          <w:b/>
          <w:bCs/>
          <w:kern w:val="44"/>
          <w:sz w:val="24"/>
          <w:szCs w:val="24"/>
        </w:rPr>
        <w:t>商定或确定</w:t>
      </w:r>
      <w:bookmarkEnd w:id="807"/>
      <w:bookmarkEnd w:id="808"/>
      <w:bookmarkEnd w:id="809"/>
      <w:bookmarkEnd w:id="810"/>
      <w:bookmarkEnd w:id="811"/>
      <w:bookmarkEnd w:id="812"/>
      <w:bookmarkEnd w:id="813"/>
      <w:bookmarkEnd w:id="814"/>
      <w:bookmarkEnd w:id="815"/>
      <w:bookmarkEnd w:id="816"/>
    </w:p>
    <w:p w14:paraId="3D8D3C1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 xml:space="preserve">3.5.1 </w:t>
      </w:r>
      <w:r>
        <w:rPr>
          <w:rFonts w:hint="eastAsia" w:ascii="宋体" w:hAnsi="宋体" w:cs="宋体"/>
          <w:kern w:val="0"/>
          <w:sz w:val="24"/>
          <w:szCs w:val="24"/>
        </w:rPr>
        <w:t>项补充：</w:t>
      </w:r>
    </w:p>
    <w:p w14:paraId="08F9094B">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如果这项商定或确定导致费用增加和（或）工期延长，或者涉及确定变更工程的价格，则总监理工程师在发出通知前，应征得发包人的同意。</w:t>
      </w:r>
    </w:p>
    <w:p w14:paraId="4077C872">
      <w:pPr>
        <w:keepNext/>
        <w:keepLines/>
        <w:spacing w:line="440" w:lineRule="exact"/>
        <w:ind w:firstLine="482" w:firstLineChars="200"/>
        <w:rPr>
          <w:rFonts w:hint="eastAsia" w:ascii="宋体" w:hAnsi="宋体" w:cs="宋体"/>
          <w:b/>
          <w:bCs/>
          <w:kern w:val="44"/>
          <w:sz w:val="24"/>
          <w:szCs w:val="24"/>
        </w:rPr>
      </w:pPr>
      <w:bookmarkStart w:id="817" w:name="_Toc513212818"/>
      <w:bookmarkStart w:id="818" w:name="_Toc479265557"/>
      <w:bookmarkStart w:id="819" w:name="_Toc513132298"/>
      <w:bookmarkStart w:id="820" w:name="_Toc488083537"/>
      <w:bookmarkStart w:id="821" w:name="_Toc192710471"/>
      <w:bookmarkStart w:id="822" w:name="_Toc234382852"/>
      <w:bookmarkStart w:id="823" w:name="_Toc480282303"/>
      <w:bookmarkStart w:id="824" w:name="_Toc3475540"/>
      <w:bookmarkStart w:id="825" w:name="_Toc479237728"/>
      <w:bookmarkStart w:id="826" w:name="_Toc512689665"/>
      <w:r>
        <w:rPr>
          <w:rFonts w:hint="eastAsia" w:ascii="宋体" w:hAnsi="宋体" w:cs="宋体"/>
          <w:b/>
          <w:bCs/>
          <w:kern w:val="44"/>
          <w:sz w:val="24"/>
          <w:szCs w:val="24"/>
        </w:rPr>
        <w:t>4.承包人</w:t>
      </w:r>
      <w:bookmarkEnd w:id="817"/>
      <w:bookmarkEnd w:id="818"/>
      <w:bookmarkEnd w:id="819"/>
      <w:bookmarkEnd w:id="820"/>
      <w:bookmarkEnd w:id="821"/>
      <w:bookmarkEnd w:id="822"/>
      <w:bookmarkEnd w:id="823"/>
      <w:bookmarkEnd w:id="824"/>
      <w:bookmarkEnd w:id="825"/>
      <w:bookmarkEnd w:id="826"/>
    </w:p>
    <w:p w14:paraId="537A1C34">
      <w:pPr>
        <w:keepNext/>
        <w:keepLines/>
        <w:spacing w:line="440" w:lineRule="exact"/>
        <w:ind w:firstLine="482" w:firstLineChars="200"/>
        <w:rPr>
          <w:rFonts w:hint="eastAsia" w:ascii="宋体" w:hAnsi="宋体" w:cs="宋体"/>
          <w:b/>
          <w:bCs/>
          <w:kern w:val="44"/>
          <w:sz w:val="24"/>
          <w:szCs w:val="24"/>
        </w:rPr>
      </w:pPr>
      <w:bookmarkStart w:id="827" w:name="_Toc3475541"/>
      <w:bookmarkStart w:id="828" w:name="_Toc479237729"/>
      <w:bookmarkStart w:id="829" w:name="_Toc513212819"/>
      <w:bookmarkStart w:id="830" w:name="_Toc234382853"/>
      <w:bookmarkStart w:id="831" w:name="_Toc512689666"/>
      <w:bookmarkStart w:id="832" w:name="_Toc192710472"/>
      <w:bookmarkStart w:id="833" w:name="_Toc488083538"/>
      <w:bookmarkStart w:id="834" w:name="_Toc480282304"/>
      <w:bookmarkStart w:id="835" w:name="_Toc513132299"/>
      <w:bookmarkStart w:id="836" w:name="_Toc479265558"/>
      <w:r>
        <w:rPr>
          <w:rFonts w:hint="eastAsia" w:ascii="宋体" w:hAnsi="宋体" w:cs="宋体"/>
          <w:b/>
          <w:bCs/>
          <w:kern w:val="44"/>
          <w:sz w:val="24"/>
          <w:szCs w:val="24"/>
        </w:rPr>
        <w:t>4.1承包工的一般义务</w:t>
      </w:r>
      <w:bookmarkEnd w:id="827"/>
      <w:bookmarkEnd w:id="828"/>
      <w:bookmarkEnd w:id="829"/>
      <w:bookmarkEnd w:id="830"/>
      <w:bookmarkEnd w:id="831"/>
      <w:bookmarkEnd w:id="832"/>
      <w:bookmarkEnd w:id="833"/>
      <w:bookmarkEnd w:id="834"/>
      <w:bookmarkEnd w:id="835"/>
      <w:bookmarkEnd w:id="836"/>
    </w:p>
    <w:p w14:paraId="25C5B40A">
      <w:pPr>
        <w:widowControl/>
        <w:spacing w:line="440" w:lineRule="exact"/>
        <w:ind w:firstLine="480" w:firstLineChars="200"/>
        <w:jc w:val="left"/>
        <w:rPr>
          <w:rFonts w:ascii="宋体" w:hAnsi="宋体"/>
          <w:kern w:val="0"/>
          <w:sz w:val="24"/>
          <w:szCs w:val="24"/>
        </w:rPr>
      </w:pPr>
      <w:r>
        <w:rPr>
          <w:rFonts w:ascii="宋体" w:hAnsi="宋体"/>
          <w:kern w:val="0"/>
          <w:sz w:val="24"/>
          <w:szCs w:val="24"/>
        </w:rPr>
        <w:t>4.1.9</w:t>
      </w:r>
      <w:r>
        <w:rPr>
          <w:rFonts w:hint="eastAsia" w:ascii="宋体" w:hAnsi="宋体"/>
          <w:kern w:val="0"/>
          <w:sz w:val="24"/>
          <w:szCs w:val="24"/>
        </w:rPr>
        <w:t>工程的维护和照管</w:t>
      </w:r>
    </w:p>
    <w:p w14:paraId="432B6D1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本项细化为：</w:t>
      </w:r>
    </w:p>
    <w:p w14:paraId="567E35F4">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交工验收证书颁发前，承包人应负责照管和维护工程及将用于或安装在本工程中的材料、设备。交工验收证书颁发时尚有部分未交工工程的，承包人还应负责该未交工工程、材料、设备的照管和维护工作，直至交工后移交给发包人为止。</w:t>
      </w:r>
    </w:p>
    <w:p w14:paraId="601D52C5">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）在承包人负责照管与维护期间，如果本工程或材料、设备等发生损失或损害，除不可抗力原因之外，承包人均应自费弥补，并达到合同要求。承包人还应对按第</w:t>
      </w:r>
      <w:r>
        <w:rPr>
          <w:rFonts w:ascii="宋体" w:hAnsi="宋体" w:cs="宋体"/>
          <w:kern w:val="0"/>
          <w:sz w:val="24"/>
          <w:szCs w:val="24"/>
        </w:rPr>
        <w:t>19</w:t>
      </w:r>
      <w:r>
        <w:rPr>
          <w:rFonts w:hint="eastAsia" w:ascii="宋体" w:hAnsi="宋体" w:cs="宋体"/>
          <w:kern w:val="0"/>
          <w:sz w:val="24"/>
          <w:szCs w:val="24"/>
        </w:rPr>
        <w:t>条规定而实施作业的过程中由承包人造成的对工程的任何损失或损害负责。</w:t>
      </w:r>
    </w:p>
    <w:p w14:paraId="1A079E56">
      <w:pPr>
        <w:spacing w:line="440" w:lineRule="exact"/>
        <w:ind w:firstLine="480" w:firstLineChars="200"/>
        <w:rPr>
          <w:rFonts w:ascii="宋体" w:hAnsi="宋体" w:cs="宋体"/>
          <w:kern w:val="0"/>
          <w:sz w:val="24"/>
          <w:szCs w:val="24"/>
        </w:rPr>
      </w:pPr>
      <w:r>
        <w:rPr>
          <w:rFonts w:ascii="宋体" w:hAnsi="宋体" w:cs="宋体"/>
          <w:kern w:val="0"/>
          <w:sz w:val="24"/>
          <w:szCs w:val="24"/>
        </w:rPr>
        <w:t>4.1.10</w:t>
      </w:r>
      <w:r>
        <w:rPr>
          <w:rFonts w:hint="eastAsia" w:ascii="宋体" w:hAnsi="宋体" w:cs="宋体"/>
          <w:kern w:val="0"/>
          <w:sz w:val="24"/>
          <w:szCs w:val="24"/>
        </w:rPr>
        <w:t>其他义务</w:t>
      </w:r>
    </w:p>
    <w:p w14:paraId="218C751E">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本项细化为：</w:t>
      </w:r>
    </w:p>
    <w:p w14:paraId="52CCCFBB">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）临时占地由承包人向当地政府土地管理部门申请，并办理租用手续，承包人按有关规定直接支付其费用，发包人对此将予以协调。</w:t>
      </w:r>
    </w:p>
    <w:p w14:paraId="287A1214">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临时占地范围包括承包人驻地的办公室、食堂、宿舍、道路和机械设备停放场、材料堆放场地、弃土场、预制场、拌合场、仓库、进场临时道路、临时便道、便桥等。承包人应在“临时占地计划表”范围内按实际需要与先后次序，提出具体计划报监理人同意，并报发包人。临时占地的面积和使用期应满足工程需要，费用包括临时占地数量、时间及因此而发生的协调、租用、复耕、地面附着物（电力、电信、房屋、坟墓除外）的拆迁补偿等相关费用。除项目专用合同条款另有约定外，临时占地的租地费用实行总额包干，列入工程量清单</w:t>
      </w:r>
      <w:r>
        <w:rPr>
          <w:rFonts w:ascii="宋体" w:hAnsi="宋体" w:cs="宋体"/>
          <w:kern w:val="0"/>
          <w:sz w:val="24"/>
          <w:szCs w:val="24"/>
        </w:rPr>
        <w:t>100</w:t>
      </w:r>
      <w:r>
        <w:rPr>
          <w:rFonts w:hint="eastAsia" w:ascii="宋体" w:hAnsi="宋体" w:cs="宋体"/>
          <w:kern w:val="0"/>
          <w:sz w:val="24"/>
          <w:szCs w:val="24"/>
        </w:rPr>
        <w:t>章中由承包人按总额报价。</w:t>
      </w:r>
    </w:p>
    <w:p w14:paraId="337F940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临时占地退还前，承包人应自费恢复到临时占地使用前的状态。如因承包人撤离后未按要求对临时占地进行恢复或虽进行了恢复但未达到使用标准的，将由发包人委托第三方对其恢复，所发生的费用将从应付给承包人的任何款项内扣除。</w:t>
      </w:r>
    </w:p>
    <w:p w14:paraId="67C13BD6">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除项目专用条款另有约定外，承包人应承担并支付为获得本合同工程所需的石料、砂、砾石、黏土或其他当地材料等所发生的料场使用费及其他开支或补偿费。发包人应尽可能协助承包人办理料场租用手续及解决使用过程中的有关问题。</w:t>
      </w:r>
    </w:p>
    <w:p w14:paraId="7524478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承包人应严格遵守国家有关解决拖欠工程款和民工工资的法律、法规，及时支付工程中的材料、设备贷款及民工工资等费用。承包人不得以任何借口拖欠材料、设备贷款及民工工资等费用，如果出现此种现象，发包人有权代为支付其拖欠的材料、设备贷款及民工工资，并从应付给承包人的工程款中扣除相应款项。对恶意拖欠和拒不按计划支付的，作为不良记录纳入公路建设市场信用信息管理系统。</w:t>
      </w:r>
    </w:p>
    <w:p w14:paraId="09B4EE26">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的项目负责人部是民工工资支付行为的主体，承包人的项目负责人是民工工资支付的责任人。项目负责人部要建立全体民工花名册和工资支付表，确保将工资直接发放给民工本人，或委托银行发放民工工资，严禁发放给“包工头”或其他不具备用工主体资格的组织和个人。</w:t>
      </w:r>
    </w:p>
    <w:p w14:paraId="502E3BE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工资支付表应如实记录支付单位、支付时间、支付对象、支付数额、支付对象的身份证号和签字等信息。民工花名册和工资支付表应报监理人备查。</w:t>
      </w:r>
    </w:p>
    <w:p w14:paraId="7B15DA4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w:t>
      </w:r>
      <w:r>
        <w:rPr>
          <w:rFonts w:ascii="宋体" w:hAnsi="宋体" w:cs="宋体"/>
          <w:kern w:val="0"/>
          <w:sz w:val="24"/>
          <w:szCs w:val="24"/>
        </w:rPr>
        <w:t>承包人应分解工程价款中的人工费用，在工程项目所在地银行开设民工工资(劳务费)专用账户，专项用于支付民工工资。发包人应按照本合同约定的比例 或承包人提供的人 工费用数额，将应付工程款中的人工费单独拨付到 承包人开设 的 民工工资(劳务费)专用账户。民工工资(劳务费   )专用账户应向人力资源社会保 障部门和交通运输主 管部门备案，并委托开户银行 负责 日常监管， 确保专款专用 。 开户银行发现账户资金不足、被挪用等情况，应及时向人力资源社会保障部门和交 通运输主管部门报告。</w:t>
      </w:r>
    </w:p>
    <w:p w14:paraId="1C592D8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（5）</w:t>
      </w:r>
      <w:r>
        <w:rPr>
          <w:rFonts w:ascii="宋体" w:hAnsi="宋体" w:cs="宋体"/>
          <w:kern w:val="0"/>
          <w:sz w:val="24"/>
          <w:szCs w:val="24"/>
        </w:rPr>
        <w:t>承包人应严格执行招标文件技术规范对施工 标准化提出的具体要求，结合本单位施工能力和技术优势，积极采取有利于标准化施工的组织方式和工艺流程，加强工地建设、工艺控制、人员管理和内业 资料管理，强化对施工一线操作人员的 培训，改善职工生产生活条件，与此相关的费用承包人应列入工程量清单100章中。</w:t>
      </w:r>
    </w:p>
    <w:p w14:paraId="3C06C205">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（6）承包人应履行项目专用合同条款约定的其他义务。</w:t>
      </w:r>
    </w:p>
    <w:p w14:paraId="1FF83663">
      <w:pPr>
        <w:keepNext/>
        <w:keepLines/>
        <w:spacing w:line="440" w:lineRule="exact"/>
        <w:ind w:firstLine="482" w:firstLineChars="200"/>
        <w:rPr>
          <w:rFonts w:ascii="宋体" w:hAnsi="宋体" w:eastAsia="黑体" w:cs="宋体"/>
          <w:b/>
          <w:bCs/>
          <w:kern w:val="44"/>
          <w:sz w:val="24"/>
          <w:szCs w:val="24"/>
        </w:rPr>
      </w:pPr>
      <w:bookmarkStart w:id="837" w:name="_Toc513212820"/>
      <w:bookmarkStart w:id="838" w:name="_Toc513132300"/>
      <w:bookmarkStart w:id="839" w:name="_Toc3475542"/>
      <w:bookmarkStart w:id="840" w:name="_Toc512689667"/>
      <w:bookmarkStart w:id="841" w:name="_Toc192710473"/>
      <w:bookmarkStart w:id="842" w:name="_Toc234382854"/>
      <w:bookmarkStart w:id="843" w:name="_Toc480282305"/>
      <w:bookmarkStart w:id="844" w:name="_Toc479265559"/>
      <w:bookmarkStart w:id="845" w:name="_Toc479237730"/>
      <w:bookmarkStart w:id="846" w:name="_Toc488083539"/>
      <w:r>
        <w:rPr>
          <w:rFonts w:hint="eastAsia" w:ascii="宋体" w:hAnsi="宋体" w:cs="宋体"/>
          <w:b/>
          <w:bCs/>
          <w:kern w:val="44"/>
          <w:sz w:val="24"/>
          <w:szCs w:val="24"/>
        </w:rPr>
        <w:t>4.2履约保证金</w:t>
      </w:r>
      <w:bookmarkEnd w:id="837"/>
      <w:bookmarkEnd w:id="838"/>
      <w:bookmarkEnd w:id="839"/>
      <w:bookmarkEnd w:id="840"/>
      <w:bookmarkEnd w:id="841"/>
    </w:p>
    <w:p w14:paraId="73422AAF">
      <w:pPr>
        <w:spacing w:line="440" w:lineRule="exact"/>
        <w:ind w:firstLine="480" w:firstLineChars="200"/>
        <w:rPr>
          <w:rFonts w:ascii="宋体" w:hAnsi="宋体" w:cs="宋体"/>
          <w:kern w:val="0"/>
          <w:sz w:val="24"/>
          <w:szCs w:val="24"/>
        </w:rPr>
      </w:pPr>
      <w:bookmarkStart w:id="847" w:name="_Toc513132301"/>
      <w:bookmarkStart w:id="848" w:name="_Toc512689668"/>
      <w:bookmarkStart w:id="849" w:name="_Toc513212821"/>
      <w:r>
        <w:rPr>
          <w:rFonts w:ascii="宋体" w:hAnsi="宋体" w:cs="宋体"/>
          <w:kern w:val="0"/>
          <w:sz w:val="24"/>
          <w:szCs w:val="24"/>
        </w:rPr>
        <w:t>本款细化为:</w:t>
      </w:r>
      <w:bookmarkEnd w:id="847"/>
      <w:bookmarkEnd w:id="848"/>
      <w:bookmarkEnd w:id="849"/>
    </w:p>
    <w:p w14:paraId="5663864D">
      <w:pPr>
        <w:spacing w:line="440" w:lineRule="exact"/>
        <w:ind w:firstLine="480" w:firstLineChars="200"/>
        <w:rPr>
          <w:rFonts w:ascii="宋体" w:hAnsi="宋体" w:cs="宋体"/>
          <w:kern w:val="0"/>
          <w:sz w:val="24"/>
          <w:szCs w:val="24"/>
        </w:rPr>
      </w:pPr>
      <w:bookmarkStart w:id="850" w:name="_Toc513212822"/>
      <w:bookmarkStart w:id="851" w:name="_Toc513132302"/>
      <w:bookmarkStart w:id="852" w:name="_Toc512689669"/>
      <w:r>
        <w:rPr>
          <w:rFonts w:ascii="宋体" w:hAnsi="宋体" w:cs="宋体"/>
          <w:kern w:val="0"/>
          <w:sz w:val="24"/>
          <w:szCs w:val="24"/>
        </w:rPr>
        <w:t>承包人应保证其履约保证金在发包人签发交工验 收证书且承包人按照合同约定 缴纳质量保证金前一直有效。发包人应在收到承包人 缴纳的质量保证金后 28 天内把 履约保证金退还给承包 人。</w:t>
      </w:r>
      <w:bookmarkEnd w:id="850"/>
      <w:bookmarkEnd w:id="851"/>
      <w:bookmarkEnd w:id="852"/>
    </w:p>
    <w:p w14:paraId="13AD3B59">
      <w:pPr>
        <w:spacing w:line="440" w:lineRule="exact"/>
        <w:ind w:firstLine="480" w:firstLineChars="200"/>
        <w:rPr>
          <w:rFonts w:ascii="宋体" w:hAnsi="宋体" w:cs="宋体"/>
          <w:kern w:val="0"/>
          <w:sz w:val="24"/>
          <w:szCs w:val="24"/>
        </w:rPr>
      </w:pPr>
      <w:bookmarkStart w:id="853" w:name="_Toc513132303"/>
      <w:bookmarkStart w:id="854" w:name="_Toc512689670"/>
      <w:bookmarkStart w:id="855" w:name="_Toc513212823"/>
      <w:r>
        <w:rPr>
          <w:rFonts w:ascii="宋体" w:hAnsi="宋体" w:cs="宋体"/>
          <w:kern w:val="0"/>
          <w:sz w:val="24"/>
          <w:szCs w:val="24"/>
        </w:rPr>
        <w:t>承包人拒绝按照本合同约定缴纳质量保证金的，发包人有权从竣工付款证书中 扣留相应金额作为质 量保证金，或者直接将履约保证金金额用于保证承包人在缺陷 责任期内履行缺陷修复义务 。</w:t>
      </w:r>
      <w:bookmarkEnd w:id="853"/>
      <w:bookmarkEnd w:id="854"/>
      <w:bookmarkEnd w:id="855"/>
    </w:p>
    <w:p w14:paraId="57E812A9">
      <w:pPr>
        <w:keepNext/>
        <w:keepLines/>
        <w:spacing w:line="440" w:lineRule="exact"/>
        <w:ind w:firstLine="482" w:firstLineChars="200"/>
        <w:rPr>
          <w:rFonts w:hint="eastAsia" w:ascii="宋体" w:hAnsi="宋体" w:cs="宋体"/>
          <w:b/>
          <w:bCs/>
          <w:kern w:val="44"/>
          <w:sz w:val="24"/>
          <w:szCs w:val="24"/>
        </w:rPr>
      </w:pPr>
      <w:bookmarkStart w:id="856" w:name="_Toc192710474"/>
      <w:bookmarkStart w:id="857" w:name="_Toc3475543"/>
      <w:bookmarkStart w:id="858" w:name="_Toc512689671"/>
      <w:bookmarkStart w:id="859" w:name="_Toc513212824"/>
      <w:bookmarkStart w:id="860" w:name="_Toc513132304"/>
      <w:r>
        <w:rPr>
          <w:rFonts w:hint="eastAsia" w:ascii="宋体" w:hAnsi="宋体" w:cs="宋体"/>
          <w:b/>
          <w:bCs/>
          <w:kern w:val="44"/>
          <w:sz w:val="24"/>
          <w:szCs w:val="24"/>
        </w:rPr>
        <w:t>4.3 分包</w:t>
      </w:r>
      <w:bookmarkEnd w:id="842"/>
      <w:bookmarkEnd w:id="843"/>
      <w:bookmarkEnd w:id="844"/>
      <w:bookmarkEnd w:id="845"/>
      <w:bookmarkEnd w:id="846"/>
      <w:bookmarkEnd w:id="856"/>
      <w:bookmarkEnd w:id="857"/>
      <w:bookmarkEnd w:id="858"/>
      <w:bookmarkEnd w:id="859"/>
      <w:bookmarkEnd w:id="860"/>
    </w:p>
    <w:p w14:paraId="590B6F6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4.3.2</w:t>
      </w:r>
      <w:r>
        <w:rPr>
          <w:rFonts w:hint="eastAsia" w:ascii="宋体" w:hAnsi="宋体" w:cs="宋体"/>
          <w:kern w:val="0"/>
          <w:sz w:val="24"/>
          <w:szCs w:val="24"/>
        </w:rPr>
        <w:t>项～第</w:t>
      </w:r>
      <w:r>
        <w:rPr>
          <w:rFonts w:ascii="宋体" w:hAnsi="宋体" w:cs="宋体"/>
          <w:kern w:val="0"/>
          <w:sz w:val="24"/>
          <w:szCs w:val="24"/>
        </w:rPr>
        <w:t>4.3.4</w:t>
      </w:r>
      <w:r>
        <w:rPr>
          <w:rFonts w:hint="eastAsia" w:ascii="宋体" w:hAnsi="宋体" w:cs="宋体"/>
          <w:kern w:val="0"/>
          <w:sz w:val="24"/>
          <w:szCs w:val="24"/>
        </w:rPr>
        <w:t>项细化为：</w:t>
      </w:r>
    </w:p>
    <w:p w14:paraId="05858BD7">
      <w:pPr>
        <w:spacing w:line="440" w:lineRule="exact"/>
        <w:ind w:firstLine="480" w:firstLineChars="200"/>
        <w:rPr>
          <w:rFonts w:hint="eastAsia" w:ascii="宋体" w:hAnsi="宋体" w:cs="宋体"/>
          <w:kern w:val="0"/>
          <w:sz w:val="24"/>
          <w:szCs w:val="24"/>
        </w:rPr>
      </w:pPr>
      <w:r>
        <w:rPr>
          <w:rFonts w:ascii="宋体" w:hAnsi="宋体" w:cs="宋体"/>
          <w:kern w:val="0"/>
          <w:sz w:val="24"/>
          <w:szCs w:val="24"/>
        </w:rPr>
        <w:t xml:space="preserve">4.3.2 </w:t>
      </w:r>
      <w:r>
        <w:rPr>
          <w:rFonts w:hint="eastAsia" w:ascii="宋体" w:hAnsi="宋体" w:cs="宋体"/>
          <w:kern w:val="0"/>
          <w:sz w:val="24"/>
          <w:szCs w:val="24"/>
        </w:rPr>
        <w:t>承包人不得将工程主体、关键性工作分包给第三人。经发包人同意，承包人可将工程的其他部分或工作分包给第三人。分包包括专业分包和劳务分包。</w:t>
      </w:r>
    </w:p>
    <w:p w14:paraId="3140A46D">
      <w:pPr>
        <w:spacing w:line="440" w:lineRule="exact"/>
        <w:ind w:firstLine="480" w:firstLineChars="200"/>
        <w:rPr>
          <w:rFonts w:ascii="宋体" w:hAnsi="宋体" w:cs="宋体"/>
          <w:kern w:val="0"/>
          <w:sz w:val="24"/>
          <w:szCs w:val="24"/>
        </w:rPr>
      </w:pPr>
      <w:r>
        <w:rPr>
          <w:rFonts w:ascii="宋体" w:hAnsi="宋体" w:cs="宋体"/>
          <w:kern w:val="0"/>
          <w:sz w:val="24"/>
          <w:szCs w:val="24"/>
        </w:rPr>
        <w:t>4.3.3</w:t>
      </w:r>
      <w:r>
        <w:rPr>
          <w:rFonts w:hint="eastAsia" w:ascii="宋体" w:hAnsi="宋体" w:cs="宋体"/>
          <w:kern w:val="0"/>
          <w:sz w:val="24"/>
          <w:szCs w:val="24"/>
        </w:rPr>
        <w:t>专业分包</w:t>
      </w:r>
    </w:p>
    <w:p w14:paraId="6AF2574E">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在工程施工过程中，承包人进行专业分包必须遵守以下规定：</w:t>
      </w:r>
    </w:p>
    <w:p w14:paraId="5880B306">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）允许专业分包的工程范围仅限于</w:t>
      </w:r>
      <w:r>
        <w:rPr>
          <w:rFonts w:ascii="宋体" w:hAnsi="宋体" w:cs="宋体"/>
          <w:kern w:val="0"/>
          <w:sz w:val="24"/>
          <w:szCs w:val="24"/>
        </w:rPr>
        <w:t>非关键性工程或者适合专业化队伍施工的专项工程。未列入投标文件的专项工程，承包人不得分包。但因工程变更增加了有特殊性技术要求、特殊工艺或者涉及专利保护等的专项工程，且按规定无须再进行招标的，由承包人提出书面申请，经发包人书面同意，可以分包。</w:t>
      </w:r>
    </w:p>
    <w:p w14:paraId="2E9AEF3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）专业分包人的资格能力（含安全生产能力）应与其分包工程的标准和规模相适应，具备相应的专业承包资质。</w:t>
      </w:r>
    </w:p>
    <w:p w14:paraId="4CA910AD">
      <w:pPr>
        <w:spacing w:line="440" w:lineRule="exact"/>
        <w:ind w:firstLine="480" w:firstLineChars="200"/>
        <w:rPr>
          <w:rFonts w:ascii="宋体" w:hAnsi="宋体" w:cs="宋体"/>
          <w:kern w:val="0"/>
          <w:sz w:val="24"/>
          <w:szCs w:val="24"/>
        </w:rPr>
      </w:pPr>
      <w:r>
        <w:rPr>
          <w:rFonts w:ascii="宋体" w:hAnsi="宋体" w:cs="宋体"/>
          <w:kern w:val="0"/>
          <w:sz w:val="24"/>
          <w:szCs w:val="24"/>
        </w:rPr>
        <w:t>a.具有经工商登记的法人资格:</w:t>
      </w:r>
    </w:p>
    <w:p w14:paraId="755E0467">
      <w:pPr>
        <w:spacing w:line="440" w:lineRule="exact"/>
        <w:ind w:firstLine="480" w:firstLineChars="200"/>
        <w:rPr>
          <w:rFonts w:ascii="宋体" w:hAnsi="宋体" w:cs="宋体"/>
          <w:kern w:val="0"/>
          <w:sz w:val="24"/>
          <w:szCs w:val="24"/>
        </w:rPr>
      </w:pPr>
      <w:r>
        <w:rPr>
          <w:rFonts w:ascii="宋体" w:hAnsi="宋体" w:cs="宋体"/>
          <w:kern w:val="0"/>
          <w:sz w:val="24"/>
          <w:szCs w:val="24"/>
        </w:rPr>
        <w:t>b.具有从事类似工程经验的管理与技术 人员;</w:t>
      </w:r>
    </w:p>
    <w:p w14:paraId="40F8AF28">
      <w:pPr>
        <w:spacing w:line="440" w:lineRule="exact"/>
        <w:ind w:firstLine="480" w:firstLineChars="200"/>
        <w:rPr>
          <w:rFonts w:ascii="宋体" w:hAnsi="宋体" w:cs="宋体"/>
          <w:kern w:val="0"/>
          <w:sz w:val="24"/>
          <w:szCs w:val="24"/>
        </w:rPr>
      </w:pPr>
      <w:r>
        <w:rPr>
          <w:rFonts w:ascii="宋体" w:hAnsi="宋体" w:cs="宋体"/>
          <w:kern w:val="0"/>
          <w:sz w:val="24"/>
          <w:szCs w:val="24"/>
        </w:rPr>
        <w:t>c.具有(自有或租赁)分包 工程所需 的施工设备。</w:t>
      </w:r>
    </w:p>
    <w:p w14:paraId="3B845BC5">
      <w:pPr>
        <w:spacing w:line="440" w:lineRule="exact"/>
        <w:ind w:firstLine="480" w:firstLineChars="200"/>
        <w:rPr>
          <w:rFonts w:ascii="宋体" w:hAnsi="宋体" w:cs="宋体"/>
          <w:kern w:val="0"/>
          <w:sz w:val="24"/>
          <w:szCs w:val="24"/>
        </w:rPr>
      </w:pPr>
      <w:r>
        <w:rPr>
          <w:rFonts w:ascii="宋体" w:hAnsi="宋体" w:cs="宋体"/>
          <w:kern w:val="0"/>
          <w:sz w:val="24"/>
          <w:szCs w:val="24"/>
        </w:rPr>
        <w:t>承包人应向监理人提交专业分包人的资格能力证明材料，经监理人审查并报发包人批准后，可以将相应专业工程分包给该专业分包人 。</w:t>
      </w:r>
    </w:p>
    <w:p w14:paraId="3D31CA4C">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）专业分工程不得再次分包。</w:t>
      </w:r>
    </w:p>
    <w:p w14:paraId="4D10DC0A">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）承包人和专业分包人应当</w:t>
      </w:r>
      <w:r>
        <w:rPr>
          <w:rFonts w:ascii="宋体" w:hAnsi="宋体" w:cs="宋体"/>
          <w:kern w:val="0"/>
          <w:sz w:val="24"/>
          <w:szCs w:val="24"/>
        </w:rPr>
        <w:t>按照交通运输主管部门制定的统一格式依法签订专业分包合同，并履行合同约定的义务。专业分包合同必须遵循承包合同的各项原则，满足承包合同中的质量、安全、进度、环保以及其他技术、经济等要求。专业分包合同必须明确约定工程款支付条款、结算方式以及保证按期支付的相应措施</w:t>
      </w:r>
      <w:r>
        <w:rPr>
          <w:rFonts w:hint="eastAsia" w:ascii="宋体" w:hAnsi="宋体" w:cs="宋体"/>
          <w:kern w:val="0"/>
          <w:sz w:val="24"/>
          <w:szCs w:val="24"/>
        </w:rPr>
        <w:t>，</w:t>
      </w:r>
      <w:r>
        <w:rPr>
          <w:rFonts w:ascii="宋体" w:hAnsi="宋体" w:cs="宋体"/>
          <w:kern w:val="0"/>
          <w:sz w:val="24"/>
          <w:szCs w:val="24"/>
        </w:rPr>
        <w:t>确保工程款的支付。承包人应在工程实施前，将经监理人审查同意后的分包合同报发包人备案。</w:t>
      </w:r>
    </w:p>
    <w:p w14:paraId="52A0FAB5">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5</w:t>
      </w:r>
      <w:r>
        <w:rPr>
          <w:rFonts w:hint="eastAsia" w:ascii="宋体" w:hAnsi="宋体" w:cs="宋体"/>
          <w:kern w:val="0"/>
          <w:sz w:val="24"/>
          <w:szCs w:val="24"/>
        </w:rPr>
        <w:t>）</w:t>
      </w:r>
      <w:r>
        <w:rPr>
          <w:rFonts w:ascii="宋体" w:hAnsi="宋体" w:cs="宋体"/>
          <w:kern w:val="0"/>
          <w:sz w:val="24"/>
          <w:szCs w:val="24"/>
        </w:rPr>
        <w:t>专业分包人应当设立项目管理机构，对所分包工程的施工活动实施管理</w:t>
      </w:r>
      <w:r>
        <w:rPr>
          <w:rFonts w:hint="eastAsia" w:ascii="宋体" w:hAnsi="宋体" w:cs="宋体"/>
          <w:kern w:val="0"/>
          <w:sz w:val="24"/>
          <w:szCs w:val="24"/>
        </w:rPr>
        <w:t>。</w:t>
      </w:r>
      <w:r>
        <w:rPr>
          <w:rFonts w:ascii="宋体" w:hAnsi="宋体" w:cs="宋体"/>
          <w:kern w:val="0"/>
          <w:sz w:val="24"/>
          <w:szCs w:val="24"/>
        </w:rPr>
        <w:t>项目管理机构应当具有与分包工程的规模、技术复杂程度相适应的技术、经济管理人员，其中项目负责人和技术、财务、计量、质量、安全等主要管理人员必须是专业分包人本单位人员</w:t>
      </w:r>
      <w:r>
        <w:rPr>
          <w:rFonts w:hint="eastAsia" w:ascii="宋体" w:hAnsi="宋体" w:cs="宋体"/>
          <w:kern w:val="0"/>
          <w:sz w:val="24"/>
          <w:szCs w:val="24"/>
        </w:rPr>
        <w:t>。</w:t>
      </w:r>
    </w:p>
    <w:p w14:paraId="4929C2C5">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6</w:t>
      </w:r>
      <w:r>
        <w:rPr>
          <w:rFonts w:hint="eastAsia" w:ascii="宋体" w:hAnsi="宋体" w:cs="宋体"/>
          <w:kern w:val="0"/>
          <w:sz w:val="24"/>
          <w:szCs w:val="24"/>
        </w:rPr>
        <w:t>）</w:t>
      </w:r>
      <w:r>
        <w:rPr>
          <w:rFonts w:ascii="宋体" w:hAnsi="宋体" w:cs="宋体"/>
          <w:kern w:val="0"/>
          <w:sz w:val="24"/>
          <w:szCs w:val="24"/>
        </w:rPr>
        <w:t>承包人应当建立健全相关分包管理制度和台账，对专业分包工程的质量、 安全、进度和专 业分包人的 行为等实施全过程管理 ，按照本办法规定和合同约定对 专业分包工程的实施向发包人负责，并承担赔偿责任。专业分包合   同不免除承包合 同中规定的承包人的责任或者义务 。</w:t>
      </w:r>
    </w:p>
    <w:p w14:paraId="06789B1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（7）</w:t>
      </w:r>
      <w:r>
        <w:rPr>
          <w:rFonts w:ascii="宋体" w:hAnsi="宋体" w:cs="宋体"/>
          <w:kern w:val="0"/>
          <w:sz w:val="24"/>
          <w:szCs w:val="24"/>
        </w:rPr>
        <w:t>专业分包人应当依据专业分包合同的约定，组织分包工程的施工，并对分包工程的质量、安全和进度等实施有效控制。专业分包人对其分包的工程向承包人负责，并就所分包的工程向发包人承担连带责任。</w:t>
      </w:r>
    </w:p>
    <w:p w14:paraId="544C8A0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（8）</w:t>
      </w:r>
      <w:r>
        <w:rPr>
          <w:rFonts w:ascii="宋体" w:hAnsi="宋体" w:cs="宋体"/>
          <w:kern w:val="0"/>
          <w:sz w:val="24"/>
          <w:szCs w:val="24"/>
        </w:rPr>
        <w:t>承包人对施工现场安全负总责，并对专业分包人的安全生产进行培训和管理。专业分包人应将其专业分包工程的施工组织设计和施工安全方案报承包人备案</w:t>
      </w:r>
      <w:r>
        <w:rPr>
          <w:rFonts w:hint="eastAsia" w:ascii="宋体" w:hAnsi="宋体" w:cs="宋体"/>
          <w:kern w:val="0"/>
          <w:sz w:val="24"/>
          <w:szCs w:val="24"/>
        </w:rPr>
        <w:t>。</w:t>
      </w:r>
      <w:r>
        <w:rPr>
          <w:rFonts w:ascii="宋体" w:hAnsi="宋体" w:cs="宋体"/>
          <w:kern w:val="0"/>
          <w:sz w:val="24"/>
          <w:szCs w:val="24"/>
        </w:rPr>
        <w:t>专业分包人对分包施 工现场安全负责，发现事故隐患，应及时处理 。</w:t>
      </w:r>
    </w:p>
    <w:p w14:paraId="6EC7C4B1">
      <w:pPr>
        <w:spacing w:line="440" w:lineRule="exact"/>
        <w:ind w:firstLine="480" w:firstLineChars="200"/>
        <w:rPr>
          <w:rFonts w:ascii="宋体" w:hAnsi="宋体" w:cs="宋体"/>
          <w:kern w:val="0"/>
          <w:sz w:val="24"/>
          <w:szCs w:val="24"/>
        </w:rPr>
      </w:pPr>
      <w:r>
        <w:rPr>
          <w:rFonts w:ascii="宋体" w:hAnsi="宋体" w:cs="宋体"/>
          <w:kern w:val="0"/>
          <w:sz w:val="24"/>
          <w:szCs w:val="24"/>
        </w:rPr>
        <w:t>违反上述规定之一者属违规分包 。</w:t>
      </w:r>
    </w:p>
    <w:p w14:paraId="147DBBAD">
      <w:pPr>
        <w:spacing w:line="440" w:lineRule="exact"/>
        <w:ind w:firstLine="480" w:firstLineChars="200"/>
        <w:rPr>
          <w:rFonts w:ascii="宋体" w:hAnsi="宋体" w:cs="宋体"/>
          <w:kern w:val="0"/>
          <w:sz w:val="24"/>
          <w:szCs w:val="24"/>
        </w:rPr>
      </w:pPr>
      <w:r>
        <w:rPr>
          <w:rFonts w:ascii="宋体" w:hAnsi="宋体" w:cs="宋体"/>
          <w:kern w:val="0"/>
          <w:sz w:val="24"/>
          <w:szCs w:val="24"/>
        </w:rPr>
        <w:t>4.3.4</w:t>
      </w:r>
      <w:r>
        <w:rPr>
          <w:rFonts w:hint="eastAsia" w:ascii="宋体" w:hAnsi="宋体" w:cs="宋体"/>
          <w:kern w:val="0"/>
          <w:sz w:val="24"/>
          <w:szCs w:val="24"/>
        </w:rPr>
        <w:t>劳务分包</w:t>
      </w:r>
    </w:p>
    <w:p w14:paraId="1137700B">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在工程施工过程中，承包人进行劳务分包必须遵守以下规定：</w:t>
      </w:r>
    </w:p>
    <w:p w14:paraId="135FB51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）劳务分包人应具有劳务分包资质。</w:t>
      </w:r>
    </w:p>
    <w:p w14:paraId="2E91BAF5">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劳务分包应当依法签订劳务分包合同，劳务分包合同必须由承包人的法定代表人或其委托代理人与劳务分包人直接签订，不得由他人代签。承包人的项目负责人部、项目负责人、施工班组等不具备用工主体资格，不能与劳务分包人签订劳务分包合同。承包人应向发包人和监理人提交劳务分包合同副本并报项目所在地劳动保障部门备案。</w:t>
      </w:r>
    </w:p>
    <w:p w14:paraId="16A7B2A8">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）承包人雇用的劳务作业应加入到承包人的施工班组统一管理。有关施工质量、施工安全、施工进度、环境保护、技术方案、试验检测、材料保管与供应、机械设备等都必须由承包人管理与调配，不得以包代管。</w:t>
      </w:r>
    </w:p>
    <w:p w14:paraId="790FECA0">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）承包人应当对劳务分包人员进行安全培训和管理，劳务分包人不得将其分包的劳务作业再次分包。</w:t>
      </w:r>
    </w:p>
    <w:p w14:paraId="702DCFD3">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违反上述规定之一者属违规分包。</w:t>
      </w:r>
    </w:p>
    <w:p w14:paraId="18123F9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本款补充第</w:t>
      </w:r>
      <w:r>
        <w:rPr>
          <w:rFonts w:ascii="宋体" w:hAnsi="宋体" w:cs="宋体"/>
          <w:kern w:val="0"/>
          <w:sz w:val="24"/>
          <w:szCs w:val="24"/>
        </w:rPr>
        <w:t>4.3.6</w:t>
      </w:r>
      <w:r>
        <w:rPr>
          <w:rFonts w:hint="eastAsia" w:ascii="宋体" w:hAnsi="宋体" w:cs="宋体"/>
          <w:kern w:val="0"/>
          <w:sz w:val="24"/>
          <w:szCs w:val="24"/>
        </w:rPr>
        <w:t>项、4.3.7项：</w:t>
      </w:r>
    </w:p>
    <w:p w14:paraId="55FA253E">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4.3.6 </w:t>
      </w:r>
      <w:r>
        <w:rPr>
          <w:rFonts w:hint="eastAsia" w:ascii="宋体" w:hAnsi="宋体" w:cs="宋体"/>
          <w:kern w:val="0"/>
          <w:sz w:val="24"/>
          <w:szCs w:val="24"/>
        </w:rPr>
        <w:t>发包人对承包人与分包人之间的法律与经济纠纷不承担任何责任和义务。</w:t>
      </w:r>
    </w:p>
    <w:p w14:paraId="675C4D3C">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4.3.7本项目的各项分包工作均应遵守《公路工程施工分包管理办法》的有关规定。</w:t>
      </w:r>
    </w:p>
    <w:p w14:paraId="74A58DB9">
      <w:pPr>
        <w:keepNext/>
        <w:keepLines/>
        <w:spacing w:line="440" w:lineRule="exact"/>
        <w:ind w:firstLine="482" w:firstLineChars="200"/>
        <w:rPr>
          <w:rFonts w:hint="eastAsia" w:ascii="宋体" w:hAnsi="宋体" w:cs="宋体"/>
          <w:b/>
          <w:bCs/>
          <w:kern w:val="44"/>
          <w:sz w:val="24"/>
          <w:szCs w:val="24"/>
        </w:rPr>
      </w:pPr>
      <w:bookmarkStart w:id="861" w:name="_Toc488083540"/>
      <w:bookmarkStart w:id="862" w:name="_Toc479237731"/>
      <w:bookmarkStart w:id="863" w:name="_Toc192710475"/>
      <w:bookmarkStart w:id="864" w:name="_Toc512689672"/>
      <w:bookmarkStart w:id="865" w:name="_Toc3475544"/>
      <w:bookmarkStart w:id="866" w:name="_Toc479265560"/>
      <w:bookmarkStart w:id="867" w:name="_Toc234382855"/>
      <w:bookmarkStart w:id="868" w:name="_Toc480282306"/>
      <w:bookmarkStart w:id="869" w:name="_Toc513132305"/>
      <w:bookmarkStart w:id="870" w:name="_Toc513212825"/>
      <w:r>
        <w:rPr>
          <w:rFonts w:hint="eastAsia" w:ascii="宋体" w:hAnsi="宋体" w:cs="宋体"/>
          <w:b/>
          <w:bCs/>
          <w:kern w:val="44"/>
          <w:sz w:val="24"/>
          <w:szCs w:val="24"/>
        </w:rPr>
        <w:t>4.4联合体</w:t>
      </w:r>
      <w:bookmarkEnd w:id="861"/>
      <w:bookmarkEnd w:id="862"/>
      <w:bookmarkEnd w:id="863"/>
      <w:bookmarkEnd w:id="864"/>
      <w:bookmarkEnd w:id="865"/>
      <w:bookmarkEnd w:id="866"/>
      <w:bookmarkEnd w:id="867"/>
      <w:bookmarkEnd w:id="868"/>
      <w:bookmarkEnd w:id="869"/>
      <w:bookmarkEnd w:id="870"/>
    </w:p>
    <w:p w14:paraId="6488E33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本款增加第</w:t>
      </w:r>
      <w:r>
        <w:rPr>
          <w:rFonts w:ascii="宋体" w:hAnsi="宋体" w:cs="宋体"/>
          <w:kern w:val="0"/>
          <w:sz w:val="24"/>
          <w:szCs w:val="24"/>
        </w:rPr>
        <w:t>4.4.4</w:t>
      </w:r>
      <w:r>
        <w:rPr>
          <w:rFonts w:hint="eastAsia" w:ascii="宋体" w:hAnsi="宋体" w:cs="宋体"/>
          <w:kern w:val="0"/>
          <w:sz w:val="24"/>
          <w:szCs w:val="24"/>
        </w:rPr>
        <w:t>项：</w:t>
      </w:r>
    </w:p>
    <w:p w14:paraId="4B73F215">
      <w:pPr>
        <w:spacing w:line="440" w:lineRule="exact"/>
        <w:ind w:firstLine="480" w:firstLineChars="200"/>
        <w:rPr>
          <w:rFonts w:ascii="宋体" w:hAnsi="宋体" w:cs="宋体"/>
          <w:kern w:val="0"/>
          <w:sz w:val="24"/>
          <w:szCs w:val="24"/>
        </w:rPr>
      </w:pPr>
      <w:r>
        <w:rPr>
          <w:rFonts w:ascii="宋体" w:hAnsi="宋体" w:cs="宋体"/>
          <w:kern w:val="0"/>
          <w:sz w:val="24"/>
          <w:szCs w:val="24"/>
        </w:rPr>
        <w:t>4.4.4</w:t>
      </w:r>
      <w:r>
        <w:rPr>
          <w:rFonts w:hint="eastAsia" w:ascii="宋体" w:hAnsi="宋体" w:cs="宋体"/>
          <w:kern w:val="0"/>
          <w:sz w:val="24"/>
          <w:szCs w:val="24"/>
        </w:rPr>
        <w:t>未经发包人事先同意，联合体的组成与结构不得变动。</w:t>
      </w:r>
    </w:p>
    <w:p w14:paraId="001355B8">
      <w:pPr>
        <w:keepNext/>
        <w:keepLines/>
        <w:spacing w:line="440" w:lineRule="exact"/>
        <w:ind w:firstLine="482" w:firstLineChars="200"/>
        <w:rPr>
          <w:rFonts w:hint="eastAsia" w:ascii="宋体" w:hAnsi="宋体" w:cs="宋体"/>
          <w:b/>
          <w:bCs/>
          <w:kern w:val="44"/>
          <w:sz w:val="24"/>
          <w:szCs w:val="24"/>
        </w:rPr>
      </w:pPr>
      <w:bookmarkStart w:id="871" w:name="_Toc488083541"/>
      <w:bookmarkStart w:id="872" w:name="_Toc479265561"/>
      <w:bookmarkStart w:id="873" w:name="_Toc513212826"/>
      <w:bookmarkStart w:id="874" w:name="_Toc234382856"/>
      <w:bookmarkStart w:id="875" w:name="_Toc192710476"/>
      <w:bookmarkStart w:id="876" w:name="_Toc513132306"/>
      <w:bookmarkStart w:id="877" w:name="_Toc512689673"/>
      <w:bookmarkStart w:id="878" w:name="_Toc479237732"/>
      <w:bookmarkStart w:id="879" w:name="_Toc3475545"/>
      <w:bookmarkStart w:id="880" w:name="_Toc480282307"/>
      <w:r>
        <w:rPr>
          <w:rFonts w:hint="eastAsia" w:ascii="宋体" w:hAnsi="宋体" w:cs="宋体"/>
          <w:b/>
          <w:bCs/>
          <w:kern w:val="44"/>
          <w:sz w:val="24"/>
          <w:szCs w:val="24"/>
        </w:rPr>
        <w:t>4.6承包人人员的管理</w:t>
      </w:r>
      <w:bookmarkEnd w:id="871"/>
      <w:bookmarkEnd w:id="872"/>
      <w:bookmarkEnd w:id="873"/>
      <w:bookmarkEnd w:id="874"/>
      <w:bookmarkEnd w:id="875"/>
      <w:bookmarkEnd w:id="876"/>
      <w:bookmarkEnd w:id="877"/>
      <w:bookmarkEnd w:id="878"/>
      <w:bookmarkEnd w:id="879"/>
      <w:bookmarkEnd w:id="880"/>
    </w:p>
    <w:p w14:paraId="790C1676">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4.6.3</w:t>
      </w:r>
      <w:r>
        <w:rPr>
          <w:rFonts w:hint="eastAsia" w:ascii="宋体" w:hAnsi="宋体" w:cs="宋体"/>
          <w:kern w:val="0"/>
          <w:sz w:val="24"/>
          <w:szCs w:val="24"/>
        </w:rPr>
        <w:t>项细化为：</w:t>
      </w:r>
    </w:p>
    <w:p w14:paraId="3F1B0B54">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安排在施工场地的主要管理人员和技术骨干应与承包人承诺的名单一致，并保持相对稳定。未经监理人批准，上述人员不应无故不到位或被替换；若确实无法到位或需替换，需经监理人审核并报发包人批准后，用同等资质和经历的人员替换。</w:t>
      </w:r>
    </w:p>
    <w:p w14:paraId="2F461AF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本款补充第</w:t>
      </w:r>
      <w:r>
        <w:rPr>
          <w:rFonts w:ascii="宋体" w:hAnsi="宋体" w:cs="宋体"/>
          <w:kern w:val="0"/>
          <w:sz w:val="24"/>
          <w:szCs w:val="24"/>
        </w:rPr>
        <w:t>4.6.5</w:t>
      </w:r>
      <w:r>
        <w:rPr>
          <w:rFonts w:hint="eastAsia" w:ascii="宋体" w:hAnsi="宋体" w:cs="宋体"/>
          <w:kern w:val="0"/>
          <w:sz w:val="24"/>
          <w:szCs w:val="24"/>
        </w:rPr>
        <w:t>项：</w:t>
      </w:r>
    </w:p>
    <w:p w14:paraId="5BCF0323">
      <w:pPr>
        <w:spacing w:line="440" w:lineRule="exact"/>
        <w:ind w:firstLine="480" w:firstLineChars="200"/>
        <w:rPr>
          <w:rFonts w:ascii="宋体" w:hAnsi="宋体" w:cs="宋体"/>
          <w:kern w:val="0"/>
          <w:sz w:val="24"/>
          <w:szCs w:val="24"/>
        </w:rPr>
      </w:pPr>
      <w:r>
        <w:rPr>
          <w:rFonts w:ascii="宋体" w:hAnsi="宋体" w:cs="宋体"/>
          <w:kern w:val="0"/>
          <w:sz w:val="24"/>
          <w:szCs w:val="24"/>
        </w:rPr>
        <w:t>4.6.5</w:t>
      </w:r>
      <w:r>
        <w:rPr>
          <w:rFonts w:hint="eastAsia" w:ascii="宋体" w:hAnsi="宋体" w:cs="宋体"/>
          <w:kern w:val="0"/>
          <w:sz w:val="24"/>
          <w:szCs w:val="24"/>
        </w:rPr>
        <w:t>尽管承包人已按承诺派遣了上述各类人员，但若这些人员仍不能满足合同进度计划和（或）质量要求时，监理人有权要求承包人继续增派或雇用这类人员，并书面通知承包人和抄送发包人。承包人在接到上述通知后应立即执行监理人的上述指示，不得无故拖延，由次增加的费用和（或）工期延误由承包人承担。</w:t>
      </w:r>
    </w:p>
    <w:p w14:paraId="673DFF57">
      <w:pPr>
        <w:keepNext/>
        <w:keepLines/>
        <w:spacing w:line="440" w:lineRule="exact"/>
        <w:ind w:firstLine="482" w:firstLineChars="200"/>
        <w:rPr>
          <w:rFonts w:hint="eastAsia" w:ascii="宋体" w:hAnsi="宋体" w:cs="宋体"/>
          <w:b/>
          <w:bCs/>
          <w:kern w:val="44"/>
          <w:sz w:val="24"/>
          <w:szCs w:val="24"/>
        </w:rPr>
      </w:pPr>
      <w:bookmarkStart w:id="881" w:name="_Toc480282308"/>
      <w:bookmarkStart w:id="882" w:name="_Toc479265562"/>
      <w:bookmarkStart w:id="883" w:name="_Toc512689674"/>
      <w:bookmarkStart w:id="884" w:name="_Toc479237733"/>
      <w:bookmarkStart w:id="885" w:name="_Toc192710477"/>
      <w:bookmarkStart w:id="886" w:name="_Toc3475546"/>
      <w:bookmarkStart w:id="887" w:name="_Toc234382857"/>
      <w:bookmarkStart w:id="888" w:name="_Toc488083542"/>
      <w:bookmarkStart w:id="889" w:name="_Toc513212827"/>
      <w:bookmarkStart w:id="890" w:name="_Toc513132307"/>
      <w:r>
        <w:rPr>
          <w:rFonts w:hint="eastAsia" w:ascii="宋体" w:hAnsi="宋体" w:cs="宋体"/>
          <w:b/>
          <w:bCs/>
          <w:kern w:val="44"/>
          <w:sz w:val="24"/>
          <w:szCs w:val="24"/>
        </w:rPr>
        <w:t>4.7撤换承包人项目负责人和其他人员</w:t>
      </w:r>
      <w:bookmarkEnd w:id="881"/>
      <w:bookmarkEnd w:id="882"/>
      <w:bookmarkEnd w:id="883"/>
      <w:bookmarkEnd w:id="884"/>
      <w:bookmarkEnd w:id="885"/>
      <w:bookmarkEnd w:id="886"/>
      <w:bookmarkEnd w:id="887"/>
      <w:bookmarkEnd w:id="888"/>
      <w:bookmarkEnd w:id="889"/>
      <w:bookmarkEnd w:id="890"/>
    </w:p>
    <w:p w14:paraId="5B8D1F60">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本款细化为：</w:t>
      </w:r>
    </w:p>
    <w:p w14:paraId="02DF2BB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应对其项目负责人和其他人员进行有效管理。监理人要求撤换不能胜任本职工作、行为不端或玩忽职守的承包人项目负责人和其他人员的，承包人应予以撤换，同时委派经发包人与监理人同意的新的项目负责人和其他人员。</w:t>
      </w:r>
    </w:p>
    <w:p w14:paraId="63553DD6">
      <w:pPr>
        <w:keepNext/>
        <w:keepLines/>
        <w:spacing w:line="440" w:lineRule="exact"/>
        <w:ind w:firstLine="482" w:firstLineChars="200"/>
        <w:rPr>
          <w:rFonts w:hint="eastAsia" w:ascii="宋体" w:hAnsi="宋体" w:cs="宋体"/>
          <w:b/>
          <w:bCs/>
          <w:kern w:val="44"/>
          <w:sz w:val="24"/>
          <w:szCs w:val="24"/>
        </w:rPr>
      </w:pPr>
      <w:bookmarkStart w:id="891" w:name="_Toc512689675"/>
      <w:bookmarkStart w:id="892" w:name="_Toc3475547"/>
      <w:bookmarkStart w:id="893" w:name="_Toc513132308"/>
      <w:bookmarkStart w:id="894" w:name="_Toc480282309"/>
      <w:bookmarkStart w:id="895" w:name="_Toc513212828"/>
      <w:bookmarkStart w:id="896" w:name="_Toc479237734"/>
      <w:bookmarkStart w:id="897" w:name="_Toc488083543"/>
      <w:bookmarkStart w:id="898" w:name="_Toc192710478"/>
      <w:bookmarkStart w:id="899" w:name="_Toc234382858"/>
      <w:bookmarkStart w:id="900" w:name="_Toc479265563"/>
      <w:r>
        <w:rPr>
          <w:rFonts w:hint="eastAsia" w:ascii="宋体" w:hAnsi="宋体" w:cs="宋体"/>
          <w:b/>
          <w:bCs/>
          <w:kern w:val="44"/>
          <w:sz w:val="24"/>
          <w:szCs w:val="24"/>
        </w:rPr>
        <w:t>4.9工程价款应专款专用</w:t>
      </w:r>
      <w:bookmarkEnd w:id="891"/>
      <w:bookmarkEnd w:id="892"/>
      <w:bookmarkEnd w:id="893"/>
      <w:bookmarkEnd w:id="894"/>
      <w:bookmarkEnd w:id="895"/>
      <w:bookmarkEnd w:id="896"/>
      <w:bookmarkEnd w:id="897"/>
      <w:bookmarkEnd w:id="898"/>
      <w:bookmarkEnd w:id="899"/>
      <w:bookmarkEnd w:id="900"/>
    </w:p>
    <w:p w14:paraId="4AB42160">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本款细化为：</w:t>
      </w:r>
    </w:p>
    <w:p w14:paraId="0771B674">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发包人按合同约定支付给承包人的各项价款应专用于合同工程。承包人必须在发包人指定的银行开户，并与发包人、银行共同签订《工程资金监管协议》，接受发包人和银行对资金的监管。承包人应向发包人授权进行本合同工程开户银行工程资金的查询。发包人支付的工程进度款应为本工程的专款专用资金，不得转移或用于其他工程。发包人的期中支付款将转入该银行所设的专门账户，发包人及其派出机构有权不定期对承包人工程资金使用情况进行检查，发现问题及时责令承包人限期改正，否则，将终止月支付，直至承包人改正为止。</w:t>
      </w:r>
    </w:p>
    <w:p w14:paraId="6267233E">
      <w:pPr>
        <w:keepNext/>
        <w:keepLines/>
        <w:spacing w:line="440" w:lineRule="exact"/>
        <w:ind w:firstLine="482" w:firstLineChars="200"/>
        <w:rPr>
          <w:rFonts w:hint="eastAsia" w:ascii="宋体" w:hAnsi="宋体" w:cs="宋体"/>
          <w:b/>
          <w:bCs/>
          <w:kern w:val="44"/>
          <w:sz w:val="24"/>
          <w:szCs w:val="24"/>
        </w:rPr>
      </w:pPr>
      <w:bookmarkStart w:id="901" w:name="_Toc3475548"/>
      <w:bookmarkStart w:id="902" w:name="_Toc480282310"/>
      <w:bookmarkStart w:id="903" w:name="_Toc513132309"/>
      <w:bookmarkStart w:id="904" w:name="_Toc513212829"/>
      <w:bookmarkStart w:id="905" w:name="_Toc512689676"/>
      <w:bookmarkStart w:id="906" w:name="_Toc479265564"/>
      <w:bookmarkStart w:id="907" w:name="_Toc234382859"/>
      <w:bookmarkStart w:id="908" w:name="_Toc192710479"/>
      <w:bookmarkStart w:id="909" w:name="_Toc479237735"/>
      <w:bookmarkStart w:id="910" w:name="_Toc488083544"/>
      <w:r>
        <w:rPr>
          <w:rFonts w:hint="eastAsia" w:ascii="宋体" w:hAnsi="宋体" w:cs="宋体"/>
          <w:b/>
          <w:bCs/>
          <w:kern w:val="44"/>
          <w:sz w:val="24"/>
          <w:szCs w:val="24"/>
        </w:rPr>
        <w:t>4.10承包人现场查勘</w:t>
      </w:r>
      <w:bookmarkEnd w:id="901"/>
      <w:bookmarkEnd w:id="902"/>
      <w:bookmarkEnd w:id="903"/>
      <w:bookmarkEnd w:id="904"/>
      <w:bookmarkEnd w:id="905"/>
      <w:bookmarkEnd w:id="906"/>
      <w:bookmarkEnd w:id="907"/>
      <w:bookmarkEnd w:id="908"/>
      <w:bookmarkEnd w:id="909"/>
      <w:bookmarkEnd w:id="910"/>
    </w:p>
    <w:p w14:paraId="7E76E4D8">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4.10.1</w:t>
      </w:r>
      <w:r>
        <w:rPr>
          <w:rFonts w:hint="eastAsia" w:ascii="宋体" w:hAnsi="宋体" w:cs="宋体"/>
          <w:kern w:val="0"/>
          <w:sz w:val="24"/>
          <w:szCs w:val="24"/>
        </w:rPr>
        <w:t>项细化为：</w:t>
      </w:r>
    </w:p>
    <w:p w14:paraId="754D297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发包人提供的本合同工程的水文、地质、气象和料场分布、取土场、弃土场位置等资料均属于参考资料，并不构成合同文件的组成部分，承包人应对自己就上述资料的解释、推论和应用负责，发包人不对承包人据此做出的判断和决策承担任何责任。</w:t>
      </w:r>
    </w:p>
    <w:p w14:paraId="49453BD7">
      <w:pPr>
        <w:keepNext/>
        <w:keepLines/>
        <w:spacing w:line="440" w:lineRule="exact"/>
        <w:ind w:firstLine="482" w:firstLineChars="200"/>
        <w:rPr>
          <w:rFonts w:hint="eastAsia" w:ascii="宋体" w:hAnsi="宋体" w:cs="宋体"/>
          <w:b/>
          <w:bCs/>
          <w:kern w:val="44"/>
          <w:sz w:val="24"/>
          <w:szCs w:val="24"/>
        </w:rPr>
      </w:pPr>
      <w:bookmarkStart w:id="911" w:name="_Toc513212830"/>
      <w:bookmarkStart w:id="912" w:name="_Toc488083545"/>
      <w:bookmarkStart w:id="913" w:name="_Toc479237736"/>
      <w:bookmarkStart w:id="914" w:name="_Toc479265565"/>
      <w:bookmarkStart w:id="915" w:name="_Toc234382860"/>
      <w:bookmarkStart w:id="916" w:name="_Toc480282311"/>
      <w:bookmarkStart w:id="917" w:name="_Toc192710480"/>
      <w:bookmarkStart w:id="918" w:name="_Toc512689677"/>
      <w:bookmarkStart w:id="919" w:name="_Toc3475549"/>
      <w:bookmarkStart w:id="920" w:name="_Toc513132310"/>
      <w:r>
        <w:rPr>
          <w:rFonts w:hint="eastAsia" w:ascii="宋体" w:hAnsi="宋体" w:cs="宋体"/>
          <w:b/>
          <w:bCs/>
          <w:kern w:val="44"/>
          <w:sz w:val="24"/>
          <w:szCs w:val="24"/>
        </w:rPr>
        <w:t>4.11不利物质条件</w:t>
      </w:r>
      <w:bookmarkEnd w:id="911"/>
      <w:bookmarkEnd w:id="912"/>
      <w:bookmarkEnd w:id="913"/>
      <w:bookmarkEnd w:id="914"/>
      <w:bookmarkEnd w:id="915"/>
      <w:bookmarkEnd w:id="916"/>
      <w:bookmarkEnd w:id="917"/>
      <w:bookmarkEnd w:id="918"/>
      <w:bookmarkEnd w:id="919"/>
      <w:bookmarkEnd w:id="920"/>
    </w:p>
    <w:p w14:paraId="78F7730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4.11.2</w:t>
      </w:r>
      <w:r>
        <w:rPr>
          <w:rFonts w:hint="eastAsia" w:ascii="宋体" w:hAnsi="宋体" w:cs="宋体"/>
          <w:kern w:val="0"/>
          <w:sz w:val="24"/>
          <w:szCs w:val="24"/>
        </w:rPr>
        <w:t>项细化为：</w:t>
      </w:r>
    </w:p>
    <w:p w14:paraId="613EBE7F">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4.11.2 </w:t>
      </w:r>
      <w:r>
        <w:rPr>
          <w:rFonts w:hint="eastAsia" w:ascii="宋体" w:hAnsi="宋体" w:cs="宋体"/>
          <w:kern w:val="0"/>
          <w:sz w:val="24"/>
          <w:szCs w:val="24"/>
        </w:rPr>
        <w:t>承包人遇到不可预见的不利物质条件时，应采取适应不利物质条件的合理措施继续施工，并及时通知监理人。监理人应当及时发出指示，指示构成变更的，按第</w:t>
      </w:r>
      <w:r>
        <w:rPr>
          <w:rFonts w:ascii="宋体" w:hAnsi="宋体" w:cs="宋体"/>
          <w:kern w:val="0"/>
          <w:sz w:val="24"/>
          <w:szCs w:val="24"/>
        </w:rPr>
        <w:t>15</w:t>
      </w:r>
      <w:r>
        <w:rPr>
          <w:rFonts w:hint="eastAsia" w:ascii="宋体" w:hAnsi="宋体" w:cs="宋体"/>
          <w:kern w:val="0"/>
          <w:sz w:val="24"/>
          <w:szCs w:val="24"/>
        </w:rPr>
        <w:t>条约定办理。监理人没有发出指示的，承包人因采取合理措施而增加的费用和（或）工期延误，由发包人承担。</w:t>
      </w:r>
    </w:p>
    <w:p w14:paraId="44716FEA">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本款补充第</w:t>
      </w:r>
      <w:r>
        <w:rPr>
          <w:rFonts w:ascii="宋体" w:hAnsi="宋体" w:cs="宋体"/>
          <w:kern w:val="0"/>
          <w:sz w:val="24"/>
          <w:szCs w:val="24"/>
        </w:rPr>
        <w:t>4.11.3</w:t>
      </w:r>
      <w:r>
        <w:rPr>
          <w:rFonts w:hint="eastAsia" w:ascii="宋体" w:hAnsi="宋体" w:cs="宋体"/>
          <w:kern w:val="0"/>
          <w:sz w:val="24"/>
          <w:szCs w:val="24"/>
        </w:rPr>
        <w:t>项：</w:t>
      </w:r>
    </w:p>
    <w:p w14:paraId="4008540B">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4.11.3 </w:t>
      </w:r>
      <w:r>
        <w:rPr>
          <w:rFonts w:hint="eastAsia" w:ascii="宋体" w:hAnsi="宋体" w:cs="宋体"/>
          <w:kern w:val="0"/>
          <w:sz w:val="24"/>
          <w:szCs w:val="24"/>
        </w:rPr>
        <w:t>可预见的不利物质条件</w:t>
      </w:r>
    </w:p>
    <w:p w14:paraId="1020D615">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）对于项目专用合同条款中已经明确指出的不利物质条件无论承包人是否有其经历和经验均视为承包人在接受合同时已预见其影响，并已在签约合同价中计入因其影响而可能发生的一切费用。</w:t>
      </w:r>
    </w:p>
    <w:p w14:paraId="29CD70A8">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）对于项目专用合同条款未明确指出，但是在不利物质条件发生之前，监理人已经指示承包人有可能发生，但承包人未能及时采取有效措施，而导致的损失和后果均由承包人承担。</w:t>
      </w:r>
    </w:p>
    <w:p w14:paraId="34F1B0C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补充第</w:t>
      </w:r>
      <w:r>
        <w:rPr>
          <w:rFonts w:ascii="宋体" w:hAnsi="宋体" w:cs="宋体"/>
          <w:kern w:val="0"/>
          <w:sz w:val="24"/>
          <w:szCs w:val="24"/>
        </w:rPr>
        <w:t>4.12</w:t>
      </w:r>
      <w:r>
        <w:rPr>
          <w:rFonts w:hint="eastAsia" w:ascii="宋体" w:hAnsi="宋体" w:cs="宋体"/>
          <w:kern w:val="0"/>
          <w:sz w:val="24"/>
          <w:szCs w:val="24"/>
        </w:rPr>
        <w:t>款、4.13款：</w:t>
      </w:r>
    </w:p>
    <w:p w14:paraId="0F1C7110">
      <w:pPr>
        <w:keepNext/>
        <w:keepLines/>
        <w:spacing w:line="440" w:lineRule="exact"/>
        <w:ind w:firstLine="482" w:firstLineChars="200"/>
        <w:rPr>
          <w:rFonts w:hint="eastAsia" w:ascii="宋体" w:hAnsi="宋体" w:cs="宋体"/>
          <w:b/>
          <w:bCs/>
          <w:kern w:val="44"/>
          <w:sz w:val="24"/>
          <w:szCs w:val="24"/>
        </w:rPr>
      </w:pPr>
      <w:bookmarkStart w:id="921" w:name="_Toc479237737"/>
      <w:bookmarkStart w:id="922" w:name="_Toc513212831"/>
      <w:bookmarkStart w:id="923" w:name="_Toc192710481"/>
      <w:bookmarkStart w:id="924" w:name="_Toc480282312"/>
      <w:bookmarkStart w:id="925" w:name="_Toc488083546"/>
      <w:bookmarkStart w:id="926" w:name="_Toc513132311"/>
      <w:bookmarkStart w:id="927" w:name="_Toc234382861"/>
      <w:bookmarkStart w:id="928" w:name="_Toc479265566"/>
      <w:bookmarkStart w:id="929" w:name="_Toc512689678"/>
      <w:bookmarkStart w:id="930" w:name="_Toc3475550"/>
      <w:r>
        <w:rPr>
          <w:rFonts w:hint="eastAsia" w:ascii="宋体" w:hAnsi="宋体" w:cs="宋体"/>
          <w:b/>
          <w:bCs/>
          <w:kern w:val="44"/>
          <w:sz w:val="24"/>
          <w:szCs w:val="24"/>
        </w:rPr>
        <w:t>4.12电子投标文件的完备性</w:t>
      </w:r>
      <w:bookmarkEnd w:id="921"/>
      <w:bookmarkEnd w:id="922"/>
      <w:bookmarkEnd w:id="923"/>
      <w:bookmarkEnd w:id="924"/>
      <w:bookmarkEnd w:id="925"/>
      <w:bookmarkEnd w:id="926"/>
      <w:bookmarkEnd w:id="927"/>
      <w:bookmarkEnd w:id="928"/>
      <w:bookmarkEnd w:id="929"/>
      <w:bookmarkEnd w:id="930"/>
    </w:p>
    <w:p w14:paraId="20A2D326">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合同双方一致认为，承包人在递交电子投标文件前，对本合同工程的电子投标文件和已标价工程量清单中开列的单价和总额价已查明正确的和完备的。投标的单价和总额价应已包括了合同中规定的承包人的全部义务（包括提供货物、材料、设备、服务的义务，并包括了暂列金额和暂估价范围内的额外工作的义务）以及为实施和完成本合同工程和其缺陷修复所必需的一切工作和条件。</w:t>
      </w:r>
    </w:p>
    <w:p w14:paraId="644078CA">
      <w:pPr>
        <w:keepNext/>
        <w:keepLines/>
        <w:spacing w:line="440" w:lineRule="exact"/>
        <w:ind w:firstLine="482" w:firstLineChars="200"/>
        <w:rPr>
          <w:rFonts w:hint="eastAsia" w:ascii="宋体" w:hAnsi="宋体" w:cs="宋体"/>
          <w:b/>
          <w:bCs/>
          <w:kern w:val="44"/>
          <w:sz w:val="24"/>
          <w:szCs w:val="24"/>
        </w:rPr>
      </w:pPr>
      <w:bookmarkStart w:id="931" w:name="_Toc3475551"/>
      <w:bookmarkStart w:id="932" w:name="_Toc513212832"/>
      <w:bookmarkStart w:id="933" w:name="_Toc192710482"/>
      <w:bookmarkStart w:id="934" w:name="_Toc513132312"/>
      <w:bookmarkStart w:id="935" w:name="_Toc512689679"/>
      <w:r>
        <w:rPr>
          <w:rFonts w:hint="eastAsia" w:ascii="宋体" w:hAnsi="宋体" w:cs="宋体"/>
          <w:b/>
          <w:bCs/>
          <w:kern w:val="44"/>
          <w:sz w:val="24"/>
          <w:szCs w:val="24"/>
        </w:rPr>
        <w:t>4.13开展党建工作要求</w:t>
      </w:r>
      <w:bookmarkEnd w:id="931"/>
      <w:bookmarkEnd w:id="932"/>
      <w:bookmarkEnd w:id="933"/>
      <w:bookmarkEnd w:id="934"/>
      <w:bookmarkEnd w:id="935"/>
    </w:p>
    <w:p w14:paraId="48E1B5AE">
      <w:pPr>
        <w:spacing w:line="440" w:lineRule="exact"/>
        <w:ind w:firstLine="480" w:firstLineChars="200"/>
        <w:rPr>
          <w:rFonts w:ascii="宋体" w:hAnsi="宋体" w:cs="宋体"/>
          <w:kern w:val="0"/>
          <w:sz w:val="24"/>
          <w:szCs w:val="24"/>
        </w:rPr>
      </w:pPr>
      <w:r>
        <w:rPr>
          <w:rFonts w:ascii="宋体" w:hAnsi="宋体" w:cs="宋体"/>
          <w:kern w:val="0"/>
          <w:sz w:val="24"/>
          <w:szCs w:val="24"/>
        </w:rPr>
        <w:t>对于政府技资的国家高速公路项目，或承包人为国有控股或参股企业的，承包人应按规定在项目现场设立基层党组织。承包人为非国有控股或参股企业的</w:t>
      </w:r>
      <w:r>
        <w:rPr>
          <w:rFonts w:hint="eastAsia" w:ascii="宋体" w:hAnsi="宋体" w:cs="宋体"/>
          <w:kern w:val="0"/>
          <w:sz w:val="24"/>
          <w:szCs w:val="24"/>
        </w:rPr>
        <w:t>，</w:t>
      </w:r>
      <w:r>
        <w:rPr>
          <w:rFonts w:ascii="宋体" w:hAnsi="宋体" w:cs="宋体"/>
          <w:kern w:val="0"/>
          <w:sz w:val="24"/>
          <w:szCs w:val="24"/>
        </w:rPr>
        <w:t>应创造条件使党员能够参加党组织生活并接受相应管理。</w:t>
      </w:r>
    </w:p>
    <w:p w14:paraId="6BBB7278">
      <w:pPr>
        <w:spacing w:line="440" w:lineRule="exact"/>
        <w:ind w:firstLine="480" w:firstLineChars="200"/>
        <w:rPr>
          <w:rFonts w:ascii="宋体" w:hAnsi="宋体" w:cs="宋体"/>
          <w:kern w:val="0"/>
          <w:sz w:val="24"/>
          <w:szCs w:val="24"/>
        </w:rPr>
      </w:pPr>
      <w:r>
        <w:rPr>
          <w:rFonts w:ascii="宋体" w:hAnsi="宋体" w:cs="宋体"/>
          <w:kern w:val="0"/>
          <w:sz w:val="24"/>
          <w:szCs w:val="24"/>
        </w:rPr>
        <w:t>承包人在项目现场设立基层党组织的，应明确党组织机构设置、党组织负责人及党务工作人员配备情况，编制党务工作开展预案，并按照预案要求在项目实施过程中同步开展党务工作，充分发挥基层党组织在项目实施中的作用。</w:t>
      </w:r>
    </w:p>
    <w:p w14:paraId="0FBCD940">
      <w:pPr>
        <w:keepNext/>
        <w:keepLines/>
        <w:spacing w:line="440" w:lineRule="exact"/>
        <w:ind w:firstLine="482" w:firstLineChars="200"/>
        <w:rPr>
          <w:rFonts w:hint="eastAsia" w:ascii="宋体" w:hAnsi="宋体" w:cs="宋体"/>
          <w:b/>
          <w:bCs/>
          <w:kern w:val="44"/>
          <w:sz w:val="24"/>
          <w:szCs w:val="24"/>
        </w:rPr>
      </w:pPr>
      <w:bookmarkStart w:id="936" w:name="_Toc512689680"/>
      <w:bookmarkStart w:id="937" w:name="_Toc192710483"/>
      <w:bookmarkStart w:id="938" w:name="_Toc488083547"/>
      <w:bookmarkStart w:id="939" w:name="_Toc479237738"/>
      <w:bookmarkStart w:id="940" w:name="_Toc234382862"/>
      <w:bookmarkStart w:id="941" w:name="_Toc513212833"/>
      <w:bookmarkStart w:id="942" w:name="_Toc513132313"/>
      <w:bookmarkStart w:id="943" w:name="_Toc479265567"/>
      <w:bookmarkStart w:id="944" w:name="_Toc480282313"/>
      <w:bookmarkStart w:id="945" w:name="_Toc3475552"/>
      <w:r>
        <w:rPr>
          <w:rFonts w:hint="eastAsia" w:ascii="宋体" w:hAnsi="宋体" w:cs="宋体"/>
          <w:b/>
          <w:bCs/>
          <w:kern w:val="44"/>
          <w:sz w:val="24"/>
          <w:szCs w:val="24"/>
        </w:rPr>
        <w:t>5．材料和工程设备</w:t>
      </w:r>
      <w:bookmarkEnd w:id="936"/>
      <w:bookmarkEnd w:id="937"/>
      <w:bookmarkEnd w:id="938"/>
      <w:bookmarkEnd w:id="939"/>
      <w:bookmarkEnd w:id="940"/>
      <w:bookmarkEnd w:id="941"/>
      <w:bookmarkEnd w:id="942"/>
      <w:bookmarkEnd w:id="943"/>
      <w:bookmarkEnd w:id="944"/>
      <w:bookmarkEnd w:id="945"/>
    </w:p>
    <w:p w14:paraId="63B7C888">
      <w:pPr>
        <w:keepNext/>
        <w:keepLines/>
        <w:spacing w:line="440" w:lineRule="exact"/>
        <w:ind w:firstLine="482" w:firstLineChars="200"/>
        <w:rPr>
          <w:rFonts w:hint="eastAsia" w:ascii="宋体" w:hAnsi="宋体" w:cs="宋体"/>
          <w:b/>
          <w:bCs/>
          <w:kern w:val="44"/>
          <w:sz w:val="24"/>
          <w:szCs w:val="24"/>
        </w:rPr>
      </w:pPr>
      <w:bookmarkStart w:id="946" w:name="_Toc480282314"/>
      <w:bookmarkStart w:id="947" w:name="_Toc488083548"/>
      <w:bookmarkStart w:id="948" w:name="_Toc513132314"/>
      <w:bookmarkStart w:id="949" w:name="_Toc479237739"/>
      <w:bookmarkStart w:id="950" w:name="_Toc192710484"/>
      <w:bookmarkStart w:id="951" w:name="_Toc479265568"/>
      <w:bookmarkStart w:id="952" w:name="_Toc234382863"/>
      <w:bookmarkStart w:id="953" w:name="_Toc513212834"/>
      <w:bookmarkStart w:id="954" w:name="_Toc512689681"/>
      <w:bookmarkStart w:id="955" w:name="_Toc3475553"/>
      <w:r>
        <w:rPr>
          <w:rFonts w:hint="eastAsia" w:ascii="宋体" w:hAnsi="宋体" w:cs="宋体"/>
          <w:b/>
          <w:bCs/>
          <w:kern w:val="44"/>
          <w:sz w:val="24"/>
          <w:szCs w:val="24"/>
        </w:rPr>
        <w:t>5.2发包人提供的材料和工程设备</w:t>
      </w:r>
      <w:bookmarkEnd w:id="946"/>
      <w:bookmarkEnd w:id="947"/>
      <w:bookmarkEnd w:id="948"/>
      <w:bookmarkEnd w:id="949"/>
      <w:bookmarkEnd w:id="950"/>
      <w:bookmarkEnd w:id="951"/>
      <w:bookmarkEnd w:id="952"/>
      <w:bookmarkEnd w:id="953"/>
      <w:bookmarkEnd w:id="954"/>
      <w:bookmarkEnd w:id="955"/>
    </w:p>
    <w:p w14:paraId="7AA60BD4">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5.2.3</w:t>
      </w:r>
      <w:r>
        <w:rPr>
          <w:rFonts w:hint="eastAsia" w:ascii="宋体" w:hAnsi="宋体" w:cs="宋体"/>
          <w:kern w:val="0"/>
          <w:sz w:val="24"/>
          <w:szCs w:val="24"/>
        </w:rPr>
        <w:t>项补充：</w:t>
      </w:r>
    </w:p>
    <w:p w14:paraId="546F82C4">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负责接收并按规定对材料进行抽样检验和对工程设备进行检验测试，若发现材料和工程设备存在缺陷，承包人应及时通知监理人，发包人应及时改正通知中指出的缺陷。承包人负责接收后的运输和保管，因承包人的原因发生丢失、损坏或进度拖延，由承包人承担相应责任。</w:t>
      </w:r>
    </w:p>
    <w:p w14:paraId="100E27B4">
      <w:pPr>
        <w:keepNext/>
        <w:keepLines/>
        <w:spacing w:line="440" w:lineRule="exact"/>
        <w:ind w:firstLine="482" w:firstLineChars="200"/>
        <w:rPr>
          <w:rFonts w:hint="eastAsia" w:ascii="宋体" w:hAnsi="宋体" w:cs="宋体"/>
          <w:b/>
          <w:bCs/>
          <w:kern w:val="44"/>
          <w:sz w:val="24"/>
          <w:szCs w:val="24"/>
        </w:rPr>
      </w:pPr>
      <w:bookmarkStart w:id="956" w:name="_Toc479237740"/>
      <w:bookmarkStart w:id="957" w:name="_Toc513212835"/>
      <w:bookmarkStart w:id="958" w:name="_Toc234382864"/>
      <w:bookmarkStart w:id="959" w:name="_Toc3475554"/>
      <w:bookmarkStart w:id="960" w:name="_Toc192710485"/>
      <w:bookmarkStart w:id="961" w:name="_Toc488083549"/>
      <w:bookmarkStart w:id="962" w:name="_Toc512689682"/>
      <w:bookmarkStart w:id="963" w:name="_Toc480282315"/>
      <w:bookmarkStart w:id="964" w:name="_Toc513132315"/>
      <w:bookmarkStart w:id="965" w:name="_Toc479265569"/>
      <w:r>
        <w:rPr>
          <w:rFonts w:hint="eastAsia" w:ascii="宋体" w:hAnsi="宋体" w:cs="宋体"/>
          <w:b/>
          <w:bCs/>
          <w:kern w:val="44"/>
          <w:sz w:val="24"/>
          <w:szCs w:val="24"/>
        </w:rPr>
        <w:t>6．施工设备和临时设施</w:t>
      </w:r>
      <w:bookmarkEnd w:id="956"/>
      <w:bookmarkEnd w:id="957"/>
      <w:bookmarkEnd w:id="958"/>
      <w:bookmarkEnd w:id="959"/>
      <w:bookmarkEnd w:id="960"/>
      <w:bookmarkEnd w:id="961"/>
      <w:bookmarkEnd w:id="962"/>
      <w:bookmarkEnd w:id="963"/>
      <w:bookmarkEnd w:id="964"/>
      <w:bookmarkEnd w:id="965"/>
    </w:p>
    <w:p w14:paraId="66DF9325">
      <w:pPr>
        <w:keepNext/>
        <w:keepLines/>
        <w:spacing w:line="440" w:lineRule="exact"/>
        <w:ind w:firstLine="482" w:firstLineChars="200"/>
        <w:rPr>
          <w:rFonts w:hint="eastAsia" w:ascii="宋体" w:hAnsi="宋体" w:cs="宋体"/>
          <w:b/>
          <w:bCs/>
          <w:kern w:val="44"/>
          <w:sz w:val="24"/>
          <w:szCs w:val="24"/>
        </w:rPr>
      </w:pPr>
      <w:bookmarkStart w:id="966" w:name="_Toc513132316"/>
      <w:bookmarkStart w:id="967" w:name="_Toc479265570"/>
      <w:bookmarkStart w:id="968" w:name="_Toc479237741"/>
      <w:bookmarkStart w:id="969" w:name="_Toc234382865"/>
      <w:bookmarkStart w:id="970" w:name="_Toc512689683"/>
      <w:bookmarkStart w:id="971" w:name="_Toc488083550"/>
      <w:bookmarkStart w:id="972" w:name="_Toc3475555"/>
      <w:bookmarkStart w:id="973" w:name="_Toc513212836"/>
      <w:bookmarkStart w:id="974" w:name="_Toc480282316"/>
      <w:bookmarkStart w:id="975" w:name="_Toc192710486"/>
      <w:r>
        <w:rPr>
          <w:rFonts w:hint="eastAsia" w:ascii="宋体" w:hAnsi="宋体" w:cs="宋体"/>
          <w:b/>
          <w:bCs/>
          <w:kern w:val="44"/>
          <w:sz w:val="24"/>
          <w:szCs w:val="24"/>
        </w:rPr>
        <w:t>6.2承包人提供的施工设备和临时设施</w:t>
      </w:r>
      <w:bookmarkEnd w:id="966"/>
      <w:bookmarkEnd w:id="967"/>
      <w:bookmarkEnd w:id="968"/>
      <w:bookmarkEnd w:id="969"/>
      <w:bookmarkEnd w:id="970"/>
      <w:bookmarkEnd w:id="971"/>
      <w:bookmarkEnd w:id="972"/>
      <w:bookmarkEnd w:id="973"/>
      <w:bookmarkEnd w:id="974"/>
      <w:bookmarkEnd w:id="975"/>
    </w:p>
    <w:p w14:paraId="6D22B95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6.1.2</w:t>
      </w:r>
      <w:r>
        <w:rPr>
          <w:rFonts w:hint="eastAsia" w:ascii="宋体" w:hAnsi="宋体" w:cs="宋体"/>
          <w:kern w:val="0"/>
          <w:sz w:val="24"/>
          <w:szCs w:val="24"/>
        </w:rPr>
        <w:t>项约定为：</w:t>
      </w:r>
    </w:p>
    <w:p w14:paraId="40C85F96">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承包人应自行承担修建临时设施的费用，需要临时占地的，应由承包人按第</w:t>
      </w:r>
      <w:r>
        <w:rPr>
          <w:rFonts w:ascii="宋体" w:hAnsi="宋体" w:cs="宋体"/>
          <w:kern w:val="0"/>
          <w:sz w:val="24"/>
          <w:szCs w:val="24"/>
        </w:rPr>
        <w:t>4.1.10</w:t>
      </w:r>
      <w:r>
        <w:rPr>
          <w:rFonts w:hint="eastAsia" w:ascii="宋体" w:hAnsi="宋体" w:cs="宋体"/>
          <w:kern w:val="0"/>
          <w:sz w:val="24"/>
          <w:szCs w:val="24"/>
        </w:rPr>
        <w:t>项（</w:t>
      </w:r>
      <w:r>
        <w:rPr>
          <w:rFonts w:ascii="宋体" w:hAnsi="宋体" w:cs="宋体"/>
          <w:kern w:val="0"/>
          <w:sz w:val="24"/>
          <w:szCs w:val="24"/>
        </w:rPr>
        <w:t>1</w:t>
      </w:r>
      <w:r>
        <w:rPr>
          <w:rFonts w:hint="eastAsia" w:ascii="宋体" w:hAnsi="宋体" w:cs="宋体"/>
          <w:kern w:val="0"/>
          <w:sz w:val="24"/>
          <w:szCs w:val="24"/>
        </w:rPr>
        <w:t>）目的规定办理。</w:t>
      </w:r>
    </w:p>
    <w:p w14:paraId="3E3529C2">
      <w:pPr>
        <w:keepNext/>
        <w:keepLines/>
        <w:spacing w:line="440" w:lineRule="exact"/>
        <w:ind w:firstLine="482" w:firstLineChars="200"/>
        <w:rPr>
          <w:rFonts w:hint="eastAsia" w:ascii="宋体" w:hAnsi="宋体" w:cs="宋体"/>
          <w:b/>
          <w:bCs/>
          <w:kern w:val="44"/>
          <w:sz w:val="24"/>
          <w:szCs w:val="24"/>
        </w:rPr>
      </w:pPr>
      <w:bookmarkStart w:id="976" w:name="_Toc513132317"/>
      <w:bookmarkStart w:id="977" w:name="_Toc479265571"/>
      <w:bookmarkStart w:id="978" w:name="_Toc513212837"/>
      <w:bookmarkStart w:id="979" w:name="_Toc479237742"/>
      <w:bookmarkStart w:id="980" w:name="_Toc480282317"/>
      <w:bookmarkStart w:id="981" w:name="_Toc488083551"/>
      <w:bookmarkStart w:id="982" w:name="_Toc234382866"/>
      <w:bookmarkStart w:id="983" w:name="_Toc512689684"/>
      <w:bookmarkStart w:id="984" w:name="_Toc192710487"/>
      <w:bookmarkStart w:id="985" w:name="_Toc3475556"/>
      <w:r>
        <w:rPr>
          <w:rFonts w:hint="eastAsia" w:ascii="宋体" w:hAnsi="宋体" w:cs="宋体"/>
          <w:b/>
          <w:bCs/>
          <w:kern w:val="44"/>
          <w:sz w:val="24"/>
          <w:szCs w:val="24"/>
        </w:rPr>
        <w:t>6.3要求承包人增加或更换施工设备</w:t>
      </w:r>
      <w:bookmarkEnd w:id="976"/>
      <w:bookmarkEnd w:id="977"/>
      <w:bookmarkEnd w:id="978"/>
      <w:bookmarkEnd w:id="979"/>
      <w:bookmarkEnd w:id="980"/>
      <w:bookmarkEnd w:id="981"/>
      <w:bookmarkEnd w:id="982"/>
      <w:bookmarkEnd w:id="983"/>
      <w:bookmarkEnd w:id="984"/>
      <w:bookmarkEnd w:id="985"/>
    </w:p>
    <w:p w14:paraId="5113CD50">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本款细化为：</w:t>
      </w:r>
    </w:p>
    <w:p w14:paraId="37EBAB2F">
      <w:pPr>
        <w:spacing w:line="440" w:lineRule="exact"/>
        <w:ind w:firstLine="480" w:firstLineChars="200"/>
        <w:rPr>
          <w:rFonts w:ascii="宋体"/>
          <w:kern w:val="0"/>
          <w:sz w:val="24"/>
          <w:szCs w:val="24"/>
        </w:rPr>
      </w:pPr>
      <w:r>
        <w:rPr>
          <w:rFonts w:hint="eastAsia" w:ascii="宋体" w:hAnsi="宋体" w:cs="宋体"/>
          <w:kern w:val="0"/>
          <w:sz w:val="24"/>
          <w:szCs w:val="24"/>
        </w:rPr>
        <w:t>承包人承诺的施工设备必须按时达到现场，不得拖延、缺短或任意更换。尽管承包人已按承诺提供了上述设备，但若承包人使用的施工设备不能满足合同进度计划和（或）质量要求时，监理人有权要求承包人增加或更换施工设备，承包人应及时增加或更换，由此增加的费用和（或）工期延误由承包人承担。</w:t>
      </w:r>
    </w:p>
    <w:p w14:paraId="49535A9D">
      <w:pPr>
        <w:keepNext/>
        <w:keepLines/>
        <w:spacing w:line="440" w:lineRule="exact"/>
        <w:ind w:firstLine="482" w:firstLineChars="200"/>
        <w:rPr>
          <w:rFonts w:hint="eastAsia" w:ascii="宋体" w:hAnsi="宋体" w:cs="宋体"/>
          <w:b/>
          <w:bCs/>
          <w:kern w:val="44"/>
          <w:sz w:val="24"/>
          <w:szCs w:val="24"/>
        </w:rPr>
      </w:pPr>
      <w:bookmarkStart w:id="986" w:name="_Toc480282318"/>
      <w:bookmarkStart w:id="987" w:name="_Toc513212838"/>
      <w:bookmarkStart w:id="988" w:name="_Toc479265572"/>
      <w:bookmarkStart w:id="989" w:name="_Toc479237743"/>
      <w:bookmarkStart w:id="990" w:name="_Toc234382867"/>
      <w:bookmarkStart w:id="991" w:name="_Toc512689685"/>
      <w:bookmarkStart w:id="992" w:name="_Toc488083552"/>
      <w:bookmarkStart w:id="993" w:name="_Toc513132318"/>
      <w:bookmarkStart w:id="994" w:name="_Toc192710488"/>
      <w:bookmarkStart w:id="995" w:name="_Toc3475557"/>
      <w:r>
        <w:rPr>
          <w:rFonts w:hint="eastAsia" w:ascii="宋体" w:hAnsi="宋体" w:cs="宋体"/>
          <w:b/>
          <w:bCs/>
          <w:kern w:val="44"/>
          <w:sz w:val="24"/>
          <w:szCs w:val="24"/>
        </w:rPr>
        <w:t>7．交通运输</w:t>
      </w:r>
      <w:bookmarkEnd w:id="986"/>
      <w:bookmarkEnd w:id="987"/>
      <w:bookmarkEnd w:id="988"/>
      <w:bookmarkEnd w:id="989"/>
      <w:bookmarkEnd w:id="990"/>
      <w:bookmarkEnd w:id="991"/>
      <w:bookmarkEnd w:id="992"/>
      <w:bookmarkEnd w:id="993"/>
      <w:bookmarkEnd w:id="994"/>
      <w:bookmarkEnd w:id="995"/>
    </w:p>
    <w:p w14:paraId="38852BA6">
      <w:pPr>
        <w:keepNext/>
        <w:keepLines/>
        <w:spacing w:line="440" w:lineRule="exact"/>
        <w:ind w:firstLine="482" w:firstLineChars="200"/>
        <w:rPr>
          <w:rFonts w:hint="eastAsia" w:ascii="宋体" w:hAnsi="宋体" w:cs="宋体"/>
          <w:b/>
          <w:bCs/>
          <w:kern w:val="44"/>
          <w:sz w:val="24"/>
          <w:szCs w:val="24"/>
        </w:rPr>
      </w:pPr>
      <w:bookmarkStart w:id="996" w:name="_Toc3475558"/>
      <w:bookmarkStart w:id="997" w:name="_Toc512689686"/>
      <w:bookmarkStart w:id="998" w:name="_Toc479265573"/>
      <w:bookmarkStart w:id="999" w:name="_Toc488083553"/>
      <w:bookmarkStart w:id="1000" w:name="_Toc234382868"/>
      <w:bookmarkStart w:id="1001" w:name="_Toc479237744"/>
      <w:bookmarkStart w:id="1002" w:name="_Toc513212839"/>
      <w:bookmarkStart w:id="1003" w:name="_Toc192710489"/>
      <w:bookmarkStart w:id="1004" w:name="_Toc480282319"/>
      <w:bookmarkStart w:id="1005" w:name="_Toc513132319"/>
      <w:r>
        <w:rPr>
          <w:rFonts w:hint="eastAsia" w:ascii="宋体" w:hAnsi="宋体" w:cs="宋体"/>
          <w:b/>
          <w:bCs/>
          <w:kern w:val="44"/>
          <w:sz w:val="24"/>
          <w:szCs w:val="24"/>
        </w:rPr>
        <w:t>7.1道路通行权和场外设施</w:t>
      </w:r>
      <w:bookmarkEnd w:id="996"/>
      <w:bookmarkEnd w:id="997"/>
      <w:bookmarkEnd w:id="998"/>
      <w:bookmarkEnd w:id="999"/>
      <w:bookmarkEnd w:id="1000"/>
      <w:bookmarkEnd w:id="1001"/>
      <w:bookmarkEnd w:id="1002"/>
      <w:bookmarkEnd w:id="1003"/>
      <w:bookmarkEnd w:id="1004"/>
      <w:bookmarkEnd w:id="1005"/>
    </w:p>
    <w:p w14:paraId="7D9803E4">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本款约定为：</w:t>
      </w:r>
    </w:p>
    <w:p w14:paraId="020D08A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应根据合同工程的施工需要，负责办理取得出入施工场地的专用和临时道路的通行权，以及取得为工程建设所需修建场外设施的权利，并承担有权费用。需要发包人协调时，发包人应协助承包人办理相关手续。</w:t>
      </w:r>
    </w:p>
    <w:p w14:paraId="53A44E5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9.2.5</w:t>
      </w:r>
      <w:r>
        <w:rPr>
          <w:rFonts w:hint="eastAsia" w:ascii="宋体" w:hAnsi="宋体" w:cs="宋体"/>
          <w:kern w:val="0"/>
          <w:sz w:val="24"/>
          <w:szCs w:val="24"/>
        </w:rPr>
        <w:t>项细化为：</w:t>
      </w:r>
    </w:p>
    <w:p w14:paraId="64F0A0A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除项目用合同条款另有约定外，安全生产费用应为投标价（不含安全生产费及建筑工程一切险及第三者责任险的保险费）的</w:t>
      </w:r>
      <w:r>
        <w:rPr>
          <w:rFonts w:ascii="宋体" w:hAnsi="宋体" w:cs="宋体"/>
          <w:kern w:val="0"/>
          <w:sz w:val="24"/>
          <w:szCs w:val="24"/>
        </w:rPr>
        <w:t>1</w:t>
      </w:r>
      <w:r>
        <w:rPr>
          <w:rFonts w:hint="eastAsia" w:ascii="宋体" w:hAnsi="宋体" w:cs="宋体"/>
          <w:kern w:val="0"/>
          <w:sz w:val="24"/>
          <w:szCs w:val="24"/>
        </w:rPr>
        <w:t>.5</w:t>
      </w:r>
      <w:r>
        <w:rPr>
          <w:rFonts w:ascii="宋体" w:hAnsi="宋体" w:cs="宋体"/>
          <w:kern w:val="0"/>
          <w:sz w:val="24"/>
          <w:szCs w:val="24"/>
        </w:rPr>
        <w:t>%</w:t>
      </w:r>
      <w:r>
        <w:rPr>
          <w:rFonts w:hint="eastAsia" w:ascii="宋体" w:hAnsi="宋体" w:cs="宋体"/>
          <w:kern w:val="0"/>
          <w:sz w:val="24"/>
          <w:szCs w:val="24"/>
        </w:rPr>
        <w:t>（若发包人公布了投标控制价上限时，按投标控制价上限的1.5</w:t>
      </w:r>
      <w:r>
        <w:rPr>
          <w:rFonts w:ascii="宋体" w:hAnsi="宋体" w:cs="宋体"/>
          <w:kern w:val="0"/>
          <w:sz w:val="24"/>
          <w:szCs w:val="24"/>
        </w:rPr>
        <w:t>%</w:t>
      </w:r>
      <w:r>
        <w:rPr>
          <w:rFonts w:hint="eastAsia" w:ascii="宋体" w:hAnsi="宋体" w:cs="宋体"/>
          <w:kern w:val="0"/>
          <w:sz w:val="24"/>
          <w:szCs w:val="24"/>
        </w:rPr>
        <w:t>计）。安全生产费用应用于施工安全防护用具及设施的采购和更新、安全施工措施的落实、安全生产条件的改善，不得挪作他用。如承包人在此基础上增加安全生产费用以满足项目施工需要，则承包人应在本项目工程量清单其他相关子目的单价或总额价中予以考虑，发包人不再另行支付。因采取合同未约定的特殊防护措施增加的费用，由监理人按第</w:t>
      </w:r>
      <w:r>
        <w:rPr>
          <w:rFonts w:ascii="宋体" w:hAnsi="宋体" w:cs="宋体"/>
          <w:kern w:val="0"/>
          <w:sz w:val="24"/>
          <w:szCs w:val="24"/>
        </w:rPr>
        <w:t>3.5</w:t>
      </w:r>
      <w:r>
        <w:rPr>
          <w:rFonts w:hint="eastAsia" w:ascii="宋体" w:hAnsi="宋体" w:cs="宋体"/>
          <w:kern w:val="0"/>
          <w:sz w:val="24"/>
          <w:szCs w:val="24"/>
        </w:rPr>
        <w:t>款商定或确定。</w:t>
      </w:r>
    </w:p>
    <w:p w14:paraId="0CCFC136">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本款补充第</w:t>
      </w:r>
      <w:r>
        <w:rPr>
          <w:rFonts w:ascii="宋体" w:hAnsi="宋体" w:cs="宋体"/>
          <w:kern w:val="0"/>
          <w:sz w:val="24"/>
          <w:szCs w:val="24"/>
        </w:rPr>
        <w:t>9.2.8</w:t>
      </w:r>
      <w:r>
        <w:rPr>
          <w:rFonts w:hint="eastAsia" w:ascii="宋体" w:hAnsi="宋体" w:cs="宋体"/>
          <w:kern w:val="0"/>
          <w:sz w:val="24"/>
          <w:szCs w:val="24"/>
        </w:rPr>
        <w:t>项～</w:t>
      </w:r>
      <w:r>
        <w:rPr>
          <w:rFonts w:ascii="宋体" w:hAnsi="宋体" w:cs="宋体"/>
          <w:kern w:val="0"/>
          <w:sz w:val="24"/>
          <w:szCs w:val="24"/>
        </w:rPr>
        <w:t>9.2.11</w:t>
      </w:r>
      <w:r>
        <w:rPr>
          <w:rFonts w:hint="eastAsia" w:ascii="宋体" w:hAnsi="宋体" w:cs="宋体"/>
          <w:kern w:val="0"/>
          <w:sz w:val="24"/>
          <w:szCs w:val="24"/>
        </w:rPr>
        <w:t>项：</w:t>
      </w:r>
    </w:p>
    <w:p w14:paraId="5627A256">
      <w:pPr>
        <w:spacing w:line="440" w:lineRule="exact"/>
        <w:ind w:firstLine="480" w:firstLineChars="200"/>
        <w:rPr>
          <w:rFonts w:ascii="宋体" w:hAnsi="宋体" w:cs="宋体"/>
          <w:kern w:val="0"/>
          <w:sz w:val="24"/>
          <w:szCs w:val="24"/>
        </w:rPr>
      </w:pPr>
      <w:r>
        <w:rPr>
          <w:rFonts w:ascii="宋体" w:hAnsi="宋体" w:cs="宋体"/>
          <w:kern w:val="0"/>
          <w:sz w:val="24"/>
          <w:szCs w:val="24"/>
        </w:rPr>
        <w:t>9.2.9</w:t>
      </w:r>
      <w:r>
        <w:rPr>
          <w:rFonts w:hint="eastAsia" w:ascii="宋体" w:hAnsi="宋体" w:cs="宋体"/>
          <w:kern w:val="0"/>
          <w:sz w:val="24"/>
          <w:szCs w:val="24"/>
        </w:rPr>
        <w:t>为保护本合同工程免遭损坏，或为了现场附近和过往群众的安全与方便，在确有必要的时候和地方，或当监理人或有关主管部门要求时，承包人应自费提供照明、警卫、护栅、警告标志等安全防护设施。</w:t>
      </w:r>
    </w:p>
    <w:p w14:paraId="493ECA4A">
      <w:pPr>
        <w:spacing w:line="440" w:lineRule="exact"/>
        <w:ind w:firstLine="480" w:firstLineChars="200"/>
        <w:rPr>
          <w:rFonts w:ascii="宋体" w:hAnsi="宋体" w:cs="宋体"/>
          <w:kern w:val="0"/>
          <w:sz w:val="24"/>
          <w:szCs w:val="24"/>
        </w:rPr>
      </w:pPr>
      <w:r>
        <w:rPr>
          <w:rFonts w:ascii="宋体" w:hAnsi="宋体" w:cs="宋体"/>
          <w:kern w:val="0"/>
          <w:sz w:val="24"/>
          <w:szCs w:val="24"/>
        </w:rPr>
        <w:t>9.4.8</w:t>
      </w:r>
      <w:r>
        <w:rPr>
          <w:rFonts w:hint="eastAsia" w:ascii="宋体" w:hAnsi="宋体" w:cs="宋体"/>
          <w:kern w:val="0"/>
          <w:sz w:val="24"/>
          <w:szCs w:val="24"/>
        </w:rPr>
        <w:t>在整个施工过程中对承包人采取的环境保护措施，发包人和监理人有权监督，并向承包人提出整改要求。如果由于承包人未能对其负责的上述事项采取各种必要的措施而导致或发生与此有关的人身伤亡、罚款、索赔、损失补偿、诉讼费用及其他一切责任应由承包人负责。</w:t>
      </w:r>
    </w:p>
    <w:p w14:paraId="4E16A5B1">
      <w:pPr>
        <w:spacing w:line="440" w:lineRule="exact"/>
        <w:ind w:firstLine="480" w:firstLineChars="200"/>
        <w:rPr>
          <w:rFonts w:ascii="宋体" w:hAnsi="宋体" w:cs="宋体"/>
          <w:kern w:val="0"/>
          <w:sz w:val="24"/>
          <w:szCs w:val="24"/>
        </w:rPr>
      </w:pPr>
      <w:r>
        <w:rPr>
          <w:rFonts w:ascii="宋体" w:hAnsi="宋体" w:cs="宋体"/>
          <w:kern w:val="0"/>
          <w:sz w:val="24"/>
          <w:szCs w:val="24"/>
        </w:rPr>
        <w:t>9.4.9</w:t>
      </w:r>
      <w:r>
        <w:rPr>
          <w:rFonts w:hint="eastAsia" w:ascii="宋体" w:hAnsi="宋体" w:cs="宋体"/>
          <w:kern w:val="0"/>
          <w:sz w:val="24"/>
          <w:szCs w:val="24"/>
        </w:rPr>
        <w:t>在施工期间，承包人应随时保持现场整洁，施工设备和材料、工程设备应整齐妥善存放和储存，废料与垃圾及不再需要的临时设施应及时从现场清除、拆除并运走。</w:t>
      </w:r>
    </w:p>
    <w:p w14:paraId="47E78DD2">
      <w:pPr>
        <w:keepNext/>
        <w:keepLines/>
        <w:spacing w:line="440" w:lineRule="exact"/>
        <w:ind w:firstLine="482" w:firstLineChars="200"/>
        <w:rPr>
          <w:rFonts w:hint="eastAsia" w:ascii="宋体" w:hAnsi="宋体" w:cs="宋体"/>
          <w:b/>
          <w:bCs/>
          <w:kern w:val="44"/>
          <w:sz w:val="24"/>
          <w:szCs w:val="24"/>
        </w:rPr>
      </w:pPr>
      <w:bookmarkStart w:id="1006" w:name="_Toc488083559"/>
      <w:bookmarkStart w:id="1007" w:name="_Toc192710495"/>
      <w:bookmarkStart w:id="1008" w:name="_Toc513212845"/>
      <w:bookmarkStart w:id="1009" w:name="_Toc479237750"/>
      <w:bookmarkStart w:id="1010" w:name="_Toc480282325"/>
      <w:bookmarkStart w:id="1011" w:name="_Toc512689692"/>
      <w:bookmarkStart w:id="1012" w:name="_Toc234382874"/>
      <w:bookmarkStart w:id="1013" w:name="_Toc513132325"/>
      <w:bookmarkStart w:id="1014" w:name="_Toc3475564"/>
      <w:bookmarkStart w:id="1015" w:name="_Toc479265579"/>
      <w:r>
        <w:rPr>
          <w:rFonts w:hint="eastAsia" w:ascii="宋体" w:hAnsi="宋体" w:cs="宋体"/>
          <w:b/>
          <w:bCs/>
          <w:kern w:val="44"/>
          <w:sz w:val="24"/>
          <w:szCs w:val="24"/>
        </w:rPr>
        <w:t>10．进度计划</w:t>
      </w:r>
      <w:bookmarkEnd w:id="1006"/>
      <w:bookmarkEnd w:id="1007"/>
      <w:bookmarkEnd w:id="1008"/>
      <w:bookmarkEnd w:id="1009"/>
      <w:bookmarkEnd w:id="1010"/>
      <w:bookmarkEnd w:id="1011"/>
      <w:bookmarkEnd w:id="1012"/>
      <w:bookmarkEnd w:id="1013"/>
      <w:bookmarkEnd w:id="1014"/>
      <w:bookmarkEnd w:id="1015"/>
    </w:p>
    <w:p w14:paraId="2D518EAB">
      <w:pPr>
        <w:keepNext/>
        <w:keepLines/>
        <w:spacing w:line="440" w:lineRule="exact"/>
        <w:ind w:firstLine="482" w:firstLineChars="200"/>
        <w:rPr>
          <w:rFonts w:hint="eastAsia" w:ascii="宋体" w:hAnsi="宋体" w:cs="宋体"/>
          <w:b/>
          <w:bCs/>
          <w:kern w:val="44"/>
          <w:sz w:val="24"/>
          <w:szCs w:val="24"/>
        </w:rPr>
      </w:pPr>
      <w:bookmarkStart w:id="1016" w:name="_Toc480282326"/>
      <w:bookmarkStart w:id="1017" w:name="_Toc513212846"/>
      <w:bookmarkStart w:id="1018" w:name="_Toc513132326"/>
      <w:bookmarkStart w:id="1019" w:name="_Toc479237751"/>
      <w:bookmarkStart w:id="1020" w:name="_Toc479265580"/>
      <w:bookmarkStart w:id="1021" w:name="_Toc3475565"/>
      <w:bookmarkStart w:id="1022" w:name="_Toc512689693"/>
      <w:bookmarkStart w:id="1023" w:name="_Toc234382875"/>
      <w:bookmarkStart w:id="1024" w:name="_Toc488083560"/>
      <w:bookmarkStart w:id="1025" w:name="_Toc192710496"/>
      <w:r>
        <w:rPr>
          <w:rFonts w:hint="eastAsia" w:ascii="宋体" w:hAnsi="宋体" w:cs="宋体"/>
          <w:b/>
          <w:bCs/>
          <w:kern w:val="44"/>
          <w:sz w:val="24"/>
          <w:szCs w:val="24"/>
        </w:rPr>
        <w:t>10.1合同进度计划</w:t>
      </w:r>
      <w:bookmarkEnd w:id="1016"/>
      <w:bookmarkEnd w:id="1017"/>
      <w:bookmarkEnd w:id="1018"/>
      <w:bookmarkEnd w:id="1019"/>
      <w:bookmarkEnd w:id="1020"/>
      <w:bookmarkEnd w:id="1021"/>
      <w:bookmarkEnd w:id="1022"/>
      <w:bookmarkEnd w:id="1023"/>
      <w:bookmarkEnd w:id="1024"/>
      <w:bookmarkEnd w:id="1025"/>
    </w:p>
    <w:p w14:paraId="431AE79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本款补充：</w:t>
      </w:r>
    </w:p>
    <w:p w14:paraId="7A1958E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承包人编制施工方案说明的内容见项目专用合同条款。</w:t>
      </w:r>
    </w:p>
    <w:p w14:paraId="16991B76">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承包人向监理人报送施工进度计划和施工方案说明的期限：签订合同协议书后</w:t>
      </w:r>
      <w:r>
        <w:rPr>
          <w:rFonts w:ascii="宋体" w:hAnsi="宋体" w:cs="宋体"/>
          <w:kern w:val="0"/>
          <w:sz w:val="24"/>
          <w:szCs w:val="24"/>
        </w:rPr>
        <w:t>28</w:t>
      </w:r>
      <w:r>
        <w:rPr>
          <w:rFonts w:hint="eastAsia" w:ascii="宋体" w:hAnsi="宋体" w:cs="宋体"/>
          <w:kern w:val="0"/>
          <w:sz w:val="24"/>
          <w:szCs w:val="24"/>
        </w:rPr>
        <w:t>天之内。</w:t>
      </w:r>
    </w:p>
    <w:p w14:paraId="36A6174E">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监理人应在</w:t>
      </w:r>
      <w:r>
        <w:rPr>
          <w:rFonts w:ascii="宋体" w:hAnsi="宋体" w:cs="宋体"/>
          <w:kern w:val="0"/>
          <w:sz w:val="24"/>
          <w:szCs w:val="24"/>
        </w:rPr>
        <w:t>14</w:t>
      </w:r>
      <w:r>
        <w:rPr>
          <w:rFonts w:hint="eastAsia" w:ascii="宋体" w:hAnsi="宋体" w:cs="宋体"/>
          <w:kern w:val="0"/>
          <w:sz w:val="24"/>
          <w:szCs w:val="24"/>
        </w:rPr>
        <w:t>天内对承包人施工进度计划和施工方案说明予以批复或提出修改意见。</w:t>
      </w:r>
    </w:p>
    <w:p w14:paraId="2EEC9AB3">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合同进度计划应按照关键线路网络图和主要工作横道图两种形式分别编绘，并应包括每月预计完成的工作量和形象进度。</w:t>
      </w:r>
    </w:p>
    <w:p w14:paraId="1E8D1740">
      <w:pPr>
        <w:keepNext/>
        <w:keepLines/>
        <w:spacing w:line="440" w:lineRule="exact"/>
        <w:ind w:firstLine="482" w:firstLineChars="200"/>
        <w:rPr>
          <w:rFonts w:hint="eastAsia" w:ascii="宋体" w:hAnsi="宋体" w:cs="宋体"/>
          <w:b/>
          <w:bCs/>
          <w:kern w:val="44"/>
          <w:sz w:val="24"/>
          <w:szCs w:val="24"/>
        </w:rPr>
      </w:pPr>
      <w:bookmarkStart w:id="1026" w:name="_Toc513132327"/>
      <w:bookmarkStart w:id="1027" w:name="_Toc479237752"/>
      <w:bookmarkStart w:id="1028" w:name="_Toc480282327"/>
      <w:bookmarkStart w:id="1029" w:name="_Toc488083561"/>
      <w:bookmarkStart w:id="1030" w:name="_Toc234382876"/>
      <w:bookmarkStart w:id="1031" w:name="_Toc512689694"/>
      <w:bookmarkStart w:id="1032" w:name="_Toc513212847"/>
      <w:bookmarkStart w:id="1033" w:name="_Toc479265581"/>
      <w:bookmarkStart w:id="1034" w:name="_Toc192710497"/>
      <w:bookmarkStart w:id="1035" w:name="_Toc3475566"/>
      <w:r>
        <w:rPr>
          <w:rFonts w:hint="eastAsia" w:ascii="宋体" w:hAnsi="宋体" w:cs="宋体"/>
          <w:b/>
          <w:bCs/>
          <w:kern w:val="44"/>
          <w:sz w:val="24"/>
          <w:szCs w:val="24"/>
        </w:rPr>
        <w:t>10.2合同进度计划的修订</w:t>
      </w:r>
      <w:bookmarkEnd w:id="1026"/>
      <w:bookmarkEnd w:id="1027"/>
      <w:bookmarkEnd w:id="1028"/>
      <w:bookmarkEnd w:id="1029"/>
      <w:bookmarkEnd w:id="1030"/>
      <w:bookmarkEnd w:id="1031"/>
      <w:bookmarkEnd w:id="1032"/>
      <w:bookmarkEnd w:id="1033"/>
      <w:bookmarkEnd w:id="1034"/>
      <w:bookmarkEnd w:id="1035"/>
    </w:p>
    <w:p w14:paraId="61500100">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本款补充：</w:t>
      </w:r>
    </w:p>
    <w:p w14:paraId="4BC27FC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承包人提交合同进度计划修订申请报告，并附有关措施和相关资料的期限：实际进度发生滞后的当月</w:t>
      </w:r>
      <w:r>
        <w:rPr>
          <w:rFonts w:ascii="宋体" w:hAnsi="宋体" w:cs="宋体"/>
          <w:kern w:val="0"/>
          <w:sz w:val="24"/>
          <w:szCs w:val="24"/>
        </w:rPr>
        <w:t>25</w:t>
      </w:r>
      <w:r>
        <w:rPr>
          <w:rFonts w:hint="eastAsia" w:ascii="宋体" w:hAnsi="宋体" w:cs="宋体"/>
          <w:kern w:val="0"/>
          <w:sz w:val="24"/>
          <w:szCs w:val="24"/>
        </w:rPr>
        <w:t>日前。</w:t>
      </w:r>
    </w:p>
    <w:p w14:paraId="7E152726">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监理人批复修订合同进度计划的期限：收到修订合同进度计划后</w:t>
      </w:r>
      <w:r>
        <w:rPr>
          <w:rFonts w:ascii="宋体" w:hAnsi="宋体" w:cs="宋体"/>
          <w:kern w:val="0"/>
          <w:sz w:val="24"/>
          <w:szCs w:val="24"/>
        </w:rPr>
        <w:t>14</w:t>
      </w:r>
      <w:r>
        <w:rPr>
          <w:rFonts w:hint="eastAsia" w:ascii="宋体" w:hAnsi="宋体" w:cs="宋体"/>
          <w:kern w:val="0"/>
          <w:sz w:val="24"/>
          <w:szCs w:val="24"/>
        </w:rPr>
        <w:t>天内。</w:t>
      </w:r>
    </w:p>
    <w:p w14:paraId="49D1A73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补充第</w:t>
      </w:r>
      <w:r>
        <w:rPr>
          <w:rFonts w:ascii="宋体" w:hAnsi="宋体" w:cs="宋体"/>
          <w:kern w:val="0"/>
          <w:sz w:val="24"/>
          <w:szCs w:val="24"/>
        </w:rPr>
        <w:t>10.3</w:t>
      </w:r>
      <w:r>
        <w:rPr>
          <w:rFonts w:hint="eastAsia" w:ascii="宋体" w:hAnsi="宋体" w:cs="宋体"/>
          <w:kern w:val="0"/>
          <w:sz w:val="24"/>
          <w:szCs w:val="24"/>
        </w:rPr>
        <w:t>、</w:t>
      </w:r>
      <w:r>
        <w:rPr>
          <w:rFonts w:ascii="宋体" w:hAnsi="宋体" w:cs="宋体"/>
          <w:kern w:val="0"/>
          <w:sz w:val="24"/>
          <w:szCs w:val="24"/>
        </w:rPr>
        <w:t>10.4</w:t>
      </w:r>
      <w:r>
        <w:rPr>
          <w:rFonts w:hint="eastAsia" w:ascii="宋体" w:hAnsi="宋体" w:cs="宋体"/>
          <w:kern w:val="0"/>
          <w:sz w:val="24"/>
          <w:szCs w:val="24"/>
        </w:rPr>
        <w:t>款：</w:t>
      </w:r>
    </w:p>
    <w:p w14:paraId="69BD9D92">
      <w:pPr>
        <w:keepNext/>
        <w:keepLines/>
        <w:spacing w:line="440" w:lineRule="exact"/>
        <w:ind w:firstLine="482" w:firstLineChars="200"/>
        <w:rPr>
          <w:rFonts w:hint="eastAsia" w:ascii="宋体" w:hAnsi="宋体" w:cs="宋体"/>
          <w:b/>
          <w:bCs/>
          <w:kern w:val="44"/>
          <w:sz w:val="24"/>
          <w:szCs w:val="24"/>
        </w:rPr>
      </w:pPr>
      <w:bookmarkStart w:id="1036" w:name="_Toc513212848"/>
      <w:bookmarkStart w:id="1037" w:name="_Toc488083562"/>
      <w:bookmarkStart w:id="1038" w:name="_Toc192710498"/>
      <w:bookmarkStart w:id="1039" w:name="_Toc513132328"/>
      <w:bookmarkStart w:id="1040" w:name="_Toc480282328"/>
      <w:bookmarkStart w:id="1041" w:name="_Toc3475567"/>
      <w:bookmarkStart w:id="1042" w:name="_Toc479265582"/>
      <w:bookmarkStart w:id="1043" w:name="_Toc479237753"/>
      <w:bookmarkStart w:id="1044" w:name="_Toc512689695"/>
      <w:bookmarkStart w:id="1045" w:name="_Toc234382877"/>
      <w:r>
        <w:rPr>
          <w:rFonts w:hint="eastAsia" w:ascii="宋体" w:hAnsi="宋体" w:cs="宋体"/>
          <w:b/>
          <w:bCs/>
          <w:kern w:val="44"/>
          <w:sz w:val="24"/>
          <w:szCs w:val="24"/>
        </w:rPr>
        <w:t>10.3年度施工计划</w:t>
      </w:r>
      <w:bookmarkEnd w:id="1036"/>
      <w:bookmarkEnd w:id="1037"/>
      <w:bookmarkEnd w:id="1038"/>
      <w:bookmarkEnd w:id="1039"/>
      <w:bookmarkEnd w:id="1040"/>
      <w:bookmarkEnd w:id="1041"/>
      <w:bookmarkEnd w:id="1042"/>
      <w:bookmarkEnd w:id="1043"/>
      <w:bookmarkEnd w:id="1044"/>
      <w:bookmarkEnd w:id="1045"/>
    </w:p>
    <w:p w14:paraId="5DB3184E">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承包人应在每年</w:t>
      </w:r>
      <w:r>
        <w:rPr>
          <w:rFonts w:ascii="宋体" w:hAnsi="宋体" w:cs="宋体"/>
          <w:kern w:val="0"/>
          <w:sz w:val="24"/>
          <w:szCs w:val="24"/>
        </w:rPr>
        <w:t>11</w:t>
      </w:r>
      <w:r>
        <w:rPr>
          <w:rFonts w:hint="eastAsia" w:ascii="宋体" w:hAnsi="宋体" w:cs="宋体"/>
          <w:kern w:val="0"/>
          <w:sz w:val="24"/>
          <w:szCs w:val="24"/>
        </w:rPr>
        <w:t>月底前，根据已同意的合同进度计划或其修订的计划，向监理人提交</w:t>
      </w:r>
      <w:r>
        <w:rPr>
          <w:rFonts w:ascii="宋体" w:hAnsi="宋体" w:cs="宋体"/>
          <w:kern w:val="0"/>
          <w:sz w:val="24"/>
          <w:szCs w:val="24"/>
        </w:rPr>
        <w:t>2</w:t>
      </w:r>
      <w:r>
        <w:rPr>
          <w:rFonts w:hint="eastAsia" w:ascii="宋体" w:hAnsi="宋体" w:cs="宋体"/>
          <w:kern w:val="0"/>
          <w:sz w:val="24"/>
          <w:szCs w:val="24"/>
        </w:rPr>
        <w:t>份格式和内容符合监理人合理规定的下一年度的施工计划，以供审查。该计划应包括本年度估计完成的和下一年度预计完成的分项工程数量和工作量，以及为实施此计划将采取的措施。</w:t>
      </w:r>
    </w:p>
    <w:p w14:paraId="0B5E8D6A">
      <w:pPr>
        <w:keepNext/>
        <w:keepLines/>
        <w:spacing w:line="440" w:lineRule="exact"/>
        <w:ind w:firstLine="482" w:firstLineChars="200"/>
        <w:rPr>
          <w:rFonts w:hint="eastAsia" w:ascii="宋体" w:hAnsi="宋体" w:cs="宋体"/>
          <w:b/>
          <w:bCs/>
          <w:kern w:val="44"/>
          <w:sz w:val="24"/>
          <w:szCs w:val="24"/>
        </w:rPr>
      </w:pPr>
      <w:bookmarkStart w:id="1046" w:name="_Toc513132329"/>
      <w:bookmarkStart w:id="1047" w:name="_Toc513212849"/>
      <w:bookmarkStart w:id="1048" w:name="_Toc3475568"/>
      <w:bookmarkStart w:id="1049" w:name="_Toc480282329"/>
      <w:bookmarkStart w:id="1050" w:name="_Toc479265583"/>
      <w:bookmarkStart w:id="1051" w:name="_Toc192710499"/>
      <w:bookmarkStart w:id="1052" w:name="_Toc512689696"/>
      <w:bookmarkStart w:id="1053" w:name="_Toc234382878"/>
      <w:bookmarkStart w:id="1054" w:name="_Toc479237754"/>
      <w:bookmarkStart w:id="1055" w:name="_Toc488083563"/>
      <w:r>
        <w:rPr>
          <w:rFonts w:hint="eastAsia" w:ascii="宋体" w:hAnsi="宋体" w:cs="宋体"/>
          <w:b/>
          <w:bCs/>
          <w:kern w:val="44"/>
          <w:sz w:val="24"/>
          <w:szCs w:val="24"/>
        </w:rPr>
        <w:t>10.4合同用款计划</w:t>
      </w:r>
      <w:bookmarkEnd w:id="1046"/>
      <w:bookmarkEnd w:id="1047"/>
      <w:bookmarkEnd w:id="1048"/>
      <w:bookmarkEnd w:id="1049"/>
      <w:bookmarkEnd w:id="1050"/>
      <w:bookmarkEnd w:id="1051"/>
      <w:bookmarkEnd w:id="1052"/>
      <w:bookmarkEnd w:id="1053"/>
      <w:bookmarkEnd w:id="1054"/>
      <w:bookmarkEnd w:id="1055"/>
    </w:p>
    <w:p w14:paraId="78E6FB80">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承包人应在签订本合同协议书后</w:t>
      </w:r>
      <w:r>
        <w:rPr>
          <w:rFonts w:ascii="宋体" w:hAnsi="宋体" w:cs="宋体"/>
          <w:kern w:val="0"/>
          <w:sz w:val="24"/>
          <w:szCs w:val="24"/>
        </w:rPr>
        <w:t>28</w:t>
      </w:r>
      <w:r>
        <w:rPr>
          <w:rFonts w:hint="eastAsia" w:ascii="宋体" w:hAnsi="宋体" w:cs="宋体"/>
          <w:kern w:val="0"/>
          <w:sz w:val="24"/>
          <w:szCs w:val="24"/>
        </w:rPr>
        <w:t>天之内，按招标文件中规定的格式，向监理人提交</w:t>
      </w:r>
      <w:r>
        <w:rPr>
          <w:rFonts w:ascii="宋体" w:hAnsi="宋体" w:cs="宋体"/>
          <w:kern w:val="0"/>
          <w:sz w:val="24"/>
          <w:szCs w:val="24"/>
        </w:rPr>
        <w:t>2</w:t>
      </w:r>
      <w:r>
        <w:rPr>
          <w:rFonts w:hint="eastAsia" w:ascii="宋体" w:hAnsi="宋体" w:cs="宋体"/>
          <w:kern w:val="0"/>
          <w:sz w:val="24"/>
          <w:szCs w:val="24"/>
        </w:rPr>
        <w:t>份按合同规定承包人有权得到支付的详细的季度合同用款计划，以备监理人查阅。如果监理人提出要求，承包人还应按季度提交修订的合同用款计划。</w:t>
      </w:r>
    </w:p>
    <w:p w14:paraId="5E335681">
      <w:pPr>
        <w:keepNext/>
        <w:keepLines/>
        <w:spacing w:line="440" w:lineRule="exact"/>
        <w:ind w:firstLine="482" w:firstLineChars="200"/>
        <w:rPr>
          <w:rFonts w:hint="eastAsia" w:ascii="宋体" w:hAnsi="宋体" w:cs="宋体"/>
          <w:b/>
          <w:bCs/>
          <w:kern w:val="44"/>
          <w:sz w:val="24"/>
          <w:szCs w:val="24"/>
        </w:rPr>
      </w:pPr>
      <w:bookmarkStart w:id="1056" w:name="_Toc513132330"/>
      <w:bookmarkStart w:id="1057" w:name="_Toc234382879"/>
      <w:bookmarkStart w:id="1058" w:name="_Toc513212850"/>
      <w:bookmarkStart w:id="1059" w:name="_Toc3475569"/>
      <w:bookmarkStart w:id="1060" w:name="_Toc479265584"/>
      <w:bookmarkStart w:id="1061" w:name="_Toc480282330"/>
      <w:bookmarkStart w:id="1062" w:name="_Toc488083564"/>
      <w:bookmarkStart w:id="1063" w:name="_Toc479237755"/>
      <w:bookmarkStart w:id="1064" w:name="_Toc512689697"/>
      <w:bookmarkStart w:id="1065" w:name="_Toc192710500"/>
      <w:r>
        <w:rPr>
          <w:rFonts w:hint="eastAsia" w:ascii="宋体" w:hAnsi="宋体" w:cs="宋体"/>
          <w:b/>
          <w:bCs/>
          <w:kern w:val="44"/>
          <w:sz w:val="24"/>
          <w:szCs w:val="24"/>
        </w:rPr>
        <w:t>11．开工和竣工</w:t>
      </w:r>
      <w:bookmarkEnd w:id="1056"/>
      <w:bookmarkEnd w:id="1057"/>
      <w:bookmarkEnd w:id="1058"/>
      <w:bookmarkEnd w:id="1059"/>
      <w:bookmarkEnd w:id="1060"/>
      <w:bookmarkEnd w:id="1061"/>
      <w:bookmarkEnd w:id="1062"/>
      <w:bookmarkEnd w:id="1063"/>
      <w:bookmarkEnd w:id="1064"/>
      <w:bookmarkEnd w:id="1065"/>
    </w:p>
    <w:p w14:paraId="5B7635A9">
      <w:pPr>
        <w:keepNext/>
        <w:keepLines/>
        <w:spacing w:line="440" w:lineRule="exact"/>
        <w:ind w:firstLine="482" w:firstLineChars="200"/>
        <w:rPr>
          <w:rFonts w:hint="eastAsia" w:ascii="宋体" w:hAnsi="宋体" w:cs="宋体"/>
          <w:b/>
          <w:bCs/>
          <w:kern w:val="44"/>
          <w:sz w:val="24"/>
          <w:szCs w:val="24"/>
        </w:rPr>
      </w:pPr>
      <w:bookmarkStart w:id="1066" w:name="_Toc513212851"/>
      <w:bookmarkStart w:id="1067" w:name="_Toc513132331"/>
      <w:bookmarkStart w:id="1068" w:name="_Toc3475570"/>
      <w:bookmarkStart w:id="1069" w:name="_Toc234382880"/>
      <w:bookmarkStart w:id="1070" w:name="_Toc479237756"/>
      <w:bookmarkStart w:id="1071" w:name="_Toc480282331"/>
      <w:bookmarkStart w:id="1072" w:name="_Toc512689698"/>
      <w:bookmarkStart w:id="1073" w:name="_Toc192710501"/>
      <w:bookmarkStart w:id="1074" w:name="_Toc479265585"/>
      <w:bookmarkStart w:id="1075" w:name="_Toc488083565"/>
      <w:r>
        <w:rPr>
          <w:rFonts w:hint="eastAsia" w:ascii="宋体" w:hAnsi="宋体" w:cs="宋体"/>
          <w:b/>
          <w:bCs/>
          <w:kern w:val="44"/>
          <w:sz w:val="24"/>
          <w:szCs w:val="24"/>
        </w:rPr>
        <w:t>11.1开工</w:t>
      </w:r>
      <w:bookmarkEnd w:id="1066"/>
      <w:bookmarkEnd w:id="1067"/>
      <w:bookmarkEnd w:id="1068"/>
      <w:bookmarkEnd w:id="1069"/>
      <w:bookmarkEnd w:id="1070"/>
      <w:bookmarkEnd w:id="1071"/>
      <w:bookmarkEnd w:id="1072"/>
      <w:bookmarkEnd w:id="1073"/>
      <w:bookmarkEnd w:id="1074"/>
      <w:bookmarkEnd w:id="1075"/>
    </w:p>
    <w:p w14:paraId="3C7C3C7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11.1.2</w:t>
      </w:r>
      <w:r>
        <w:rPr>
          <w:rFonts w:hint="eastAsia" w:ascii="宋体" w:hAnsi="宋体" w:cs="宋体"/>
          <w:kern w:val="0"/>
          <w:sz w:val="24"/>
          <w:szCs w:val="24"/>
        </w:rPr>
        <w:t>项补充：</w:t>
      </w:r>
    </w:p>
    <w:p w14:paraId="28B70998">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承包人应在分部工程开工前14天向监理人提交分部工程开工报审表，若承包人的开工准备、工作计划和质量控制方法是可接受的且已获得批准，则经监理人书面同意，分部工程才能开工。</w:t>
      </w:r>
    </w:p>
    <w:p w14:paraId="08ED4AAC">
      <w:pPr>
        <w:keepNext/>
        <w:keepLines/>
        <w:spacing w:line="440" w:lineRule="exact"/>
        <w:ind w:firstLine="482" w:firstLineChars="200"/>
        <w:rPr>
          <w:rFonts w:hint="eastAsia" w:ascii="宋体" w:hAnsi="宋体" w:cs="宋体"/>
          <w:b/>
          <w:bCs/>
          <w:kern w:val="44"/>
          <w:sz w:val="24"/>
          <w:szCs w:val="24"/>
        </w:rPr>
      </w:pPr>
      <w:bookmarkStart w:id="1076" w:name="_Toc512689699"/>
      <w:bookmarkStart w:id="1077" w:name="_Toc234382881"/>
      <w:bookmarkStart w:id="1078" w:name="_Toc479237757"/>
      <w:bookmarkStart w:id="1079" w:name="_Toc479265586"/>
      <w:bookmarkStart w:id="1080" w:name="_Toc480282332"/>
      <w:bookmarkStart w:id="1081" w:name="_Toc513212852"/>
      <w:bookmarkStart w:id="1082" w:name="_Toc3475571"/>
      <w:bookmarkStart w:id="1083" w:name="_Toc488083566"/>
      <w:bookmarkStart w:id="1084" w:name="_Toc513132332"/>
      <w:bookmarkStart w:id="1085" w:name="_Toc192710502"/>
      <w:r>
        <w:rPr>
          <w:rFonts w:hint="eastAsia" w:ascii="宋体" w:hAnsi="宋体" w:cs="宋体"/>
          <w:b/>
          <w:bCs/>
          <w:kern w:val="44"/>
          <w:sz w:val="24"/>
          <w:szCs w:val="24"/>
        </w:rPr>
        <w:t>11.3发包人的工期延误</w:t>
      </w:r>
      <w:bookmarkEnd w:id="1076"/>
      <w:bookmarkEnd w:id="1077"/>
      <w:bookmarkEnd w:id="1078"/>
      <w:bookmarkEnd w:id="1079"/>
      <w:bookmarkEnd w:id="1080"/>
      <w:bookmarkEnd w:id="1081"/>
      <w:bookmarkEnd w:id="1082"/>
      <w:bookmarkEnd w:id="1083"/>
      <w:bookmarkEnd w:id="1084"/>
      <w:bookmarkEnd w:id="1085"/>
    </w:p>
    <w:p w14:paraId="34FEFD64">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本款补充：</w:t>
      </w:r>
    </w:p>
    <w:p w14:paraId="657B809C">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即使由于上述原因造成工期延误，如果受影响的工程并非处在工程施工进度网络计划的关键线路上，则承包人无权要求延长总工期。</w:t>
      </w:r>
    </w:p>
    <w:p w14:paraId="0DEA9D74">
      <w:pPr>
        <w:keepNext/>
        <w:keepLines/>
        <w:spacing w:line="440" w:lineRule="exact"/>
        <w:ind w:firstLine="482" w:firstLineChars="200"/>
        <w:rPr>
          <w:rFonts w:hint="eastAsia" w:ascii="宋体" w:hAnsi="宋体" w:cs="宋体"/>
          <w:b/>
          <w:bCs/>
          <w:kern w:val="44"/>
          <w:sz w:val="24"/>
          <w:szCs w:val="24"/>
        </w:rPr>
      </w:pPr>
      <w:bookmarkStart w:id="1086" w:name="_Toc480282333"/>
      <w:bookmarkStart w:id="1087" w:name="_Toc3475572"/>
      <w:bookmarkStart w:id="1088" w:name="_Toc234382882"/>
      <w:bookmarkStart w:id="1089" w:name="_Toc513132333"/>
      <w:bookmarkStart w:id="1090" w:name="_Toc479265587"/>
      <w:bookmarkStart w:id="1091" w:name="_Toc192710503"/>
      <w:bookmarkStart w:id="1092" w:name="_Toc488083567"/>
      <w:bookmarkStart w:id="1093" w:name="_Toc513212853"/>
      <w:bookmarkStart w:id="1094" w:name="_Toc512689700"/>
      <w:bookmarkStart w:id="1095" w:name="_Toc479237758"/>
      <w:r>
        <w:rPr>
          <w:rFonts w:hint="eastAsia" w:ascii="宋体" w:hAnsi="宋体" w:cs="宋体"/>
          <w:b/>
          <w:bCs/>
          <w:kern w:val="44"/>
          <w:sz w:val="24"/>
          <w:szCs w:val="24"/>
        </w:rPr>
        <w:t>11.4异常恶劣的气候条件</w:t>
      </w:r>
      <w:bookmarkEnd w:id="1086"/>
      <w:bookmarkEnd w:id="1087"/>
      <w:bookmarkEnd w:id="1088"/>
      <w:bookmarkEnd w:id="1089"/>
      <w:bookmarkEnd w:id="1090"/>
      <w:bookmarkEnd w:id="1091"/>
      <w:bookmarkEnd w:id="1092"/>
      <w:bookmarkEnd w:id="1093"/>
      <w:bookmarkEnd w:id="1094"/>
      <w:bookmarkEnd w:id="1095"/>
    </w:p>
    <w:p w14:paraId="71EB70B4">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本款补充：</w:t>
      </w:r>
    </w:p>
    <w:p w14:paraId="36E3514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异常气候条件是指项目所在地</w:t>
      </w:r>
      <w:r>
        <w:rPr>
          <w:rFonts w:ascii="宋体" w:hAnsi="宋体" w:cs="宋体"/>
          <w:kern w:val="0"/>
          <w:sz w:val="24"/>
          <w:szCs w:val="24"/>
        </w:rPr>
        <w:t>30</w:t>
      </w:r>
      <w:r>
        <w:rPr>
          <w:rFonts w:hint="eastAsia" w:ascii="宋体" w:hAnsi="宋体" w:cs="宋体"/>
          <w:kern w:val="0"/>
          <w:sz w:val="24"/>
          <w:szCs w:val="24"/>
        </w:rPr>
        <w:t>年一遇的罕见气候现象（包括温度、降水、降雪、风等）。异常恶劣的气候条件在项目专用合同条款中作具体规定。</w:t>
      </w:r>
    </w:p>
    <w:p w14:paraId="28E95C7F">
      <w:pPr>
        <w:keepNext/>
        <w:keepLines/>
        <w:spacing w:line="440" w:lineRule="exact"/>
        <w:ind w:firstLine="482" w:firstLineChars="200"/>
        <w:rPr>
          <w:rFonts w:hint="eastAsia" w:ascii="宋体" w:hAnsi="宋体" w:cs="宋体"/>
          <w:b/>
          <w:bCs/>
          <w:kern w:val="44"/>
          <w:sz w:val="24"/>
          <w:szCs w:val="24"/>
        </w:rPr>
      </w:pPr>
      <w:bookmarkStart w:id="1096" w:name="_Toc3475573"/>
      <w:bookmarkStart w:id="1097" w:name="_Toc513132334"/>
      <w:bookmarkStart w:id="1098" w:name="_Toc479237759"/>
      <w:bookmarkStart w:id="1099" w:name="_Toc513212854"/>
      <w:bookmarkStart w:id="1100" w:name="_Toc234382883"/>
      <w:bookmarkStart w:id="1101" w:name="_Toc479265588"/>
      <w:bookmarkStart w:id="1102" w:name="_Toc480282334"/>
      <w:bookmarkStart w:id="1103" w:name="_Toc488083568"/>
      <w:bookmarkStart w:id="1104" w:name="_Toc192710504"/>
      <w:bookmarkStart w:id="1105" w:name="_Toc512689701"/>
      <w:r>
        <w:rPr>
          <w:rFonts w:hint="eastAsia" w:ascii="宋体" w:hAnsi="宋体" w:cs="宋体"/>
          <w:b/>
          <w:bCs/>
          <w:kern w:val="44"/>
          <w:sz w:val="24"/>
          <w:szCs w:val="24"/>
        </w:rPr>
        <w:t>11.5承包人的工期延误</w:t>
      </w:r>
      <w:bookmarkEnd w:id="1096"/>
      <w:bookmarkEnd w:id="1097"/>
      <w:bookmarkEnd w:id="1098"/>
      <w:bookmarkEnd w:id="1099"/>
      <w:bookmarkEnd w:id="1100"/>
      <w:bookmarkEnd w:id="1101"/>
      <w:bookmarkEnd w:id="1102"/>
      <w:bookmarkEnd w:id="1103"/>
      <w:bookmarkEnd w:id="1104"/>
      <w:bookmarkEnd w:id="1105"/>
    </w:p>
    <w:p w14:paraId="0399E290">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本款细化为：</w:t>
      </w:r>
    </w:p>
    <w:p w14:paraId="1BC80F2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）承包人应严格执行监理人批准的合同进度计划，对工作量计划和形象进度计划分别控制。除</w:t>
      </w:r>
      <w:r>
        <w:rPr>
          <w:rFonts w:ascii="宋体" w:hAnsi="宋体" w:cs="宋体"/>
          <w:kern w:val="0"/>
          <w:sz w:val="24"/>
          <w:szCs w:val="24"/>
        </w:rPr>
        <w:t>11.3</w:t>
      </w:r>
      <w:r>
        <w:rPr>
          <w:rFonts w:hint="eastAsia" w:ascii="宋体" w:hAnsi="宋体" w:cs="宋体"/>
          <w:kern w:val="0"/>
          <w:sz w:val="24"/>
          <w:szCs w:val="24"/>
        </w:rPr>
        <w:t>款规定外，承包人的实际工程进度曲线应在合同进度管理曲线规定的安全区域之内。若承包人的实际工程进度曲线处在合同进度管理曲线规定的安全区域的下限之外时，则监理人有权认为本合同工程的进度过慢，并通知承包人应采取必要措施，以便加快工程进度，确保工程能在预定的工期内交工。承包人应采取措施加快进度，并承担加快进度所增加的费用。</w:t>
      </w:r>
    </w:p>
    <w:p w14:paraId="22A0252A">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）如果承包人在接到监理人通知后的</w:t>
      </w:r>
      <w:r>
        <w:rPr>
          <w:rFonts w:ascii="宋体" w:hAnsi="宋体" w:cs="宋体"/>
          <w:kern w:val="0"/>
          <w:sz w:val="24"/>
          <w:szCs w:val="24"/>
        </w:rPr>
        <w:t>14</w:t>
      </w:r>
      <w:r>
        <w:rPr>
          <w:rFonts w:hint="eastAsia" w:ascii="宋体" w:hAnsi="宋体" w:cs="宋体"/>
          <w:kern w:val="0"/>
          <w:sz w:val="24"/>
          <w:szCs w:val="24"/>
        </w:rPr>
        <w:t>天内，未能采取加快工程进度的措施，致使实际工程进度进一步滞后，或承包人虽采取了一些措施，仍无法按预计工期交工时，监理人应立即通知发包人。发包人在向承包人发出书面警告通知</w:t>
      </w:r>
      <w:r>
        <w:rPr>
          <w:rFonts w:ascii="宋体" w:hAnsi="宋体" w:cs="宋体"/>
          <w:kern w:val="0"/>
          <w:sz w:val="24"/>
          <w:szCs w:val="24"/>
        </w:rPr>
        <w:t>14</w:t>
      </w:r>
      <w:r>
        <w:rPr>
          <w:rFonts w:hint="eastAsia" w:ascii="宋体" w:hAnsi="宋体" w:cs="宋体"/>
          <w:kern w:val="0"/>
          <w:sz w:val="24"/>
          <w:szCs w:val="24"/>
        </w:rPr>
        <w:t>天后，发包人可按第</w:t>
      </w:r>
      <w:r>
        <w:rPr>
          <w:rFonts w:ascii="宋体" w:hAnsi="宋体" w:cs="宋体"/>
          <w:kern w:val="0"/>
          <w:sz w:val="24"/>
          <w:szCs w:val="24"/>
        </w:rPr>
        <w:t>22.1</w:t>
      </w:r>
      <w:r>
        <w:rPr>
          <w:rFonts w:hint="eastAsia" w:ascii="宋体" w:hAnsi="宋体" w:cs="宋体"/>
          <w:kern w:val="0"/>
          <w:sz w:val="24"/>
          <w:szCs w:val="24"/>
        </w:rPr>
        <w:t>款终止对承包人的雇用，也可将本合同工程中的一部分工作交由其他承包人或其他分包人完成。在不解除本合同规定的承包人责任和义务的同时，承包人应承担因此所增加的一切费用。</w:t>
      </w:r>
    </w:p>
    <w:p w14:paraId="0B770388">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（3）由于承包人原因造成工期延误，承包人应支付逾期交工违约金 。逾期交工违约金的计算方法在项目专用合同条款数据表中约定，时间自预定的交工日期起到交工验收证书中 写明的实际交工日期止(扣除己批准的延长工期)，按天计算。逾期交工违约金累计金额最高不超过项目专用合同条款数据表中写明的限额。发包人可以从应付或到期应付给承包人的任何 款项中或采用其他方法扣除此违约金。</w:t>
      </w:r>
    </w:p>
    <w:p w14:paraId="70B3DE1D">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（4）承包人支付逾期竣工建约金，不免除承包人完成工程及修补缺陷的义务。</w:t>
      </w:r>
    </w:p>
    <w:p w14:paraId="3280C89B">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5）如果在合同工作完工之前，已对合同工程内按时完工的单位工程签发了工程接收证书，则合同工程的逾期竣工违约金，应按已签发工程接收证书的单位工程的价值占合同工程价值的比例予以减少，但本规定不应影响逾期竣工违约金的规定限额。</w:t>
      </w:r>
    </w:p>
    <w:p w14:paraId="69076BE0">
      <w:pPr>
        <w:keepNext/>
        <w:keepLines/>
        <w:spacing w:line="440" w:lineRule="exact"/>
        <w:ind w:firstLine="482" w:firstLineChars="200"/>
        <w:rPr>
          <w:rFonts w:hint="eastAsia" w:ascii="宋体" w:hAnsi="宋体" w:cs="宋体"/>
          <w:b/>
          <w:bCs/>
          <w:kern w:val="44"/>
          <w:sz w:val="24"/>
          <w:szCs w:val="24"/>
        </w:rPr>
      </w:pPr>
      <w:bookmarkStart w:id="1106" w:name="_Toc479265589"/>
      <w:bookmarkStart w:id="1107" w:name="_Toc513212855"/>
      <w:bookmarkStart w:id="1108" w:name="_Toc512689702"/>
      <w:bookmarkStart w:id="1109" w:name="_Toc513132335"/>
      <w:bookmarkStart w:id="1110" w:name="_Toc3475574"/>
      <w:bookmarkStart w:id="1111" w:name="_Toc234382884"/>
      <w:bookmarkStart w:id="1112" w:name="_Toc479237760"/>
      <w:bookmarkStart w:id="1113" w:name="_Toc480282335"/>
      <w:bookmarkStart w:id="1114" w:name="_Toc192710505"/>
      <w:bookmarkStart w:id="1115" w:name="_Toc488083569"/>
      <w:r>
        <w:rPr>
          <w:rFonts w:hint="eastAsia" w:ascii="宋体" w:hAnsi="宋体" w:cs="宋体"/>
          <w:b/>
          <w:bCs/>
          <w:kern w:val="44"/>
          <w:sz w:val="24"/>
          <w:szCs w:val="24"/>
        </w:rPr>
        <w:t>11．6工期提前</w:t>
      </w:r>
      <w:bookmarkEnd w:id="1106"/>
      <w:bookmarkEnd w:id="1107"/>
      <w:bookmarkEnd w:id="1108"/>
      <w:bookmarkEnd w:id="1109"/>
      <w:bookmarkEnd w:id="1110"/>
      <w:bookmarkEnd w:id="1111"/>
      <w:bookmarkEnd w:id="1112"/>
      <w:bookmarkEnd w:id="1113"/>
      <w:bookmarkEnd w:id="1114"/>
      <w:bookmarkEnd w:id="1115"/>
    </w:p>
    <w:p w14:paraId="674003E1">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本款补充：</w:t>
      </w:r>
    </w:p>
    <w:p w14:paraId="1E628A9E">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发包人不得随意要求承包人提前交工，承包人也不得随意提出提前交工的建议。如遇特殊情况，确需将工期提前的，发包人和承包人必须采取有效措施，确保工程质量。</w:t>
      </w:r>
    </w:p>
    <w:p w14:paraId="17F66AC2">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如果承包人提前交工，发包人支付奖金的计算方法在项目专用合同条款数据表中约定，时间自交工验收证书中写明的实际交工日期起至预定的交工日期止，按天计算。但奖金最高限额不超过项目专用合同条款数据表中写明的限额。</w:t>
      </w:r>
    </w:p>
    <w:p w14:paraId="1D8DEA7D">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补充11.7款：</w:t>
      </w:r>
    </w:p>
    <w:p w14:paraId="3B2F5062">
      <w:pPr>
        <w:keepNext/>
        <w:keepLines/>
        <w:spacing w:line="440" w:lineRule="exact"/>
        <w:ind w:firstLine="482" w:firstLineChars="200"/>
        <w:rPr>
          <w:rFonts w:hint="eastAsia" w:ascii="宋体" w:hAnsi="宋体" w:cs="宋体"/>
          <w:b/>
          <w:bCs/>
          <w:kern w:val="44"/>
          <w:sz w:val="24"/>
          <w:szCs w:val="24"/>
        </w:rPr>
      </w:pPr>
      <w:bookmarkStart w:id="1116" w:name="_Toc488083570"/>
      <w:bookmarkStart w:id="1117" w:name="_Toc234382885"/>
      <w:bookmarkStart w:id="1118" w:name="_Toc192710506"/>
      <w:bookmarkStart w:id="1119" w:name="_Toc513212856"/>
      <w:bookmarkStart w:id="1120" w:name="_Toc513132336"/>
      <w:bookmarkStart w:id="1121" w:name="_Toc512689703"/>
      <w:bookmarkStart w:id="1122" w:name="_Toc479265590"/>
      <w:bookmarkStart w:id="1123" w:name="_Toc3475575"/>
      <w:bookmarkStart w:id="1124" w:name="_Toc480282336"/>
      <w:bookmarkStart w:id="1125" w:name="_Toc479237761"/>
      <w:r>
        <w:rPr>
          <w:rFonts w:hint="eastAsia" w:ascii="宋体" w:hAnsi="宋体" w:cs="宋体"/>
          <w:b/>
          <w:bCs/>
          <w:kern w:val="44"/>
          <w:sz w:val="24"/>
          <w:szCs w:val="24"/>
        </w:rPr>
        <w:t>11．7工作时间的限制</w:t>
      </w:r>
      <w:bookmarkEnd w:id="1116"/>
      <w:bookmarkEnd w:id="1117"/>
      <w:bookmarkEnd w:id="1118"/>
      <w:bookmarkEnd w:id="1119"/>
      <w:bookmarkEnd w:id="1120"/>
      <w:bookmarkEnd w:id="1121"/>
      <w:bookmarkEnd w:id="1122"/>
      <w:bookmarkEnd w:id="1123"/>
      <w:bookmarkEnd w:id="1124"/>
      <w:bookmarkEnd w:id="1125"/>
    </w:p>
    <w:p w14:paraId="23AD3B56">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承包人在夜间或国家规定的节假日进行永久工程的施工，应向监理人报告，以便监理人履行监理人履行监理职责和义务。</w:t>
      </w:r>
    </w:p>
    <w:p w14:paraId="51EB79DD">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但是，为了抢救生命或保护财产，或为了工程的安全、质量而不可避免地短暂作业，则不必事先向监理人报告。但承包人应在事后立即向监理人报告。</w:t>
      </w:r>
    </w:p>
    <w:p w14:paraId="74597817">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本款规定不适用于习惯上或施工本身要求实行连续生产的作业。</w:t>
      </w:r>
    </w:p>
    <w:p w14:paraId="342D35A9">
      <w:pPr>
        <w:keepNext/>
        <w:keepLines/>
        <w:spacing w:line="440" w:lineRule="exact"/>
        <w:ind w:firstLine="482" w:firstLineChars="200"/>
        <w:rPr>
          <w:rFonts w:hint="eastAsia" w:ascii="宋体" w:hAnsi="宋体" w:cs="宋体"/>
          <w:b/>
          <w:bCs/>
          <w:kern w:val="44"/>
          <w:sz w:val="24"/>
          <w:szCs w:val="24"/>
        </w:rPr>
      </w:pPr>
      <w:bookmarkStart w:id="1126" w:name="_Toc234382886"/>
      <w:bookmarkStart w:id="1127" w:name="_Toc512689704"/>
      <w:bookmarkStart w:id="1128" w:name="_Toc480282337"/>
      <w:bookmarkStart w:id="1129" w:name="_Toc488083571"/>
      <w:bookmarkStart w:id="1130" w:name="_Toc513212857"/>
      <w:bookmarkStart w:id="1131" w:name="_Toc479265591"/>
      <w:bookmarkStart w:id="1132" w:name="_Toc479237762"/>
      <w:bookmarkStart w:id="1133" w:name="_Toc192710507"/>
      <w:bookmarkStart w:id="1134" w:name="_Toc3475576"/>
      <w:bookmarkStart w:id="1135" w:name="_Toc513132337"/>
      <w:r>
        <w:rPr>
          <w:rFonts w:hint="eastAsia" w:ascii="宋体" w:hAnsi="宋体" w:cs="宋体"/>
          <w:b/>
          <w:bCs/>
          <w:kern w:val="44"/>
          <w:sz w:val="24"/>
          <w:szCs w:val="24"/>
        </w:rPr>
        <w:t>12．暂停施工</w:t>
      </w:r>
      <w:bookmarkEnd w:id="1126"/>
      <w:bookmarkEnd w:id="1127"/>
      <w:bookmarkEnd w:id="1128"/>
      <w:bookmarkEnd w:id="1129"/>
      <w:bookmarkEnd w:id="1130"/>
      <w:bookmarkEnd w:id="1131"/>
      <w:bookmarkEnd w:id="1132"/>
      <w:bookmarkEnd w:id="1133"/>
      <w:bookmarkEnd w:id="1134"/>
      <w:bookmarkEnd w:id="1135"/>
    </w:p>
    <w:p w14:paraId="736DF9B4">
      <w:pPr>
        <w:keepNext/>
        <w:keepLines/>
        <w:spacing w:line="440" w:lineRule="exact"/>
        <w:ind w:firstLine="482" w:firstLineChars="200"/>
        <w:rPr>
          <w:rFonts w:hint="eastAsia" w:ascii="宋体" w:hAnsi="宋体" w:cs="宋体"/>
          <w:b/>
          <w:bCs/>
          <w:kern w:val="44"/>
          <w:sz w:val="24"/>
          <w:szCs w:val="24"/>
        </w:rPr>
      </w:pPr>
      <w:bookmarkStart w:id="1136" w:name="_Toc512689705"/>
      <w:bookmarkStart w:id="1137" w:name="_Toc3475577"/>
      <w:bookmarkStart w:id="1138" w:name="_Toc479265592"/>
      <w:bookmarkStart w:id="1139" w:name="_Toc192710508"/>
      <w:bookmarkStart w:id="1140" w:name="_Toc480282338"/>
      <w:bookmarkStart w:id="1141" w:name="_Toc513212858"/>
      <w:bookmarkStart w:id="1142" w:name="_Toc488083572"/>
      <w:bookmarkStart w:id="1143" w:name="_Toc234382887"/>
      <w:bookmarkStart w:id="1144" w:name="_Toc479237763"/>
      <w:bookmarkStart w:id="1145" w:name="_Toc513132338"/>
      <w:r>
        <w:rPr>
          <w:rFonts w:hint="eastAsia" w:ascii="宋体" w:hAnsi="宋体" w:cs="宋体"/>
          <w:b/>
          <w:bCs/>
          <w:kern w:val="44"/>
          <w:sz w:val="24"/>
          <w:szCs w:val="24"/>
        </w:rPr>
        <w:t>12．1承包人暂停施工的责任</w:t>
      </w:r>
      <w:bookmarkEnd w:id="1136"/>
      <w:bookmarkEnd w:id="1137"/>
      <w:bookmarkEnd w:id="1138"/>
      <w:bookmarkEnd w:id="1139"/>
      <w:bookmarkEnd w:id="1140"/>
      <w:bookmarkEnd w:id="1141"/>
      <w:bookmarkEnd w:id="1142"/>
      <w:bookmarkEnd w:id="1143"/>
      <w:bookmarkEnd w:id="1144"/>
      <w:bookmarkEnd w:id="1145"/>
    </w:p>
    <w:p w14:paraId="04548E3D">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本款第（5）项细化为：</w:t>
      </w:r>
    </w:p>
    <w:p w14:paraId="4F2B7A19">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（5）现场气候条件导致的必要停工（第11.4款规定的异常恶劣的气候条件除外）；</w:t>
      </w:r>
    </w:p>
    <w:p w14:paraId="6F359A62">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（6）项目专用合同条款约定的由承包人承担的其他暂停施工。</w:t>
      </w:r>
    </w:p>
    <w:p w14:paraId="4478C79A">
      <w:pPr>
        <w:keepNext/>
        <w:keepLines/>
        <w:spacing w:line="440" w:lineRule="exact"/>
        <w:ind w:firstLine="482" w:firstLineChars="200"/>
        <w:rPr>
          <w:rFonts w:hint="eastAsia" w:ascii="宋体" w:hAnsi="宋体" w:cs="宋体"/>
          <w:b/>
          <w:bCs/>
          <w:kern w:val="44"/>
          <w:sz w:val="24"/>
          <w:szCs w:val="24"/>
        </w:rPr>
      </w:pPr>
      <w:bookmarkStart w:id="1146" w:name="_Toc512689706"/>
      <w:bookmarkStart w:id="1147" w:name="_Toc513212859"/>
      <w:bookmarkStart w:id="1148" w:name="_Toc234382888"/>
      <w:bookmarkStart w:id="1149" w:name="_Toc480282339"/>
      <w:bookmarkStart w:id="1150" w:name="_Toc488083573"/>
      <w:bookmarkStart w:id="1151" w:name="_Toc192710509"/>
      <w:bookmarkStart w:id="1152" w:name="_Toc479237764"/>
      <w:bookmarkStart w:id="1153" w:name="_Toc479265593"/>
      <w:bookmarkStart w:id="1154" w:name="_Toc3475578"/>
      <w:bookmarkStart w:id="1155" w:name="_Toc513132339"/>
      <w:r>
        <w:rPr>
          <w:rFonts w:hint="eastAsia" w:ascii="宋体" w:hAnsi="宋体" w:cs="宋体"/>
          <w:b/>
          <w:bCs/>
          <w:kern w:val="44"/>
          <w:sz w:val="24"/>
          <w:szCs w:val="24"/>
        </w:rPr>
        <w:t>13．工程质量</w:t>
      </w:r>
      <w:bookmarkEnd w:id="1146"/>
      <w:bookmarkEnd w:id="1147"/>
      <w:bookmarkEnd w:id="1148"/>
      <w:bookmarkEnd w:id="1149"/>
      <w:bookmarkEnd w:id="1150"/>
      <w:bookmarkEnd w:id="1151"/>
      <w:bookmarkEnd w:id="1152"/>
      <w:bookmarkEnd w:id="1153"/>
      <w:bookmarkEnd w:id="1154"/>
      <w:bookmarkEnd w:id="1155"/>
    </w:p>
    <w:p w14:paraId="4445A9C5">
      <w:pPr>
        <w:keepNext/>
        <w:keepLines/>
        <w:spacing w:line="440" w:lineRule="exact"/>
        <w:ind w:firstLine="482" w:firstLineChars="200"/>
        <w:rPr>
          <w:rFonts w:hint="eastAsia" w:ascii="宋体" w:hAnsi="宋体" w:cs="宋体"/>
          <w:b/>
          <w:bCs/>
          <w:kern w:val="44"/>
          <w:sz w:val="24"/>
          <w:szCs w:val="24"/>
        </w:rPr>
      </w:pPr>
      <w:bookmarkStart w:id="1156" w:name="_Toc513212860"/>
      <w:bookmarkStart w:id="1157" w:name="_Toc480282340"/>
      <w:bookmarkStart w:id="1158" w:name="_Toc234382889"/>
      <w:bookmarkStart w:id="1159" w:name="_Toc479237765"/>
      <w:bookmarkStart w:id="1160" w:name="_Toc513132340"/>
      <w:bookmarkStart w:id="1161" w:name="_Toc192710510"/>
      <w:bookmarkStart w:id="1162" w:name="_Toc512689707"/>
      <w:bookmarkStart w:id="1163" w:name="_Toc479265594"/>
      <w:bookmarkStart w:id="1164" w:name="_Toc488083574"/>
      <w:bookmarkStart w:id="1165" w:name="_Toc3475579"/>
      <w:r>
        <w:rPr>
          <w:rFonts w:hint="eastAsia" w:ascii="宋体" w:hAnsi="宋体" w:cs="宋体"/>
          <w:b/>
          <w:bCs/>
          <w:kern w:val="44"/>
          <w:sz w:val="24"/>
          <w:szCs w:val="24"/>
        </w:rPr>
        <w:t>13．1工程质量要求</w:t>
      </w:r>
      <w:bookmarkEnd w:id="1156"/>
      <w:bookmarkEnd w:id="1157"/>
      <w:bookmarkEnd w:id="1158"/>
      <w:bookmarkEnd w:id="1159"/>
      <w:bookmarkEnd w:id="1160"/>
      <w:bookmarkEnd w:id="1161"/>
      <w:bookmarkEnd w:id="1162"/>
      <w:bookmarkEnd w:id="1163"/>
      <w:bookmarkEnd w:id="1164"/>
      <w:bookmarkEnd w:id="1165"/>
    </w:p>
    <w:p w14:paraId="572A598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13.1.1</w:t>
      </w:r>
      <w:r>
        <w:rPr>
          <w:rFonts w:hint="eastAsia" w:ascii="宋体" w:hAnsi="宋体" w:cs="宋体"/>
          <w:kern w:val="0"/>
          <w:sz w:val="24"/>
          <w:szCs w:val="24"/>
        </w:rPr>
        <w:t>项约定为：</w:t>
      </w:r>
    </w:p>
    <w:p w14:paraId="1988FEF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工程质量验收按技术规范及《公路工程质量检验评定标准》执行。</w:t>
      </w:r>
    </w:p>
    <w:p w14:paraId="1634208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本款补充第</w:t>
      </w:r>
      <w:r>
        <w:rPr>
          <w:rFonts w:ascii="宋体" w:hAnsi="宋体" w:cs="宋体"/>
          <w:kern w:val="0"/>
          <w:sz w:val="24"/>
          <w:szCs w:val="24"/>
        </w:rPr>
        <w:t>13.1.4</w:t>
      </w:r>
      <w:r>
        <w:rPr>
          <w:rFonts w:hint="eastAsia" w:ascii="宋体" w:hAnsi="宋体" w:cs="宋体"/>
          <w:kern w:val="0"/>
          <w:sz w:val="24"/>
          <w:szCs w:val="24"/>
        </w:rPr>
        <w:t>和</w:t>
      </w:r>
      <w:r>
        <w:rPr>
          <w:rFonts w:ascii="宋体" w:hAnsi="宋体" w:cs="宋体"/>
          <w:kern w:val="0"/>
          <w:sz w:val="24"/>
          <w:szCs w:val="24"/>
        </w:rPr>
        <w:t>13.1.5</w:t>
      </w:r>
      <w:r>
        <w:rPr>
          <w:rFonts w:hint="eastAsia" w:ascii="宋体" w:hAnsi="宋体" w:cs="宋体"/>
          <w:kern w:val="0"/>
          <w:sz w:val="24"/>
          <w:szCs w:val="24"/>
        </w:rPr>
        <w:t>项：</w:t>
      </w:r>
    </w:p>
    <w:p w14:paraId="3143B9F0">
      <w:pPr>
        <w:spacing w:line="440" w:lineRule="exact"/>
        <w:ind w:firstLine="480" w:firstLineChars="200"/>
        <w:rPr>
          <w:rFonts w:ascii="宋体" w:hAnsi="宋体" w:cs="宋体"/>
          <w:kern w:val="0"/>
          <w:sz w:val="24"/>
          <w:szCs w:val="24"/>
        </w:rPr>
      </w:pPr>
      <w:r>
        <w:rPr>
          <w:rFonts w:ascii="宋体" w:hAnsi="宋体" w:cs="宋体"/>
          <w:kern w:val="0"/>
          <w:sz w:val="24"/>
          <w:szCs w:val="24"/>
        </w:rPr>
        <w:t>13.1.4</w:t>
      </w:r>
      <w:r>
        <w:rPr>
          <w:rFonts w:hint="eastAsia" w:ascii="宋体" w:hAnsi="宋体" w:cs="宋体"/>
          <w:kern w:val="0"/>
          <w:sz w:val="24"/>
          <w:szCs w:val="24"/>
        </w:rPr>
        <w:t>发包人和承包人应严格遵守《关于严格落实公路工程质量责任制的若干意见》的相关规定，认真执行工程质量责任登记制度并按要求填写工程质量责任登记表。</w:t>
      </w:r>
    </w:p>
    <w:p w14:paraId="4C5C2D4F">
      <w:pPr>
        <w:spacing w:line="440" w:lineRule="exact"/>
        <w:ind w:firstLine="480" w:firstLineChars="200"/>
        <w:rPr>
          <w:rFonts w:ascii="宋体" w:hAnsi="宋体" w:cs="宋体"/>
          <w:kern w:val="0"/>
          <w:sz w:val="24"/>
          <w:szCs w:val="24"/>
        </w:rPr>
      </w:pPr>
      <w:r>
        <w:rPr>
          <w:rFonts w:ascii="宋体" w:hAnsi="宋体" w:cs="宋体"/>
          <w:kern w:val="0"/>
          <w:sz w:val="24"/>
          <w:szCs w:val="24"/>
        </w:rPr>
        <w:t>13.1.5</w:t>
      </w:r>
      <w:r>
        <w:rPr>
          <w:rFonts w:hint="eastAsia" w:ascii="宋体" w:hAnsi="宋体" w:cs="宋体"/>
          <w:kern w:val="0"/>
          <w:sz w:val="24"/>
          <w:szCs w:val="24"/>
        </w:rPr>
        <w:t>本项目严格执行质量责任追究制度。质量事故处理实行“四不放过”原则：事故原因调查不清不放过；事故责任者没有受到教育不放过；没有防范措施不放过；相关责任人没受到处理不放过。</w:t>
      </w:r>
    </w:p>
    <w:p w14:paraId="5FBE7B31">
      <w:pPr>
        <w:keepNext/>
        <w:keepLines/>
        <w:spacing w:line="440" w:lineRule="exact"/>
        <w:ind w:firstLine="482" w:firstLineChars="200"/>
        <w:rPr>
          <w:rFonts w:hint="eastAsia" w:ascii="宋体" w:hAnsi="宋体" w:cs="宋体"/>
          <w:b/>
          <w:bCs/>
          <w:kern w:val="44"/>
          <w:sz w:val="24"/>
          <w:szCs w:val="24"/>
        </w:rPr>
      </w:pPr>
      <w:bookmarkStart w:id="1166" w:name="_Toc488083575"/>
      <w:bookmarkStart w:id="1167" w:name="_Toc512689708"/>
      <w:bookmarkStart w:id="1168" w:name="_Toc192710511"/>
      <w:bookmarkStart w:id="1169" w:name="_Toc513132341"/>
      <w:bookmarkStart w:id="1170" w:name="_Toc479265595"/>
      <w:bookmarkStart w:id="1171" w:name="_Toc234382890"/>
      <w:bookmarkStart w:id="1172" w:name="_Toc479237766"/>
      <w:bookmarkStart w:id="1173" w:name="_Toc3475580"/>
      <w:bookmarkStart w:id="1174" w:name="_Toc480282341"/>
      <w:bookmarkStart w:id="1175" w:name="_Toc513212861"/>
      <w:r>
        <w:rPr>
          <w:rFonts w:hint="eastAsia" w:ascii="宋体" w:hAnsi="宋体" w:cs="宋体"/>
          <w:b/>
          <w:bCs/>
          <w:kern w:val="44"/>
          <w:sz w:val="24"/>
          <w:szCs w:val="24"/>
        </w:rPr>
        <w:t>13．2承包人的质量管理</w:t>
      </w:r>
      <w:bookmarkEnd w:id="1166"/>
      <w:bookmarkEnd w:id="1167"/>
      <w:bookmarkEnd w:id="1168"/>
      <w:bookmarkEnd w:id="1169"/>
      <w:bookmarkEnd w:id="1170"/>
      <w:bookmarkEnd w:id="1171"/>
      <w:bookmarkEnd w:id="1172"/>
      <w:bookmarkEnd w:id="1173"/>
      <w:bookmarkEnd w:id="1174"/>
      <w:bookmarkEnd w:id="1175"/>
    </w:p>
    <w:p w14:paraId="01883C0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13.2.1</w:t>
      </w:r>
      <w:r>
        <w:rPr>
          <w:rFonts w:hint="eastAsia" w:ascii="宋体" w:hAnsi="宋体" w:cs="宋体"/>
          <w:kern w:val="0"/>
          <w:sz w:val="24"/>
          <w:szCs w:val="24"/>
        </w:rPr>
        <w:t>项补充：</w:t>
      </w:r>
    </w:p>
    <w:p w14:paraId="3A79D1F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承包人提交工程质量保证措施文件的期限：签订合同协议书后</w:t>
      </w:r>
      <w:r>
        <w:rPr>
          <w:rFonts w:ascii="宋体" w:hAnsi="宋体" w:cs="宋体"/>
          <w:kern w:val="0"/>
          <w:sz w:val="24"/>
          <w:szCs w:val="24"/>
        </w:rPr>
        <w:t>28</w:t>
      </w:r>
      <w:r>
        <w:rPr>
          <w:rFonts w:hint="eastAsia" w:ascii="宋体" w:hAnsi="宋体" w:cs="宋体"/>
          <w:kern w:val="0"/>
          <w:sz w:val="24"/>
          <w:szCs w:val="24"/>
        </w:rPr>
        <w:t>天之内。</w:t>
      </w:r>
    </w:p>
    <w:p w14:paraId="7F6F02DA">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本款补充第</w:t>
      </w:r>
      <w:r>
        <w:rPr>
          <w:rFonts w:ascii="宋体" w:hAnsi="宋体" w:cs="宋体"/>
          <w:kern w:val="0"/>
          <w:sz w:val="24"/>
          <w:szCs w:val="24"/>
        </w:rPr>
        <w:t>13.2.3</w:t>
      </w:r>
      <w:r>
        <w:rPr>
          <w:rFonts w:hint="eastAsia" w:ascii="宋体" w:hAnsi="宋体" w:cs="宋体"/>
          <w:kern w:val="0"/>
          <w:sz w:val="24"/>
          <w:szCs w:val="24"/>
        </w:rPr>
        <w:t>项～第</w:t>
      </w:r>
      <w:r>
        <w:rPr>
          <w:rFonts w:ascii="宋体" w:hAnsi="宋体" w:cs="宋体"/>
          <w:kern w:val="0"/>
          <w:sz w:val="24"/>
          <w:szCs w:val="24"/>
        </w:rPr>
        <w:t>13.2.6</w:t>
      </w:r>
      <w:r>
        <w:rPr>
          <w:rFonts w:hint="eastAsia" w:ascii="宋体" w:hAnsi="宋体" w:cs="宋体"/>
          <w:kern w:val="0"/>
          <w:sz w:val="24"/>
          <w:szCs w:val="24"/>
        </w:rPr>
        <w:t>项：</w:t>
      </w:r>
    </w:p>
    <w:p w14:paraId="34B75AE9">
      <w:pPr>
        <w:spacing w:line="440" w:lineRule="exact"/>
        <w:ind w:firstLine="480" w:firstLineChars="200"/>
        <w:rPr>
          <w:rFonts w:ascii="宋体" w:hAnsi="宋体" w:cs="宋体"/>
          <w:kern w:val="0"/>
          <w:sz w:val="24"/>
          <w:szCs w:val="24"/>
        </w:rPr>
      </w:pPr>
      <w:r>
        <w:rPr>
          <w:rFonts w:ascii="宋体" w:hAnsi="宋体" w:cs="宋体"/>
          <w:kern w:val="0"/>
          <w:sz w:val="24"/>
          <w:szCs w:val="24"/>
        </w:rPr>
        <w:t>13.2.3公路工程施行质量责任终身制 。承包人应当书面明确相应的项目负责人和质量负责人。承包人的相关人员按照国家法律法规和有关规定在工程合理使用年限内承担相应的质量责任。</w:t>
      </w:r>
    </w:p>
    <w:p w14:paraId="5D4B67A5">
      <w:pPr>
        <w:spacing w:line="440" w:lineRule="exact"/>
        <w:ind w:firstLine="480" w:firstLineChars="200"/>
        <w:rPr>
          <w:rFonts w:ascii="宋体" w:hAnsi="宋体" w:cs="宋体"/>
          <w:kern w:val="0"/>
          <w:sz w:val="24"/>
          <w:szCs w:val="24"/>
        </w:rPr>
      </w:pPr>
      <w:r>
        <w:rPr>
          <w:rFonts w:ascii="宋体" w:hAnsi="宋体" w:cs="宋体"/>
          <w:kern w:val="0"/>
          <w:sz w:val="24"/>
          <w:szCs w:val="24"/>
        </w:rPr>
        <w:t>13.2.4承包人应当建立健全工程质量保证体系，制定质量管理制度，强化工程质量管理措施，完善工程质量目标保障机制;严格遵守国家有关法律、法规和规章，严格执行公路工程强制性技术标准</w:t>
      </w:r>
      <w:r>
        <w:rPr>
          <w:rFonts w:hint="eastAsia" w:ascii="宋体" w:hAnsi="宋体" w:cs="宋体"/>
          <w:kern w:val="0"/>
          <w:sz w:val="24"/>
          <w:szCs w:val="24"/>
        </w:rPr>
        <w:t>、</w:t>
      </w:r>
      <w:r>
        <w:rPr>
          <w:rFonts w:ascii="宋体" w:hAnsi="宋体" w:cs="宋体"/>
          <w:kern w:val="0"/>
          <w:sz w:val="24"/>
          <w:szCs w:val="24"/>
        </w:rPr>
        <w:t>各类技术规范及规程，全面履行工程合同义务 。</w:t>
      </w:r>
    </w:p>
    <w:p w14:paraId="7A5881CF">
      <w:pPr>
        <w:spacing w:line="440" w:lineRule="exact"/>
        <w:ind w:firstLine="480" w:firstLineChars="200"/>
        <w:rPr>
          <w:rFonts w:ascii="宋体" w:hAnsi="宋体" w:cs="宋体"/>
          <w:kern w:val="0"/>
          <w:sz w:val="24"/>
          <w:szCs w:val="24"/>
        </w:rPr>
      </w:pPr>
      <w:r>
        <w:rPr>
          <w:rFonts w:ascii="宋体" w:hAnsi="宋体" w:cs="宋体"/>
          <w:kern w:val="0"/>
          <w:sz w:val="24"/>
          <w:szCs w:val="24"/>
        </w:rPr>
        <w:t>13.2.5承包人对工程施工质量负责</w:t>
      </w:r>
      <w:r>
        <w:rPr>
          <w:rFonts w:hint="eastAsia" w:ascii="宋体" w:hAnsi="宋体" w:cs="宋体"/>
          <w:kern w:val="0"/>
          <w:sz w:val="24"/>
          <w:szCs w:val="24"/>
        </w:rPr>
        <w:t>，</w:t>
      </w:r>
      <w:r>
        <w:rPr>
          <w:rFonts w:ascii="宋体" w:hAnsi="宋体" w:cs="宋体"/>
          <w:kern w:val="0"/>
          <w:sz w:val="24"/>
          <w:szCs w:val="24"/>
        </w:rPr>
        <w:t>应当按合同约定设立现场质量管理机构、配备工程技术人员和质量管理人员，落实工程施工质量责任制 。</w:t>
      </w:r>
    </w:p>
    <w:p w14:paraId="680F1E78">
      <w:pPr>
        <w:spacing w:line="440" w:lineRule="exact"/>
        <w:ind w:firstLine="480" w:firstLineChars="200"/>
        <w:rPr>
          <w:rFonts w:hint="eastAsia" w:ascii="宋体" w:hAnsi="宋体" w:cs="宋体"/>
          <w:kern w:val="0"/>
          <w:sz w:val="24"/>
          <w:szCs w:val="24"/>
        </w:rPr>
      </w:pPr>
      <w:r>
        <w:rPr>
          <w:rFonts w:ascii="宋体" w:hAnsi="宋体" w:cs="宋体"/>
          <w:kern w:val="0"/>
          <w:sz w:val="24"/>
          <w:szCs w:val="24"/>
        </w:rPr>
        <w:t>13.2.6承包人应当严格按照工程设计图纸、施工技术标准和合同约定施工，对原材料 、混合料 、构配件、工程实体、机电设备等进行检验 :按规定施行班组自检、工序交接检、专职质检员检验的质量控制程序:对分项工程、分部工程和单位工程进行质量自评。检验或者自评不合格的，不得进入下道工序或者投入使用。</w:t>
      </w:r>
    </w:p>
    <w:p w14:paraId="06E3320E">
      <w:pPr>
        <w:keepNext/>
        <w:keepLines/>
        <w:spacing w:line="440" w:lineRule="exact"/>
        <w:ind w:firstLine="482" w:firstLineChars="200"/>
        <w:rPr>
          <w:rFonts w:hint="eastAsia" w:ascii="宋体" w:hAnsi="宋体" w:cs="宋体"/>
          <w:b/>
          <w:bCs/>
          <w:kern w:val="44"/>
          <w:sz w:val="24"/>
          <w:szCs w:val="24"/>
        </w:rPr>
      </w:pPr>
      <w:bookmarkStart w:id="1176" w:name="_Toc513132342"/>
      <w:bookmarkStart w:id="1177" w:name="_Toc480282342"/>
      <w:bookmarkStart w:id="1178" w:name="_Toc513212862"/>
      <w:bookmarkStart w:id="1179" w:name="_Toc479265596"/>
      <w:bookmarkStart w:id="1180" w:name="_Toc479237767"/>
      <w:bookmarkStart w:id="1181" w:name="_Toc234382891"/>
      <w:bookmarkStart w:id="1182" w:name="_Toc192710512"/>
      <w:bookmarkStart w:id="1183" w:name="_Toc512689709"/>
      <w:bookmarkStart w:id="1184" w:name="_Toc488083576"/>
      <w:bookmarkStart w:id="1185" w:name="_Toc3475581"/>
      <w:r>
        <w:rPr>
          <w:rFonts w:hint="eastAsia" w:ascii="宋体" w:hAnsi="宋体" w:cs="宋体"/>
          <w:b/>
          <w:bCs/>
          <w:kern w:val="44"/>
          <w:sz w:val="24"/>
          <w:szCs w:val="24"/>
        </w:rPr>
        <w:t>13．4监理人的质量检查</w:t>
      </w:r>
      <w:bookmarkEnd w:id="1176"/>
      <w:bookmarkEnd w:id="1177"/>
      <w:bookmarkEnd w:id="1178"/>
      <w:bookmarkEnd w:id="1179"/>
      <w:bookmarkEnd w:id="1180"/>
      <w:bookmarkEnd w:id="1181"/>
      <w:bookmarkEnd w:id="1182"/>
      <w:bookmarkEnd w:id="1183"/>
      <w:bookmarkEnd w:id="1184"/>
      <w:bookmarkEnd w:id="1185"/>
    </w:p>
    <w:p w14:paraId="52990338">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本款补充：</w:t>
      </w:r>
    </w:p>
    <w:p w14:paraId="4704FDFC">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监理人及其委派的检验人员，应能进入工程现场，以及材料或工程设备的制造、加工或制配的车间和场所，包括不属于承包人的车间或场所进行检查，承包人应为此提供便利和协助。</w:t>
      </w:r>
    </w:p>
    <w:p w14:paraId="731AD34C">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监理人可以将材料或工程设备的检查委托给一家独立的有质量检验认证资格的检验单位。该独立检验单位的检验结果应视为监理人完成的。监理人应将这种委托的通知书不少于</w:t>
      </w:r>
      <w:r>
        <w:rPr>
          <w:rFonts w:ascii="宋体" w:hAnsi="宋体" w:cs="宋体"/>
          <w:kern w:val="0"/>
          <w:sz w:val="24"/>
          <w:szCs w:val="24"/>
        </w:rPr>
        <w:t>7</w:t>
      </w:r>
      <w:r>
        <w:rPr>
          <w:rFonts w:hint="eastAsia" w:ascii="宋体" w:hAnsi="宋体" w:cs="宋体"/>
          <w:kern w:val="0"/>
          <w:sz w:val="24"/>
          <w:szCs w:val="24"/>
        </w:rPr>
        <w:t>天交给承包人。</w:t>
      </w:r>
    </w:p>
    <w:p w14:paraId="7BD44913">
      <w:pPr>
        <w:keepNext/>
        <w:keepLines/>
        <w:spacing w:line="440" w:lineRule="exact"/>
        <w:ind w:firstLine="482" w:firstLineChars="200"/>
        <w:rPr>
          <w:rFonts w:hint="eastAsia" w:ascii="宋体" w:hAnsi="宋体" w:cs="宋体"/>
          <w:b/>
          <w:bCs/>
          <w:kern w:val="44"/>
          <w:sz w:val="24"/>
          <w:szCs w:val="24"/>
        </w:rPr>
      </w:pPr>
      <w:bookmarkStart w:id="1186" w:name="_Toc480282344"/>
      <w:bookmarkStart w:id="1187" w:name="_Toc513212864"/>
      <w:bookmarkStart w:id="1188" w:name="_Toc192710514"/>
      <w:bookmarkStart w:id="1189" w:name="_Toc3475583"/>
      <w:bookmarkStart w:id="1190" w:name="_Toc488083578"/>
      <w:bookmarkStart w:id="1191" w:name="_Toc479237769"/>
      <w:bookmarkStart w:id="1192" w:name="_Toc479265598"/>
      <w:bookmarkStart w:id="1193" w:name="_Toc512689711"/>
      <w:bookmarkStart w:id="1194" w:name="_Toc234382893"/>
      <w:bookmarkStart w:id="1195" w:name="_Toc513132344"/>
      <w:r>
        <w:rPr>
          <w:rFonts w:hint="eastAsia" w:ascii="宋体" w:hAnsi="宋体" w:cs="宋体"/>
          <w:b/>
          <w:bCs/>
          <w:kern w:val="44"/>
          <w:sz w:val="24"/>
          <w:szCs w:val="24"/>
        </w:rPr>
        <w:t>13．6清除不合格工程</w:t>
      </w:r>
      <w:bookmarkEnd w:id="1186"/>
      <w:bookmarkEnd w:id="1187"/>
      <w:bookmarkEnd w:id="1188"/>
      <w:bookmarkEnd w:id="1189"/>
      <w:bookmarkEnd w:id="1190"/>
      <w:bookmarkEnd w:id="1191"/>
      <w:bookmarkEnd w:id="1192"/>
      <w:bookmarkEnd w:id="1193"/>
      <w:bookmarkEnd w:id="1194"/>
      <w:bookmarkEnd w:id="1195"/>
    </w:p>
    <w:p w14:paraId="543EF7C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13.6.1</w:t>
      </w:r>
      <w:r>
        <w:rPr>
          <w:rFonts w:hint="eastAsia" w:ascii="宋体" w:hAnsi="宋体" w:cs="宋体"/>
          <w:kern w:val="0"/>
          <w:sz w:val="24"/>
          <w:szCs w:val="24"/>
        </w:rPr>
        <w:t>项细化为：</w:t>
      </w:r>
    </w:p>
    <w:p w14:paraId="29C5B876">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承包人使用不合格材料、工程设备，或采用不适当的施工工艺，或施工不当，造成工程不合格的，监理人可以随时发出指示，要求承包人立即采取措施进行替换、补救或拆除重建，直至达到合同要求的质量标准，由此增加的费用和（或）工期延误由承包人承担。</w:t>
      </w:r>
    </w:p>
    <w:p w14:paraId="39D2035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）如果承包人未在规定时间内执行监理人的指示，发包人有权雇用他人执行，由此增加的费用和（或）工期延误由承包人承担。</w:t>
      </w:r>
    </w:p>
    <w:p w14:paraId="18AC9468">
      <w:pPr>
        <w:keepNext/>
        <w:keepLines/>
        <w:spacing w:line="440" w:lineRule="exact"/>
        <w:ind w:firstLine="482" w:firstLineChars="200"/>
        <w:rPr>
          <w:rFonts w:hint="eastAsia" w:ascii="宋体" w:hAnsi="宋体" w:cs="宋体"/>
          <w:b/>
          <w:bCs/>
          <w:kern w:val="44"/>
          <w:sz w:val="24"/>
          <w:szCs w:val="24"/>
        </w:rPr>
      </w:pPr>
      <w:bookmarkStart w:id="1196" w:name="_Toc512689712"/>
      <w:bookmarkStart w:id="1197" w:name="_Toc192710515"/>
      <w:bookmarkStart w:id="1198" w:name="_Toc513212865"/>
      <w:bookmarkStart w:id="1199" w:name="_Toc480282345"/>
      <w:bookmarkStart w:id="1200" w:name="_Toc488083579"/>
      <w:bookmarkStart w:id="1201" w:name="_Toc479265599"/>
      <w:bookmarkStart w:id="1202" w:name="_Toc3475584"/>
      <w:bookmarkStart w:id="1203" w:name="_Toc479237770"/>
      <w:bookmarkStart w:id="1204" w:name="_Toc234382894"/>
      <w:bookmarkStart w:id="1205" w:name="_Toc513132345"/>
      <w:r>
        <w:rPr>
          <w:rFonts w:hint="eastAsia" w:ascii="宋体" w:hAnsi="宋体" w:cs="宋体"/>
          <w:b/>
          <w:bCs/>
          <w:kern w:val="44"/>
          <w:sz w:val="24"/>
          <w:szCs w:val="24"/>
        </w:rPr>
        <w:t>14．试验和检验</w:t>
      </w:r>
      <w:bookmarkEnd w:id="1196"/>
      <w:bookmarkEnd w:id="1197"/>
      <w:bookmarkEnd w:id="1198"/>
      <w:bookmarkEnd w:id="1199"/>
      <w:bookmarkEnd w:id="1200"/>
      <w:bookmarkEnd w:id="1201"/>
      <w:bookmarkEnd w:id="1202"/>
      <w:bookmarkEnd w:id="1203"/>
      <w:bookmarkEnd w:id="1204"/>
      <w:bookmarkEnd w:id="1205"/>
    </w:p>
    <w:p w14:paraId="3B26A143">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补充第</w:t>
      </w:r>
      <w:r>
        <w:rPr>
          <w:rFonts w:ascii="宋体" w:hAnsi="宋体" w:cs="宋体"/>
          <w:kern w:val="0"/>
          <w:sz w:val="24"/>
          <w:szCs w:val="24"/>
        </w:rPr>
        <w:t>14.4</w:t>
      </w:r>
      <w:r>
        <w:rPr>
          <w:rFonts w:hint="eastAsia" w:ascii="宋体" w:hAnsi="宋体" w:cs="宋体"/>
          <w:kern w:val="0"/>
          <w:sz w:val="24"/>
          <w:szCs w:val="24"/>
        </w:rPr>
        <w:t>款：</w:t>
      </w:r>
    </w:p>
    <w:p w14:paraId="32E9BC82">
      <w:pPr>
        <w:keepNext/>
        <w:keepLines/>
        <w:spacing w:line="440" w:lineRule="exact"/>
        <w:ind w:firstLine="482" w:firstLineChars="200"/>
        <w:rPr>
          <w:rFonts w:hint="eastAsia" w:ascii="宋体" w:hAnsi="宋体" w:cs="宋体"/>
          <w:b/>
          <w:bCs/>
          <w:kern w:val="44"/>
          <w:sz w:val="24"/>
          <w:szCs w:val="24"/>
        </w:rPr>
      </w:pPr>
      <w:bookmarkStart w:id="1206" w:name="_Toc512689713"/>
      <w:bookmarkStart w:id="1207" w:name="_Toc234382895"/>
      <w:bookmarkStart w:id="1208" w:name="_Toc488083580"/>
      <w:bookmarkStart w:id="1209" w:name="_Toc513212866"/>
      <w:bookmarkStart w:id="1210" w:name="_Toc479237771"/>
      <w:bookmarkStart w:id="1211" w:name="_Toc192710516"/>
      <w:bookmarkStart w:id="1212" w:name="_Toc513132346"/>
      <w:bookmarkStart w:id="1213" w:name="_Toc480282346"/>
      <w:bookmarkStart w:id="1214" w:name="_Toc3475585"/>
      <w:bookmarkStart w:id="1215" w:name="_Toc479265600"/>
      <w:r>
        <w:rPr>
          <w:rFonts w:hint="eastAsia" w:ascii="宋体" w:hAnsi="宋体" w:cs="宋体"/>
          <w:b/>
          <w:bCs/>
          <w:kern w:val="44"/>
          <w:sz w:val="24"/>
          <w:szCs w:val="24"/>
        </w:rPr>
        <w:t>14．4试验和检验费用</w:t>
      </w:r>
      <w:bookmarkEnd w:id="1206"/>
      <w:bookmarkEnd w:id="1207"/>
      <w:bookmarkEnd w:id="1208"/>
      <w:bookmarkEnd w:id="1209"/>
      <w:bookmarkEnd w:id="1210"/>
      <w:bookmarkEnd w:id="1211"/>
      <w:bookmarkEnd w:id="1212"/>
      <w:bookmarkEnd w:id="1213"/>
      <w:bookmarkEnd w:id="1214"/>
      <w:bookmarkEnd w:id="1215"/>
    </w:p>
    <w:p w14:paraId="268F0D56">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）承包人应负责提供合同和技术规范规定的试验和检验所需的全部样品，并承担其费用。</w:t>
      </w:r>
    </w:p>
    <w:p w14:paraId="7A99158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）在合同中明确规定的试验和检验，包括无须在工程量清单中单独列项和已在工程量清单中单独列项的试验和检验，其试验和检验的费用由承包人承担。</w:t>
      </w:r>
    </w:p>
    <w:p w14:paraId="78330828">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如果监理人所要求做的试验和检验为合同未规定的或是在该材料或工程设备的制造、加工、制配场地以外的场地进行的，则检验结束后，如表明操作工艺或材料、工程设备未能符合合同规定，其费用应由承包人承担，否则，其费用应由发包人承担。</w:t>
      </w:r>
    </w:p>
    <w:p w14:paraId="75E1581B">
      <w:pPr>
        <w:keepNext/>
        <w:keepLines/>
        <w:spacing w:line="440" w:lineRule="exact"/>
        <w:ind w:firstLine="482" w:firstLineChars="200"/>
        <w:rPr>
          <w:rFonts w:hint="eastAsia" w:ascii="宋体" w:hAnsi="宋体" w:cs="宋体"/>
          <w:b/>
          <w:bCs/>
          <w:kern w:val="44"/>
          <w:sz w:val="24"/>
          <w:szCs w:val="24"/>
        </w:rPr>
      </w:pPr>
      <w:bookmarkStart w:id="1216" w:name="_Toc513132347"/>
      <w:bookmarkStart w:id="1217" w:name="_Toc479237772"/>
      <w:bookmarkStart w:id="1218" w:name="_Toc234382896"/>
      <w:bookmarkStart w:id="1219" w:name="_Toc3475586"/>
      <w:bookmarkStart w:id="1220" w:name="_Toc480282347"/>
      <w:bookmarkStart w:id="1221" w:name="_Toc488083581"/>
      <w:bookmarkStart w:id="1222" w:name="_Toc512689714"/>
      <w:bookmarkStart w:id="1223" w:name="_Toc513212867"/>
      <w:bookmarkStart w:id="1224" w:name="_Toc479265601"/>
      <w:bookmarkStart w:id="1225" w:name="_Toc192710517"/>
      <w:r>
        <w:rPr>
          <w:rFonts w:hint="eastAsia" w:ascii="宋体" w:hAnsi="宋体" w:cs="宋体"/>
          <w:b/>
          <w:bCs/>
          <w:kern w:val="44"/>
          <w:sz w:val="24"/>
          <w:szCs w:val="24"/>
        </w:rPr>
        <w:t>15．变更</w:t>
      </w:r>
      <w:bookmarkEnd w:id="1216"/>
      <w:bookmarkEnd w:id="1217"/>
      <w:bookmarkEnd w:id="1218"/>
      <w:bookmarkEnd w:id="1219"/>
      <w:bookmarkEnd w:id="1220"/>
      <w:bookmarkEnd w:id="1221"/>
      <w:bookmarkEnd w:id="1222"/>
      <w:bookmarkEnd w:id="1223"/>
      <w:bookmarkEnd w:id="1224"/>
      <w:bookmarkEnd w:id="1225"/>
    </w:p>
    <w:p w14:paraId="2AA91A5E">
      <w:pPr>
        <w:keepNext/>
        <w:keepLines/>
        <w:spacing w:line="440" w:lineRule="exact"/>
        <w:ind w:firstLine="482" w:firstLineChars="200"/>
        <w:rPr>
          <w:rFonts w:hint="eastAsia" w:ascii="宋体" w:hAnsi="宋体" w:cs="宋体"/>
          <w:b/>
          <w:bCs/>
          <w:kern w:val="44"/>
          <w:sz w:val="24"/>
          <w:szCs w:val="24"/>
        </w:rPr>
      </w:pPr>
      <w:bookmarkStart w:id="1226" w:name="_Toc479237773"/>
      <w:bookmarkStart w:id="1227" w:name="_Toc488083582"/>
      <w:bookmarkStart w:id="1228" w:name="_Toc513132348"/>
      <w:bookmarkStart w:id="1229" w:name="_Toc512689715"/>
      <w:bookmarkStart w:id="1230" w:name="_Toc234382897"/>
      <w:bookmarkStart w:id="1231" w:name="_Toc479265602"/>
      <w:bookmarkStart w:id="1232" w:name="_Toc3475587"/>
      <w:bookmarkStart w:id="1233" w:name="_Toc480282348"/>
      <w:bookmarkStart w:id="1234" w:name="_Toc513212868"/>
      <w:bookmarkStart w:id="1235" w:name="_Toc192710518"/>
      <w:r>
        <w:rPr>
          <w:rFonts w:hint="eastAsia" w:ascii="宋体" w:hAnsi="宋体" w:cs="宋体"/>
          <w:b/>
          <w:bCs/>
          <w:kern w:val="44"/>
          <w:sz w:val="24"/>
          <w:szCs w:val="24"/>
        </w:rPr>
        <w:t>15．1变更的范围和内容</w:t>
      </w:r>
      <w:bookmarkEnd w:id="1226"/>
      <w:bookmarkEnd w:id="1227"/>
      <w:bookmarkEnd w:id="1228"/>
      <w:bookmarkEnd w:id="1229"/>
      <w:bookmarkEnd w:id="1230"/>
      <w:bookmarkEnd w:id="1231"/>
      <w:bookmarkEnd w:id="1232"/>
      <w:bookmarkEnd w:id="1233"/>
      <w:bookmarkEnd w:id="1234"/>
      <w:bookmarkEnd w:id="1235"/>
    </w:p>
    <w:p w14:paraId="1CFAFB7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本款第（</w:t>
      </w:r>
      <w:r>
        <w:rPr>
          <w:rFonts w:ascii="宋体" w:hAnsi="宋体" w:cs="宋体"/>
          <w:kern w:val="0"/>
          <w:sz w:val="24"/>
          <w:szCs w:val="24"/>
        </w:rPr>
        <w:t>1</w:t>
      </w:r>
      <w:r>
        <w:rPr>
          <w:rFonts w:hint="eastAsia" w:ascii="宋体" w:hAnsi="宋体" w:cs="宋体"/>
          <w:kern w:val="0"/>
          <w:sz w:val="24"/>
          <w:szCs w:val="24"/>
        </w:rPr>
        <w:t>）项细化为：</w:t>
      </w:r>
    </w:p>
    <w:p w14:paraId="6AA613F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）取消合同中任何一项工作，但被取消的工作不能转由发包人或其他人实施，由于承包人违约造成的情况除外；</w:t>
      </w:r>
    </w:p>
    <w:p w14:paraId="5B1B1258">
      <w:pPr>
        <w:keepNext/>
        <w:keepLines/>
        <w:spacing w:line="440" w:lineRule="exact"/>
        <w:ind w:firstLine="482" w:firstLineChars="200"/>
        <w:rPr>
          <w:rFonts w:hint="eastAsia" w:ascii="宋体" w:hAnsi="宋体" w:cs="宋体"/>
          <w:b/>
          <w:bCs/>
          <w:kern w:val="44"/>
          <w:sz w:val="24"/>
          <w:szCs w:val="24"/>
        </w:rPr>
      </w:pPr>
      <w:bookmarkStart w:id="1236" w:name="_Toc488083583"/>
      <w:bookmarkStart w:id="1237" w:name="_Toc3475588"/>
      <w:bookmarkStart w:id="1238" w:name="_Toc479237774"/>
      <w:bookmarkStart w:id="1239" w:name="_Toc234382898"/>
      <w:bookmarkStart w:id="1240" w:name="_Toc513212869"/>
      <w:bookmarkStart w:id="1241" w:name="_Toc192710519"/>
      <w:bookmarkStart w:id="1242" w:name="_Toc512689716"/>
      <w:bookmarkStart w:id="1243" w:name="_Toc479265603"/>
      <w:bookmarkStart w:id="1244" w:name="_Toc513132349"/>
      <w:bookmarkStart w:id="1245" w:name="_Toc480282349"/>
      <w:r>
        <w:rPr>
          <w:rFonts w:hint="eastAsia" w:ascii="宋体" w:hAnsi="宋体" w:cs="宋体"/>
          <w:b/>
          <w:bCs/>
          <w:kern w:val="44"/>
          <w:sz w:val="24"/>
          <w:szCs w:val="24"/>
        </w:rPr>
        <w:t>15．3变更程序</w:t>
      </w:r>
      <w:bookmarkEnd w:id="1236"/>
      <w:bookmarkEnd w:id="1237"/>
      <w:bookmarkEnd w:id="1238"/>
      <w:bookmarkEnd w:id="1239"/>
      <w:bookmarkEnd w:id="1240"/>
      <w:bookmarkEnd w:id="1241"/>
      <w:bookmarkEnd w:id="1242"/>
      <w:bookmarkEnd w:id="1243"/>
      <w:bookmarkEnd w:id="1244"/>
      <w:bookmarkEnd w:id="1245"/>
    </w:p>
    <w:p w14:paraId="18355AE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本款补充第</w:t>
      </w:r>
      <w:r>
        <w:rPr>
          <w:rFonts w:ascii="宋体" w:hAnsi="宋体" w:cs="宋体"/>
          <w:kern w:val="0"/>
          <w:sz w:val="24"/>
          <w:szCs w:val="24"/>
        </w:rPr>
        <w:t>15.3.4</w:t>
      </w:r>
      <w:r>
        <w:rPr>
          <w:rFonts w:hint="eastAsia" w:ascii="宋体" w:hAnsi="宋体" w:cs="宋体"/>
          <w:kern w:val="0"/>
          <w:sz w:val="24"/>
          <w:szCs w:val="24"/>
        </w:rPr>
        <w:t>项：</w:t>
      </w:r>
    </w:p>
    <w:p w14:paraId="25D19109">
      <w:pPr>
        <w:spacing w:line="440" w:lineRule="exact"/>
        <w:ind w:firstLine="480" w:firstLineChars="200"/>
        <w:rPr>
          <w:rFonts w:ascii="宋体" w:hAnsi="宋体" w:cs="宋体"/>
          <w:kern w:val="0"/>
          <w:sz w:val="24"/>
          <w:szCs w:val="24"/>
        </w:rPr>
      </w:pPr>
      <w:r>
        <w:rPr>
          <w:rFonts w:ascii="宋体" w:hAnsi="宋体" w:cs="宋体"/>
          <w:kern w:val="0"/>
          <w:sz w:val="24"/>
          <w:szCs w:val="24"/>
        </w:rPr>
        <w:t>15.3.4</w:t>
      </w:r>
      <w:r>
        <w:rPr>
          <w:rFonts w:hint="eastAsia" w:ascii="宋体" w:hAnsi="宋体" w:cs="宋体"/>
          <w:kern w:val="0"/>
          <w:sz w:val="24"/>
          <w:szCs w:val="24"/>
        </w:rPr>
        <w:t>设计变更程序应执行《公路工程设计变更管理办法》的相关规定。</w:t>
      </w:r>
    </w:p>
    <w:p w14:paraId="2A625A99">
      <w:pPr>
        <w:keepNext/>
        <w:keepLines/>
        <w:spacing w:line="440" w:lineRule="exact"/>
        <w:ind w:firstLine="482" w:firstLineChars="200"/>
        <w:rPr>
          <w:rFonts w:hint="eastAsia" w:ascii="宋体" w:hAnsi="宋体" w:cs="宋体"/>
          <w:b/>
          <w:bCs/>
          <w:kern w:val="44"/>
          <w:sz w:val="24"/>
          <w:szCs w:val="24"/>
        </w:rPr>
      </w:pPr>
      <w:bookmarkStart w:id="1246" w:name="_Toc234382899"/>
      <w:bookmarkStart w:id="1247" w:name="_Toc488083584"/>
      <w:bookmarkStart w:id="1248" w:name="_Toc513212870"/>
      <w:bookmarkStart w:id="1249" w:name="_Toc192710520"/>
      <w:bookmarkStart w:id="1250" w:name="_Toc479237775"/>
      <w:bookmarkStart w:id="1251" w:name="_Toc3475589"/>
      <w:bookmarkStart w:id="1252" w:name="_Toc480282350"/>
      <w:bookmarkStart w:id="1253" w:name="_Toc479265604"/>
      <w:bookmarkStart w:id="1254" w:name="_Toc513132350"/>
      <w:bookmarkStart w:id="1255" w:name="_Toc512689717"/>
      <w:r>
        <w:rPr>
          <w:rFonts w:hint="eastAsia" w:ascii="宋体" w:hAnsi="宋体" w:cs="宋体"/>
          <w:b/>
          <w:bCs/>
          <w:kern w:val="44"/>
          <w:sz w:val="24"/>
          <w:szCs w:val="24"/>
        </w:rPr>
        <w:t>15．4变更的估价原则</w:t>
      </w:r>
      <w:bookmarkEnd w:id="1246"/>
      <w:bookmarkEnd w:id="1247"/>
      <w:bookmarkEnd w:id="1248"/>
      <w:bookmarkEnd w:id="1249"/>
      <w:bookmarkEnd w:id="1250"/>
      <w:bookmarkEnd w:id="1251"/>
      <w:bookmarkEnd w:id="1252"/>
      <w:bookmarkEnd w:id="1253"/>
      <w:bookmarkEnd w:id="1254"/>
      <w:bookmarkEnd w:id="1255"/>
    </w:p>
    <w:p w14:paraId="33AF2596">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本款细化为</w:t>
      </w:r>
    </w:p>
    <w:p w14:paraId="62B009B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除项目专用合同条款另有约定外，因变更引起的价格调整按照本款约定处理。</w:t>
      </w:r>
    </w:p>
    <w:p w14:paraId="57C467B4">
      <w:pPr>
        <w:spacing w:line="440" w:lineRule="exact"/>
        <w:ind w:firstLine="480" w:firstLineChars="200"/>
        <w:rPr>
          <w:rFonts w:ascii="宋体" w:hAnsi="宋体" w:cs="宋体"/>
          <w:kern w:val="0"/>
          <w:sz w:val="24"/>
          <w:szCs w:val="24"/>
        </w:rPr>
      </w:pPr>
      <w:r>
        <w:rPr>
          <w:rFonts w:ascii="宋体" w:hAnsi="宋体" w:cs="宋体"/>
          <w:kern w:val="0"/>
          <w:sz w:val="24"/>
          <w:szCs w:val="24"/>
        </w:rPr>
        <w:t>15.4.1</w:t>
      </w:r>
      <w:r>
        <w:rPr>
          <w:rFonts w:hint="eastAsia" w:ascii="宋体" w:hAnsi="宋体" w:cs="宋体"/>
          <w:kern w:val="0"/>
          <w:sz w:val="24"/>
          <w:szCs w:val="24"/>
        </w:rPr>
        <w:t>如果取消某项工作，则该项工作的总额价不予以支付；</w:t>
      </w:r>
    </w:p>
    <w:p w14:paraId="43788229">
      <w:pPr>
        <w:spacing w:line="440" w:lineRule="exact"/>
        <w:ind w:firstLine="480" w:firstLineChars="200"/>
        <w:rPr>
          <w:rFonts w:ascii="宋体" w:hAnsi="宋体" w:cs="宋体"/>
          <w:kern w:val="0"/>
          <w:sz w:val="24"/>
          <w:szCs w:val="24"/>
        </w:rPr>
      </w:pPr>
      <w:r>
        <w:rPr>
          <w:rFonts w:ascii="宋体" w:hAnsi="宋体" w:cs="宋体"/>
          <w:kern w:val="0"/>
          <w:sz w:val="24"/>
          <w:szCs w:val="24"/>
        </w:rPr>
        <w:t>15.4.2</w:t>
      </w:r>
      <w:r>
        <w:rPr>
          <w:rFonts w:hint="eastAsia" w:ascii="宋体" w:hAnsi="宋体" w:cs="宋体"/>
          <w:kern w:val="0"/>
          <w:sz w:val="24"/>
          <w:szCs w:val="24"/>
        </w:rPr>
        <w:t>已标价工程量清单中有适用于变更工作的子目的，采用该子目的单价。</w:t>
      </w:r>
    </w:p>
    <w:p w14:paraId="3AE65282">
      <w:pPr>
        <w:spacing w:line="440" w:lineRule="exact"/>
        <w:ind w:firstLine="480" w:firstLineChars="200"/>
        <w:rPr>
          <w:rFonts w:ascii="宋体" w:hAnsi="宋体" w:cs="宋体"/>
          <w:kern w:val="0"/>
          <w:sz w:val="24"/>
          <w:szCs w:val="24"/>
        </w:rPr>
      </w:pPr>
      <w:r>
        <w:rPr>
          <w:rFonts w:ascii="宋体" w:hAnsi="宋体" w:cs="宋体"/>
          <w:kern w:val="0"/>
          <w:sz w:val="24"/>
          <w:szCs w:val="24"/>
        </w:rPr>
        <w:t>15.4.3</w:t>
      </w:r>
      <w:r>
        <w:rPr>
          <w:rFonts w:hint="eastAsia" w:ascii="宋体" w:hAnsi="宋体" w:cs="宋体"/>
          <w:kern w:val="0"/>
          <w:sz w:val="24"/>
          <w:szCs w:val="24"/>
        </w:rPr>
        <w:t>已标价工程量清单中无适用于变更工作的子目，但有类似子目的，可在合理范围内参照类似子目的单价，由监理人按第</w:t>
      </w:r>
      <w:r>
        <w:rPr>
          <w:rFonts w:ascii="宋体" w:hAnsi="宋体" w:cs="宋体"/>
          <w:kern w:val="0"/>
          <w:sz w:val="24"/>
          <w:szCs w:val="24"/>
        </w:rPr>
        <w:t>3.5</w:t>
      </w:r>
      <w:r>
        <w:rPr>
          <w:rFonts w:hint="eastAsia" w:ascii="宋体" w:hAnsi="宋体" w:cs="宋体"/>
          <w:kern w:val="0"/>
          <w:sz w:val="24"/>
          <w:szCs w:val="24"/>
        </w:rPr>
        <w:t>款商定或确定变更工作的单价。</w:t>
      </w:r>
    </w:p>
    <w:p w14:paraId="500EC248">
      <w:pPr>
        <w:spacing w:line="440" w:lineRule="exact"/>
        <w:ind w:firstLine="480" w:firstLineChars="200"/>
        <w:rPr>
          <w:rFonts w:ascii="宋体" w:hAnsi="宋体" w:cs="宋体"/>
          <w:kern w:val="0"/>
          <w:sz w:val="24"/>
          <w:szCs w:val="24"/>
        </w:rPr>
      </w:pPr>
      <w:r>
        <w:rPr>
          <w:rFonts w:ascii="宋体" w:hAnsi="宋体" w:cs="宋体"/>
          <w:kern w:val="0"/>
          <w:sz w:val="24"/>
          <w:szCs w:val="24"/>
        </w:rPr>
        <w:t>15.4.4</w:t>
      </w:r>
      <w:r>
        <w:rPr>
          <w:rFonts w:hint="eastAsia" w:ascii="宋体" w:hAnsi="宋体" w:cs="宋体"/>
          <w:kern w:val="0"/>
          <w:sz w:val="24"/>
          <w:szCs w:val="24"/>
        </w:rPr>
        <w:t>已标价工程量清单中无适用或类似子目的单价，可在综合考虑承包人在投标时所提供的单价分析表的基础上，由监理人按第</w:t>
      </w:r>
      <w:r>
        <w:rPr>
          <w:rFonts w:ascii="宋体" w:hAnsi="宋体" w:cs="宋体"/>
          <w:kern w:val="0"/>
          <w:sz w:val="24"/>
          <w:szCs w:val="24"/>
        </w:rPr>
        <w:t>3.5</w:t>
      </w:r>
      <w:r>
        <w:rPr>
          <w:rFonts w:hint="eastAsia" w:ascii="宋体" w:hAnsi="宋体" w:cs="宋体"/>
          <w:kern w:val="0"/>
          <w:sz w:val="24"/>
          <w:szCs w:val="24"/>
        </w:rPr>
        <w:t>款商定或确定变更工作的单价。</w:t>
      </w:r>
    </w:p>
    <w:p w14:paraId="3FE975F6">
      <w:pPr>
        <w:spacing w:line="440" w:lineRule="exact"/>
        <w:ind w:firstLine="480" w:firstLineChars="200"/>
        <w:rPr>
          <w:rFonts w:ascii="宋体" w:hAnsi="宋体" w:cs="宋体"/>
          <w:kern w:val="0"/>
          <w:sz w:val="24"/>
          <w:szCs w:val="24"/>
        </w:rPr>
      </w:pPr>
      <w:r>
        <w:rPr>
          <w:rFonts w:ascii="宋体" w:hAnsi="宋体" w:cs="宋体"/>
          <w:kern w:val="0"/>
          <w:sz w:val="24"/>
          <w:szCs w:val="24"/>
        </w:rPr>
        <w:t>15.4.5</w:t>
      </w:r>
      <w:r>
        <w:rPr>
          <w:rFonts w:hint="eastAsia" w:ascii="宋体" w:hAnsi="宋体" w:cs="宋体"/>
          <w:kern w:val="0"/>
          <w:sz w:val="24"/>
          <w:szCs w:val="24"/>
        </w:rPr>
        <w:t>如果本工程的变更指示是因承包人过错、承包人建反合同或承包人责任造成的，则这种违约引起的任何额外费用应由承包人承担。</w:t>
      </w:r>
    </w:p>
    <w:p w14:paraId="15D4B1D4">
      <w:pPr>
        <w:keepNext/>
        <w:keepLines/>
        <w:spacing w:line="440" w:lineRule="exact"/>
        <w:ind w:firstLine="482" w:firstLineChars="200"/>
        <w:rPr>
          <w:rFonts w:hint="eastAsia" w:ascii="宋体" w:hAnsi="宋体" w:cs="宋体"/>
          <w:b/>
          <w:bCs/>
          <w:kern w:val="44"/>
          <w:sz w:val="24"/>
          <w:szCs w:val="24"/>
        </w:rPr>
      </w:pPr>
      <w:bookmarkStart w:id="1256" w:name="_Toc479237776"/>
      <w:bookmarkStart w:id="1257" w:name="_Toc3475590"/>
      <w:bookmarkStart w:id="1258" w:name="_Toc513212871"/>
      <w:bookmarkStart w:id="1259" w:name="_Toc480282351"/>
      <w:bookmarkStart w:id="1260" w:name="_Toc479265605"/>
      <w:bookmarkStart w:id="1261" w:name="_Toc192710521"/>
      <w:bookmarkStart w:id="1262" w:name="_Toc234382900"/>
      <w:bookmarkStart w:id="1263" w:name="_Toc512689718"/>
      <w:bookmarkStart w:id="1264" w:name="_Toc488083585"/>
      <w:bookmarkStart w:id="1265" w:name="_Toc513132351"/>
      <w:r>
        <w:rPr>
          <w:rFonts w:hint="eastAsia" w:ascii="宋体" w:hAnsi="宋体" w:cs="宋体"/>
          <w:b/>
          <w:bCs/>
          <w:kern w:val="44"/>
          <w:sz w:val="24"/>
          <w:szCs w:val="24"/>
        </w:rPr>
        <w:t>15.5承包人的合理化建议</w:t>
      </w:r>
      <w:bookmarkEnd w:id="1256"/>
      <w:bookmarkEnd w:id="1257"/>
      <w:bookmarkEnd w:id="1258"/>
      <w:bookmarkEnd w:id="1259"/>
      <w:bookmarkEnd w:id="1260"/>
      <w:bookmarkEnd w:id="1261"/>
      <w:bookmarkEnd w:id="1262"/>
      <w:bookmarkEnd w:id="1263"/>
      <w:bookmarkEnd w:id="1264"/>
      <w:bookmarkEnd w:id="1265"/>
    </w:p>
    <w:p w14:paraId="63FAFB4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15.5.2</w:t>
      </w:r>
      <w:r>
        <w:rPr>
          <w:rFonts w:hint="eastAsia" w:ascii="宋体" w:hAnsi="宋体" w:cs="宋体"/>
          <w:kern w:val="0"/>
          <w:sz w:val="24"/>
          <w:szCs w:val="24"/>
        </w:rPr>
        <w:t>项约定为：</w:t>
      </w:r>
    </w:p>
    <w:p w14:paraId="150B079B">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承包人提出的合理化建议缩短了工期，发包人按第</w:t>
      </w:r>
      <w:r>
        <w:rPr>
          <w:rFonts w:ascii="宋体" w:hAnsi="宋体" w:cs="宋体"/>
          <w:kern w:val="0"/>
          <w:sz w:val="24"/>
          <w:szCs w:val="24"/>
        </w:rPr>
        <w:t>11.6</w:t>
      </w:r>
      <w:r>
        <w:rPr>
          <w:rFonts w:hint="eastAsia" w:ascii="宋体" w:hAnsi="宋体" w:cs="宋体"/>
          <w:kern w:val="0"/>
          <w:sz w:val="24"/>
          <w:szCs w:val="24"/>
        </w:rPr>
        <w:t>款的规定给予奖励。</w:t>
      </w:r>
    </w:p>
    <w:p w14:paraId="3486AD8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承包人提出的合理化建议降低了合同价格或者提高了工程经济效益的，发包人按项目专用合同条款数据表中规定的金额给予奖励。</w:t>
      </w:r>
    </w:p>
    <w:p w14:paraId="2C4ADFD6">
      <w:pPr>
        <w:keepNext/>
        <w:keepLines/>
        <w:spacing w:line="440" w:lineRule="exact"/>
        <w:ind w:firstLine="482" w:firstLineChars="200"/>
        <w:rPr>
          <w:rFonts w:hint="eastAsia" w:ascii="宋体" w:hAnsi="宋体" w:cs="宋体"/>
          <w:b/>
          <w:bCs/>
          <w:kern w:val="44"/>
          <w:sz w:val="24"/>
          <w:szCs w:val="24"/>
        </w:rPr>
      </w:pPr>
      <w:bookmarkStart w:id="1266" w:name="_Toc3475591"/>
      <w:bookmarkStart w:id="1267" w:name="_Toc512689719"/>
      <w:bookmarkStart w:id="1268" w:name="_Toc513212872"/>
      <w:bookmarkStart w:id="1269" w:name="_Toc488083586"/>
      <w:bookmarkStart w:id="1270" w:name="_Toc480282352"/>
      <w:bookmarkStart w:id="1271" w:name="_Toc479237777"/>
      <w:bookmarkStart w:id="1272" w:name="_Toc479265606"/>
      <w:bookmarkStart w:id="1273" w:name="_Toc192710522"/>
      <w:bookmarkStart w:id="1274" w:name="_Toc234382901"/>
      <w:bookmarkStart w:id="1275" w:name="_Toc513132352"/>
      <w:r>
        <w:rPr>
          <w:rFonts w:hint="eastAsia" w:ascii="宋体" w:hAnsi="宋体" w:cs="宋体"/>
          <w:b/>
          <w:bCs/>
          <w:kern w:val="44"/>
          <w:sz w:val="24"/>
          <w:szCs w:val="24"/>
        </w:rPr>
        <w:t>15.6暂列金额</w:t>
      </w:r>
      <w:bookmarkEnd w:id="1266"/>
      <w:bookmarkEnd w:id="1267"/>
      <w:bookmarkEnd w:id="1268"/>
      <w:bookmarkEnd w:id="1269"/>
      <w:bookmarkEnd w:id="1270"/>
      <w:bookmarkEnd w:id="1271"/>
      <w:bookmarkEnd w:id="1272"/>
      <w:bookmarkEnd w:id="1273"/>
      <w:bookmarkEnd w:id="1274"/>
      <w:bookmarkEnd w:id="1275"/>
    </w:p>
    <w:p w14:paraId="6ED2D36A">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本款细化为：</w:t>
      </w:r>
    </w:p>
    <w:p w14:paraId="07F9CAF5">
      <w:pPr>
        <w:spacing w:line="440" w:lineRule="exact"/>
        <w:ind w:firstLine="480" w:firstLineChars="200"/>
        <w:rPr>
          <w:rFonts w:ascii="宋体" w:hAnsi="宋体" w:cs="宋体"/>
          <w:kern w:val="0"/>
          <w:sz w:val="24"/>
          <w:szCs w:val="24"/>
        </w:rPr>
      </w:pPr>
      <w:r>
        <w:rPr>
          <w:rFonts w:ascii="宋体" w:hAnsi="宋体" w:cs="宋体"/>
          <w:kern w:val="0"/>
          <w:sz w:val="24"/>
          <w:szCs w:val="24"/>
        </w:rPr>
        <w:t>15.6.l</w:t>
      </w:r>
      <w:r>
        <w:rPr>
          <w:rFonts w:hint="eastAsia" w:ascii="宋体" w:hAnsi="宋体" w:cs="宋体"/>
          <w:kern w:val="0"/>
          <w:sz w:val="24"/>
          <w:szCs w:val="24"/>
        </w:rPr>
        <w:t>暂列金额应由监理人报发包人批准后指令全部或部分地使用，或者根本不予动用。</w:t>
      </w:r>
    </w:p>
    <w:p w14:paraId="038384A3">
      <w:pPr>
        <w:spacing w:line="440" w:lineRule="exact"/>
        <w:ind w:firstLine="480" w:firstLineChars="200"/>
        <w:rPr>
          <w:rFonts w:ascii="宋体" w:hAnsi="宋体" w:cs="宋体"/>
          <w:kern w:val="0"/>
          <w:sz w:val="24"/>
          <w:szCs w:val="24"/>
        </w:rPr>
      </w:pPr>
      <w:r>
        <w:rPr>
          <w:rFonts w:ascii="宋体" w:hAnsi="宋体" w:cs="宋体"/>
          <w:kern w:val="0"/>
          <w:sz w:val="24"/>
          <w:szCs w:val="24"/>
        </w:rPr>
        <w:t>15.6.2</w:t>
      </w:r>
      <w:r>
        <w:rPr>
          <w:rFonts w:hint="eastAsia" w:ascii="宋体" w:hAnsi="宋体" w:cs="宋体"/>
          <w:kern w:val="0"/>
          <w:sz w:val="24"/>
          <w:szCs w:val="24"/>
        </w:rPr>
        <w:t>对于经发包人批准的每一笔暂列金额，监理人有权向承包人发出实施工程或提供材料、工程设备或服务的指令。这些指令应由承包人完成，监理人应根据第</w:t>
      </w:r>
      <w:r>
        <w:rPr>
          <w:rFonts w:ascii="宋体" w:hAnsi="宋体" w:cs="宋体"/>
          <w:kern w:val="0"/>
          <w:sz w:val="24"/>
          <w:szCs w:val="24"/>
        </w:rPr>
        <w:t>15.4</w:t>
      </w:r>
      <w:r>
        <w:rPr>
          <w:rFonts w:hint="eastAsia" w:ascii="宋体" w:hAnsi="宋体" w:cs="宋体"/>
          <w:kern w:val="0"/>
          <w:sz w:val="24"/>
          <w:szCs w:val="24"/>
        </w:rPr>
        <w:t>款约定的变更估价原则和第</w:t>
      </w:r>
      <w:r>
        <w:rPr>
          <w:rFonts w:ascii="宋体" w:hAnsi="宋体" w:cs="宋体"/>
          <w:kern w:val="0"/>
          <w:sz w:val="24"/>
          <w:szCs w:val="24"/>
        </w:rPr>
        <w:t>15.7</w:t>
      </w:r>
      <w:r>
        <w:rPr>
          <w:rFonts w:hint="eastAsia" w:ascii="宋体" w:hAnsi="宋体" w:cs="宋体"/>
          <w:kern w:val="0"/>
          <w:sz w:val="24"/>
          <w:szCs w:val="24"/>
        </w:rPr>
        <w:t>款的规定，对合同价格进行相应调整。</w:t>
      </w:r>
    </w:p>
    <w:p w14:paraId="73D9A669">
      <w:pPr>
        <w:spacing w:line="440" w:lineRule="exact"/>
        <w:ind w:firstLine="480" w:firstLineChars="200"/>
        <w:rPr>
          <w:rFonts w:ascii="宋体" w:hAnsi="宋体" w:cs="宋体"/>
          <w:kern w:val="0"/>
          <w:sz w:val="24"/>
          <w:szCs w:val="24"/>
        </w:rPr>
      </w:pPr>
      <w:r>
        <w:rPr>
          <w:rFonts w:ascii="宋体" w:hAnsi="宋体" w:cs="宋体"/>
          <w:kern w:val="0"/>
          <w:sz w:val="24"/>
          <w:szCs w:val="24"/>
        </w:rPr>
        <w:t>15.6.3</w:t>
      </w:r>
      <w:r>
        <w:rPr>
          <w:rFonts w:hint="eastAsia" w:ascii="宋体" w:hAnsi="宋体" w:cs="宋体"/>
          <w:kern w:val="0"/>
          <w:sz w:val="24"/>
          <w:szCs w:val="24"/>
        </w:rPr>
        <w:t>当监理人提出要求时，承包人应提供有关暂列金额支出的所有报价单、发票、凭证和账单或收据，除非该工作是根据已标价工程量清单列明的单价或总额价进行的估价。</w:t>
      </w:r>
    </w:p>
    <w:p w14:paraId="6888D2C6">
      <w:pPr>
        <w:keepNext/>
        <w:keepLines/>
        <w:spacing w:line="440" w:lineRule="exact"/>
        <w:ind w:firstLine="482" w:firstLineChars="200"/>
        <w:rPr>
          <w:rFonts w:hint="eastAsia" w:ascii="宋体" w:hAnsi="宋体" w:cs="宋体"/>
          <w:b/>
          <w:bCs/>
          <w:kern w:val="44"/>
          <w:sz w:val="24"/>
          <w:szCs w:val="24"/>
        </w:rPr>
      </w:pPr>
      <w:bookmarkStart w:id="1276" w:name="_Toc480282353"/>
      <w:bookmarkStart w:id="1277" w:name="_Toc488083587"/>
      <w:bookmarkStart w:id="1278" w:name="_Toc479265607"/>
      <w:bookmarkStart w:id="1279" w:name="_Toc192710523"/>
      <w:bookmarkStart w:id="1280" w:name="_Toc512689720"/>
      <w:bookmarkStart w:id="1281" w:name="_Toc3475592"/>
      <w:bookmarkStart w:id="1282" w:name="_Toc513132353"/>
      <w:bookmarkStart w:id="1283" w:name="_Toc479237778"/>
      <w:bookmarkStart w:id="1284" w:name="_Toc234382902"/>
      <w:bookmarkStart w:id="1285" w:name="_Toc513212873"/>
      <w:r>
        <w:rPr>
          <w:rFonts w:hint="eastAsia" w:ascii="宋体" w:hAnsi="宋体" w:cs="宋体"/>
          <w:b/>
          <w:bCs/>
          <w:kern w:val="44"/>
          <w:sz w:val="24"/>
          <w:szCs w:val="24"/>
        </w:rPr>
        <w:t>16.价格调整</w:t>
      </w:r>
      <w:bookmarkEnd w:id="1276"/>
      <w:bookmarkEnd w:id="1277"/>
      <w:bookmarkEnd w:id="1278"/>
      <w:bookmarkEnd w:id="1279"/>
      <w:bookmarkEnd w:id="1280"/>
      <w:bookmarkEnd w:id="1281"/>
      <w:bookmarkEnd w:id="1282"/>
      <w:bookmarkEnd w:id="1283"/>
      <w:bookmarkEnd w:id="1284"/>
      <w:bookmarkEnd w:id="1285"/>
    </w:p>
    <w:p w14:paraId="3E63A86A">
      <w:pPr>
        <w:keepNext/>
        <w:keepLines/>
        <w:spacing w:line="440" w:lineRule="exact"/>
        <w:ind w:firstLine="482" w:firstLineChars="200"/>
        <w:rPr>
          <w:rFonts w:hint="eastAsia" w:ascii="宋体" w:hAnsi="宋体" w:cs="宋体"/>
          <w:b/>
          <w:bCs/>
          <w:kern w:val="44"/>
          <w:sz w:val="24"/>
          <w:szCs w:val="24"/>
        </w:rPr>
      </w:pPr>
      <w:bookmarkStart w:id="1286" w:name="_Toc513132354"/>
      <w:bookmarkStart w:id="1287" w:name="_Toc192710524"/>
      <w:bookmarkStart w:id="1288" w:name="_Toc234382903"/>
      <w:bookmarkStart w:id="1289" w:name="_Toc479237779"/>
      <w:bookmarkStart w:id="1290" w:name="_Toc513212874"/>
      <w:bookmarkStart w:id="1291" w:name="_Toc479265608"/>
      <w:bookmarkStart w:id="1292" w:name="_Toc488083588"/>
      <w:bookmarkStart w:id="1293" w:name="_Toc3475593"/>
      <w:bookmarkStart w:id="1294" w:name="_Toc480282354"/>
      <w:bookmarkStart w:id="1295" w:name="_Toc512689721"/>
      <w:r>
        <w:rPr>
          <w:rFonts w:hint="eastAsia" w:ascii="宋体" w:hAnsi="宋体" w:cs="宋体"/>
          <w:b/>
          <w:bCs/>
          <w:kern w:val="44"/>
          <w:sz w:val="24"/>
          <w:szCs w:val="24"/>
        </w:rPr>
        <w:t>16.1物价波动引起的价格调整</w:t>
      </w:r>
      <w:bookmarkEnd w:id="1286"/>
      <w:bookmarkEnd w:id="1287"/>
      <w:bookmarkEnd w:id="1288"/>
      <w:bookmarkEnd w:id="1289"/>
      <w:bookmarkEnd w:id="1290"/>
      <w:bookmarkEnd w:id="1291"/>
      <w:bookmarkEnd w:id="1292"/>
      <w:bookmarkEnd w:id="1293"/>
      <w:bookmarkEnd w:id="1294"/>
      <w:bookmarkEnd w:id="1295"/>
    </w:p>
    <w:p w14:paraId="1C481E50">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本款约定为：</w:t>
      </w:r>
    </w:p>
    <w:p w14:paraId="660F2A8C">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）除项目专用合同条款另有约定外，因物价波动引起的价格调整应按项目专用合同条款数据表的规定，按照第</w:t>
      </w:r>
      <w:r>
        <w:rPr>
          <w:rFonts w:ascii="宋体" w:hAnsi="宋体" w:cs="宋体"/>
          <w:kern w:val="0"/>
          <w:sz w:val="24"/>
          <w:szCs w:val="24"/>
        </w:rPr>
        <w:t>16.1.1</w:t>
      </w:r>
      <w:r>
        <w:rPr>
          <w:rFonts w:hint="eastAsia" w:ascii="宋体" w:hAnsi="宋体" w:cs="宋体"/>
          <w:kern w:val="0"/>
          <w:sz w:val="24"/>
          <w:szCs w:val="24"/>
        </w:rPr>
        <w:t>项或第</w:t>
      </w:r>
      <w:r>
        <w:rPr>
          <w:rFonts w:ascii="宋体" w:hAnsi="宋体" w:cs="宋体"/>
          <w:kern w:val="0"/>
          <w:sz w:val="24"/>
          <w:szCs w:val="24"/>
        </w:rPr>
        <w:t>16.1.2</w:t>
      </w:r>
      <w:r>
        <w:rPr>
          <w:rFonts w:hint="eastAsia" w:ascii="宋体" w:hAnsi="宋体" w:cs="宋体"/>
          <w:kern w:val="0"/>
          <w:sz w:val="24"/>
          <w:szCs w:val="24"/>
        </w:rPr>
        <w:t>项约定的原则处理；或者</w:t>
      </w:r>
    </w:p>
    <w:p w14:paraId="454A542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）在合同执行期间（包括工期拖延期间），由于人工、材料和设备价格的上涨而引起工程施工成本增加的风险由承包人自行承担，合同价格不会因此而调整。</w:t>
      </w:r>
    </w:p>
    <w:p w14:paraId="0580EED9">
      <w:pPr>
        <w:spacing w:line="440" w:lineRule="exact"/>
        <w:ind w:firstLine="480" w:firstLineChars="200"/>
        <w:rPr>
          <w:rFonts w:ascii="宋体" w:hAnsi="宋体" w:cs="宋体"/>
          <w:kern w:val="0"/>
          <w:sz w:val="24"/>
          <w:szCs w:val="24"/>
        </w:rPr>
      </w:pPr>
      <w:r>
        <w:rPr>
          <w:rFonts w:ascii="宋体" w:hAnsi="宋体" w:cs="宋体"/>
          <w:kern w:val="0"/>
          <w:sz w:val="24"/>
          <w:szCs w:val="24"/>
        </w:rPr>
        <w:t>16.1.1</w:t>
      </w:r>
      <w:r>
        <w:rPr>
          <w:rFonts w:hint="eastAsia" w:ascii="宋体" w:hAnsi="宋体" w:cs="宋体"/>
          <w:kern w:val="0"/>
          <w:sz w:val="24"/>
          <w:szCs w:val="24"/>
        </w:rPr>
        <w:t>采用价格指数调整价格差额</w:t>
      </w:r>
    </w:p>
    <w:p w14:paraId="48383DD5">
      <w:pPr>
        <w:spacing w:line="440" w:lineRule="exact"/>
        <w:ind w:firstLine="480" w:firstLineChars="200"/>
        <w:rPr>
          <w:rFonts w:ascii="宋体" w:hAnsi="宋体" w:cs="宋体"/>
          <w:kern w:val="0"/>
          <w:sz w:val="24"/>
          <w:szCs w:val="24"/>
        </w:rPr>
      </w:pPr>
      <w:r>
        <w:rPr>
          <w:rFonts w:ascii="宋体" w:hAnsi="宋体" w:cs="宋体"/>
          <w:kern w:val="0"/>
          <w:sz w:val="24"/>
          <w:szCs w:val="24"/>
        </w:rPr>
        <w:t>16.1.1</w:t>
      </w:r>
      <w:r>
        <w:rPr>
          <w:rFonts w:hint="eastAsia" w:ascii="宋体" w:hAnsi="宋体" w:cs="宋体"/>
          <w:kern w:val="0"/>
          <w:sz w:val="24"/>
          <w:szCs w:val="24"/>
        </w:rPr>
        <w:t>价格调整公式</w:t>
      </w:r>
    </w:p>
    <w:p w14:paraId="71A5387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价格调整公式后增加备注如下：</w:t>
      </w:r>
    </w:p>
    <w:p w14:paraId="6FCE39C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式中，</w:t>
      </w:r>
      <w:r>
        <w:rPr>
          <w:rFonts w:ascii="宋体" w:hAnsi="宋体" w:cs="宋体"/>
          <w:kern w:val="0"/>
          <w:sz w:val="24"/>
          <w:szCs w:val="24"/>
        </w:rPr>
        <w:t xml:space="preserve">A </w:t>
      </w:r>
      <w:r>
        <w:rPr>
          <w:rFonts w:hint="eastAsia" w:ascii="宋体" w:hAnsi="宋体" w:cs="宋体"/>
          <w:kern w:val="0"/>
          <w:sz w:val="24"/>
          <w:szCs w:val="24"/>
        </w:rPr>
        <w:t>＝</w:t>
      </w:r>
      <w:r>
        <w:rPr>
          <w:rFonts w:ascii="宋体" w:hAnsi="宋体" w:cs="宋体"/>
          <w:kern w:val="0"/>
          <w:sz w:val="24"/>
          <w:szCs w:val="24"/>
        </w:rPr>
        <w:t xml:space="preserve"> 1 </w:t>
      </w:r>
      <w:r>
        <w:rPr>
          <w:rFonts w:hint="eastAsia" w:ascii="宋体" w:hAnsi="宋体" w:cs="宋体"/>
          <w:kern w:val="0"/>
          <w:sz w:val="24"/>
          <w:szCs w:val="24"/>
        </w:rPr>
        <w:t>－</w:t>
      </w:r>
      <w:r>
        <w:rPr>
          <w:rFonts w:ascii="宋体" w:hAnsi="宋体" w:cs="宋体"/>
          <w:kern w:val="0"/>
          <w:sz w:val="24"/>
          <w:szCs w:val="24"/>
        </w:rPr>
        <w:t xml:space="preserve"> </w:t>
      </w:r>
      <w:r>
        <w:rPr>
          <w:rFonts w:hint="eastAsia" w:ascii="宋体" w:hAnsi="宋体" w:cs="宋体"/>
          <w:kern w:val="0"/>
          <w:sz w:val="24"/>
          <w:szCs w:val="24"/>
        </w:rPr>
        <w:t>（</w:t>
      </w:r>
      <w:r>
        <w:rPr>
          <w:rFonts w:ascii="宋体" w:hAnsi="宋体" w:cs="宋体"/>
          <w:kern w:val="0"/>
          <w:sz w:val="24"/>
          <w:szCs w:val="24"/>
        </w:rPr>
        <w:t xml:space="preserve">B1 </w:t>
      </w:r>
      <w:r>
        <w:rPr>
          <w:rFonts w:hint="eastAsia" w:ascii="宋体" w:hAnsi="宋体" w:cs="宋体"/>
          <w:kern w:val="0"/>
          <w:sz w:val="24"/>
          <w:szCs w:val="24"/>
        </w:rPr>
        <w:t>＋</w:t>
      </w:r>
      <w:r>
        <w:rPr>
          <w:rFonts w:ascii="宋体" w:hAnsi="宋体" w:cs="宋体"/>
          <w:kern w:val="0"/>
          <w:sz w:val="24"/>
          <w:szCs w:val="24"/>
        </w:rPr>
        <w:t xml:space="preserve"> B2 </w:t>
      </w:r>
      <w:r>
        <w:rPr>
          <w:rFonts w:hint="eastAsia" w:ascii="宋体" w:hAnsi="宋体" w:cs="宋体"/>
          <w:kern w:val="0"/>
          <w:sz w:val="24"/>
          <w:szCs w:val="24"/>
        </w:rPr>
        <w:t>＋</w:t>
      </w:r>
      <w:r>
        <w:rPr>
          <w:rFonts w:ascii="宋体" w:hAnsi="宋体" w:cs="宋体"/>
          <w:kern w:val="0"/>
          <w:sz w:val="24"/>
          <w:szCs w:val="24"/>
        </w:rPr>
        <w:t xml:space="preserve"> B3 </w:t>
      </w:r>
      <w:r>
        <w:rPr>
          <w:rFonts w:hint="eastAsia" w:ascii="宋体" w:hAnsi="宋体" w:cs="宋体"/>
          <w:kern w:val="0"/>
          <w:sz w:val="24"/>
          <w:szCs w:val="24"/>
        </w:rPr>
        <w:t>＋</w:t>
      </w:r>
      <w:r>
        <w:rPr>
          <w:rFonts w:ascii="宋体" w:hAnsi="宋体" w:cs="宋体"/>
          <w:kern w:val="0"/>
          <w:sz w:val="24"/>
          <w:szCs w:val="24"/>
        </w:rPr>
        <w:t xml:space="preserve"> ... </w:t>
      </w:r>
      <w:r>
        <w:rPr>
          <w:rFonts w:hint="eastAsia" w:ascii="宋体" w:hAnsi="宋体" w:cs="宋体"/>
          <w:kern w:val="0"/>
          <w:sz w:val="24"/>
          <w:szCs w:val="24"/>
        </w:rPr>
        <w:t>＋</w:t>
      </w:r>
      <w:r>
        <w:rPr>
          <w:rFonts w:ascii="宋体" w:hAnsi="宋体" w:cs="宋体"/>
          <w:kern w:val="0"/>
          <w:sz w:val="24"/>
          <w:szCs w:val="24"/>
        </w:rPr>
        <w:t xml:space="preserve"> Bn </w:t>
      </w:r>
      <w:r>
        <w:rPr>
          <w:rFonts w:hint="eastAsia" w:ascii="宋体" w:hAnsi="宋体" w:cs="宋体"/>
          <w:kern w:val="0"/>
          <w:sz w:val="24"/>
          <w:szCs w:val="24"/>
        </w:rPr>
        <w:t>）</w:t>
      </w:r>
    </w:p>
    <w:p w14:paraId="6F54E57E">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本目最后一段文字细化为：</w:t>
      </w:r>
    </w:p>
    <w:p w14:paraId="7453AB3C">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在采用价格调整公式进行调价时，还应遵守以下规定：</w:t>
      </w:r>
    </w:p>
    <w:p w14:paraId="34AD3810">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以上价格调整公式中的各可调因子、定值权重，以及基本价格指数及其来源，由发包人在投标函附录价格指数和权重表中约定。价格指数应首先采用国家或省、自治区、直辖市价格部门或统计部门提供的价格指数，缺乏上述价格指数时，可采用上述部门提供的价格代替。</w:t>
      </w:r>
    </w:p>
    <w:p w14:paraId="12F98D14">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）价格调整公式中的变值权重，由发包人根据项目实际情况测算确定范围，并在投标函附录价格指数和权重表中约定范围；承包人在投标时在此范围内填写各可调因子的权重，合同实施期间将按此权重进行调价。</w:t>
      </w:r>
    </w:p>
    <w:p w14:paraId="19743434">
      <w:pPr>
        <w:keepNext/>
        <w:keepLines/>
        <w:spacing w:line="440" w:lineRule="exact"/>
        <w:ind w:firstLine="482" w:firstLineChars="200"/>
        <w:rPr>
          <w:rFonts w:hint="eastAsia" w:ascii="宋体" w:hAnsi="宋体" w:cs="宋体"/>
          <w:b/>
          <w:bCs/>
          <w:kern w:val="44"/>
          <w:sz w:val="24"/>
          <w:szCs w:val="24"/>
        </w:rPr>
      </w:pPr>
      <w:bookmarkStart w:id="1296" w:name="_Toc513132355"/>
      <w:bookmarkStart w:id="1297" w:name="_Toc488083589"/>
      <w:bookmarkStart w:id="1298" w:name="_Toc479237780"/>
      <w:bookmarkStart w:id="1299" w:name="_Toc479265609"/>
      <w:bookmarkStart w:id="1300" w:name="_Toc512689722"/>
      <w:bookmarkStart w:id="1301" w:name="_Toc192710525"/>
      <w:bookmarkStart w:id="1302" w:name="_Toc513212875"/>
      <w:bookmarkStart w:id="1303" w:name="_Toc3475594"/>
      <w:bookmarkStart w:id="1304" w:name="_Toc234382904"/>
      <w:bookmarkStart w:id="1305" w:name="_Toc480282355"/>
      <w:r>
        <w:rPr>
          <w:rFonts w:hint="eastAsia" w:ascii="宋体" w:hAnsi="宋体" w:cs="宋体"/>
          <w:b/>
          <w:bCs/>
          <w:kern w:val="44"/>
          <w:sz w:val="24"/>
          <w:szCs w:val="24"/>
        </w:rPr>
        <w:t>17.计量与支付</w:t>
      </w:r>
      <w:bookmarkEnd w:id="1296"/>
      <w:bookmarkEnd w:id="1297"/>
      <w:bookmarkEnd w:id="1298"/>
      <w:bookmarkEnd w:id="1299"/>
      <w:bookmarkEnd w:id="1300"/>
      <w:bookmarkEnd w:id="1301"/>
      <w:bookmarkEnd w:id="1302"/>
      <w:bookmarkEnd w:id="1303"/>
      <w:bookmarkEnd w:id="1304"/>
      <w:bookmarkEnd w:id="1305"/>
    </w:p>
    <w:p w14:paraId="45538BA6">
      <w:pPr>
        <w:keepNext/>
        <w:keepLines/>
        <w:spacing w:line="440" w:lineRule="exact"/>
        <w:ind w:firstLine="482" w:firstLineChars="200"/>
        <w:rPr>
          <w:rFonts w:hint="eastAsia" w:ascii="宋体" w:hAnsi="宋体" w:cs="宋体"/>
          <w:b/>
          <w:bCs/>
          <w:kern w:val="44"/>
          <w:sz w:val="24"/>
          <w:szCs w:val="24"/>
        </w:rPr>
      </w:pPr>
      <w:bookmarkStart w:id="1306" w:name="_Toc480282356"/>
      <w:bookmarkStart w:id="1307" w:name="_Toc488083590"/>
      <w:bookmarkStart w:id="1308" w:name="_Toc513132356"/>
      <w:bookmarkStart w:id="1309" w:name="_Toc479265610"/>
      <w:bookmarkStart w:id="1310" w:name="_Toc512689723"/>
      <w:bookmarkStart w:id="1311" w:name="_Toc192710526"/>
      <w:bookmarkStart w:id="1312" w:name="_Toc479237781"/>
      <w:bookmarkStart w:id="1313" w:name="_Toc234382905"/>
      <w:bookmarkStart w:id="1314" w:name="_Toc513212876"/>
      <w:bookmarkStart w:id="1315" w:name="_Toc3475595"/>
      <w:r>
        <w:rPr>
          <w:rFonts w:hint="eastAsia" w:ascii="宋体" w:hAnsi="宋体" w:cs="宋体"/>
          <w:b/>
          <w:bCs/>
          <w:kern w:val="44"/>
          <w:sz w:val="24"/>
          <w:szCs w:val="24"/>
        </w:rPr>
        <w:t>17.1计量</w:t>
      </w:r>
      <w:bookmarkEnd w:id="1306"/>
      <w:bookmarkEnd w:id="1307"/>
      <w:bookmarkEnd w:id="1308"/>
      <w:bookmarkEnd w:id="1309"/>
      <w:bookmarkEnd w:id="1310"/>
      <w:bookmarkEnd w:id="1311"/>
      <w:bookmarkEnd w:id="1312"/>
      <w:bookmarkEnd w:id="1313"/>
      <w:bookmarkEnd w:id="1314"/>
      <w:bookmarkEnd w:id="1315"/>
    </w:p>
    <w:p w14:paraId="715FFCEC">
      <w:pPr>
        <w:spacing w:line="440" w:lineRule="exact"/>
        <w:ind w:firstLine="480" w:firstLineChars="200"/>
        <w:rPr>
          <w:rFonts w:ascii="宋体" w:hAnsi="宋体" w:cs="宋体"/>
          <w:kern w:val="0"/>
          <w:sz w:val="24"/>
          <w:szCs w:val="24"/>
        </w:rPr>
      </w:pPr>
      <w:r>
        <w:rPr>
          <w:rFonts w:ascii="宋体" w:hAnsi="宋体" w:cs="宋体"/>
          <w:kern w:val="0"/>
          <w:sz w:val="24"/>
          <w:szCs w:val="24"/>
        </w:rPr>
        <w:t>17.1.2</w:t>
      </w:r>
      <w:r>
        <w:rPr>
          <w:rFonts w:hint="eastAsia" w:ascii="宋体" w:hAnsi="宋体" w:cs="宋体"/>
          <w:kern w:val="0"/>
          <w:sz w:val="24"/>
          <w:szCs w:val="24"/>
        </w:rPr>
        <w:t>计量方法</w:t>
      </w:r>
    </w:p>
    <w:p w14:paraId="1356A93E">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本项约定为：</w:t>
      </w:r>
    </w:p>
    <w:p w14:paraId="05ACA96B">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工程的计量应以净值为准，除非项目专用合同条款另有约定。工程量清单中各个子目的具体计量方法按本合同文件技术标准中的规定执行。</w:t>
      </w:r>
    </w:p>
    <w:p w14:paraId="4AE671C6">
      <w:pPr>
        <w:spacing w:line="440" w:lineRule="exact"/>
        <w:ind w:firstLine="480" w:firstLineChars="200"/>
        <w:rPr>
          <w:rFonts w:ascii="宋体" w:hAnsi="宋体" w:cs="宋体"/>
          <w:kern w:val="0"/>
          <w:sz w:val="24"/>
          <w:szCs w:val="24"/>
        </w:rPr>
      </w:pPr>
      <w:r>
        <w:rPr>
          <w:rFonts w:ascii="宋体" w:hAnsi="宋体" w:cs="宋体"/>
          <w:kern w:val="0"/>
          <w:sz w:val="24"/>
          <w:szCs w:val="24"/>
        </w:rPr>
        <w:t>17.1.4</w:t>
      </w:r>
      <w:r>
        <w:rPr>
          <w:rFonts w:hint="eastAsia" w:ascii="宋体" w:hAnsi="宋体" w:cs="宋体"/>
          <w:kern w:val="0"/>
          <w:sz w:val="24"/>
          <w:szCs w:val="24"/>
        </w:rPr>
        <w:t>单价子目的计量</w:t>
      </w:r>
    </w:p>
    <w:p w14:paraId="6083CCA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本项补充：</w:t>
      </w:r>
    </w:p>
    <w:p w14:paraId="2FC9277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7</w:t>
      </w:r>
      <w:r>
        <w:rPr>
          <w:rFonts w:hint="eastAsia" w:ascii="宋体" w:hAnsi="宋体" w:cs="宋体"/>
          <w:kern w:val="0"/>
          <w:sz w:val="24"/>
          <w:szCs w:val="24"/>
        </w:rPr>
        <w:t>）承包人未在已标价工程量清单中填入单价或总额价的工程子目，将被认为其已包含在本合同的其他子目的单价和总额价中，发包人将不另行支付。</w:t>
      </w:r>
    </w:p>
    <w:p w14:paraId="047487C6">
      <w:pPr>
        <w:keepNext/>
        <w:keepLines/>
        <w:spacing w:line="440" w:lineRule="exact"/>
        <w:ind w:firstLine="482" w:firstLineChars="200"/>
        <w:rPr>
          <w:rFonts w:hint="eastAsia" w:ascii="宋体" w:hAnsi="宋体" w:cs="宋体"/>
          <w:b/>
          <w:bCs/>
          <w:kern w:val="44"/>
          <w:sz w:val="24"/>
          <w:szCs w:val="24"/>
        </w:rPr>
      </w:pPr>
      <w:bookmarkStart w:id="1316" w:name="_Toc513212877"/>
      <w:bookmarkStart w:id="1317" w:name="_Toc234382906"/>
      <w:bookmarkStart w:id="1318" w:name="_Toc488083591"/>
      <w:bookmarkStart w:id="1319" w:name="_Toc513132357"/>
      <w:bookmarkStart w:id="1320" w:name="_Toc479237782"/>
      <w:bookmarkStart w:id="1321" w:name="_Toc3475596"/>
      <w:bookmarkStart w:id="1322" w:name="_Toc192710527"/>
      <w:bookmarkStart w:id="1323" w:name="_Toc512689724"/>
      <w:bookmarkStart w:id="1324" w:name="_Toc479265611"/>
      <w:bookmarkStart w:id="1325" w:name="_Toc480282357"/>
      <w:r>
        <w:rPr>
          <w:rFonts w:hint="eastAsia" w:ascii="宋体" w:hAnsi="宋体" w:cs="宋体"/>
          <w:b/>
          <w:bCs/>
          <w:kern w:val="44"/>
          <w:sz w:val="24"/>
          <w:szCs w:val="24"/>
        </w:rPr>
        <w:t>17.2预付款</w:t>
      </w:r>
      <w:bookmarkEnd w:id="1316"/>
      <w:bookmarkEnd w:id="1317"/>
      <w:bookmarkEnd w:id="1318"/>
      <w:bookmarkEnd w:id="1319"/>
      <w:bookmarkEnd w:id="1320"/>
      <w:bookmarkEnd w:id="1321"/>
      <w:bookmarkEnd w:id="1322"/>
      <w:bookmarkEnd w:id="1323"/>
      <w:bookmarkEnd w:id="1324"/>
      <w:bookmarkEnd w:id="1325"/>
    </w:p>
    <w:p w14:paraId="7494DA93">
      <w:pPr>
        <w:spacing w:line="440" w:lineRule="exact"/>
        <w:ind w:firstLine="480" w:firstLineChars="200"/>
        <w:rPr>
          <w:rFonts w:ascii="宋体" w:hAnsi="宋体" w:cs="宋体"/>
          <w:kern w:val="0"/>
          <w:sz w:val="24"/>
          <w:szCs w:val="24"/>
        </w:rPr>
      </w:pPr>
      <w:r>
        <w:rPr>
          <w:rFonts w:ascii="宋体" w:hAnsi="宋体" w:cs="宋体"/>
          <w:kern w:val="0"/>
          <w:sz w:val="24"/>
          <w:szCs w:val="24"/>
        </w:rPr>
        <w:t>17.2.1</w:t>
      </w:r>
      <w:r>
        <w:rPr>
          <w:rFonts w:hint="eastAsia" w:ascii="宋体" w:hAnsi="宋体" w:cs="宋体"/>
          <w:kern w:val="0"/>
          <w:sz w:val="24"/>
          <w:szCs w:val="24"/>
        </w:rPr>
        <w:t>预付款</w:t>
      </w:r>
    </w:p>
    <w:p w14:paraId="31086522">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本项目无预付款</w:t>
      </w:r>
    </w:p>
    <w:p w14:paraId="0C351C8B">
      <w:pPr>
        <w:keepNext/>
        <w:keepLines/>
        <w:spacing w:line="440" w:lineRule="exact"/>
        <w:ind w:firstLine="482" w:firstLineChars="200"/>
        <w:rPr>
          <w:rFonts w:hint="eastAsia" w:ascii="宋体" w:hAnsi="宋体" w:cs="宋体"/>
          <w:b/>
          <w:bCs/>
          <w:kern w:val="44"/>
          <w:sz w:val="24"/>
          <w:szCs w:val="24"/>
        </w:rPr>
      </w:pPr>
      <w:bookmarkStart w:id="1326" w:name="_Toc479237783"/>
      <w:bookmarkStart w:id="1327" w:name="_Toc512689725"/>
      <w:bookmarkStart w:id="1328" w:name="_Toc513132358"/>
      <w:bookmarkStart w:id="1329" w:name="_Toc234382907"/>
      <w:bookmarkStart w:id="1330" w:name="_Toc513212878"/>
      <w:bookmarkStart w:id="1331" w:name="_Toc479265612"/>
      <w:bookmarkStart w:id="1332" w:name="_Toc3475597"/>
      <w:bookmarkStart w:id="1333" w:name="_Toc192710528"/>
      <w:bookmarkStart w:id="1334" w:name="_Toc488083592"/>
      <w:bookmarkStart w:id="1335" w:name="_Toc480282358"/>
      <w:r>
        <w:rPr>
          <w:rFonts w:hint="eastAsia" w:ascii="宋体" w:hAnsi="宋体" w:cs="宋体"/>
          <w:b/>
          <w:bCs/>
          <w:kern w:val="44"/>
          <w:sz w:val="24"/>
          <w:szCs w:val="24"/>
        </w:rPr>
        <w:t>17.3工程进度付款</w:t>
      </w:r>
      <w:bookmarkEnd w:id="1326"/>
      <w:bookmarkEnd w:id="1327"/>
      <w:bookmarkEnd w:id="1328"/>
      <w:bookmarkEnd w:id="1329"/>
      <w:bookmarkEnd w:id="1330"/>
      <w:bookmarkEnd w:id="1331"/>
      <w:bookmarkEnd w:id="1332"/>
      <w:bookmarkEnd w:id="1333"/>
      <w:bookmarkEnd w:id="1334"/>
      <w:bookmarkEnd w:id="1335"/>
    </w:p>
    <w:p w14:paraId="0B46BD3D">
      <w:pPr>
        <w:spacing w:line="440" w:lineRule="exact"/>
        <w:ind w:firstLine="480" w:firstLineChars="200"/>
        <w:rPr>
          <w:rFonts w:ascii="宋体" w:hAnsi="宋体" w:cs="宋体"/>
          <w:kern w:val="0"/>
          <w:sz w:val="24"/>
          <w:szCs w:val="24"/>
        </w:rPr>
      </w:pPr>
      <w:r>
        <w:rPr>
          <w:rFonts w:ascii="宋体" w:hAnsi="宋体" w:cs="宋体"/>
          <w:kern w:val="0"/>
          <w:sz w:val="24"/>
          <w:szCs w:val="24"/>
        </w:rPr>
        <w:t>17.3.3</w:t>
      </w:r>
      <w:r>
        <w:rPr>
          <w:rFonts w:hint="eastAsia" w:ascii="宋体" w:hAnsi="宋体" w:cs="宋体"/>
          <w:kern w:val="0"/>
          <w:sz w:val="24"/>
          <w:szCs w:val="24"/>
        </w:rPr>
        <w:t>进度付款证书和支付时间</w:t>
      </w:r>
    </w:p>
    <w:p w14:paraId="2BB7B89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w:t>
      </w:r>
      <w:r>
        <w:rPr>
          <w:rFonts w:ascii="宋体" w:hAnsi="宋体" w:cs="宋体"/>
          <w:kern w:val="0"/>
          <w:sz w:val="24"/>
          <w:szCs w:val="24"/>
        </w:rPr>
        <w:t>1</w:t>
      </w:r>
      <w:r>
        <w:rPr>
          <w:rFonts w:hint="eastAsia" w:ascii="宋体" w:hAnsi="宋体" w:cs="宋体"/>
          <w:kern w:val="0"/>
          <w:sz w:val="24"/>
          <w:szCs w:val="24"/>
        </w:rPr>
        <w:t>）目补充：</w:t>
      </w:r>
      <w:r>
        <w:rPr>
          <w:rFonts w:ascii="宋体" w:hAnsi="宋体" w:cs="宋体"/>
          <w:kern w:val="0"/>
          <w:sz w:val="24"/>
          <w:szCs w:val="24"/>
        </w:rPr>
        <w:tab/>
      </w:r>
    </w:p>
    <w:p w14:paraId="68E55E2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如果该付款周期应结算的价款经扣留和扣回后的款额少于项目专用合同条款数据表中列明的进度付款证书的最低金额，则该付款周期监理人可不核证支付，上述款额将按付款周期结转，直至累计应支付的款额达到项目专用合同条款数据表中列明的进度付款证书的最低金额为止。</w:t>
      </w:r>
    </w:p>
    <w:p w14:paraId="52283E06">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w:t>
      </w:r>
      <w:r>
        <w:rPr>
          <w:rFonts w:ascii="宋体" w:hAnsi="宋体" w:cs="宋体"/>
          <w:kern w:val="0"/>
          <w:sz w:val="24"/>
          <w:szCs w:val="24"/>
        </w:rPr>
        <w:t>2</w:t>
      </w:r>
      <w:r>
        <w:rPr>
          <w:rFonts w:hint="eastAsia" w:ascii="宋体" w:hAnsi="宋体" w:cs="宋体"/>
          <w:kern w:val="0"/>
          <w:sz w:val="24"/>
          <w:szCs w:val="24"/>
        </w:rPr>
        <w:t>）目约定为：</w:t>
      </w:r>
    </w:p>
    <w:p w14:paraId="24164A4C">
      <w:pPr>
        <w:spacing w:line="440" w:lineRule="exact"/>
        <w:ind w:firstLine="480" w:firstLineChars="200"/>
        <w:rPr>
          <w:rFonts w:ascii="宋体" w:hAnsi="宋体" w:cs="宋体"/>
          <w:kern w:val="0"/>
          <w:sz w:val="24"/>
          <w:szCs w:val="24"/>
        </w:rPr>
      </w:pPr>
      <w:r>
        <w:rPr>
          <w:rFonts w:ascii="宋体" w:hAnsi="宋体" w:cs="宋体"/>
          <w:kern w:val="0"/>
          <w:sz w:val="24"/>
          <w:szCs w:val="24"/>
        </w:rPr>
        <w:t>发包人应在监理人收到进度付款申请单且承包人提交了合格的增值税专用发票后的28 天内，将进度应付款支付给承包人。</w:t>
      </w:r>
    </w:p>
    <w:p w14:paraId="33144593">
      <w:pPr>
        <w:spacing w:line="440" w:lineRule="exact"/>
        <w:ind w:firstLine="480" w:firstLineChars="200"/>
        <w:rPr>
          <w:rFonts w:hint="eastAsia" w:ascii="宋体" w:hAnsi="宋体" w:cs="宋体"/>
          <w:kern w:val="0"/>
          <w:sz w:val="24"/>
          <w:szCs w:val="24"/>
        </w:rPr>
      </w:pPr>
      <w:r>
        <w:rPr>
          <w:rFonts w:ascii="宋体" w:hAnsi="宋体" w:cs="宋体"/>
          <w:kern w:val="0"/>
          <w:sz w:val="24"/>
          <w:szCs w:val="24"/>
        </w:rPr>
        <w:t>发包人不按期支付的，按项目专用合同条款数据表中约定的利率向承包人支付逾期付款违约金 。违约金计算基数为发包人的全部未付款额，时间从应付而未付该款额之日算起(不计复利)。</w:t>
      </w:r>
    </w:p>
    <w:p w14:paraId="1E88C0D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本款补充第17.3.5项：</w:t>
      </w:r>
    </w:p>
    <w:p w14:paraId="48961478">
      <w:pPr>
        <w:spacing w:line="440" w:lineRule="exact"/>
        <w:ind w:firstLine="480" w:firstLineChars="200"/>
        <w:rPr>
          <w:rFonts w:ascii="宋体" w:hAnsi="宋体" w:cs="宋体"/>
          <w:kern w:val="0"/>
          <w:sz w:val="24"/>
          <w:szCs w:val="24"/>
        </w:rPr>
      </w:pPr>
      <w:r>
        <w:rPr>
          <w:rFonts w:ascii="宋体" w:hAnsi="宋体" w:cs="宋体"/>
          <w:kern w:val="0"/>
          <w:sz w:val="24"/>
          <w:szCs w:val="24"/>
        </w:rPr>
        <w:t>17.3.</w:t>
      </w:r>
      <w:r>
        <w:rPr>
          <w:rFonts w:hint="eastAsia" w:ascii="宋体" w:hAnsi="宋体" w:cs="宋体"/>
          <w:kern w:val="0"/>
          <w:sz w:val="24"/>
          <w:szCs w:val="24"/>
        </w:rPr>
        <w:t>5农民工工资保证金</w:t>
      </w:r>
    </w:p>
    <w:p w14:paraId="74CE8810">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（1）为确保施工过程中农民工工资实时、足额发放到位，承包人应按照项目专用合同条款约定的时间和金额缴存农民工工资保证金。</w:t>
      </w:r>
    </w:p>
    <w:p w14:paraId="1AFD3CC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农民工工资保证金可采用银行保函或现金</w:t>
      </w:r>
      <w:r>
        <w:rPr>
          <w:rFonts w:hint="eastAsia" w:ascii="宋体" w:hAnsi="宋体" w:cs="宋体"/>
          <w:kern w:val="0"/>
          <w:sz w:val="24"/>
          <w:szCs w:val="24"/>
        </w:rPr>
        <w:t>、</w:t>
      </w:r>
      <w:r>
        <w:rPr>
          <w:rFonts w:ascii="宋体" w:hAnsi="宋体" w:cs="宋体"/>
          <w:kern w:val="0"/>
          <w:sz w:val="24"/>
          <w:szCs w:val="24"/>
        </w:rPr>
        <w:t>支票形式。采用银行保函时，出具保函的银行须具有相应担保能力，且按照发包人批准的格式出具，所需费用由承包人承担。</w:t>
      </w:r>
    </w:p>
    <w:p w14:paraId="77CDAAF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农民工工资保证金的扣留条件、返还时间按照项目专用合同条款的约定执行。</w:t>
      </w:r>
    </w:p>
    <w:p w14:paraId="1C4E265B">
      <w:pPr>
        <w:keepNext/>
        <w:keepLines/>
        <w:spacing w:line="440" w:lineRule="exact"/>
        <w:ind w:firstLine="482" w:firstLineChars="200"/>
        <w:rPr>
          <w:rFonts w:hint="eastAsia" w:ascii="宋体" w:hAnsi="宋体" w:cs="宋体"/>
          <w:b/>
          <w:bCs/>
          <w:kern w:val="44"/>
          <w:sz w:val="24"/>
          <w:szCs w:val="24"/>
        </w:rPr>
      </w:pPr>
      <w:bookmarkStart w:id="1336" w:name="_Toc192710529"/>
      <w:bookmarkStart w:id="1337" w:name="_Toc513132359"/>
      <w:bookmarkStart w:id="1338" w:name="_Toc480282359"/>
      <w:bookmarkStart w:id="1339" w:name="_Toc3475598"/>
      <w:bookmarkStart w:id="1340" w:name="_Toc512689726"/>
      <w:bookmarkStart w:id="1341" w:name="_Toc234382908"/>
      <w:bookmarkStart w:id="1342" w:name="_Toc513212879"/>
      <w:bookmarkStart w:id="1343" w:name="_Toc479237784"/>
      <w:bookmarkStart w:id="1344" w:name="_Toc488083593"/>
      <w:bookmarkStart w:id="1345" w:name="_Toc479265613"/>
      <w:r>
        <w:rPr>
          <w:rFonts w:hint="eastAsia" w:ascii="宋体" w:hAnsi="宋体" w:cs="宋体"/>
          <w:b/>
          <w:bCs/>
          <w:kern w:val="44"/>
          <w:sz w:val="24"/>
          <w:szCs w:val="24"/>
        </w:rPr>
        <w:t>17.4质量保证金</w:t>
      </w:r>
      <w:bookmarkEnd w:id="1336"/>
      <w:bookmarkEnd w:id="1337"/>
      <w:bookmarkEnd w:id="1338"/>
      <w:bookmarkEnd w:id="1339"/>
      <w:bookmarkEnd w:id="1340"/>
      <w:bookmarkEnd w:id="1341"/>
      <w:bookmarkEnd w:id="1342"/>
      <w:bookmarkEnd w:id="1343"/>
      <w:bookmarkEnd w:id="1344"/>
      <w:bookmarkEnd w:id="1345"/>
    </w:p>
    <w:p w14:paraId="736F1E05">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17.4.1</w:t>
      </w:r>
      <w:r>
        <w:rPr>
          <w:rFonts w:hint="eastAsia" w:ascii="宋体" w:hAnsi="宋体" w:cs="宋体"/>
          <w:kern w:val="0"/>
          <w:sz w:val="24"/>
          <w:szCs w:val="24"/>
        </w:rPr>
        <w:t>、17.4.2项细化为：</w:t>
      </w:r>
    </w:p>
    <w:p w14:paraId="12A2E0E3">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17.4.1</w:t>
      </w:r>
      <w:r>
        <w:rPr>
          <w:rFonts w:ascii="宋体" w:hAnsi="宋体" w:cs="宋体"/>
          <w:kern w:val="0"/>
          <w:sz w:val="24"/>
          <w:szCs w:val="24"/>
        </w:rPr>
        <w:t>交工验收证书签发后 14 天内 ，承包人应向发包人缴纳质量保证金</w:t>
      </w:r>
      <w:r>
        <w:rPr>
          <w:rFonts w:hint="eastAsia" w:ascii="宋体" w:hAnsi="宋体" w:cs="宋体"/>
          <w:kern w:val="0"/>
          <w:sz w:val="24"/>
          <w:szCs w:val="24"/>
        </w:rPr>
        <w:t>最高不超过合同价格的 3%</w:t>
      </w:r>
      <w:r>
        <w:rPr>
          <w:rFonts w:ascii="宋体" w:hAnsi="宋体" w:cs="宋体"/>
          <w:kern w:val="0"/>
          <w:sz w:val="24"/>
          <w:szCs w:val="24"/>
        </w:rPr>
        <w:t>。质量保证金可采用银行保函或现金、支票形式，金额应符合项目专用合同条款数据表的规定。采用银行保函时，出具保函的银行须具有相应担保能力，且按照发包人批准的格式出具，所需费用由承包人承担 。</w:t>
      </w:r>
    </w:p>
    <w:p w14:paraId="2764A480">
      <w:pPr>
        <w:spacing w:line="440" w:lineRule="exact"/>
        <w:ind w:firstLine="480" w:firstLineChars="200"/>
        <w:rPr>
          <w:rFonts w:ascii="宋体" w:hAnsi="宋体" w:cs="宋体"/>
          <w:kern w:val="0"/>
          <w:sz w:val="24"/>
          <w:szCs w:val="24"/>
        </w:rPr>
      </w:pPr>
      <w:r>
        <w:rPr>
          <w:rFonts w:ascii="宋体" w:hAnsi="宋体" w:cs="宋体"/>
          <w:kern w:val="0"/>
          <w:sz w:val="24"/>
          <w:szCs w:val="24"/>
        </w:rPr>
        <w:t>质量保证金采用现金、支票形式提交的，发包人应在项目专用合同条款数据表中明确是否计付利息以及利息的计算方式。</w:t>
      </w:r>
    </w:p>
    <w:p w14:paraId="193E2B3A">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17.4.2</w:t>
      </w:r>
      <w:r>
        <w:rPr>
          <w:rFonts w:ascii="宋体" w:hAnsi="宋体" w:cs="宋体"/>
          <w:kern w:val="0"/>
          <w:sz w:val="24"/>
          <w:szCs w:val="24"/>
        </w:rPr>
        <w:t>在第1.1.4.5 目约定的缺陷责任期满，且质量监督机构已按规定对工程质量检测鉴定合格，承包人向发包人申请到期应返还承包人剩余的质量保证金金额， 发包人应在14 天内会同承包人按照合同约定的内容核实承包人是否完成缺陷责任</w:t>
      </w:r>
      <w:r>
        <w:rPr>
          <w:rFonts w:hint="eastAsia" w:ascii="宋体" w:hAnsi="宋体" w:cs="宋体"/>
          <w:kern w:val="0"/>
          <w:sz w:val="24"/>
          <w:szCs w:val="24"/>
        </w:rPr>
        <w:t>。</w:t>
      </w:r>
      <w:r>
        <w:rPr>
          <w:rFonts w:ascii="宋体" w:hAnsi="宋体" w:cs="宋体"/>
          <w:kern w:val="0"/>
          <w:sz w:val="24"/>
          <w:szCs w:val="24"/>
        </w:rPr>
        <w:t>如无异议，发包人应当在核实后将剩余保证金返还承包人。</w:t>
      </w:r>
    </w:p>
    <w:p w14:paraId="5F4029BE">
      <w:pPr>
        <w:keepNext/>
        <w:keepLines/>
        <w:spacing w:line="440" w:lineRule="exact"/>
        <w:ind w:firstLine="482" w:firstLineChars="200"/>
        <w:rPr>
          <w:rFonts w:hint="eastAsia" w:ascii="宋体" w:hAnsi="宋体" w:cs="宋体"/>
          <w:b/>
          <w:bCs/>
          <w:kern w:val="44"/>
          <w:sz w:val="24"/>
          <w:szCs w:val="24"/>
        </w:rPr>
      </w:pPr>
      <w:bookmarkStart w:id="1346" w:name="_Toc480282360"/>
      <w:bookmarkStart w:id="1347" w:name="_Toc192710530"/>
      <w:bookmarkStart w:id="1348" w:name="_Toc234382909"/>
      <w:bookmarkStart w:id="1349" w:name="_Toc488083594"/>
      <w:bookmarkStart w:id="1350" w:name="_Toc513212880"/>
      <w:bookmarkStart w:id="1351" w:name="_Toc513132360"/>
      <w:bookmarkStart w:id="1352" w:name="_Toc479265614"/>
      <w:bookmarkStart w:id="1353" w:name="_Toc512689727"/>
      <w:bookmarkStart w:id="1354" w:name="_Toc479237785"/>
      <w:bookmarkStart w:id="1355" w:name="_Toc3475599"/>
      <w:r>
        <w:rPr>
          <w:rFonts w:hint="eastAsia" w:ascii="宋体" w:hAnsi="宋体" w:cs="宋体"/>
          <w:b/>
          <w:bCs/>
          <w:kern w:val="44"/>
          <w:sz w:val="24"/>
          <w:szCs w:val="24"/>
        </w:rPr>
        <w:t>17.5交工结算</w:t>
      </w:r>
      <w:bookmarkEnd w:id="1346"/>
      <w:bookmarkEnd w:id="1347"/>
      <w:bookmarkEnd w:id="1348"/>
      <w:bookmarkEnd w:id="1349"/>
      <w:bookmarkEnd w:id="1350"/>
      <w:bookmarkEnd w:id="1351"/>
      <w:bookmarkEnd w:id="1352"/>
      <w:bookmarkEnd w:id="1353"/>
      <w:bookmarkEnd w:id="1354"/>
      <w:bookmarkEnd w:id="1355"/>
    </w:p>
    <w:p w14:paraId="4B1F4688">
      <w:pPr>
        <w:spacing w:line="440" w:lineRule="exact"/>
        <w:ind w:firstLine="480" w:firstLineChars="200"/>
        <w:rPr>
          <w:rFonts w:ascii="宋体" w:hAnsi="宋体" w:cs="宋体"/>
          <w:kern w:val="0"/>
          <w:sz w:val="24"/>
          <w:szCs w:val="24"/>
        </w:rPr>
      </w:pPr>
      <w:r>
        <w:rPr>
          <w:rFonts w:ascii="宋体" w:hAnsi="宋体" w:cs="宋体"/>
          <w:kern w:val="0"/>
          <w:sz w:val="24"/>
          <w:szCs w:val="24"/>
        </w:rPr>
        <w:t>17.5.l</w:t>
      </w:r>
      <w:r>
        <w:rPr>
          <w:rFonts w:hint="eastAsia" w:ascii="宋体" w:hAnsi="宋体" w:cs="宋体"/>
          <w:kern w:val="0"/>
          <w:sz w:val="24"/>
          <w:szCs w:val="24"/>
        </w:rPr>
        <w:t>交工付款申请单</w:t>
      </w:r>
    </w:p>
    <w:p w14:paraId="3DB6370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w:t>
      </w:r>
      <w:r>
        <w:rPr>
          <w:rFonts w:ascii="宋体" w:hAnsi="宋体" w:cs="宋体"/>
          <w:kern w:val="0"/>
          <w:sz w:val="24"/>
          <w:szCs w:val="24"/>
        </w:rPr>
        <w:t>l</w:t>
      </w:r>
      <w:r>
        <w:rPr>
          <w:rFonts w:hint="eastAsia" w:ascii="宋体" w:hAnsi="宋体" w:cs="宋体"/>
          <w:kern w:val="0"/>
          <w:sz w:val="24"/>
          <w:szCs w:val="24"/>
        </w:rPr>
        <w:t>）目约定为：</w:t>
      </w:r>
    </w:p>
    <w:p w14:paraId="7DC225FA">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承包人向监理人提交交工付款申请单（包括相关证明材料）的份数在项目专用合同条款数据表中约定；期限：交工验收证书签发后</w:t>
      </w:r>
      <w:r>
        <w:rPr>
          <w:rFonts w:ascii="宋体" w:hAnsi="宋体" w:cs="宋体"/>
          <w:kern w:val="0"/>
          <w:sz w:val="24"/>
          <w:szCs w:val="24"/>
        </w:rPr>
        <w:t>42</w:t>
      </w:r>
      <w:r>
        <w:rPr>
          <w:rFonts w:hint="eastAsia" w:ascii="宋体" w:hAnsi="宋体" w:cs="宋体"/>
          <w:kern w:val="0"/>
          <w:sz w:val="24"/>
          <w:szCs w:val="24"/>
        </w:rPr>
        <w:t>天内。</w:t>
      </w:r>
    </w:p>
    <w:p w14:paraId="29082642">
      <w:pPr>
        <w:keepNext/>
        <w:keepLines/>
        <w:spacing w:line="440" w:lineRule="exact"/>
        <w:ind w:firstLine="482" w:firstLineChars="200"/>
        <w:rPr>
          <w:rFonts w:hint="eastAsia" w:ascii="宋体" w:hAnsi="宋体" w:cs="宋体"/>
          <w:b/>
          <w:bCs/>
          <w:kern w:val="44"/>
          <w:sz w:val="24"/>
          <w:szCs w:val="24"/>
        </w:rPr>
      </w:pPr>
      <w:bookmarkStart w:id="1356" w:name="_Toc480282361"/>
      <w:bookmarkStart w:id="1357" w:name="_Toc513212881"/>
      <w:bookmarkStart w:id="1358" w:name="_Toc234382910"/>
      <w:bookmarkStart w:id="1359" w:name="_Toc512689728"/>
      <w:bookmarkStart w:id="1360" w:name="_Toc3475600"/>
      <w:bookmarkStart w:id="1361" w:name="_Toc513132361"/>
      <w:bookmarkStart w:id="1362" w:name="_Toc488083595"/>
      <w:bookmarkStart w:id="1363" w:name="_Toc479237786"/>
      <w:bookmarkStart w:id="1364" w:name="_Toc192710531"/>
      <w:bookmarkStart w:id="1365" w:name="_Toc479265615"/>
      <w:r>
        <w:rPr>
          <w:rFonts w:hint="eastAsia" w:ascii="宋体" w:hAnsi="宋体" w:cs="宋体"/>
          <w:b/>
          <w:bCs/>
          <w:kern w:val="44"/>
          <w:sz w:val="24"/>
          <w:szCs w:val="24"/>
        </w:rPr>
        <w:t>17.6最终结清</w:t>
      </w:r>
      <w:bookmarkEnd w:id="1356"/>
      <w:bookmarkEnd w:id="1357"/>
      <w:bookmarkEnd w:id="1358"/>
      <w:bookmarkEnd w:id="1359"/>
      <w:bookmarkEnd w:id="1360"/>
      <w:bookmarkEnd w:id="1361"/>
      <w:bookmarkEnd w:id="1362"/>
      <w:bookmarkEnd w:id="1363"/>
      <w:bookmarkEnd w:id="1364"/>
      <w:bookmarkEnd w:id="1365"/>
    </w:p>
    <w:p w14:paraId="36D570EF">
      <w:pPr>
        <w:spacing w:line="440" w:lineRule="exact"/>
        <w:ind w:firstLine="480" w:firstLineChars="200"/>
        <w:rPr>
          <w:rFonts w:ascii="宋体" w:hAnsi="宋体" w:cs="宋体"/>
          <w:kern w:val="0"/>
          <w:sz w:val="24"/>
          <w:szCs w:val="24"/>
        </w:rPr>
      </w:pPr>
      <w:r>
        <w:rPr>
          <w:rFonts w:ascii="宋体" w:hAnsi="宋体" w:cs="宋体"/>
          <w:kern w:val="0"/>
          <w:sz w:val="24"/>
          <w:szCs w:val="24"/>
        </w:rPr>
        <w:t>17.6.1</w:t>
      </w:r>
      <w:r>
        <w:rPr>
          <w:rFonts w:hint="eastAsia" w:ascii="宋体" w:hAnsi="宋体" w:cs="宋体"/>
          <w:kern w:val="0"/>
          <w:sz w:val="24"/>
          <w:szCs w:val="24"/>
        </w:rPr>
        <w:t>最终结清申请单</w:t>
      </w:r>
    </w:p>
    <w:p w14:paraId="0A39593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w:t>
      </w:r>
      <w:r>
        <w:rPr>
          <w:rFonts w:ascii="宋体" w:hAnsi="宋体" w:cs="宋体"/>
          <w:kern w:val="0"/>
          <w:sz w:val="24"/>
          <w:szCs w:val="24"/>
        </w:rPr>
        <w:t>1</w:t>
      </w:r>
      <w:r>
        <w:rPr>
          <w:rFonts w:hint="eastAsia" w:ascii="宋体" w:hAnsi="宋体" w:cs="宋体"/>
          <w:kern w:val="0"/>
          <w:sz w:val="24"/>
          <w:szCs w:val="24"/>
        </w:rPr>
        <w:t>）目约定为：</w:t>
      </w:r>
    </w:p>
    <w:p w14:paraId="0C1EE95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承包人向监理人提交最终结清申请单（包括相关证明材料）的份数在项目专用合同条款数据表中约定；期限：缺陷责任期终止证书签发后</w:t>
      </w:r>
      <w:r>
        <w:rPr>
          <w:rFonts w:ascii="宋体" w:hAnsi="宋体" w:cs="宋体"/>
          <w:kern w:val="0"/>
          <w:sz w:val="24"/>
          <w:szCs w:val="24"/>
        </w:rPr>
        <w:t>28</w:t>
      </w:r>
      <w:r>
        <w:rPr>
          <w:rFonts w:hint="eastAsia" w:ascii="宋体" w:hAnsi="宋体" w:cs="宋体"/>
          <w:kern w:val="0"/>
          <w:sz w:val="24"/>
          <w:szCs w:val="24"/>
        </w:rPr>
        <w:t>天内。</w:t>
      </w:r>
    </w:p>
    <w:p w14:paraId="411F76C6">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最终结清申请单中的总金额应认为是代表了根据合同规定应付给承包人的全部款项的最后结算。</w:t>
      </w:r>
    </w:p>
    <w:p w14:paraId="5491A18D">
      <w:pPr>
        <w:keepNext/>
        <w:keepLines/>
        <w:spacing w:line="440" w:lineRule="exact"/>
        <w:ind w:firstLine="482" w:firstLineChars="200"/>
        <w:rPr>
          <w:rFonts w:hint="eastAsia" w:ascii="宋体" w:hAnsi="宋体" w:cs="宋体"/>
          <w:b/>
          <w:bCs/>
          <w:kern w:val="44"/>
          <w:sz w:val="24"/>
          <w:szCs w:val="24"/>
        </w:rPr>
      </w:pPr>
      <w:bookmarkStart w:id="1366" w:name="_Toc192710532"/>
      <w:bookmarkStart w:id="1367" w:name="_Toc512689729"/>
      <w:bookmarkStart w:id="1368" w:name="_Toc479237787"/>
      <w:bookmarkStart w:id="1369" w:name="_Toc480282362"/>
      <w:bookmarkStart w:id="1370" w:name="_Toc479265616"/>
      <w:bookmarkStart w:id="1371" w:name="_Toc513132362"/>
      <w:bookmarkStart w:id="1372" w:name="_Toc3475601"/>
      <w:bookmarkStart w:id="1373" w:name="_Toc234382911"/>
      <w:bookmarkStart w:id="1374" w:name="_Toc488083596"/>
      <w:bookmarkStart w:id="1375" w:name="_Toc513212882"/>
      <w:r>
        <w:rPr>
          <w:rFonts w:hint="eastAsia" w:ascii="宋体" w:hAnsi="宋体" w:cs="宋体"/>
          <w:b/>
          <w:bCs/>
          <w:kern w:val="44"/>
          <w:sz w:val="24"/>
          <w:szCs w:val="24"/>
        </w:rPr>
        <w:t>18．交工验收</w:t>
      </w:r>
      <w:bookmarkEnd w:id="1366"/>
      <w:bookmarkEnd w:id="1367"/>
      <w:bookmarkEnd w:id="1368"/>
      <w:bookmarkEnd w:id="1369"/>
      <w:bookmarkEnd w:id="1370"/>
      <w:bookmarkEnd w:id="1371"/>
      <w:bookmarkEnd w:id="1372"/>
      <w:bookmarkEnd w:id="1373"/>
      <w:bookmarkEnd w:id="1374"/>
      <w:bookmarkEnd w:id="1375"/>
    </w:p>
    <w:p w14:paraId="461D96E3">
      <w:pPr>
        <w:keepNext/>
        <w:keepLines/>
        <w:spacing w:line="440" w:lineRule="exact"/>
        <w:ind w:firstLine="482" w:firstLineChars="200"/>
        <w:rPr>
          <w:rFonts w:ascii="宋体" w:hAnsi="Calibri" w:eastAsia="黑体"/>
          <w:b/>
          <w:bCs/>
          <w:kern w:val="44"/>
          <w:sz w:val="24"/>
          <w:szCs w:val="24"/>
        </w:rPr>
      </w:pPr>
      <w:bookmarkStart w:id="1376" w:name="_Toc3475602"/>
      <w:bookmarkStart w:id="1377" w:name="_Toc234382912"/>
      <w:bookmarkStart w:id="1378" w:name="_Toc488083597"/>
      <w:bookmarkStart w:id="1379" w:name="_Toc513132363"/>
      <w:bookmarkStart w:id="1380" w:name="_Toc513212883"/>
      <w:bookmarkStart w:id="1381" w:name="_Toc192710533"/>
      <w:bookmarkStart w:id="1382" w:name="_Toc480282363"/>
      <w:bookmarkStart w:id="1383" w:name="_Toc479265617"/>
      <w:bookmarkStart w:id="1384" w:name="_Toc479237788"/>
      <w:bookmarkStart w:id="1385" w:name="_Toc512689730"/>
      <w:r>
        <w:rPr>
          <w:rFonts w:hint="eastAsia" w:ascii="宋体" w:hAnsi="宋体" w:cs="宋体"/>
          <w:b/>
          <w:bCs/>
          <w:kern w:val="44"/>
          <w:sz w:val="24"/>
          <w:szCs w:val="24"/>
        </w:rPr>
        <w:t>18.2交工验收申请报告</w:t>
      </w:r>
      <w:bookmarkEnd w:id="1376"/>
      <w:bookmarkEnd w:id="1377"/>
      <w:bookmarkEnd w:id="1378"/>
      <w:bookmarkEnd w:id="1379"/>
      <w:bookmarkEnd w:id="1380"/>
      <w:bookmarkEnd w:id="1381"/>
      <w:bookmarkEnd w:id="1382"/>
      <w:bookmarkEnd w:id="1383"/>
      <w:bookmarkEnd w:id="1384"/>
      <w:bookmarkEnd w:id="1385"/>
    </w:p>
    <w:p w14:paraId="1515414E">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本款第（</w:t>
      </w:r>
      <w:r>
        <w:rPr>
          <w:rFonts w:ascii="宋体" w:hAnsi="宋体" w:cs="宋体"/>
          <w:kern w:val="0"/>
          <w:sz w:val="24"/>
          <w:szCs w:val="24"/>
        </w:rPr>
        <w:t>2</w:t>
      </w:r>
      <w:r>
        <w:rPr>
          <w:rFonts w:hint="eastAsia" w:ascii="宋体" w:hAnsi="宋体" w:cs="宋体"/>
          <w:kern w:val="0"/>
          <w:sz w:val="24"/>
          <w:szCs w:val="24"/>
        </w:rPr>
        <w:t>）项约定为：</w:t>
      </w:r>
    </w:p>
    <w:p w14:paraId="006EFB3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竣工资料的内容：承包人应按照《公路工程竣（交）工验收办法》和相关规定编制竣工资料。</w:t>
      </w:r>
    </w:p>
    <w:p w14:paraId="084DA28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竣工资料的份数在项目专用合同条款数据表中约定。</w:t>
      </w:r>
    </w:p>
    <w:p w14:paraId="21686EF2">
      <w:pPr>
        <w:keepNext/>
        <w:keepLines/>
        <w:spacing w:line="440" w:lineRule="exact"/>
        <w:ind w:firstLine="482" w:firstLineChars="200"/>
        <w:rPr>
          <w:rFonts w:ascii="宋体" w:hAnsi="Calibri" w:eastAsia="黑体"/>
          <w:b/>
          <w:bCs/>
          <w:kern w:val="44"/>
          <w:sz w:val="24"/>
          <w:szCs w:val="24"/>
        </w:rPr>
      </w:pPr>
      <w:bookmarkStart w:id="1386" w:name="_Toc3475603"/>
      <w:bookmarkStart w:id="1387" w:name="_Toc479265618"/>
      <w:bookmarkStart w:id="1388" w:name="_Toc234382913"/>
      <w:bookmarkStart w:id="1389" w:name="_Toc480282364"/>
      <w:bookmarkStart w:id="1390" w:name="_Toc513212884"/>
      <w:bookmarkStart w:id="1391" w:name="_Toc479237789"/>
      <w:bookmarkStart w:id="1392" w:name="_Toc192710534"/>
      <w:bookmarkStart w:id="1393" w:name="_Toc513132364"/>
      <w:bookmarkStart w:id="1394" w:name="_Toc512689731"/>
      <w:bookmarkStart w:id="1395" w:name="_Toc488083598"/>
      <w:r>
        <w:rPr>
          <w:rFonts w:hint="eastAsia" w:ascii="宋体" w:hAnsi="宋体" w:cs="宋体"/>
          <w:b/>
          <w:bCs/>
          <w:kern w:val="44"/>
          <w:sz w:val="24"/>
          <w:szCs w:val="24"/>
        </w:rPr>
        <w:t>18.3 验收</w:t>
      </w:r>
      <w:bookmarkEnd w:id="1386"/>
      <w:bookmarkEnd w:id="1387"/>
      <w:bookmarkEnd w:id="1388"/>
      <w:bookmarkEnd w:id="1389"/>
      <w:bookmarkEnd w:id="1390"/>
      <w:bookmarkEnd w:id="1391"/>
      <w:bookmarkEnd w:id="1392"/>
      <w:bookmarkEnd w:id="1393"/>
      <w:bookmarkEnd w:id="1394"/>
      <w:bookmarkEnd w:id="1395"/>
    </w:p>
    <w:p w14:paraId="157D727C">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18.3.2</w:t>
      </w:r>
      <w:r>
        <w:rPr>
          <w:rFonts w:hint="eastAsia" w:ascii="宋体" w:hAnsi="宋体" w:cs="宋体"/>
          <w:kern w:val="0"/>
          <w:sz w:val="24"/>
          <w:szCs w:val="24"/>
        </w:rPr>
        <w:t>项补充：</w:t>
      </w:r>
    </w:p>
    <w:p w14:paraId="7B344A40">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交工验收由发包人主持，由发包人、监理人、质监、设计、施工、运营、管理养护等有关部门代表组成交工验收小组，对本项目的工程质量进行评定，并写出交工验收报告报交通主管部门备案。承包人应按发包人的要求提交竣工资料，完成交工验收准备工作。</w:t>
      </w:r>
    </w:p>
    <w:p w14:paraId="7ADE606B">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18.3.5</w:t>
      </w:r>
      <w:r>
        <w:rPr>
          <w:rFonts w:hint="eastAsia" w:ascii="宋体" w:hAnsi="宋体" w:cs="宋体"/>
          <w:kern w:val="0"/>
          <w:sz w:val="24"/>
          <w:szCs w:val="24"/>
        </w:rPr>
        <w:t>项约定为：</w:t>
      </w:r>
    </w:p>
    <w:p w14:paraId="40EB07B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经验收合格工程的实际交工日期，以最终提交交工验收申请报告的日期为准，并在交工验收证书中写明。</w:t>
      </w:r>
    </w:p>
    <w:p w14:paraId="4FD27638">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本款补充第</w:t>
      </w:r>
      <w:r>
        <w:rPr>
          <w:rFonts w:ascii="宋体" w:hAnsi="宋体" w:cs="宋体"/>
          <w:kern w:val="0"/>
          <w:sz w:val="24"/>
          <w:szCs w:val="24"/>
        </w:rPr>
        <w:t>18.3.7</w:t>
      </w:r>
      <w:r>
        <w:rPr>
          <w:rFonts w:hint="eastAsia" w:ascii="宋体" w:hAnsi="宋体" w:cs="宋体"/>
          <w:kern w:val="0"/>
          <w:sz w:val="24"/>
          <w:szCs w:val="24"/>
        </w:rPr>
        <w:t>项：</w:t>
      </w:r>
    </w:p>
    <w:p w14:paraId="432A3CAE">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组织办理交工验收和签发交工验收证书的费用由发包人承担。但按照第</w:t>
      </w:r>
      <w:r>
        <w:rPr>
          <w:rFonts w:ascii="宋体" w:hAnsi="宋体" w:cs="宋体"/>
          <w:kern w:val="0"/>
          <w:sz w:val="24"/>
          <w:szCs w:val="24"/>
        </w:rPr>
        <w:t>18.3.4</w:t>
      </w:r>
      <w:r>
        <w:rPr>
          <w:rFonts w:hint="eastAsia" w:ascii="宋体" w:hAnsi="宋体" w:cs="宋体"/>
          <w:kern w:val="0"/>
          <w:sz w:val="24"/>
          <w:szCs w:val="24"/>
        </w:rPr>
        <w:t>项规定达不到合格标准的交工验收费用由承包人承担。</w:t>
      </w:r>
    </w:p>
    <w:p w14:paraId="4A0CE2B7">
      <w:pPr>
        <w:widowControl/>
        <w:tabs>
          <w:tab w:val="left" w:pos="3193"/>
        </w:tabs>
        <w:spacing w:line="440" w:lineRule="exact"/>
        <w:ind w:firstLine="480" w:firstLineChars="200"/>
        <w:jc w:val="left"/>
        <w:rPr>
          <w:rFonts w:ascii="宋体"/>
          <w:kern w:val="0"/>
          <w:sz w:val="24"/>
          <w:szCs w:val="24"/>
        </w:rPr>
      </w:pPr>
      <w:r>
        <w:rPr>
          <w:rFonts w:hint="eastAsia" w:ascii="宋体" w:hAnsi="宋体" w:cs="宋体"/>
          <w:kern w:val="0"/>
          <w:sz w:val="24"/>
          <w:szCs w:val="24"/>
        </w:rPr>
        <w:t>本条补充第</w:t>
      </w:r>
      <w:r>
        <w:rPr>
          <w:rFonts w:ascii="宋体" w:hAnsi="宋体" w:cs="宋体"/>
          <w:kern w:val="0"/>
          <w:sz w:val="24"/>
          <w:szCs w:val="24"/>
        </w:rPr>
        <w:t>18.9</w:t>
      </w:r>
      <w:r>
        <w:rPr>
          <w:rFonts w:hint="eastAsia" w:ascii="宋体" w:hAnsi="宋体" w:cs="宋体"/>
          <w:kern w:val="0"/>
          <w:sz w:val="24"/>
          <w:szCs w:val="24"/>
        </w:rPr>
        <w:t>款：</w:t>
      </w:r>
    </w:p>
    <w:p w14:paraId="491041B4">
      <w:pPr>
        <w:keepNext/>
        <w:keepLines/>
        <w:spacing w:line="440" w:lineRule="exact"/>
        <w:ind w:firstLine="482" w:firstLineChars="200"/>
        <w:rPr>
          <w:rFonts w:hint="eastAsia" w:ascii="宋体" w:hAnsi="宋体" w:cs="宋体"/>
          <w:b/>
          <w:bCs/>
          <w:kern w:val="44"/>
          <w:sz w:val="24"/>
          <w:szCs w:val="24"/>
        </w:rPr>
      </w:pPr>
      <w:bookmarkStart w:id="1396" w:name="_Toc479265619"/>
      <w:bookmarkStart w:id="1397" w:name="_Toc479237790"/>
      <w:bookmarkStart w:id="1398" w:name="_Toc3475604"/>
      <w:bookmarkStart w:id="1399" w:name="_Toc513132365"/>
      <w:bookmarkStart w:id="1400" w:name="_Toc488083599"/>
      <w:bookmarkStart w:id="1401" w:name="_Toc513212885"/>
      <w:bookmarkStart w:id="1402" w:name="_Toc234382914"/>
      <w:bookmarkStart w:id="1403" w:name="_Toc480282365"/>
      <w:bookmarkStart w:id="1404" w:name="_Toc192710535"/>
      <w:bookmarkStart w:id="1405" w:name="_Toc512689732"/>
      <w:r>
        <w:rPr>
          <w:rFonts w:hint="eastAsia" w:ascii="宋体" w:hAnsi="宋体" w:cs="宋体"/>
          <w:b/>
          <w:bCs/>
          <w:kern w:val="44"/>
          <w:sz w:val="24"/>
          <w:szCs w:val="24"/>
        </w:rPr>
        <w:t>18.9竣工文件</w:t>
      </w:r>
      <w:bookmarkEnd w:id="1396"/>
      <w:bookmarkEnd w:id="1397"/>
      <w:bookmarkEnd w:id="1398"/>
      <w:bookmarkEnd w:id="1399"/>
      <w:bookmarkEnd w:id="1400"/>
      <w:bookmarkEnd w:id="1401"/>
      <w:bookmarkEnd w:id="1402"/>
      <w:bookmarkEnd w:id="1403"/>
      <w:bookmarkEnd w:id="1404"/>
      <w:bookmarkEnd w:id="1405"/>
    </w:p>
    <w:p w14:paraId="1965D09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承包人应按照《公路工程竣（交）工验收办法》中的相关规定，在缺陷责任期内为竣工验收补充军工资了，并在签发缺陷责任期终止证书之前提交。</w:t>
      </w:r>
    </w:p>
    <w:p w14:paraId="2034CF5A">
      <w:pPr>
        <w:keepNext/>
        <w:keepLines/>
        <w:spacing w:line="440" w:lineRule="exact"/>
        <w:ind w:firstLine="482" w:firstLineChars="200"/>
        <w:rPr>
          <w:rFonts w:hint="eastAsia" w:ascii="宋体" w:hAnsi="宋体" w:cs="宋体"/>
          <w:b/>
          <w:bCs/>
          <w:kern w:val="44"/>
          <w:sz w:val="24"/>
          <w:szCs w:val="24"/>
        </w:rPr>
      </w:pPr>
      <w:bookmarkStart w:id="1406" w:name="_Toc513212886"/>
      <w:bookmarkStart w:id="1407" w:name="_Toc192710536"/>
      <w:bookmarkStart w:id="1408" w:name="_Toc513132366"/>
      <w:bookmarkStart w:id="1409" w:name="_Toc479265620"/>
      <w:bookmarkStart w:id="1410" w:name="_Toc488083600"/>
      <w:bookmarkStart w:id="1411" w:name="_Toc512689733"/>
      <w:bookmarkStart w:id="1412" w:name="_Toc234382915"/>
      <w:bookmarkStart w:id="1413" w:name="_Toc480282366"/>
      <w:bookmarkStart w:id="1414" w:name="_Toc479237791"/>
      <w:bookmarkStart w:id="1415" w:name="_Toc3475605"/>
      <w:r>
        <w:rPr>
          <w:rFonts w:hint="eastAsia" w:ascii="宋体" w:hAnsi="宋体" w:cs="宋体"/>
          <w:b/>
          <w:bCs/>
          <w:kern w:val="44"/>
          <w:sz w:val="24"/>
          <w:szCs w:val="24"/>
        </w:rPr>
        <w:t>19．缺陷责任与保修责任</w:t>
      </w:r>
      <w:bookmarkEnd w:id="1406"/>
      <w:bookmarkEnd w:id="1407"/>
      <w:bookmarkEnd w:id="1408"/>
      <w:bookmarkEnd w:id="1409"/>
      <w:bookmarkEnd w:id="1410"/>
      <w:bookmarkEnd w:id="1411"/>
      <w:bookmarkEnd w:id="1412"/>
      <w:bookmarkEnd w:id="1413"/>
      <w:bookmarkEnd w:id="1414"/>
      <w:bookmarkEnd w:id="1415"/>
    </w:p>
    <w:p w14:paraId="4BFD598F">
      <w:pPr>
        <w:keepNext/>
        <w:keepLines/>
        <w:spacing w:line="440" w:lineRule="exact"/>
        <w:ind w:firstLine="482" w:firstLineChars="200"/>
        <w:rPr>
          <w:rFonts w:hint="eastAsia" w:ascii="宋体" w:hAnsi="宋体" w:cs="宋体"/>
          <w:b/>
          <w:bCs/>
          <w:kern w:val="44"/>
          <w:sz w:val="24"/>
          <w:szCs w:val="24"/>
        </w:rPr>
      </w:pPr>
      <w:bookmarkStart w:id="1416" w:name="_Toc479237792"/>
      <w:bookmarkStart w:id="1417" w:name="_Toc3475606"/>
      <w:bookmarkStart w:id="1418" w:name="_Toc234382916"/>
      <w:bookmarkStart w:id="1419" w:name="_Toc512689734"/>
      <w:bookmarkStart w:id="1420" w:name="_Toc513212887"/>
      <w:bookmarkStart w:id="1421" w:name="_Toc192710537"/>
      <w:bookmarkStart w:id="1422" w:name="_Toc513132367"/>
      <w:bookmarkStart w:id="1423" w:name="_Toc479265621"/>
      <w:bookmarkStart w:id="1424" w:name="_Toc480282367"/>
      <w:bookmarkStart w:id="1425" w:name="_Toc488083601"/>
      <w:r>
        <w:rPr>
          <w:rFonts w:hint="eastAsia" w:ascii="宋体" w:hAnsi="宋体" w:cs="宋体"/>
          <w:b/>
          <w:bCs/>
          <w:kern w:val="44"/>
          <w:sz w:val="24"/>
          <w:szCs w:val="24"/>
        </w:rPr>
        <w:t>19.2缺陷责任</w:t>
      </w:r>
      <w:bookmarkEnd w:id="1416"/>
      <w:bookmarkEnd w:id="1417"/>
      <w:bookmarkEnd w:id="1418"/>
      <w:bookmarkEnd w:id="1419"/>
      <w:bookmarkEnd w:id="1420"/>
      <w:bookmarkEnd w:id="1421"/>
      <w:bookmarkEnd w:id="1422"/>
      <w:bookmarkEnd w:id="1423"/>
      <w:bookmarkEnd w:id="1424"/>
      <w:bookmarkEnd w:id="1425"/>
    </w:p>
    <w:p w14:paraId="1E5EDA9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19.2.2</w:t>
      </w:r>
      <w:r>
        <w:rPr>
          <w:rFonts w:hint="eastAsia" w:ascii="宋体" w:hAnsi="宋体" w:cs="宋体"/>
          <w:kern w:val="0"/>
          <w:sz w:val="24"/>
          <w:szCs w:val="24"/>
        </w:rPr>
        <w:t>项补充：</w:t>
      </w:r>
    </w:p>
    <w:p w14:paraId="11D0959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在缺陷责任期内，承包人应尽快完成在交工验收证书中写明的未完成工作，并完成对本工程缺陷的修复或监理人指令的修补工作。</w:t>
      </w:r>
    </w:p>
    <w:p w14:paraId="49F6E7AC">
      <w:pPr>
        <w:keepNext/>
        <w:keepLines/>
        <w:spacing w:line="440" w:lineRule="exact"/>
        <w:ind w:firstLine="482" w:firstLineChars="200"/>
        <w:rPr>
          <w:rFonts w:hint="eastAsia" w:ascii="宋体" w:hAnsi="宋体" w:cs="宋体"/>
          <w:b/>
          <w:bCs/>
          <w:kern w:val="44"/>
          <w:sz w:val="24"/>
          <w:szCs w:val="24"/>
        </w:rPr>
      </w:pPr>
      <w:bookmarkStart w:id="1426" w:name="_Toc192710538"/>
      <w:bookmarkStart w:id="1427" w:name="_Toc512689735"/>
      <w:bookmarkStart w:id="1428" w:name="_Toc479265622"/>
      <w:bookmarkStart w:id="1429" w:name="_Toc513132368"/>
      <w:bookmarkStart w:id="1430" w:name="_Toc479237793"/>
      <w:bookmarkStart w:id="1431" w:name="_Toc3475607"/>
      <w:bookmarkStart w:id="1432" w:name="_Toc480282368"/>
      <w:bookmarkStart w:id="1433" w:name="_Toc234382917"/>
      <w:bookmarkStart w:id="1434" w:name="_Toc488083602"/>
      <w:bookmarkStart w:id="1435" w:name="_Toc513212888"/>
      <w:r>
        <w:rPr>
          <w:rFonts w:hint="eastAsia" w:ascii="宋体" w:hAnsi="宋体" w:cs="宋体"/>
          <w:b/>
          <w:bCs/>
          <w:kern w:val="44"/>
          <w:sz w:val="24"/>
          <w:szCs w:val="24"/>
        </w:rPr>
        <w:t>19.5承包人的进入权</w:t>
      </w:r>
      <w:bookmarkEnd w:id="1426"/>
      <w:bookmarkEnd w:id="1427"/>
      <w:bookmarkEnd w:id="1428"/>
      <w:bookmarkEnd w:id="1429"/>
      <w:bookmarkEnd w:id="1430"/>
      <w:bookmarkEnd w:id="1431"/>
      <w:bookmarkEnd w:id="1432"/>
      <w:bookmarkEnd w:id="1433"/>
      <w:bookmarkEnd w:id="1434"/>
      <w:bookmarkEnd w:id="1435"/>
    </w:p>
    <w:p w14:paraId="16CC17F3">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本款补充：</w:t>
      </w:r>
    </w:p>
    <w:p w14:paraId="33BACE6A">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承包人在缺陷修复施工过程中，应服从管养单位的有关安全管理规定，由于承包人自身原因造成的人员伤亡、设备和材料的损毁及罚款等责任由承包人自负。</w:t>
      </w:r>
    </w:p>
    <w:p w14:paraId="07B152D9">
      <w:pPr>
        <w:keepNext/>
        <w:keepLines/>
        <w:spacing w:line="440" w:lineRule="exact"/>
        <w:ind w:firstLine="482" w:firstLineChars="200"/>
        <w:rPr>
          <w:rFonts w:hint="eastAsia" w:ascii="宋体" w:hAnsi="宋体" w:cs="宋体"/>
          <w:b/>
          <w:bCs/>
          <w:kern w:val="44"/>
          <w:sz w:val="24"/>
          <w:szCs w:val="24"/>
        </w:rPr>
      </w:pPr>
      <w:bookmarkStart w:id="1436" w:name="_Toc512689736"/>
      <w:bookmarkStart w:id="1437" w:name="_Toc192710539"/>
      <w:bookmarkStart w:id="1438" w:name="_Toc234382918"/>
      <w:bookmarkStart w:id="1439" w:name="_Toc479237794"/>
      <w:bookmarkStart w:id="1440" w:name="_Toc513212889"/>
      <w:bookmarkStart w:id="1441" w:name="_Toc3475608"/>
      <w:bookmarkStart w:id="1442" w:name="_Toc513132369"/>
      <w:bookmarkStart w:id="1443" w:name="_Toc480282369"/>
      <w:bookmarkStart w:id="1444" w:name="_Toc488083603"/>
      <w:bookmarkStart w:id="1445" w:name="_Toc479265623"/>
      <w:r>
        <w:rPr>
          <w:rFonts w:hint="eastAsia" w:ascii="宋体" w:hAnsi="宋体" w:cs="宋体"/>
          <w:b/>
          <w:bCs/>
          <w:kern w:val="44"/>
          <w:sz w:val="24"/>
          <w:szCs w:val="24"/>
        </w:rPr>
        <w:t>19.7保修责任</w:t>
      </w:r>
      <w:bookmarkEnd w:id="1436"/>
      <w:bookmarkEnd w:id="1437"/>
      <w:bookmarkEnd w:id="1438"/>
      <w:bookmarkEnd w:id="1439"/>
      <w:bookmarkEnd w:id="1440"/>
      <w:bookmarkEnd w:id="1441"/>
      <w:bookmarkEnd w:id="1442"/>
      <w:bookmarkEnd w:id="1443"/>
      <w:bookmarkEnd w:id="1444"/>
      <w:bookmarkEnd w:id="1445"/>
    </w:p>
    <w:p w14:paraId="613B99D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本款细化为：</w:t>
      </w:r>
    </w:p>
    <w:p w14:paraId="2CF5D6B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保修期自实际交工日期起计算，具体期限在项目专用合同条款数据表中约定。保修期与缺陷责任期重叠的期间内，承包人的保修责任同缺陷责任。在缺陷责任期满后的保修期内，承包人可不在工地留有办事人员和机械设备，但必须随时与发包人保持联系，在保修期内承包人应对由于施工质量原因造成的损坏自费进行修复。</w:t>
      </w:r>
    </w:p>
    <w:p w14:paraId="1D745FC3">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）在全部工程交工验收前，已经发包人提前验收的单位工程，其保修期的起算日期相应提前。</w:t>
      </w:r>
    </w:p>
    <w:p w14:paraId="37E45CA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）工程保修期终止后</w:t>
      </w:r>
      <w:r>
        <w:rPr>
          <w:rFonts w:ascii="宋体" w:hAnsi="宋体" w:cs="宋体"/>
          <w:kern w:val="0"/>
          <w:sz w:val="24"/>
          <w:szCs w:val="24"/>
        </w:rPr>
        <w:t>28</w:t>
      </w:r>
      <w:r>
        <w:rPr>
          <w:rFonts w:hint="eastAsia" w:ascii="宋体" w:hAnsi="宋体" w:cs="宋体"/>
          <w:kern w:val="0"/>
          <w:sz w:val="24"/>
          <w:szCs w:val="24"/>
        </w:rPr>
        <w:t>天内，监理人签发保修期终止证书。</w:t>
      </w:r>
    </w:p>
    <w:p w14:paraId="6A8E27D8">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）若承包人不履行保修义务和责任，则承包人应承担由于违约造成的法律后果，并由发包人将其违约行为上报省级交通主管部门，作为不良记录纳入公路建设时常信用信息管理系统。</w:t>
      </w:r>
    </w:p>
    <w:p w14:paraId="5947C566">
      <w:pPr>
        <w:keepNext/>
        <w:keepLines/>
        <w:spacing w:line="440" w:lineRule="exact"/>
        <w:ind w:firstLine="482" w:firstLineChars="200"/>
        <w:rPr>
          <w:rFonts w:hint="eastAsia" w:ascii="宋体" w:hAnsi="宋体" w:cs="宋体"/>
          <w:b/>
          <w:bCs/>
          <w:kern w:val="44"/>
          <w:sz w:val="24"/>
          <w:szCs w:val="24"/>
        </w:rPr>
      </w:pPr>
      <w:bookmarkStart w:id="1446" w:name="_Toc513132370"/>
      <w:bookmarkStart w:id="1447" w:name="_Toc479265624"/>
      <w:bookmarkStart w:id="1448" w:name="_Toc192710540"/>
      <w:bookmarkStart w:id="1449" w:name="_Toc488083604"/>
      <w:bookmarkStart w:id="1450" w:name="_Toc479237795"/>
      <w:bookmarkStart w:id="1451" w:name="_Toc513212890"/>
      <w:bookmarkStart w:id="1452" w:name="_Toc480282370"/>
      <w:bookmarkStart w:id="1453" w:name="_Toc512689737"/>
      <w:bookmarkStart w:id="1454" w:name="_Toc234382919"/>
      <w:bookmarkStart w:id="1455" w:name="_Toc3475609"/>
      <w:r>
        <w:rPr>
          <w:rFonts w:hint="eastAsia" w:ascii="宋体" w:hAnsi="宋体" w:cs="宋体"/>
          <w:b/>
          <w:bCs/>
          <w:kern w:val="44"/>
          <w:sz w:val="24"/>
          <w:szCs w:val="24"/>
        </w:rPr>
        <w:t>20.保险</w:t>
      </w:r>
      <w:bookmarkEnd w:id="1446"/>
      <w:bookmarkEnd w:id="1447"/>
      <w:bookmarkEnd w:id="1448"/>
      <w:bookmarkEnd w:id="1449"/>
      <w:bookmarkEnd w:id="1450"/>
      <w:bookmarkEnd w:id="1451"/>
      <w:bookmarkEnd w:id="1452"/>
      <w:bookmarkEnd w:id="1453"/>
      <w:bookmarkEnd w:id="1454"/>
      <w:bookmarkEnd w:id="1455"/>
    </w:p>
    <w:p w14:paraId="2043905A">
      <w:pPr>
        <w:keepNext/>
        <w:keepLines/>
        <w:spacing w:line="440" w:lineRule="exact"/>
        <w:ind w:firstLine="482" w:firstLineChars="200"/>
        <w:rPr>
          <w:rFonts w:hint="eastAsia" w:ascii="宋体" w:hAnsi="宋体" w:cs="宋体"/>
          <w:b/>
          <w:bCs/>
          <w:kern w:val="44"/>
          <w:sz w:val="24"/>
          <w:szCs w:val="24"/>
        </w:rPr>
      </w:pPr>
      <w:bookmarkStart w:id="1456" w:name="_Toc192710541"/>
      <w:bookmarkStart w:id="1457" w:name="_Toc480282371"/>
      <w:bookmarkStart w:id="1458" w:name="_Toc512689738"/>
      <w:bookmarkStart w:id="1459" w:name="_Toc479237796"/>
      <w:bookmarkStart w:id="1460" w:name="_Toc513132371"/>
      <w:bookmarkStart w:id="1461" w:name="_Toc488083605"/>
      <w:bookmarkStart w:id="1462" w:name="_Toc479265625"/>
      <w:bookmarkStart w:id="1463" w:name="_Toc3475610"/>
      <w:bookmarkStart w:id="1464" w:name="_Toc234382920"/>
      <w:bookmarkStart w:id="1465" w:name="_Toc513212891"/>
      <w:r>
        <w:rPr>
          <w:rFonts w:hint="eastAsia" w:ascii="宋体" w:hAnsi="宋体" w:cs="宋体"/>
          <w:b/>
          <w:bCs/>
          <w:kern w:val="44"/>
          <w:sz w:val="24"/>
          <w:szCs w:val="24"/>
        </w:rPr>
        <w:t>20.1工程保险</w:t>
      </w:r>
      <w:bookmarkEnd w:id="1456"/>
      <w:bookmarkEnd w:id="1457"/>
      <w:bookmarkEnd w:id="1458"/>
      <w:bookmarkEnd w:id="1459"/>
      <w:bookmarkEnd w:id="1460"/>
      <w:bookmarkEnd w:id="1461"/>
      <w:bookmarkEnd w:id="1462"/>
      <w:bookmarkEnd w:id="1463"/>
      <w:bookmarkEnd w:id="1464"/>
      <w:bookmarkEnd w:id="1465"/>
    </w:p>
    <w:p w14:paraId="5462EF78">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本款约定为：</w:t>
      </w:r>
    </w:p>
    <w:p w14:paraId="73412896">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建筑工程</w:t>
      </w:r>
      <w:r>
        <w:rPr>
          <w:rFonts w:ascii="宋体" w:hAnsi="宋体" w:cs="宋体"/>
          <w:kern w:val="0"/>
          <w:sz w:val="24"/>
          <w:szCs w:val="24"/>
        </w:rPr>
        <w:t>—</w:t>
      </w:r>
      <w:r>
        <w:rPr>
          <w:rFonts w:hint="eastAsia" w:ascii="宋体" w:hAnsi="宋体" w:cs="宋体"/>
          <w:kern w:val="0"/>
          <w:sz w:val="24"/>
          <w:szCs w:val="24"/>
        </w:rPr>
        <w:t>切险的投保内容：为本合同工程的永久工程、临时工程和设备及已运至施工工地用于永久工程的材料和设备所投的保险。</w:t>
      </w:r>
    </w:p>
    <w:p w14:paraId="16B12D7A">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保险金额：工程量清单第</w:t>
      </w:r>
      <w:r>
        <w:rPr>
          <w:rFonts w:ascii="宋体" w:hAnsi="宋体" w:cs="宋体"/>
          <w:kern w:val="0"/>
          <w:sz w:val="24"/>
          <w:szCs w:val="24"/>
        </w:rPr>
        <w:t>100</w:t>
      </w:r>
      <w:r>
        <w:rPr>
          <w:rFonts w:hint="eastAsia" w:ascii="宋体" w:hAnsi="宋体" w:cs="宋体"/>
          <w:kern w:val="0"/>
          <w:sz w:val="24"/>
          <w:szCs w:val="24"/>
        </w:rPr>
        <w:t>章（不含建筑工程一切险及第三者责任险的保险费）至</w:t>
      </w:r>
      <w:r>
        <w:rPr>
          <w:rFonts w:ascii="宋体" w:hAnsi="宋体" w:cs="宋体"/>
          <w:kern w:val="0"/>
          <w:sz w:val="24"/>
          <w:szCs w:val="24"/>
        </w:rPr>
        <w:t>700</w:t>
      </w:r>
      <w:r>
        <w:rPr>
          <w:rFonts w:hint="eastAsia" w:ascii="宋体" w:hAnsi="宋体" w:cs="宋体"/>
          <w:kern w:val="0"/>
          <w:sz w:val="24"/>
          <w:szCs w:val="24"/>
        </w:rPr>
        <w:t>章的合计金额。</w:t>
      </w:r>
    </w:p>
    <w:p w14:paraId="7EA622BA">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保险费率：在项目专用条款数据表中约定。</w:t>
      </w:r>
    </w:p>
    <w:p w14:paraId="591745A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保险期限：开工日起直至本合同工程签发缺陷责任期终止证书止（即合同工期＋缺陷责任期）</w:t>
      </w:r>
    </w:p>
    <w:p w14:paraId="430A923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承包人应以发包人和承包人的共同名义投保建筑工程一切险。建筑工程一切险的保险费由承包人报价时列入工程量清单</w:t>
      </w:r>
      <w:r>
        <w:rPr>
          <w:rFonts w:ascii="宋体" w:hAnsi="宋体" w:cs="宋体"/>
          <w:kern w:val="0"/>
          <w:sz w:val="24"/>
          <w:szCs w:val="24"/>
        </w:rPr>
        <w:t>100</w:t>
      </w:r>
      <w:r>
        <w:rPr>
          <w:rFonts w:hint="eastAsia" w:ascii="宋体" w:hAnsi="宋体" w:cs="宋体"/>
          <w:kern w:val="0"/>
          <w:sz w:val="24"/>
          <w:szCs w:val="24"/>
        </w:rPr>
        <w:t>章内。发包人在接到保险单后，将按照保险单的费用直接向承包人支付。</w:t>
      </w:r>
    </w:p>
    <w:p w14:paraId="780CF4B4">
      <w:pPr>
        <w:keepNext/>
        <w:keepLines/>
        <w:spacing w:line="440" w:lineRule="exact"/>
        <w:ind w:firstLine="482" w:firstLineChars="200"/>
        <w:rPr>
          <w:rFonts w:ascii="宋体" w:hAnsi="Calibri" w:eastAsia="黑体"/>
          <w:b/>
          <w:bCs/>
          <w:kern w:val="44"/>
          <w:sz w:val="24"/>
          <w:szCs w:val="24"/>
        </w:rPr>
      </w:pPr>
      <w:bookmarkStart w:id="1466" w:name="_Toc488083606"/>
      <w:bookmarkStart w:id="1467" w:name="_Toc3475611"/>
      <w:bookmarkStart w:id="1468" w:name="_Toc479237797"/>
      <w:bookmarkStart w:id="1469" w:name="_Toc234382921"/>
      <w:bookmarkStart w:id="1470" w:name="_Toc479265626"/>
      <w:bookmarkStart w:id="1471" w:name="_Toc513132372"/>
      <w:bookmarkStart w:id="1472" w:name="_Toc192710542"/>
      <w:bookmarkStart w:id="1473" w:name="_Toc512689739"/>
      <w:bookmarkStart w:id="1474" w:name="_Toc513212892"/>
      <w:bookmarkStart w:id="1475" w:name="_Toc480282372"/>
      <w:r>
        <w:rPr>
          <w:rFonts w:hint="eastAsia" w:ascii="宋体" w:hAnsi="宋体" w:cs="宋体"/>
          <w:b/>
          <w:bCs/>
          <w:kern w:val="44"/>
          <w:sz w:val="24"/>
          <w:szCs w:val="24"/>
        </w:rPr>
        <w:t>20.4第三者责任险</w:t>
      </w:r>
      <w:bookmarkEnd w:id="1466"/>
      <w:bookmarkEnd w:id="1467"/>
      <w:bookmarkEnd w:id="1468"/>
      <w:bookmarkEnd w:id="1469"/>
      <w:bookmarkEnd w:id="1470"/>
      <w:bookmarkEnd w:id="1471"/>
      <w:bookmarkEnd w:id="1472"/>
      <w:bookmarkEnd w:id="1473"/>
      <w:bookmarkEnd w:id="1474"/>
      <w:bookmarkEnd w:id="1475"/>
    </w:p>
    <w:p w14:paraId="3D6F0A2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20.4.2</w:t>
      </w:r>
      <w:r>
        <w:rPr>
          <w:rFonts w:hint="eastAsia" w:ascii="宋体" w:hAnsi="宋体" w:cs="宋体"/>
          <w:kern w:val="0"/>
          <w:sz w:val="24"/>
          <w:szCs w:val="24"/>
        </w:rPr>
        <w:t>项补充：</w:t>
      </w:r>
    </w:p>
    <w:p w14:paraId="440DC11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第三者责任险的保险费由承包人报价时列入工程量清单</w:t>
      </w:r>
      <w:r>
        <w:rPr>
          <w:rFonts w:ascii="宋体" w:hAnsi="宋体" w:cs="宋体"/>
          <w:kern w:val="0"/>
          <w:sz w:val="24"/>
          <w:szCs w:val="24"/>
        </w:rPr>
        <w:t>100</w:t>
      </w:r>
      <w:r>
        <w:rPr>
          <w:rFonts w:hint="eastAsia" w:ascii="宋体" w:hAnsi="宋体" w:cs="宋体"/>
          <w:kern w:val="0"/>
          <w:sz w:val="24"/>
          <w:szCs w:val="24"/>
        </w:rPr>
        <w:t>章内。发包人在接到保险单后，将按照保险单的费用直接向承包人支付。</w:t>
      </w:r>
    </w:p>
    <w:p w14:paraId="18CAD8BF">
      <w:pPr>
        <w:keepNext/>
        <w:keepLines/>
        <w:spacing w:line="440" w:lineRule="exact"/>
        <w:ind w:firstLine="482" w:firstLineChars="200"/>
        <w:rPr>
          <w:rFonts w:ascii="宋体" w:hAnsi="Calibri" w:eastAsia="黑体"/>
          <w:b/>
          <w:bCs/>
          <w:kern w:val="44"/>
          <w:sz w:val="24"/>
          <w:szCs w:val="24"/>
        </w:rPr>
      </w:pPr>
      <w:bookmarkStart w:id="1476" w:name="_Toc479237798"/>
      <w:bookmarkStart w:id="1477" w:name="_Toc512689740"/>
      <w:bookmarkStart w:id="1478" w:name="_Toc513212893"/>
      <w:bookmarkStart w:id="1479" w:name="_Toc3475612"/>
      <w:bookmarkStart w:id="1480" w:name="_Toc488083607"/>
      <w:bookmarkStart w:id="1481" w:name="_Toc234382922"/>
      <w:bookmarkStart w:id="1482" w:name="_Toc513132373"/>
      <w:bookmarkStart w:id="1483" w:name="_Toc479265627"/>
      <w:bookmarkStart w:id="1484" w:name="_Toc192710543"/>
      <w:bookmarkStart w:id="1485" w:name="_Toc480282373"/>
      <w:r>
        <w:rPr>
          <w:rFonts w:hint="eastAsia" w:ascii="宋体" w:hAnsi="宋体" w:cs="宋体"/>
          <w:b/>
          <w:bCs/>
          <w:kern w:val="44"/>
          <w:sz w:val="24"/>
          <w:szCs w:val="24"/>
        </w:rPr>
        <w:t>20.5其他保险</w:t>
      </w:r>
      <w:bookmarkEnd w:id="1476"/>
      <w:bookmarkEnd w:id="1477"/>
      <w:bookmarkEnd w:id="1478"/>
      <w:bookmarkEnd w:id="1479"/>
      <w:bookmarkEnd w:id="1480"/>
      <w:bookmarkEnd w:id="1481"/>
      <w:bookmarkEnd w:id="1482"/>
      <w:bookmarkEnd w:id="1483"/>
      <w:bookmarkEnd w:id="1484"/>
      <w:bookmarkEnd w:id="1485"/>
    </w:p>
    <w:p w14:paraId="6D65838B">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本款约定为：</w:t>
      </w:r>
    </w:p>
    <w:p w14:paraId="7E206970">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承包人应为其施工设备等办理保险，其投保金额应足以现场重量。办理本款保险的一切费用均由承包人承担，并包括在工程量清单的单价及总额价中，发包人不单独支付。</w:t>
      </w:r>
    </w:p>
    <w:p w14:paraId="253B1FAA">
      <w:pPr>
        <w:keepNext/>
        <w:keepLines/>
        <w:spacing w:line="440" w:lineRule="exact"/>
        <w:ind w:firstLine="482" w:firstLineChars="200"/>
        <w:rPr>
          <w:rFonts w:ascii="宋体" w:hAnsi="Calibri" w:eastAsia="黑体"/>
          <w:b/>
          <w:bCs/>
          <w:kern w:val="44"/>
          <w:sz w:val="24"/>
          <w:szCs w:val="24"/>
        </w:rPr>
      </w:pPr>
      <w:bookmarkStart w:id="1486" w:name="_Toc479265628"/>
      <w:bookmarkStart w:id="1487" w:name="_Toc512689741"/>
      <w:bookmarkStart w:id="1488" w:name="_Toc488083608"/>
      <w:bookmarkStart w:id="1489" w:name="_Toc3475613"/>
      <w:bookmarkStart w:id="1490" w:name="_Toc234382923"/>
      <w:bookmarkStart w:id="1491" w:name="_Toc479237799"/>
      <w:bookmarkStart w:id="1492" w:name="_Toc513132374"/>
      <w:bookmarkStart w:id="1493" w:name="_Toc513212894"/>
      <w:bookmarkStart w:id="1494" w:name="_Toc480282374"/>
      <w:bookmarkStart w:id="1495" w:name="_Toc192710544"/>
      <w:r>
        <w:rPr>
          <w:rFonts w:hint="eastAsia" w:ascii="宋体" w:hAnsi="宋体" w:cs="宋体"/>
          <w:b/>
          <w:bCs/>
          <w:kern w:val="44"/>
          <w:sz w:val="24"/>
          <w:szCs w:val="24"/>
        </w:rPr>
        <w:t>20.6对各项保险的一般要求</w:t>
      </w:r>
      <w:bookmarkEnd w:id="1486"/>
      <w:bookmarkEnd w:id="1487"/>
      <w:bookmarkEnd w:id="1488"/>
      <w:bookmarkEnd w:id="1489"/>
      <w:bookmarkEnd w:id="1490"/>
      <w:bookmarkEnd w:id="1491"/>
      <w:bookmarkEnd w:id="1492"/>
      <w:bookmarkEnd w:id="1493"/>
      <w:bookmarkEnd w:id="1494"/>
      <w:bookmarkEnd w:id="1495"/>
    </w:p>
    <w:p w14:paraId="2D554EB1">
      <w:pPr>
        <w:spacing w:line="440" w:lineRule="exact"/>
        <w:ind w:firstLine="480" w:firstLineChars="200"/>
        <w:rPr>
          <w:rFonts w:ascii="宋体" w:hAnsi="宋体" w:cs="宋体"/>
          <w:kern w:val="0"/>
          <w:sz w:val="24"/>
          <w:szCs w:val="24"/>
        </w:rPr>
      </w:pPr>
      <w:r>
        <w:rPr>
          <w:rFonts w:ascii="宋体" w:hAnsi="宋体" w:cs="宋体"/>
          <w:kern w:val="0"/>
          <w:sz w:val="24"/>
          <w:szCs w:val="24"/>
        </w:rPr>
        <w:t>20.6.1</w:t>
      </w:r>
      <w:r>
        <w:rPr>
          <w:rFonts w:hint="eastAsia" w:ascii="宋体" w:hAnsi="宋体" w:cs="宋体"/>
          <w:kern w:val="0"/>
          <w:sz w:val="24"/>
          <w:szCs w:val="24"/>
        </w:rPr>
        <w:t>保险凭证</w:t>
      </w:r>
    </w:p>
    <w:p w14:paraId="61779F75">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本项约定为：</w:t>
      </w:r>
    </w:p>
    <w:p w14:paraId="07E29465">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承包人向发包人提交各项保险生效的证据和保险单副本的期限：开工后</w:t>
      </w:r>
      <w:r>
        <w:rPr>
          <w:rFonts w:ascii="宋体" w:hAnsi="宋体" w:cs="宋体"/>
          <w:kern w:val="0"/>
          <w:sz w:val="24"/>
          <w:szCs w:val="24"/>
        </w:rPr>
        <w:t>56</w:t>
      </w:r>
      <w:r>
        <w:rPr>
          <w:rFonts w:hint="eastAsia" w:ascii="宋体" w:hAnsi="宋体" w:cs="宋体"/>
          <w:kern w:val="0"/>
          <w:sz w:val="24"/>
          <w:szCs w:val="24"/>
        </w:rPr>
        <w:t>天内。</w:t>
      </w:r>
    </w:p>
    <w:p w14:paraId="591CB07E">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20.6.3 </w:t>
      </w:r>
      <w:r>
        <w:rPr>
          <w:rFonts w:hint="eastAsia" w:ascii="宋体" w:hAnsi="宋体" w:cs="宋体"/>
          <w:kern w:val="0"/>
          <w:sz w:val="24"/>
          <w:szCs w:val="24"/>
        </w:rPr>
        <w:t>持续保险</w:t>
      </w:r>
    </w:p>
    <w:p w14:paraId="286A027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本项补充：</w:t>
      </w:r>
    </w:p>
    <w:p w14:paraId="4E4AAB5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在整个合同期内，承包人应按合同条款保证足够的保险额。</w:t>
      </w:r>
    </w:p>
    <w:p w14:paraId="6D968535">
      <w:pPr>
        <w:spacing w:line="440" w:lineRule="exact"/>
        <w:ind w:firstLine="480" w:firstLineChars="200"/>
        <w:rPr>
          <w:rFonts w:ascii="宋体" w:hAnsi="宋体" w:cs="宋体"/>
          <w:kern w:val="0"/>
          <w:sz w:val="24"/>
          <w:szCs w:val="24"/>
        </w:rPr>
      </w:pPr>
      <w:r>
        <w:rPr>
          <w:rFonts w:ascii="宋体" w:hAnsi="宋体" w:cs="宋体"/>
          <w:kern w:val="0"/>
          <w:sz w:val="24"/>
          <w:szCs w:val="24"/>
        </w:rPr>
        <w:t>20.6.4</w:t>
      </w:r>
      <w:r>
        <w:rPr>
          <w:rFonts w:hint="eastAsia" w:ascii="宋体" w:hAnsi="宋体" w:cs="宋体"/>
          <w:kern w:val="0"/>
          <w:sz w:val="24"/>
          <w:szCs w:val="24"/>
        </w:rPr>
        <w:t>保险金不足的补偿</w:t>
      </w:r>
    </w:p>
    <w:p w14:paraId="5012315E">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本项细化为：</w:t>
      </w:r>
    </w:p>
    <w:p w14:paraId="51E7E625">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保险金不足补偿损失的（包括免赔额和超过赔偿限额的部分），应由承包人和（或）发包人按合同约定负责补偿。</w:t>
      </w:r>
    </w:p>
    <w:p w14:paraId="4B572103">
      <w:pPr>
        <w:spacing w:line="440" w:lineRule="exact"/>
        <w:ind w:firstLine="480" w:firstLineChars="200"/>
        <w:rPr>
          <w:rFonts w:ascii="宋体" w:hAnsi="宋体" w:cs="宋体"/>
          <w:kern w:val="0"/>
          <w:sz w:val="24"/>
          <w:szCs w:val="24"/>
        </w:rPr>
      </w:pPr>
      <w:r>
        <w:rPr>
          <w:rFonts w:ascii="宋体" w:hAnsi="宋体" w:cs="宋体"/>
          <w:kern w:val="0"/>
          <w:sz w:val="24"/>
          <w:szCs w:val="24"/>
        </w:rPr>
        <w:t>20.6.5</w:t>
      </w:r>
      <w:r>
        <w:rPr>
          <w:rFonts w:hint="eastAsia" w:ascii="宋体" w:hAnsi="宋体" w:cs="宋体"/>
          <w:kern w:val="0"/>
          <w:sz w:val="24"/>
          <w:szCs w:val="24"/>
        </w:rPr>
        <w:t>未按约定投保的补救</w:t>
      </w:r>
    </w:p>
    <w:p w14:paraId="1837F030">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w:t>
      </w:r>
      <w:r>
        <w:rPr>
          <w:rFonts w:ascii="宋体" w:hAnsi="宋体" w:cs="宋体"/>
          <w:kern w:val="0"/>
          <w:sz w:val="24"/>
          <w:szCs w:val="24"/>
        </w:rPr>
        <w:t>2</w:t>
      </w:r>
      <w:r>
        <w:rPr>
          <w:rFonts w:hint="eastAsia" w:ascii="宋体" w:hAnsi="宋体" w:cs="宋体"/>
          <w:kern w:val="0"/>
          <w:sz w:val="24"/>
          <w:szCs w:val="24"/>
        </w:rPr>
        <w:t>）目细化为：</w:t>
      </w:r>
    </w:p>
    <w:p w14:paraId="43D2E83B">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由于负有投保义务的一方当事人未按合同约定办理某项保险，或未按保险单规定的条件和期限及时间向保险人报告事故情况，或未按要求的保险期限进行投保，或未按要求投保足够的保险金额，导致受益人未能或未能全部得到保险人的赔偿，原应从该项保险得到的保险金应由负有投保义务的一方当事人支付。</w:t>
      </w:r>
    </w:p>
    <w:p w14:paraId="0228B928">
      <w:pPr>
        <w:keepNext/>
        <w:keepLines/>
        <w:spacing w:line="440" w:lineRule="exact"/>
        <w:ind w:firstLine="482" w:firstLineChars="200"/>
        <w:rPr>
          <w:rFonts w:hint="eastAsia" w:ascii="宋体" w:hAnsi="宋体" w:cs="宋体"/>
          <w:b/>
          <w:bCs/>
          <w:kern w:val="44"/>
          <w:sz w:val="24"/>
          <w:szCs w:val="24"/>
        </w:rPr>
      </w:pPr>
      <w:bookmarkStart w:id="1496" w:name="_Toc3475614"/>
      <w:bookmarkStart w:id="1497" w:name="_Toc192710545"/>
      <w:bookmarkStart w:id="1498" w:name="_Toc479237800"/>
      <w:bookmarkStart w:id="1499" w:name="_Toc234382924"/>
      <w:bookmarkStart w:id="1500" w:name="_Toc488083609"/>
      <w:bookmarkStart w:id="1501" w:name="_Toc513132375"/>
      <w:bookmarkStart w:id="1502" w:name="_Toc480282375"/>
      <w:bookmarkStart w:id="1503" w:name="_Toc513212895"/>
      <w:bookmarkStart w:id="1504" w:name="_Toc479265629"/>
      <w:bookmarkStart w:id="1505" w:name="_Toc512689742"/>
      <w:r>
        <w:rPr>
          <w:rFonts w:hint="eastAsia" w:ascii="宋体" w:hAnsi="宋体" w:cs="宋体"/>
          <w:b/>
          <w:bCs/>
          <w:kern w:val="44"/>
          <w:sz w:val="24"/>
          <w:szCs w:val="24"/>
        </w:rPr>
        <w:t>21．不可抗力</w:t>
      </w:r>
      <w:bookmarkEnd w:id="1496"/>
      <w:bookmarkEnd w:id="1497"/>
      <w:bookmarkEnd w:id="1498"/>
      <w:bookmarkEnd w:id="1499"/>
      <w:bookmarkEnd w:id="1500"/>
      <w:bookmarkEnd w:id="1501"/>
      <w:bookmarkEnd w:id="1502"/>
      <w:bookmarkEnd w:id="1503"/>
      <w:bookmarkEnd w:id="1504"/>
      <w:bookmarkEnd w:id="1505"/>
    </w:p>
    <w:p w14:paraId="0D41DBF6">
      <w:pPr>
        <w:keepNext/>
        <w:keepLines/>
        <w:spacing w:line="440" w:lineRule="exact"/>
        <w:ind w:firstLine="482" w:firstLineChars="200"/>
        <w:rPr>
          <w:rFonts w:hint="eastAsia" w:ascii="宋体" w:hAnsi="宋体" w:cs="宋体"/>
          <w:b/>
          <w:bCs/>
          <w:kern w:val="44"/>
          <w:sz w:val="24"/>
          <w:szCs w:val="24"/>
        </w:rPr>
      </w:pPr>
      <w:bookmarkStart w:id="1506" w:name="_Toc3475615"/>
      <w:bookmarkStart w:id="1507" w:name="_Toc513132376"/>
      <w:bookmarkStart w:id="1508" w:name="_Toc480282376"/>
      <w:bookmarkStart w:id="1509" w:name="_Toc192710546"/>
      <w:bookmarkStart w:id="1510" w:name="_Toc488083610"/>
      <w:bookmarkStart w:id="1511" w:name="_Toc479265630"/>
      <w:bookmarkStart w:id="1512" w:name="_Toc513212896"/>
      <w:bookmarkStart w:id="1513" w:name="_Toc234382925"/>
      <w:bookmarkStart w:id="1514" w:name="_Toc512689743"/>
      <w:bookmarkStart w:id="1515" w:name="_Toc479237801"/>
      <w:r>
        <w:rPr>
          <w:rFonts w:hint="eastAsia" w:ascii="宋体" w:hAnsi="宋体" w:cs="宋体"/>
          <w:b/>
          <w:bCs/>
          <w:kern w:val="44"/>
          <w:sz w:val="24"/>
          <w:szCs w:val="24"/>
        </w:rPr>
        <w:t>21.1不可抗力的确认</w:t>
      </w:r>
      <w:bookmarkEnd w:id="1506"/>
      <w:bookmarkEnd w:id="1507"/>
      <w:bookmarkEnd w:id="1508"/>
      <w:bookmarkEnd w:id="1509"/>
      <w:bookmarkEnd w:id="1510"/>
      <w:bookmarkEnd w:id="1511"/>
      <w:bookmarkEnd w:id="1512"/>
      <w:bookmarkEnd w:id="1513"/>
      <w:bookmarkEnd w:id="1514"/>
      <w:bookmarkEnd w:id="1515"/>
    </w:p>
    <w:p w14:paraId="2381C09D">
      <w:pPr>
        <w:spacing w:line="440" w:lineRule="exact"/>
        <w:ind w:firstLine="480" w:firstLineChars="200"/>
        <w:rPr>
          <w:rFonts w:ascii="宋体" w:hAnsi="宋体" w:cs="宋体"/>
          <w:kern w:val="0"/>
          <w:sz w:val="24"/>
          <w:szCs w:val="24"/>
        </w:rPr>
      </w:pPr>
      <w:r>
        <w:rPr>
          <w:rFonts w:ascii="宋体" w:hAnsi="宋体" w:cs="宋体"/>
          <w:kern w:val="0"/>
          <w:sz w:val="24"/>
          <w:szCs w:val="24"/>
        </w:rPr>
        <w:t>21.1.1</w:t>
      </w:r>
      <w:r>
        <w:rPr>
          <w:rFonts w:hint="eastAsia" w:ascii="宋体" w:hAnsi="宋体" w:cs="宋体"/>
          <w:kern w:val="0"/>
          <w:sz w:val="24"/>
          <w:szCs w:val="24"/>
        </w:rPr>
        <w:t>项细化为：</w:t>
      </w:r>
    </w:p>
    <w:p w14:paraId="4F74EEC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不可抗力是指承包人和发包人在订立合同时不可预见，在工程施工过程中不可避免发生并不能克服的自然灾害和社会性突发事件。包括但不限于：</w:t>
      </w:r>
    </w:p>
    <w:p w14:paraId="6CE0D753">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）地震、海啸、火山爆发、泥石流、暴雨（雪）、台风、龙卷风、水灾等自然灾害；</w:t>
      </w:r>
    </w:p>
    <w:p w14:paraId="39F2CD96">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）战争、骚乱、暴动，但纯属承包人或其分包人派遣与雇用的人员由于本合同工程施工原因引起者除外；</w:t>
      </w:r>
    </w:p>
    <w:p w14:paraId="736C796C">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）核反应、辐射或放射性污染；</w:t>
      </w:r>
    </w:p>
    <w:p w14:paraId="4DCC6F2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）空中飞行物体附落或非发包人或承包人责任造成的爆炸、火灾；</w:t>
      </w:r>
    </w:p>
    <w:p w14:paraId="19766B8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5</w:t>
      </w:r>
      <w:r>
        <w:rPr>
          <w:rFonts w:hint="eastAsia" w:ascii="宋体" w:hAnsi="宋体" w:cs="宋体"/>
          <w:kern w:val="0"/>
          <w:sz w:val="24"/>
          <w:szCs w:val="24"/>
        </w:rPr>
        <w:t>）瘟疫；</w:t>
      </w:r>
    </w:p>
    <w:p w14:paraId="761AEFD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6</w:t>
      </w:r>
      <w:r>
        <w:rPr>
          <w:rFonts w:hint="eastAsia" w:ascii="宋体" w:hAnsi="宋体" w:cs="宋体"/>
          <w:kern w:val="0"/>
          <w:sz w:val="24"/>
          <w:szCs w:val="24"/>
        </w:rPr>
        <w:t>）项目专用合同条款约定的其他情形。</w:t>
      </w:r>
    </w:p>
    <w:p w14:paraId="12476A60">
      <w:pPr>
        <w:keepNext/>
        <w:keepLines/>
        <w:spacing w:line="440" w:lineRule="exact"/>
        <w:ind w:firstLine="482" w:firstLineChars="200"/>
        <w:rPr>
          <w:rFonts w:hint="eastAsia" w:ascii="宋体" w:hAnsi="宋体" w:cs="宋体"/>
          <w:b/>
          <w:bCs/>
          <w:kern w:val="44"/>
          <w:sz w:val="24"/>
          <w:szCs w:val="24"/>
        </w:rPr>
      </w:pPr>
      <w:bookmarkStart w:id="1516" w:name="_Toc480282377"/>
      <w:bookmarkStart w:id="1517" w:name="_Toc479265631"/>
      <w:bookmarkStart w:id="1518" w:name="_Toc488083611"/>
      <w:bookmarkStart w:id="1519" w:name="_Toc234382926"/>
      <w:bookmarkStart w:id="1520" w:name="_Toc3475616"/>
      <w:bookmarkStart w:id="1521" w:name="_Toc512689744"/>
      <w:bookmarkStart w:id="1522" w:name="_Toc192710547"/>
      <w:bookmarkStart w:id="1523" w:name="_Toc513212897"/>
      <w:bookmarkStart w:id="1524" w:name="_Toc479237802"/>
      <w:bookmarkStart w:id="1525" w:name="_Toc513132377"/>
      <w:r>
        <w:rPr>
          <w:rFonts w:hint="eastAsia" w:ascii="宋体" w:hAnsi="宋体" w:cs="宋体"/>
          <w:b/>
          <w:bCs/>
          <w:kern w:val="44"/>
          <w:sz w:val="24"/>
          <w:szCs w:val="24"/>
        </w:rPr>
        <w:t>21.3不可抗力后果及其处理</w:t>
      </w:r>
      <w:bookmarkEnd w:id="1516"/>
      <w:bookmarkEnd w:id="1517"/>
      <w:bookmarkEnd w:id="1518"/>
      <w:bookmarkEnd w:id="1519"/>
      <w:bookmarkEnd w:id="1520"/>
      <w:bookmarkEnd w:id="1521"/>
      <w:bookmarkEnd w:id="1522"/>
      <w:bookmarkEnd w:id="1523"/>
      <w:bookmarkEnd w:id="1524"/>
      <w:bookmarkEnd w:id="1525"/>
    </w:p>
    <w:p w14:paraId="0F21773D">
      <w:pPr>
        <w:spacing w:line="440" w:lineRule="exact"/>
        <w:ind w:firstLine="480" w:firstLineChars="200"/>
        <w:rPr>
          <w:rFonts w:ascii="宋体" w:hAnsi="宋体" w:cs="宋体"/>
          <w:kern w:val="0"/>
          <w:sz w:val="24"/>
          <w:szCs w:val="24"/>
        </w:rPr>
      </w:pPr>
      <w:r>
        <w:rPr>
          <w:rFonts w:ascii="宋体" w:hAnsi="宋体" w:cs="宋体"/>
          <w:kern w:val="0"/>
          <w:sz w:val="24"/>
          <w:szCs w:val="24"/>
        </w:rPr>
        <w:t>21.3.4</w:t>
      </w:r>
      <w:r>
        <w:rPr>
          <w:rFonts w:hint="eastAsia" w:ascii="宋体" w:hAnsi="宋体" w:cs="宋体"/>
          <w:kern w:val="0"/>
          <w:sz w:val="24"/>
          <w:szCs w:val="24"/>
        </w:rPr>
        <w:t>因不可抗力解除合同</w:t>
      </w:r>
    </w:p>
    <w:p w14:paraId="59420C1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本项细化为：</w:t>
      </w:r>
    </w:p>
    <w:p w14:paraId="38E9828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合同一方当事人因不可抗力不能履行合同的，应当及时通知对方解除合同。合同解除后，承包人应按照第</w:t>
      </w:r>
      <w:r>
        <w:rPr>
          <w:rFonts w:ascii="宋体" w:hAnsi="宋体" w:cs="宋体"/>
          <w:kern w:val="0"/>
          <w:sz w:val="24"/>
          <w:szCs w:val="24"/>
        </w:rPr>
        <w:t>22.2.5</w:t>
      </w:r>
      <w:r>
        <w:rPr>
          <w:rFonts w:hint="eastAsia" w:ascii="宋体" w:hAnsi="宋体" w:cs="宋体"/>
          <w:kern w:val="0"/>
          <w:sz w:val="24"/>
          <w:szCs w:val="24"/>
        </w:rPr>
        <w:t>项约定撤离施工场地。已经订货的材料、设备由订货方负责退货或解除订货合同，不能退还的货款和因退货、解除订货合同发生的费作，由发包人承担，因未有时退货造成的损失由责任方承担。合同解除后的付款，参照第</w:t>
      </w:r>
      <w:r>
        <w:rPr>
          <w:rFonts w:ascii="宋体" w:hAnsi="宋体" w:cs="宋体"/>
          <w:kern w:val="0"/>
          <w:sz w:val="24"/>
          <w:szCs w:val="24"/>
        </w:rPr>
        <w:t xml:space="preserve">22.2.4 </w:t>
      </w:r>
      <w:r>
        <w:rPr>
          <w:rFonts w:hint="eastAsia" w:ascii="宋体" w:hAnsi="宋体" w:cs="宋体"/>
          <w:kern w:val="0"/>
          <w:sz w:val="24"/>
          <w:szCs w:val="24"/>
        </w:rPr>
        <w:t>项约定，由监理人按第</w:t>
      </w:r>
      <w:r>
        <w:rPr>
          <w:rFonts w:ascii="宋体" w:hAnsi="宋体" w:cs="宋体"/>
          <w:kern w:val="0"/>
          <w:sz w:val="24"/>
          <w:szCs w:val="24"/>
        </w:rPr>
        <w:t>3.5</w:t>
      </w:r>
      <w:r>
        <w:rPr>
          <w:rFonts w:hint="eastAsia" w:ascii="宋体" w:hAnsi="宋体" w:cs="宋体"/>
          <w:kern w:val="0"/>
          <w:sz w:val="24"/>
          <w:szCs w:val="24"/>
        </w:rPr>
        <w:t>款商定或确定，但由于解除合同应赔偿的承包人损失不予考虑。</w:t>
      </w:r>
    </w:p>
    <w:p w14:paraId="76112D24">
      <w:pPr>
        <w:keepNext/>
        <w:keepLines/>
        <w:spacing w:line="440" w:lineRule="exact"/>
        <w:ind w:firstLine="482" w:firstLineChars="200"/>
        <w:rPr>
          <w:rFonts w:hint="eastAsia" w:ascii="宋体" w:hAnsi="宋体" w:cs="宋体"/>
          <w:b/>
          <w:bCs/>
          <w:kern w:val="44"/>
          <w:sz w:val="24"/>
          <w:szCs w:val="24"/>
        </w:rPr>
      </w:pPr>
      <w:bookmarkStart w:id="1526" w:name="_Toc513212898"/>
      <w:bookmarkStart w:id="1527" w:name="_Toc488083612"/>
      <w:bookmarkStart w:id="1528" w:name="_Toc512689745"/>
      <w:bookmarkStart w:id="1529" w:name="_Toc479237803"/>
      <w:bookmarkStart w:id="1530" w:name="_Toc3475617"/>
      <w:bookmarkStart w:id="1531" w:name="_Toc513132378"/>
      <w:bookmarkStart w:id="1532" w:name="_Toc480282378"/>
      <w:bookmarkStart w:id="1533" w:name="_Toc479265632"/>
      <w:bookmarkStart w:id="1534" w:name="_Toc234382927"/>
      <w:bookmarkStart w:id="1535" w:name="_Toc192710548"/>
      <w:r>
        <w:rPr>
          <w:rFonts w:hint="eastAsia" w:ascii="宋体" w:hAnsi="宋体" w:cs="宋体"/>
          <w:b/>
          <w:bCs/>
          <w:kern w:val="44"/>
          <w:sz w:val="24"/>
          <w:szCs w:val="24"/>
        </w:rPr>
        <w:t>22．违约</w:t>
      </w:r>
      <w:bookmarkEnd w:id="1526"/>
      <w:bookmarkEnd w:id="1527"/>
      <w:bookmarkEnd w:id="1528"/>
      <w:bookmarkEnd w:id="1529"/>
      <w:bookmarkEnd w:id="1530"/>
      <w:bookmarkEnd w:id="1531"/>
      <w:bookmarkEnd w:id="1532"/>
      <w:bookmarkEnd w:id="1533"/>
      <w:bookmarkEnd w:id="1534"/>
      <w:bookmarkEnd w:id="1535"/>
    </w:p>
    <w:p w14:paraId="51D764CE">
      <w:pPr>
        <w:keepNext/>
        <w:keepLines/>
        <w:spacing w:line="440" w:lineRule="exact"/>
        <w:ind w:firstLine="482" w:firstLineChars="200"/>
        <w:rPr>
          <w:rFonts w:hint="eastAsia" w:ascii="宋体" w:hAnsi="宋体" w:cs="宋体"/>
          <w:b/>
          <w:bCs/>
          <w:kern w:val="44"/>
          <w:sz w:val="24"/>
          <w:szCs w:val="24"/>
        </w:rPr>
      </w:pPr>
      <w:bookmarkStart w:id="1536" w:name="_Toc479265633"/>
      <w:bookmarkStart w:id="1537" w:name="_Toc513212899"/>
      <w:bookmarkStart w:id="1538" w:name="_Toc480282379"/>
      <w:bookmarkStart w:id="1539" w:name="_Toc192710549"/>
      <w:bookmarkStart w:id="1540" w:name="_Toc488083613"/>
      <w:bookmarkStart w:id="1541" w:name="_Toc513132379"/>
      <w:bookmarkStart w:id="1542" w:name="_Toc479237804"/>
      <w:bookmarkStart w:id="1543" w:name="_Toc234382928"/>
      <w:bookmarkStart w:id="1544" w:name="_Toc512689746"/>
      <w:bookmarkStart w:id="1545" w:name="_Toc3475618"/>
      <w:r>
        <w:rPr>
          <w:rFonts w:hint="eastAsia" w:ascii="宋体" w:hAnsi="宋体" w:cs="宋体"/>
          <w:b/>
          <w:bCs/>
          <w:kern w:val="44"/>
          <w:sz w:val="24"/>
          <w:szCs w:val="24"/>
        </w:rPr>
        <w:t>22.1承包人违约</w:t>
      </w:r>
      <w:bookmarkEnd w:id="1536"/>
      <w:bookmarkEnd w:id="1537"/>
      <w:bookmarkEnd w:id="1538"/>
      <w:bookmarkEnd w:id="1539"/>
      <w:bookmarkEnd w:id="1540"/>
      <w:bookmarkEnd w:id="1541"/>
      <w:bookmarkEnd w:id="1542"/>
      <w:bookmarkEnd w:id="1543"/>
      <w:bookmarkEnd w:id="1544"/>
      <w:bookmarkEnd w:id="1545"/>
    </w:p>
    <w:p w14:paraId="1BF67976">
      <w:pPr>
        <w:spacing w:line="440" w:lineRule="exact"/>
        <w:ind w:firstLine="480" w:firstLineChars="200"/>
        <w:rPr>
          <w:rFonts w:ascii="宋体" w:hAnsi="宋体" w:cs="宋体"/>
          <w:kern w:val="0"/>
          <w:sz w:val="24"/>
          <w:szCs w:val="24"/>
        </w:rPr>
      </w:pPr>
      <w:r>
        <w:rPr>
          <w:rFonts w:ascii="宋体" w:hAnsi="宋体" w:cs="宋体"/>
          <w:kern w:val="0"/>
          <w:sz w:val="24"/>
          <w:szCs w:val="24"/>
        </w:rPr>
        <w:t>22.1.1</w:t>
      </w:r>
      <w:r>
        <w:rPr>
          <w:rFonts w:hint="eastAsia" w:ascii="宋体" w:hAnsi="宋体" w:cs="宋体"/>
          <w:kern w:val="0"/>
          <w:sz w:val="24"/>
          <w:szCs w:val="24"/>
        </w:rPr>
        <w:t>承包人违约的情形</w:t>
      </w:r>
    </w:p>
    <w:p w14:paraId="39C5FC0A">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w:t>
      </w:r>
      <w:r>
        <w:rPr>
          <w:rFonts w:ascii="宋体" w:hAnsi="宋体" w:cs="宋体"/>
          <w:kern w:val="0"/>
          <w:sz w:val="24"/>
          <w:szCs w:val="24"/>
        </w:rPr>
        <w:t>2</w:t>
      </w:r>
      <w:r>
        <w:rPr>
          <w:rFonts w:hint="eastAsia" w:ascii="宋体" w:hAnsi="宋体" w:cs="宋体"/>
          <w:kern w:val="0"/>
          <w:sz w:val="24"/>
          <w:szCs w:val="24"/>
        </w:rPr>
        <w:t>）目细化为：</w:t>
      </w:r>
    </w:p>
    <w:p w14:paraId="432E25A3">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）承包人违反第</w:t>
      </w:r>
      <w:r>
        <w:rPr>
          <w:rFonts w:ascii="宋体" w:hAnsi="宋体" w:cs="宋体"/>
          <w:kern w:val="0"/>
          <w:sz w:val="24"/>
          <w:szCs w:val="24"/>
        </w:rPr>
        <w:t>5.3</w:t>
      </w:r>
      <w:r>
        <w:rPr>
          <w:rFonts w:hint="eastAsia" w:ascii="宋体" w:hAnsi="宋体" w:cs="宋体"/>
          <w:kern w:val="0"/>
          <w:sz w:val="24"/>
          <w:szCs w:val="24"/>
        </w:rPr>
        <w:t>款或第</w:t>
      </w:r>
      <w:r>
        <w:rPr>
          <w:rFonts w:ascii="宋体" w:hAnsi="宋体" w:cs="宋体"/>
          <w:kern w:val="0"/>
          <w:sz w:val="24"/>
          <w:szCs w:val="24"/>
        </w:rPr>
        <w:t>6.4</w:t>
      </w:r>
      <w:r>
        <w:rPr>
          <w:rFonts w:hint="eastAsia" w:ascii="宋体" w:hAnsi="宋体" w:cs="宋体"/>
          <w:kern w:val="0"/>
          <w:sz w:val="24"/>
          <w:szCs w:val="24"/>
        </w:rPr>
        <w:t>款的约定，未经监理人批准，私自将已按合同约定进入施工场地的施工设备、临时设施、材料或工程设备撤离施工场地；</w:t>
      </w:r>
    </w:p>
    <w:p w14:paraId="4286892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w:t>
      </w:r>
      <w:r>
        <w:rPr>
          <w:rFonts w:ascii="宋体" w:hAnsi="宋体" w:cs="宋体"/>
          <w:kern w:val="0"/>
          <w:sz w:val="24"/>
          <w:szCs w:val="24"/>
        </w:rPr>
        <w:t>7</w:t>
      </w:r>
      <w:r>
        <w:rPr>
          <w:rFonts w:hint="eastAsia" w:ascii="宋体" w:hAnsi="宋体" w:cs="宋体"/>
          <w:kern w:val="0"/>
          <w:sz w:val="24"/>
          <w:szCs w:val="24"/>
        </w:rPr>
        <w:t>）目细化为：</w:t>
      </w:r>
    </w:p>
    <w:p w14:paraId="220D1373">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7</w:t>
      </w:r>
      <w:r>
        <w:rPr>
          <w:rFonts w:hint="eastAsia" w:ascii="宋体" w:hAnsi="宋体" w:cs="宋体"/>
          <w:kern w:val="0"/>
          <w:sz w:val="24"/>
          <w:szCs w:val="24"/>
        </w:rPr>
        <w:t>）承包人未能按期开工；</w:t>
      </w:r>
    </w:p>
    <w:p w14:paraId="1425CEEE">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8</w:t>
      </w:r>
      <w:r>
        <w:rPr>
          <w:rFonts w:hint="eastAsia" w:ascii="宋体" w:hAnsi="宋体" w:cs="宋体"/>
          <w:kern w:val="0"/>
          <w:sz w:val="24"/>
          <w:szCs w:val="24"/>
        </w:rPr>
        <w:t>）承包人违反第</w:t>
      </w:r>
      <w:r>
        <w:rPr>
          <w:rFonts w:ascii="宋体" w:hAnsi="宋体" w:cs="宋体"/>
          <w:kern w:val="0"/>
          <w:sz w:val="24"/>
          <w:szCs w:val="24"/>
        </w:rPr>
        <w:t>4.6</w:t>
      </w:r>
      <w:r>
        <w:rPr>
          <w:rFonts w:hint="eastAsia" w:ascii="宋体" w:hAnsi="宋体" w:cs="宋体"/>
          <w:kern w:val="0"/>
          <w:sz w:val="24"/>
          <w:szCs w:val="24"/>
        </w:rPr>
        <w:t>款或</w:t>
      </w:r>
      <w:r>
        <w:rPr>
          <w:rFonts w:ascii="宋体" w:hAnsi="宋体" w:cs="宋体"/>
          <w:kern w:val="0"/>
          <w:sz w:val="24"/>
          <w:szCs w:val="24"/>
        </w:rPr>
        <w:t>6.3</w:t>
      </w:r>
      <w:r>
        <w:rPr>
          <w:rFonts w:hint="eastAsia" w:ascii="宋体" w:hAnsi="宋体" w:cs="宋体"/>
          <w:kern w:val="0"/>
          <w:sz w:val="24"/>
          <w:szCs w:val="24"/>
        </w:rPr>
        <w:t>款的规定，未按承诺或未按监理人的要求及时配备称职的主要管理人员、技术骨干或关键施工设备；</w:t>
      </w:r>
    </w:p>
    <w:p w14:paraId="78A61AC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9</w:t>
      </w:r>
      <w:r>
        <w:rPr>
          <w:rFonts w:hint="eastAsia" w:ascii="宋体" w:hAnsi="宋体" w:cs="宋体"/>
          <w:kern w:val="0"/>
          <w:sz w:val="24"/>
          <w:szCs w:val="24"/>
        </w:rPr>
        <w:t>）经监理人和发包人检查，发现承包人有安全问题或有违反安全管理规章制度的情况；</w:t>
      </w:r>
    </w:p>
    <w:p w14:paraId="2260028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10</w:t>
      </w:r>
      <w:r>
        <w:rPr>
          <w:rFonts w:hint="eastAsia" w:ascii="宋体" w:hAnsi="宋体" w:cs="宋体"/>
          <w:kern w:val="0"/>
          <w:sz w:val="24"/>
          <w:szCs w:val="24"/>
        </w:rPr>
        <w:t>）承包人不按合同约定履行义务的其他情况。</w:t>
      </w:r>
    </w:p>
    <w:p w14:paraId="5FDE2E24">
      <w:pPr>
        <w:spacing w:line="440" w:lineRule="exact"/>
        <w:ind w:firstLine="480" w:firstLineChars="200"/>
        <w:rPr>
          <w:rFonts w:ascii="宋体" w:hAnsi="宋体" w:cs="宋体"/>
          <w:kern w:val="0"/>
          <w:sz w:val="24"/>
          <w:szCs w:val="24"/>
        </w:rPr>
      </w:pPr>
      <w:r>
        <w:rPr>
          <w:rFonts w:ascii="宋体" w:hAnsi="宋体" w:cs="宋体"/>
          <w:kern w:val="0"/>
          <w:sz w:val="24"/>
          <w:szCs w:val="24"/>
        </w:rPr>
        <w:t>22.1.2</w:t>
      </w:r>
      <w:r>
        <w:rPr>
          <w:rFonts w:hint="eastAsia" w:ascii="宋体" w:hAnsi="宋体" w:cs="宋体"/>
          <w:kern w:val="0"/>
          <w:sz w:val="24"/>
          <w:szCs w:val="24"/>
        </w:rPr>
        <w:t>对承包人违约的处理</w:t>
      </w:r>
    </w:p>
    <w:p w14:paraId="42B3AEEA">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本项补充：</w:t>
      </w:r>
    </w:p>
    <w:p w14:paraId="4489DF1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）承包人发生第</w:t>
      </w:r>
      <w:r>
        <w:rPr>
          <w:rFonts w:ascii="宋体" w:hAnsi="宋体" w:cs="宋体"/>
          <w:kern w:val="0"/>
          <w:sz w:val="24"/>
          <w:szCs w:val="24"/>
        </w:rPr>
        <w:t>22.1.1</w:t>
      </w:r>
      <w:r>
        <w:rPr>
          <w:rFonts w:hint="eastAsia" w:ascii="宋体" w:hAnsi="宋体" w:cs="宋体"/>
          <w:kern w:val="0"/>
          <w:sz w:val="24"/>
          <w:szCs w:val="24"/>
        </w:rPr>
        <w:t>项约定的违约情况时，无论发包人是否解除合同，发包人均有权向承包人课以项目专用合同条款中规定的违约金，并由发包人将其违约行为上报省级交通主管部门，作为不良记录纳入公路建设市场信用信息管理系统。</w:t>
      </w:r>
    </w:p>
    <w:p w14:paraId="0447949B">
      <w:pPr>
        <w:keepNext/>
        <w:keepLines/>
        <w:spacing w:line="440" w:lineRule="exact"/>
        <w:ind w:firstLine="482" w:firstLineChars="200"/>
        <w:rPr>
          <w:rFonts w:hint="eastAsia" w:ascii="宋体" w:hAnsi="宋体" w:cs="宋体"/>
          <w:b/>
          <w:bCs/>
          <w:kern w:val="44"/>
          <w:sz w:val="24"/>
          <w:szCs w:val="24"/>
        </w:rPr>
      </w:pPr>
      <w:bookmarkStart w:id="1546" w:name="_Toc513132380"/>
      <w:bookmarkStart w:id="1547" w:name="_Toc479265634"/>
      <w:bookmarkStart w:id="1548" w:name="_Toc512689747"/>
      <w:bookmarkStart w:id="1549" w:name="_Toc488083614"/>
      <w:bookmarkStart w:id="1550" w:name="_Toc513212900"/>
      <w:bookmarkStart w:id="1551" w:name="_Toc480282380"/>
      <w:bookmarkStart w:id="1552" w:name="_Toc192710550"/>
      <w:bookmarkStart w:id="1553" w:name="_Toc479237805"/>
      <w:bookmarkStart w:id="1554" w:name="_Toc3475619"/>
      <w:bookmarkStart w:id="1555" w:name="_Toc234382929"/>
      <w:r>
        <w:rPr>
          <w:rFonts w:hint="eastAsia" w:ascii="宋体" w:hAnsi="宋体" w:cs="宋体"/>
          <w:b/>
          <w:bCs/>
          <w:kern w:val="44"/>
          <w:sz w:val="24"/>
          <w:szCs w:val="24"/>
        </w:rPr>
        <w:t>22.2发包人违约</w:t>
      </w:r>
      <w:bookmarkEnd w:id="1546"/>
      <w:bookmarkEnd w:id="1547"/>
      <w:bookmarkEnd w:id="1548"/>
      <w:bookmarkEnd w:id="1549"/>
      <w:bookmarkEnd w:id="1550"/>
      <w:bookmarkEnd w:id="1551"/>
      <w:bookmarkEnd w:id="1552"/>
      <w:bookmarkEnd w:id="1553"/>
      <w:bookmarkEnd w:id="1554"/>
      <w:bookmarkEnd w:id="1555"/>
    </w:p>
    <w:p w14:paraId="3AD9BE64">
      <w:pPr>
        <w:spacing w:line="440" w:lineRule="exact"/>
        <w:ind w:firstLine="480" w:firstLineChars="200"/>
        <w:rPr>
          <w:rFonts w:ascii="宋体" w:hAnsi="宋体" w:cs="宋体"/>
          <w:kern w:val="0"/>
          <w:sz w:val="24"/>
          <w:szCs w:val="24"/>
        </w:rPr>
      </w:pPr>
      <w:r>
        <w:rPr>
          <w:rFonts w:ascii="宋体" w:hAnsi="宋体" w:cs="宋体"/>
          <w:kern w:val="0"/>
          <w:sz w:val="24"/>
          <w:szCs w:val="24"/>
        </w:rPr>
        <w:t>22.2.</w:t>
      </w:r>
      <w:r>
        <w:rPr>
          <w:rFonts w:hint="eastAsia" w:ascii="宋体" w:hAnsi="宋体" w:cs="宋体"/>
          <w:kern w:val="0"/>
          <w:sz w:val="24"/>
          <w:szCs w:val="24"/>
        </w:rPr>
        <w:t>1</w:t>
      </w:r>
      <w:r>
        <w:rPr>
          <w:rFonts w:ascii="宋体" w:hAnsi="宋体" w:cs="宋体"/>
          <w:kern w:val="0"/>
          <w:sz w:val="24"/>
          <w:szCs w:val="24"/>
        </w:rPr>
        <w:t xml:space="preserve"> </w:t>
      </w:r>
      <w:r>
        <w:rPr>
          <w:rFonts w:hint="eastAsia" w:ascii="宋体" w:hAnsi="宋体" w:cs="宋体"/>
          <w:kern w:val="0"/>
          <w:sz w:val="24"/>
          <w:szCs w:val="24"/>
        </w:rPr>
        <w:t>发包人违约的情形</w:t>
      </w:r>
    </w:p>
    <w:p w14:paraId="1D66363C">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本想（5）目细化为：</w:t>
      </w:r>
    </w:p>
    <w:p w14:paraId="6CCFD7DB">
      <w:pPr>
        <w:spacing w:line="440" w:lineRule="exact"/>
        <w:ind w:firstLine="480" w:firstLineChars="200"/>
        <w:rPr>
          <w:rFonts w:ascii="宋体" w:hAnsi="宋体" w:cs="宋体"/>
          <w:kern w:val="0"/>
          <w:sz w:val="24"/>
          <w:szCs w:val="24"/>
        </w:rPr>
      </w:pPr>
      <w:r>
        <w:rPr>
          <w:rFonts w:ascii="宋体" w:hAnsi="宋体" w:cs="宋体"/>
          <w:kern w:val="0"/>
          <w:sz w:val="24"/>
          <w:szCs w:val="24"/>
        </w:rPr>
        <w:t>(5)发包人无正当理由不按时返还履约保证金、质量保证金或农民工工资保证金的:</w:t>
      </w:r>
    </w:p>
    <w:p w14:paraId="3CB9E880">
      <w:pPr>
        <w:spacing w:line="440" w:lineRule="exact"/>
        <w:ind w:firstLine="480" w:firstLineChars="200"/>
        <w:rPr>
          <w:rFonts w:ascii="宋体" w:hAnsi="宋体" w:cs="宋体"/>
          <w:kern w:val="0"/>
          <w:sz w:val="24"/>
          <w:szCs w:val="24"/>
        </w:rPr>
      </w:pPr>
      <w:r>
        <w:rPr>
          <w:rFonts w:ascii="宋体" w:hAnsi="宋体" w:cs="宋体"/>
          <w:kern w:val="0"/>
          <w:sz w:val="24"/>
          <w:szCs w:val="24"/>
        </w:rPr>
        <w:t>(6)发包人不履行合同约定其他义务的 。</w:t>
      </w:r>
    </w:p>
    <w:p w14:paraId="41F3597E">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22.2.2承包人有权暂停施工</w:t>
      </w:r>
    </w:p>
    <w:p w14:paraId="27396CC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本项细化为：</w:t>
      </w:r>
    </w:p>
    <w:p w14:paraId="542C2E78">
      <w:pPr>
        <w:spacing w:line="440" w:lineRule="exact"/>
        <w:ind w:firstLine="480" w:firstLineChars="200"/>
        <w:rPr>
          <w:rFonts w:ascii="宋体" w:hAnsi="宋体" w:cs="宋体"/>
          <w:kern w:val="0"/>
          <w:sz w:val="24"/>
          <w:szCs w:val="24"/>
        </w:rPr>
      </w:pPr>
      <w:r>
        <w:rPr>
          <w:rFonts w:ascii="宋体" w:hAnsi="宋体" w:cs="宋体"/>
          <w:kern w:val="0"/>
          <w:sz w:val="24"/>
          <w:szCs w:val="24"/>
        </w:rPr>
        <w:t>发包人发生除第 22.2.1 ( 4 ) 、(5)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  。</w:t>
      </w:r>
    </w:p>
    <w:p w14:paraId="5FE6A8EE">
      <w:pPr>
        <w:spacing w:line="440" w:lineRule="exact"/>
        <w:ind w:firstLine="480" w:firstLineChars="200"/>
        <w:rPr>
          <w:rFonts w:ascii="宋体" w:hAnsi="宋体" w:cs="宋体"/>
          <w:kern w:val="0"/>
          <w:sz w:val="24"/>
          <w:szCs w:val="24"/>
        </w:rPr>
      </w:pPr>
      <w:r>
        <w:rPr>
          <w:rFonts w:ascii="宋体" w:hAnsi="宋体" w:cs="宋体"/>
          <w:kern w:val="0"/>
          <w:sz w:val="24"/>
          <w:szCs w:val="24"/>
        </w:rPr>
        <w:t>发包人发生第 22.2.1 (5) 目的违约情况时，承包人可向发包人发 出通知，要求 发包人采取有效措施纠正违约行为。发包 人收到承包人通知后的 28 天内仍不返还履 约保证金  、质量保证金或农民工工资保证金的，发包人应按项目专用合同条款的约 定向承包人支付逾期返还保证金的违约金。</w:t>
      </w:r>
    </w:p>
    <w:p w14:paraId="7FE6F2FA">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22.2.4 </w:t>
      </w:r>
      <w:r>
        <w:rPr>
          <w:rFonts w:hint="eastAsia" w:ascii="宋体" w:hAnsi="宋体" w:cs="宋体"/>
          <w:kern w:val="0"/>
          <w:sz w:val="24"/>
          <w:szCs w:val="24"/>
        </w:rPr>
        <w:t>解除合同后的付款</w:t>
      </w:r>
    </w:p>
    <w:p w14:paraId="5949AA4E">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w:t>
      </w:r>
      <w:r>
        <w:rPr>
          <w:rFonts w:ascii="宋体" w:hAnsi="宋体" w:cs="宋体"/>
          <w:kern w:val="0"/>
          <w:sz w:val="24"/>
          <w:szCs w:val="24"/>
        </w:rPr>
        <w:t>2</w:t>
      </w:r>
      <w:r>
        <w:rPr>
          <w:rFonts w:hint="eastAsia" w:ascii="宋体" w:hAnsi="宋体" w:cs="宋体"/>
          <w:kern w:val="0"/>
          <w:sz w:val="24"/>
          <w:szCs w:val="24"/>
        </w:rPr>
        <w:t>）目细化为：</w:t>
      </w:r>
    </w:p>
    <w:p w14:paraId="60BE7D40">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）承包人为该工程施工订购并已付款的材料、工程设备和其他物品的金额，发包人付款后，该材料、工程设备和其他物品归发包人所有；</w:t>
      </w:r>
    </w:p>
    <w:p w14:paraId="15B602C8">
      <w:pPr>
        <w:keepNext/>
        <w:keepLines/>
        <w:spacing w:line="440" w:lineRule="exact"/>
        <w:ind w:firstLine="482" w:firstLineChars="200"/>
        <w:rPr>
          <w:rFonts w:hint="eastAsia" w:ascii="宋体" w:hAnsi="宋体" w:cs="宋体"/>
          <w:b/>
          <w:bCs/>
          <w:kern w:val="44"/>
          <w:sz w:val="24"/>
          <w:szCs w:val="24"/>
        </w:rPr>
      </w:pPr>
      <w:bookmarkStart w:id="1556" w:name="_Toc480282381"/>
      <w:bookmarkStart w:id="1557" w:name="_Toc512689748"/>
      <w:bookmarkStart w:id="1558" w:name="_Toc192710551"/>
      <w:bookmarkStart w:id="1559" w:name="_Toc3475620"/>
      <w:bookmarkStart w:id="1560" w:name="_Toc488083615"/>
      <w:bookmarkStart w:id="1561" w:name="_Toc479237806"/>
      <w:bookmarkStart w:id="1562" w:name="_Toc234382930"/>
      <w:bookmarkStart w:id="1563" w:name="_Toc513212901"/>
      <w:bookmarkStart w:id="1564" w:name="_Toc513132381"/>
      <w:bookmarkStart w:id="1565" w:name="_Toc479265635"/>
      <w:r>
        <w:rPr>
          <w:rFonts w:hint="eastAsia" w:ascii="宋体" w:hAnsi="宋体" w:cs="宋体"/>
          <w:b/>
          <w:bCs/>
          <w:kern w:val="44"/>
          <w:sz w:val="24"/>
          <w:szCs w:val="24"/>
        </w:rPr>
        <w:t>23.索赔</w:t>
      </w:r>
      <w:bookmarkEnd w:id="1556"/>
      <w:bookmarkEnd w:id="1557"/>
      <w:bookmarkEnd w:id="1558"/>
      <w:bookmarkEnd w:id="1559"/>
      <w:bookmarkEnd w:id="1560"/>
      <w:bookmarkEnd w:id="1561"/>
      <w:bookmarkEnd w:id="1562"/>
      <w:bookmarkEnd w:id="1563"/>
      <w:bookmarkEnd w:id="1564"/>
      <w:bookmarkEnd w:id="1565"/>
    </w:p>
    <w:p w14:paraId="32DCA9BB">
      <w:pPr>
        <w:keepNext/>
        <w:keepLines/>
        <w:spacing w:line="440" w:lineRule="exact"/>
        <w:ind w:firstLine="482" w:firstLineChars="200"/>
        <w:rPr>
          <w:rFonts w:hint="eastAsia" w:ascii="宋体" w:hAnsi="宋体" w:cs="宋体"/>
          <w:b/>
          <w:bCs/>
          <w:kern w:val="44"/>
          <w:sz w:val="24"/>
          <w:szCs w:val="24"/>
        </w:rPr>
      </w:pPr>
      <w:bookmarkStart w:id="1566" w:name="_Toc488083616"/>
      <w:bookmarkStart w:id="1567" w:name="_Toc512689749"/>
      <w:bookmarkStart w:id="1568" w:name="_Toc3475621"/>
      <w:bookmarkStart w:id="1569" w:name="_Toc480282382"/>
      <w:bookmarkStart w:id="1570" w:name="_Toc479265636"/>
      <w:bookmarkStart w:id="1571" w:name="_Toc513212902"/>
      <w:bookmarkStart w:id="1572" w:name="_Toc234382931"/>
      <w:bookmarkStart w:id="1573" w:name="_Toc513132382"/>
      <w:bookmarkStart w:id="1574" w:name="_Toc192710552"/>
      <w:bookmarkStart w:id="1575" w:name="_Toc479237807"/>
      <w:r>
        <w:rPr>
          <w:rFonts w:hint="eastAsia" w:ascii="宋体" w:hAnsi="宋体" w:cs="宋体"/>
          <w:b/>
          <w:bCs/>
          <w:kern w:val="44"/>
          <w:sz w:val="24"/>
          <w:szCs w:val="24"/>
        </w:rPr>
        <w:t>23.1承包人索赔的提出</w:t>
      </w:r>
      <w:bookmarkEnd w:id="1566"/>
      <w:bookmarkEnd w:id="1567"/>
      <w:bookmarkEnd w:id="1568"/>
      <w:bookmarkEnd w:id="1569"/>
      <w:bookmarkEnd w:id="1570"/>
      <w:bookmarkEnd w:id="1571"/>
      <w:bookmarkEnd w:id="1572"/>
      <w:bookmarkEnd w:id="1573"/>
      <w:bookmarkEnd w:id="1574"/>
      <w:bookmarkEnd w:id="1575"/>
    </w:p>
    <w:p w14:paraId="7E2DB6E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本款第（</w:t>
      </w:r>
      <w:r>
        <w:rPr>
          <w:rFonts w:ascii="宋体" w:hAnsi="宋体" w:cs="宋体"/>
          <w:kern w:val="0"/>
          <w:sz w:val="24"/>
          <w:szCs w:val="24"/>
        </w:rPr>
        <w:t>4</w:t>
      </w:r>
      <w:r>
        <w:rPr>
          <w:rFonts w:hint="eastAsia" w:ascii="宋体" w:hAnsi="宋体" w:cs="宋体"/>
          <w:kern w:val="0"/>
          <w:sz w:val="24"/>
          <w:szCs w:val="24"/>
        </w:rPr>
        <w:t>）项细化为：</w:t>
      </w:r>
    </w:p>
    <w:p w14:paraId="37B1E42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）在索赔事件影响结束后的</w:t>
      </w:r>
      <w:r>
        <w:rPr>
          <w:rFonts w:ascii="宋体" w:hAnsi="宋体" w:cs="宋体"/>
          <w:kern w:val="0"/>
          <w:sz w:val="24"/>
          <w:szCs w:val="24"/>
        </w:rPr>
        <w:t>28</w:t>
      </w:r>
      <w:r>
        <w:rPr>
          <w:rFonts w:hint="eastAsia" w:ascii="宋体" w:hAnsi="宋体" w:cs="宋体"/>
          <w:kern w:val="0"/>
          <w:sz w:val="24"/>
          <w:szCs w:val="24"/>
        </w:rPr>
        <w:t>天内，承包人应向监理人递交最终索赔通知书，说明最终要求索赔的追加付款金额和（或）延长的工期，并附必要的记录和证明材料。</w:t>
      </w:r>
    </w:p>
    <w:p w14:paraId="01B58EAA">
      <w:pPr>
        <w:keepNext/>
        <w:keepLines/>
        <w:spacing w:line="440" w:lineRule="exact"/>
        <w:ind w:firstLine="482" w:firstLineChars="200"/>
        <w:rPr>
          <w:rFonts w:hint="eastAsia" w:ascii="宋体" w:hAnsi="宋体" w:cs="宋体"/>
          <w:b/>
          <w:bCs/>
          <w:kern w:val="44"/>
          <w:sz w:val="24"/>
          <w:szCs w:val="24"/>
        </w:rPr>
      </w:pPr>
      <w:bookmarkStart w:id="1576" w:name="_Toc479265637"/>
      <w:bookmarkStart w:id="1577" w:name="_Toc3475622"/>
      <w:bookmarkStart w:id="1578" w:name="_Toc513212903"/>
      <w:bookmarkStart w:id="1579" w:name="_Toc512689750"/>
      <w:bookmarkStart w:id="1580" w:name="_Toc479237808"/>
      <w:bookmarkStart w:id="1581" w:name="_Toc234382932"/>
      <w:bookmarkStart w:id="1582" w:name="_Toc480282383"/>
      <w:bookmarkStart w:id="1583" w:name="_Toc513132383"/>
      <w:bookmarkStart w:id="1584" w:name="_Toc488083617"/>
      <w:bookmarkStart w:id="1585" w:name="_Toc192710553"/>
      <w:r>
        <w:rPr>
          <w:rFonts w:hint="eastAsia" w:ascii="宋体" w:hAnsi="宋体" w:cs="宋体"/>
          <w:b/>
          <w:bCs/>
          <w:kern w:val="44"/>
          <w:sz w:val="24"/>
          <w:szCs w:val="24"/>
        </w:rPr>
        <w:t>23.2承包人索赔处理程序</w:t>
      </w:r>
      <w:bookmarkEnd w:id="1576"/>
      <w:bookmarkEnd w:id="1577"/>
      <w:bookmarkEnd w:id="1578"/>
      <w:bookmarkEnd w:id="1579"/>
      <w:bookmarkEnd w:id="1580"/>
      <w:bookmarkEnd w:id="1581"/>
      <w:bookmarkEnd w:id="1582"/>
      <w:bookmarkEnd w:id="1583"/>
      <w:bookmarkEnd w:id="1584"/>
      <w:bookmarkEnd w:id="1585"/>
    </w:p>
    <w:p w14:paraId="53F77EA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本款第（</w:t>
      </w:r>
      <w:r>
        <w:rPr>
          <w:rFonts w:ascii="宋体" w:hAnsi="宋体" w:cs="宋体"/>
          <w:kern w:val="0"/>
          <w:sz w:val="24"/>
          <w:szCs w:val="24"/>
        </w:rPr>
        <w:t>2</w:t>
      </w:r>
      <w:r>
        <w:rPr>
          <w:rFonts w:hint="eastAsia" w:ascii="宋体" w:hAnsi="宋体" w:cs="宋体"/>
          <w:kern w:val="0"/>
          <w:sz w:val="24"/>
          <w:szCs w:val="24"/>
        </w:rPr>
        <w:t>）项细化为：</w:t>
      </w:r>
    </w:p>
    <w:p w14:paraId="24060B4E">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）监理人应按第</w:t>
      </w:r>
      <w:r>
        <w:rPr>
          <w:rFonts w:ascii="宋体" w:hAnsi="宋体" w:cs="宋体"/>
          <w:kern w:val="0"/>
          <w:sz w:val="24"/>
          <w:szCs w:val="24"/>
        </w:rPr>
        <w:t>3.5</w:t>
      </w:r>
      <w:r>
        <w:rPr>
          <w:rFonts w:hint="eastAsia" w:ascii="宋体" w:hAnsi="宋体" w:cs="宋体"/>
          <w:kern w:val="0"/>
          <w:sz w:val="24"/>
          <w:szCs w:val="24"/>
        </w:rPr>
        <w:t>款商定或确定追加的付款和（或）延长的工期，并在收到上述索赔通知书或有关索赔的进一步证明材料后的</w:t>
      </w:r>
      <w:r>
        <w:rPr>
          <w:rFonts w:ascii="宋体" w:hAnsi="宋体" w:cs="宋体"/>
          <w:kern w:val="0"/>
          <w:sz w:val="24"/>
          <w:szCs w:val="24"/>
        </w:rPr>
        <w:t>42</w:t>
      </w:r>
      <w:r>
        <w:rPr>
          <w:rFonts w:hint="eastAsia" w:ascii="宋体" w:hAnsi="宋体" w:cs="宋体"/>
          <w:kern w:val="0"/>
          <w:sz w:val="24"/>
          <w:szCs w:val="24"/>
        </w:rPr>
        <w:t>天内，将索赔处理结果报发包人批准后答复承包人。如果承包人提出的索赔要求未能遵守第</w:t>
      </w:r>
      <w:r>
        <w:rPr>
          <w:rFonts w:ascii="宋体" w:hAnsi="宋体" w:cs="宋体"/>
          <w:kern w:val="0"/>
          <w:sz w:val="24"/>
          <w:szCs w:val="24"/>
        </w:rPr>
        <w:t>23.1</w:t>
      </w: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）项规定，则承包人只限于索赔由监理人按当时记当予以核实的那部分款额外负担和（或）工期延长天数。</w:t>
      </w:r>
    </w:p>
    <w:p w14:paraId="3E0EA696">
      <w:pPr>
        <w:keepNext/>
        <w:keepLines/>
        <w:spacing w:line="440" w:lineRule="exact"/>
        <w:ind w:firstLine="482" w:firstLineChars="200"/>
        <w:rPr>
          <w:rFonts w:hint="eastAsia" w:ascii="宋体" w:hAnsi="宋体" w:cs="宋体"/>
          <w:b/>
          <w:bCs/>
          <w:kern w:val="44"/>
          <w:sz w:val="24"/>
          <w:szCs w:val="24"/>
        </w:rPr>
      </w:pPr>
      <w:bookmarkStart w:id="1586" w:name="_Toc234382933"/>
      <w:bookmarkStart w:id="1587" w:name="_Toc512689751"/>
      <w:bookmarkStart w:id="1588" w:name="_Toc479265638"/>
      <w:bookmarkStart w:id="1589" w:name="_Toc192710554"/>
      <w:bookmarkStart w:id="1590" w:name="_Toc513212904"/>
      <w:bookmarkStart w:id="1591" w:name="_Toc488083618"/>
      <w:bookmarkStart w:id="1592" w:name="_Toc479237809"/>
      <w:bookmarkStart w:id="1593" w:name="_Toc513132384"/>
      <w:bookmarkStart w:id="1594" w:name="_Toc480282384"/>
      <w:bookmarkStart w:id="1595" w:name="_Toc3475623"/>
      <w:r>
        <w:rPr>
          <w:rFonts w:hint="eastAsia" w:ascii="宋体" w:hAnsi="宋体" w:cs="宋体"/>
          <w:b/>
          <w:bCs/>
          <w:kern w:val="44"/>
          <w:sz w:val="24"/>
          <w:szCs w:val="24"/>
        </w:rPr>
        <w:t>24．争议的解决</w:t>
      </w:r>
      <w:bookmarkEnd w:id="1586"/>
      <w:bookmarkEnd w:id="1587"/>
      <w:bookmarkEnd w:id="1588"/>
      <w:bookmarkEnd w:id="1589"/>
      <w:bookmarkEnd w:id="1590"/>
      <w:bookmarkEnd w:id="1591"/>
      <w:bookmarkEnd w:id="1592"/>
      <w:bookmarkEnd w:id="1593"/>
      <w:bookmarkEnd w:id="1594"/>
      <w:bookmarkEnd w:id="1595"/>
    </w:p>
    <w:p w14:paraId="24CE81BB">
      <w:pPr>
        <w:keepNext/>
        <w:keepLines/>
        <w:spacing w:line="440" w:lineRule="exact"/>
        <w:ind w:firstLine="482" w:firstLineChars="200"/>
        <w:rPr>
          <w:rFonts w:hint="eastAsia" w:ascii="宋体" w:hAnsi="宋体" w:cs="宋体"/>
          <w:b/>
          <w:bCs/>
          <w:kern w:val="44"/>
          <w:sz w:val="24"/>
          <w:szCs w:val="24"/>
        </w:rPr>
      </w:pPr>
      <w:bookmarkStart w:id="1596" w:name="_Toc479265639"/>
      <w:bookmarkStart w:id="1597" w:name="_Toc234382934"/>
      <w:bookmarkStart w:id="1598" w:name="_Toc192710555"/>
      <w:bookmarkStart w:id="1599" w:name="_Toc513132385"/>
      <w:bookmarkStart w:id="1600" w:name="_Toc479237810"/>
      <w:bookmarkStart w:id="1601" w:name="_Toc480282385"/>
      <w:bookmarkStart w:id="1602" w:name="_Toc512689752"/>
      <w:bookmarkStart w:id="1603" w:name="_Toc488083619"/>
      <w:bookmarkStart w:id="1604" w:name="_Toc513212905"/>
      <w:bookmarkStart w:id="1605" w:name="_Toc3475624"/>
      <w:r>
        <w:rPr>
          <w:rFonts w:hint="eastAsia" w:ascii="宋体" w:hAnsi="宋体" w:cs="宋体"/>
          <w:b/>
          <w:bCs/>
          <w:kern w:val="44"/>
          <w:sz w:val="24"/>
          <w:szCs w:val="24"/>
        </w:rPr>
        <w:t>24.3争议评审</w:t>
      </w:r>
      <w:bookmarkEnd w:id="1596"/>
      <w:bookmarkEnd w:id="1597"/>
      <w:bookmarkEnd w:id="1598"/>
      <w:bookmarkEnd w:id="1599"/>
      <w:bookmarkEnd w:id="1600"/>
      <w:bookmarkEnd w:id="1601"/>
      <w:bookmarkEnd w:id="1602"/>
      <w:bookmarkEnd w:id="1603"/>
      <w:bookmarkEnd w:id="1604"/>
      <w:bookmarkEnd w:id="1605"/>
    </w:p>
    <w:p w14:paraId="50908CD3">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24.3.1</w:t>
      </w:r>
      <w:r>
        <w:rPr>
          <w:rFonts w:hint="eastAsia" w:ascii="宋体" w:hAnsi="宋体" w:cs="宋体"/>
          <w:kern w:val="0"/>
          <w:sz w:val="24"/>
          <w:szCs w:val="24"/>
        </w:rPr>
        <w:t>项补充：</w:t>
      </w:r>
    </w:p>
    <w:p w14:paraId="1873A4A4">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争议评审组由</w:t>
      </w:r>
      <w:r>
        <w:rPr>
          <w:rFonts w:ascii="宋体" w:hAnsi="宋体" w:cs="宋体"/>
          <w:kern w:val="0"/>
          <w:sz w:val="24"/>
          <w:szCs w:val="24"/>
        </w:rPr>
        <w:t>3</w:t>
      </w:r>
      <w:r>
        <w:rPr>
          <w:rFonts w:hint="eastAsia" w:ascii="宋体" w:hAnsi="宋体" w:cs="宋体"/>
          <w:kern w:val="0"/>
          <w:sz w:val="24"/>
          <w:szCs w:val="24"/>
        </w:rPr>
        <w:t>人或</w:t>
      </w:r>
      <w:r>
        <w:rPr>
          <w:rFonts w:ascii="宋体" w:hAnsi="宋体" w:cs="宋体"/>
          <w:kern w:val="0"/>
          <w:sz w:val="24"/>
          <w:szCs w:val="24"/>
        </w:rPr>
        <w:t>5</w:t>
      </w:r>
      <w:r>
        <w:rPr>
          <w:rFonts w:hint="eastAsia" w:ascii="宋体" w:hAnsi="宋体" w:cs="宋体"/>
          <w:kern w:val="0"/>
          <w:sz w:val="24"/>
          <w:szCs w:val="24"/>
        </w:rPr>
        <w:t>人组成，专家的聘请方法可由发包人和承包人共同协商确定，亦可请政府主管部门推荐或通过合同争议调解机构聘请，并经双方认同。争议评审组成员应与合同双方均无利害关系，争议评审组的各项费用由发包人和承包人平均分担。</w:t>
      </w:r>
    </w:p>
    <w:p w14:paraId="39DC7330">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本条补充第</w:t>
      </w:r>
      <w:r>
        <w:rPr>
          <w:rFonts w:ascii="宋体" w:hAnsi="宋体" w:cs="宋体"/>
          <w:kern w:val="0"/>
          <w:sz w:val="24"/>
          <w:szCs w:val="24"/>
        </w:rPr>
        <w:t>24.4</w:t>
      </w:r>
      <w:r>
        <w:rPr>
          <w:rFonts w:hint="eastAsia" w:ascii="宋体" w:hAnsi="宋体" w:cs="宋体"/>
          <w:kern w:val="0"/>
          <w:sz w:val="24"/>
          <w:szCs w:val="24"/>
        </w:rPr>
        <w:t>、第</w:t>
      </w:r>
      <w:r>
        <w:rPr>
          <w:rFonts w:ascii="宋体" w:hAnsi="宋体" w:cs="宋体"/>
          <w:kern w:val="0"/>
          <w:sz w:val="24"/>
          <w:szCs w:val="24"/>
        </w:rPr>
        <w:t>24.5</w:t>
      </w:r>
      <w:r>
        <w:rPr>
          <w:rFonts w:hint="eastAsia" w:ascii="宋体" w:hAnsi="宋体" w:cs="宋体"/>
          <w:kern w:val="0"/>
          <w:sz w:val="24"/>
          <w:szCs w:val="24"/>
        </w:rPr>
        <w:t>款（适用于采用仲裁方式最终解决争议的项目）：</w:t>
      </w:r>
    </w:p>
    <w:p w14:paraId="121D5FEB">
      <w:pPr>
        <w:keepNext/>
        <w:keepLines/>
        <w:spacing w:line="440" w:lineRule="exact"/>
        <w:ind w:firstLine="482" w:firstLineChars="200"/>
        <w:rPr>
          <w:rFonts w:hint="eastAsia" w:ascii="宋体" w:hAnsi="宋体" w:cs="宋体"/>
          <w:b/>
          <w:bCs/>
          <w:kern w:val="44"/>
          <w:sz w:val="24"/>
          <w:szCs w:val="24"/>
        </w:rPr>
      </w:pPr>
      <w:bookmarkStart w:id="1606" w:name="_Toc512689753"/>
      <w:bookmarkStart w:id="1607" w:name="_Toc513132386"/>
      <w:bookmarkStart w:id="1608" w:name="_Toc479237811"/>
      <w:bookmarkStart w:id="1609" w:name="_Toc234382935"/>
      <w:bookmarkStart w:id="1610" w:name="_Toc480282386"/>
      <w:bookmarkStart w:id="1611" w:name="_Toc513212906"/>
      <w:bookmarkStart w:id="1612" w:name="_Toc479265640"/>
      <w:bookmarkStart w:id="1613" w:name="_Toc488083620"/>
      <w:bookmarkStart w:id="1614" w:name="_Toc192710556"/>
      <w:bookmarkStart w:id="1615" w:name="_Toc3475625"/>
      <w:r>
        <w:rPr>
          <w:rFonts w:hint="eastAsia" w:ascii="宋体" w:hAnsi="宋体" w:cs="宋体"/>
          <w:b/>
          <w:bCs/>
          <w:kern w:val="44"/>
          <w:sz w:val="24"/>
          <w:szCs w:val="24"/>
        </w:rPr>
        <w:t>24.4仲裁</w:t>
      </w:r>
      <w:bookmarkEnd w:id="1606"/>
      <w:bookmarkEnd w:id="1607"/>
      <w:bookmarkEnd w:id="1608"/>
      <w:bookmarkEnd w:id="1609"/>
      <w:bookmarkEnd w:id="1610"/>
      <w:bookmarkEnd w:id="1611"/>
      <w:bookmarkEnd w:id="1612"/>
      <w:bookmarkEnd w:id="1613"/>
      <w:bookmarkEnd w:id="1614"/>
      <w:bookmarkEnd w:id="1615"/>
    </w:p>
    <w:p w14:paraId="660F6B3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）对于未能友好解决或通过争议评审解决的争议，发包人或承包人任一方均有权提交给第</w:t>
      </w:r>
      <w:r>
        <w:rPr>
          <w:rFonts w:ascii="宋体" w:hAnsi="宋体" w:cs="宋体"/>
          <w:kern w:val="0"/>
          <w:sz w:val="24"/>
          <w:szCs w:val="24"/>
        </w:rPr>
        <w:t>24.1</w:t>
      </w:r>
      <w:r>
        <w:rPr>
          <w:rFonts w:hint="eastAsia" w:ascii="宋体" w:hAnsi="宋体" w:cs="宋体"/>
          <w:kern w:val="0"/>
          <w:sz w:val="24"/>
          <w:szCs w:val="24"/>
        </w:rPr>
        <w:t>款约定的仲裁委员会仲裁。</w:t>
      </w:r>
    </w:p>
    <w:p w14:paraId="0B22C6F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）仲裁可在交工之前或之后进行，但发包人、监理人和承包人各自的义务不得因在工程实施期间进行仲裁而有所改变。如果仲裁是在终止合同的情况下进行，则对合同工程应采取保护措施，措施费由败诉方承担。</w:t>
      </w:r>
    </w:p>
    <w:p w14:paraId="57A766B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）仲裁裁决是终局性的并对发包人和承包人双方具有约束力。</w:t>
      </w:r>
    </w:p>
    <w:p w14:paraId="7ABEE223">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）全部仲裁费用应由败诉方承担；或按仲裁员会裁决的比例分担。</w:t>
      </w:r>
    </w:p>
    <w:p w14:paraId="70B20835">
      <w:pPr>
        <w:keepNext/>
        <w:keepLines/>
        <w:spacing w:line="440" w:lineRule="exact"/>
        <w:ind w:firstLine="482" w:firstLineChars="200"/>
        <w:rPr>
          <w:rFonts w:hint="eastAsia" w:ascii="宋体" w:hAnsi="宋体" w:cs="宋体"/>
          <w:b/>
          <w:bCs/>
          <w:kern w:val="44"/>
          <w:sz w:val="24"/>
          <w:szCs w:val="24"/>
        </w:rPr>
      </w:pPr>
      <w:bookmarkStart w:id="1616" w:name="_Toc234382936"/>
      <w:bookmarkStart w:id="1617" w:name="_Toc479265641"/>
      <w:bookmarkStart w:id="1618" w:name="_Toc513132387"/>
      <w:bookmarkStart w:id="1619" w:name="_Toc479237812"/>
      <w:bookmarkStart w:id="1620" w:name="_Toc3475626"/>
      <w:bookmarkStart w:id="1621" w:name="_Toc480282387"/>
      <w:bookmarkStart w:id="1622" w:name="_Toc512689754"/>
      <w:bookmarkStart w:id="1623" w:name="_Toc192710557"/>
      <w:bookmarkStart w:id="1624" w:name="_Toc513212907"/>
      <w:bookmarkStart w:id="1625" w:name="_Toc488083621"/>
      <w:r>
        <w:rPr>
          <w:rFonts w:hint="eastAsia" w:ascii="宋体" w:hAnsi="宋体" w:cs="宋体"/>
          <w:b/>
          <w:bCs/>
          <w:kern w:val="44"/>
          <w:sz w:val="24"/>
          <w:szCs w:val="24"/>
        </w:rPr>
        <w:t>24.5仲裁的执行</w:t>
      </w:r>
      <w:bookmarkEnd w:id="1616"/>
      <w:bookmarkEnd w:id="1617"/>
      <w:bookmarkEnd w:id="1618"/>
      <w:bookmarkEnd w:id="1619"/>
      <w:bookmarkEnd w:id="1620"/>
      <w:bookmarkEnd w:id="1621"/>
      <w:bookmarkEnd w:id="1622"/>
      <w:bookmarkEnd w:id="1623"/>
      <w:bookmarkEnd w:id="1624"/>
      <w:bookmarkEnd w:id="1625"/>
    </w:p>
    <w:p w14:paraId="4FD3AAB6">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）任何一方不履行仲裁机构的裁决的，对方可以向有管辖权的人民法院申请执行。</w:t>
      </w:r>
    </w:p>
    <w:p w14:paraId="50D65B0B">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任何一方提出证据证明裁决有《中华人民共和国仲裁法》第五十八条规定情形之一的，可以向仲裁委员会所在地的中级人民法院申请撤销裁决。人民法院认定执行该裁决违背社会公共利益的的，裁定不予执行。仲裁裁决被人民法院裁定不予执行的，当事人可以根据双方达成的书面仲裁协议重新申请仲裁，也可以向人民法院起诉。</w:t>
      </w:r>
    </w:p>
    <w:p w14:paraId="31EE8599">
      <w:pPr>
        <w:widowControl/>
        <w:spacing w:line="440" w:lineRule="exact"/>
        <w:ind w:firstLine="482" w:firstLineChars="200"/>
        <w:rPr>
          <w:rFonts w:ascii="宋体" w:hAnsi="宋体" w:cs="宋体"/>
          <w:b/>
          <w:bCs/>
          <w:kern w:val="44"/>
          <w:sz w:val="24"/>
          <w:szCs w:val="24"/>
        </w:rPr>
      </w:pPr>
      <w:r>
        <w:rPr>
          <w:rFonts w:ascii="宋体" w:hAnsi="宋体" w:cs="宋体"/>
          <w:b/>
          <w:bCs/>
          <w:kern w:val="44"/>
          <w:sz w:val="24"/>
          <w:szCs w:val="24"/>
        </w:rPr>
        <w:br w:type="page"/>
      </w:r>
      <w:r>
        <w:rPr>
          <w:rFonts w:hint="eastAsia" w:ascii="宋体" w:hAnsi="宋体" w:cs="宋体"/>
          <w:b/>
          <w:bCs/>
          <w:kern w:val="44"/>
          <w:sz w:val="24"/>
          <w:szCs w:val="24"/>
        </w:rPr>
        <w:t>B、项目专用合同条款</w:t>
      </w:r>
      <w:bookmarkStart w:id="1626" w:name="_Toc192710558"/>
      <w:bookmarkStart w:id="1627" w:name="_Toc3475627"/>
    </w:p>
    <w:p w14:paraId="01227EE1">
      <w:pPr>
        <w:widowControl/>
        <w:spacing w:line="440" w:lineRule="exact"/>
        <w:ind w:firstLine="482" w:firstLineChars="200"/>
        <w:rPr>
          <w:rFonts w:hint="eastAsia" w:ascii="宋体" w:hAnsi="宋体" w:cs="宋体"/>
          <w:b/>
          <w:bCs/>
          <w:kern w:val="44"/>
          <w:sz w:val="24"/>
          <w:szCs w:val="24"/>
        </w:rPr>
      </w:pPr>
      <w:r>
        <w:rPr>
          <w:rFonts w:hint="eastAsia" w:ascii="宋体" w:hAnsi="宋体" w:cs="宋体"/>
          <w:b/>
          <w:bCs/>
          <w:kern w:val="44"/>
          <w:sz w:val="24"/>
          <w:szCs w:val="24"/>
        </w:rPr>
        <w:t>说明：</w:t>
      </w:r>
      <w:bookmarkEnd w:id="1626"/>
      <w:bookmarkEnd w:id="1627"/>
    </w:p>
    <w:p w14:paraId="57C199A9">
      <w:pPr>
        <w:spacing w:line="440" w:lineRule="exact"/>
        <w:ind w:firstLine="480" w:firstLineChars="200"/>
        <w:rPr>
          <w:rFonts w:ascii="宋体" w:hAnsi="宋体" w:cs="宋体"/>
          <w:kern w:val="0"/>
          <w:sz w:val="24"/>
          <w:szCs w:val="24"/>
        </w:rPr>
      </w:pPr>
      <w:r>
        <w:rPr>
          <w:rFonts w:ascii="宋体" w:hAnsi="宋体" w:cs="宋体"/>
          <w:kern w:val="0"/>
          <w:sz w:val="24"/>
          <w:szCs w:val="24"/>
        </w:rPr>
        <w:t>1.</w:t>
      </w:r>
      <w:r>
        <w:rPr>
          <w:rFonts w:hint="eastAsia" w:ascii="宋体" w:hAnsi="宋体" w:cs="宋体"/>
          <w:kern w:val="0"/>
          <w:sz w:val="24"/>
          <w:szCs w:val="24"/>
        </w:rPr>
        <w:t>招标人在根据《公路工程标准施工招标文件》编制项目招标文件中的“项目专用合同条款”时，可根据招标项目的具体特点和实际需要，对“通用合同条款”及“公路工程专用合同条款”进行补充和细化，除“通用合同条款”明确“专用合同条款”可作出不同约定及“公路工程专用合同条款”明确“项目专用合同条款”可作出不同约定外，补充和细化的内容不得与“通用合同条款”及“公路工程专用合同条款”强制性规定相抵触。同时，补充、细化的不同内容，不得违反法律、行政法规的强制性规定和平等、自愿、公平和诚实信用原则。</w:t>
      </w:r>
    </w:p>
    <w:p w14:paraId="6EB10926">
      <w:pPr>
        <w:spacing w:line="440" w:lineRule="exact"/>
        <w:ind w:firstLine="480" w:firstLineChars="200"/>
        <w:rPr>
          <w:rFonts w:ascii="宋体" w:hAnsi="宋体" w:cs="宋体"/>
          <w:kern w:val="0"/>
          <w:sz w:val="24"/>
          <w:szCs w:val="24"/>
        </w:rPr>
      </w:pPr>
      <w:r>
        <w:rPr>
          <w:rFonts w:ascii="宋体" w:hAnsi="宋体" w:cs="宋体"/>
          <w:kern w:val="0"/>
          <w:sz w:val="24"/>
          <w:szCs w:val="24"/>
        </w:rPr>
        <w:t>2.</w:t>
      </w:r>
      <w:r>
        <w:rPr>
          <w:rFonts w:hint="eastAsia" w:ascii="宋体" w:hAnsi="宋体" w:cs="宋体"/>
          <w:kern w:val="0"/>
          <w:sz w:val="24"/>
          <w:szCs w:val="24"/>
        </w:rPr>
        <w:t>项目专用合同条款的编号应与通用合同条款和公路工程专用合同条款一致。</w:t>
      </w:r>
    </w:p>
    <w:p w14:paraId="41710747">
      <w:pPr>
        <w:spacing w:line="440" w:lineRule="exact"/>
        <w:ind w:firstLine="480" w:firstLineChars="200"/>
        <w:rPr>
          <w:rFonts w:ascii="宋体" w:hAnsi="宋体" w:cs="宋体"/>
          <w:kern w:val="0"/>
          <w:sz w:val="24"/>
          <w:szCs w:val="24"/>
        </w:rPr>
      </w:pPr>
      <w:r>
        <w:rPr>
          <w:rFonts w:ascii="宋体" w:hAnsi="宋体" w:cs="宋体"/>
          <w:kern w:val="0"/>
          <w:sz w:val="24"/>
          <w:szCs w:val="24"/>
        </w:rPr>
        <w:t>3.</w:t>
      </w:r>
      <w:r>
        <w:rPr>
          <w:rFonts w:hint="eastAsia" w:ascii="宋体" w:hAnsi="宋体" w:cs="宋体"/>
          <w:kern w:val="0"/>
          <w:sz w:val="24"/>
          <w:szCs w:val="24"/>
        </w:rPr>
        <w:t>项目专用合同条款可对下列内容进行补充和细化：</w:t>
      </w:r>
    </w:p>
    <w:p w14:paraId="171562CC">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通用合同条款”中明确指出“专用合同条款”可对“通用合同条款”进行修改的内容（在“通用合同条款”中用“应按合同约定”、“应按专用合同条款约定”“除合同另有约定外”、“除专用合同条款另有约定外”、“在专用合同条款中约定”等多种文字形式表达）；</w:t>
      </w:r>
    </w:p>
    <w:p w14:paraId="7785D5D0">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公路工程专用合同条款”中明确指出“项目专用合同条款”可对“公路工程专用合同条款”进行修改的内容（在“公路工程专用合同条款”中用“除项目专用合同条款里有约定外”。“项目专用合同条款可能约定的”，“项目专用合同条款约定的其他情形”等多种文字形式表达）；</w:t>
      </w:r>
    </w:p>
    <w:p w14:paraId="55B04A4A">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）其他需要补充、细化的内容。</w:t>
      </w:r>
    </w:p>
    <w:p w14:paraId="2F2C2C2D">
      <w:pPr>
        <w:widowControl/>
        <w:spacing w:line="440" w:lineRule="exact"/>
        <w:ind w:firstLine="480" w:firstLineChars="200"/>
        <w:jc w:val="left"/>
        <w:rPr>
          <w:rFonts w:ascii="宋体"/>
          <w:kern w:val="0"/>
          <w:sz w:val="24"/>
          <w:szCs w:val="24"/>
        </w:rPr>
      </w:pPr>
    </w:p>
    <w:p w14:paraId="4C4AF819">
      <w:pPr>
        <w:widowControl/>
        <w:spacing w:line="440" w:lineRule="exact"/>
        <w:jc w:val="left"/>
        <w:rPr>
          <w:rFonts w:ascii="黑体" w:hAnsi="宋体" w:eastAsia="黑体"/>
          <w:b/>
          <w:bCs/>
          <w:kern w:val="0"/>
          <w:sz w:val="24"/>
          <w:szCs w:val="24"/>
        </w:rPr>
      </w:pPr>
      <w:r>
        <w:rPr>
          <w:kern w:val="0"/>
          <w:sz w:val="24"/>
          <w:szCs w:val="24"/>
        </w:rPr>
        <w:br w:type="page"/>
      </w:r>
      <w:r>
        <w:rPr>
          <w:rFonts w:hint="eastAsia" w:ascii="宋体" w:hAnsi="宋体" w:cs="宋体"/>
          <w:b/>
          <w:bCs/>
          <w:kern w:val="44"/>
          <w:sz w:val="24"/>
          <w:szCs w:val="24"/>
        </w:rPr>
        <w:t>项目专用条款数据表</w:t>
      </w:r>
    </w:p>
    <w:p w14:paraId="451535D8">
      <w:pPr>
        <w:widowControl/>
        <w:spacing w:line="440" w:lineRule="exact"/>
        <w:jc w:val="left"/>
        <w:rPr>
          <w:rFonts w:hint="eastAsia" w:ascii="宋体" w:hAnsi="宋体" w:cs="宋体"/>
          <w:kern w:val="0"/>
          <w:szCs w:val="21"/>
        </w:rPr>
      </w:pPr>
      <w:r>
        <w:rPr>
          <w:rFonts w:hint="eastAsia" w:ascii="宋体" w:hAnsi="宋体" w:cs="宋体"/>
          <w:kern w:val="0"/>
          <w:sz w:val="24"/>
          <w:szCs w:val="24"/>
        </w:rPr>
        <w:t>说明：本数据表是项目专用合同条款中适用于本项目的信息和数据的归纳与提示，是项目专用合同条款的组成部分。第</w:t>
      </w:r>
      <w:r>
        <w:rPr>
          <w:rFonts w:hint="eastAsia" w:cs="宋体"/>
          <w:kern w:val="0"/>
          <w:sz w:val="24"/>
          <w:szCs w:val="24"/>
          <w:lang w:val="en-US" w:eastAsia="zh-CN"/>
        </w:rPr>
        <w:t>九</w:t>
      </w:r>
      <w:r>
        <w:rPr>
          <w:rFonts w:hint="eastAsia" w:ascii="宋体" w:hAnsi="宋体" w:cs="宋体"/>
          <w:kern w:val="0"/>
          <w:sz w:val="24"/>
          <w:szCs w:val="24"/>
        </w:rPr>
        <w:t>章“</w:t>
      </w:r>
      <w:r>
        <w:rPr>
          <w:rFonts w:hint="eastAsia" w:cs="宋体"/>
          <w:kern w:val="0"/>
          <w:sz w:val="24"/>
          <w:szCs w:val="24"/>
          <w:lang w:val="en-US" w:eastAsia="zh-CN"/>
        </w:rPr>
        <w:t>响应</w:t>
      </w:r>
      <w:r>
        <w:rPr>
          <w:rFonts w:hint="eastAsia" w:ascii="宋体" w:hAnsi="宋体" w:cs="宋体"/>
          <w:kern w:val="0"/>
          <w:sz w:val="24"/>
          <w:szCs w:val="24"/>
        </w:rPr>
        <w:t>文件格式”的</w:t>
      </w:r>
      <w:r>
        <w:rPr>
          <w:rFonts w:hint="eastAsia" w:cs="宋体"/>
          <w:kern w:val="0"/>
          <w:sz w:val="24"/>
          <w:szCs w:val="24"/>
          <w:lang w:val="en-US" w:eastAsia="zh-CN"/>
        </w:rPr>
        <w:t>响应</w:t>
      </w:r>
      <w:r>
        <w:rPr>
          <w:rFonts w:hint="eastAsia" w:ascii="宋体" w:hAnsi="宋体" w:cs="宋体"/>
          <w:kern w:val="0"/>
          <w:sz w:val="24"/>
          <w:szCs w:val="24"/>
        </w:rPr>
        <w:t>函附录中的数据（供投标人确认）与本表所列有重复。编写招标文件的单位应仔细校核，不使数据出现差错或不一致</w:t>
      </w:r>
      <w:r>
        <w:rPr>
          <w:rFonts w:hint="eastAsia" w:ascii="宋体" w:hAnsi="宋体" w:cs="宋体"/>
          <w:kern w:val="0"/>
          <w:szCs w:val="21"/>
        </w:rPr>
        <w:t>。</w:t>
      </w:r>
    </w:p>
    <w:tbl>
      <w:tblPr>
        <w:tblStyle w:val="4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17"/>
        <w:gridCol w:w="1559"/>
        <w:gridCol w:w="6916"/>
      </w:tblGrid>
      <w:tr w14:paraId="4B9D36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79B2F367">
            <w:pPr>
              <w:widowControl/>
              <w:spacing w:line="440" w:lineRule="exact"/>
              <w:jc w:val="center"/>
              <w:rPr>
                <w:rFonts w:hint="eastAsia" w:ascii="宋体" w:hAnsi="宋体" w:cs="宋体"/>
                <w:b/>
                <w:kern w:val="0"/>
                <w:szCs w:val="21"/>
                <w:lang w:eastAsia="en-US"/>
              </w:rPr>
            </w:pPr>
            <w:r>
              <w:rPr>
                <w:rFonts w:hint="eastAsia" w:ascii="宋体" w:hAnsi="宋体" w:cs="宋体"/>
                <w:b/>
                <w:kern w:val="0"/>
                <w:szCs w:val="21"/>
                <w:lang w:eastAsia="en-US"/>
              </w:rPr>
              <w:t>序号</w:t>
            </w:r>
          </w:p>
        </w:tc>
        <w:tc>
          <w:tcPr>
            <w:tcW w:w="1559" w:type="dxa"/>
            <w:noWrap w:val="0"/>
            <w:vAlign w:val="center"/>
          </w:tcPr>
          <w:p w14:paraId="2159934A">
            <w:pPr>
              <w:widowControl/>
              <w:spacing w:line="440" w:lineRule="exact"/>
              <w:jc w:val="center"/>
              <w:rPr>
                <w:rFonts w:hint="eastAsia" w:ascii="宋体" w:hAnsi="宋体" w:cs="宋体"/>
                <w:b/>
                <w:kern w:val="0"/>
                <w:szCs w:val="21"/>
                <w:lang w:eastAsia="en-US"/>
              </w:rPr>
            </w:pPr>
            <w:r>
              <w:rPr>
                <w:rFonts w:hint="eastAsia" w:ascii="宋体" w:hAnsi="宋体" w:cs="宋体"/>
                <w:b/>
                <w:kern w:val="0"/>
                <w:szCs w:val="21"/>
                <w:lang w:eastAsia="en-US"/>
              </w:rPr>
              <w:t>条款号</w:t>
            </w:r>
          </w:p>
        </w:tc>
        <w:tc>
          <w:tcPr>
            <w:tcW w:w="6916" w:type="dxa"/>
            <w:noWrap w:val="0"/>
            <w:vAlign w:val="center"/>
          </w:tcPr>
          <w:p w14:paraId="47CFED65">
            <w:pPr>
              <w:widowControl/>
              <w:spacing w:line="440" w:lineRule="exact"/>
              <w:jc w:val="center"/>
              <w:rPr>
                <w:rFonts w:hint="eastAsia" w:ascii="宋体" w:hAnsi="宋体" w:cs="宋体"/>
                <w:b/>
                <w:kern w:val="0"/>
                <w:szCs w:val="21"/>
                <w:lang w:eastAsia="en-US"/>
              </w:rPr>
            </w:pPr>
            <w:r>
              <w:rPr>
                <w:rFonts w:hint="eastAsia" w:ascii="宋体" w:hAnsi="宋体" w:cs="宋体"/>
                <w:b/>
                <w:kern w:val="0"/>
                <w:szCs w:val="21"/>
                <w:lang w:eastAsia="en-US"/>
              </w:rPr>
              <w:t>信息或数据</w:t>
            </w:r>
          </w:p>
        </w:tc>
      </w:tr>
      <w:tr w14:paraId="62113E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23CD6E4E">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w:t>
            </w:r>
          </w:p>
        </w:tc>
        <w:tc>
          <w:tcPr>
            <w:tcW w:w="1559" w:type="dxa"/>
            <w:noWrap w:val="0"/>
            <w:vAlign w:val="center"/>
          </w:tcPr>
          <w:p w14:paraId="47F5D20B">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1.1.2.2</w:t>
            </w:r>
          </w:p>
        </w:tc>
        <w:tc>
          <w:tcPr>
            <w:tcW w:w="6916" w:type="dxa"/>
            <w:noWrap w:val="0"/>
            <w:vAlign w:val="center"/>
          </w:tcPr>
          <w:p w14:paraId="1EAFE68E">
            <w:pPr>
              <w:widowControl/>
              <w:spacing w:line="440" w:lineRule="exact"/>
              <w:jc w:val="left"/>
              <w:rPr>
                <w:rFonts w:hint="eastAsia" w:ascii="宋体" w:hAnsi="宋体" w:cs="宋体"/>
                <w:kern w:val="0"/>
                <w:szCs w:val="21"/>
              </w:rPr>
            </w:pPr>
            <w:r>
              <w:rPr>
                <w:rFonts w:hint="eastAsia" w:ascii="宋体" w:hAnsi="宋体" w:cs="宋体"/>
                <w:kern w:val="0"/>
                <w:szCs w:val="21"/>
              </w:rPr>
              <w:t>发 包 人：三门峡市公路事业发展中心</w:t>
            </w:r>
          </w:p>
          <w:p w14:paraId="39619E03">
            <w:pPr>
              <w:widowControl/>
              <w:spacing w:line="440" w:lineRule="exact"/>
              <w:jc w:val="left"/>
              <w:rPr>
                <w:rFonts w:hint="eastAsia" w:ascii="宋体" w:hAnsi="宋体" w:cs="宋体"/>
                <w:kern w:val="0"/>
                <w:szCs w:val="21"/>
              </w:rPr>
            </w:pPr>
            <w:r>
              <w:rPr>
                <w:rFonts w:hint="eastAsia" w:ascii="宋体" w:hAnsi="宋体" w:cs="宋体"/>
                <w:kern w:val="0"/>
                <w:szCs w:val="21"/>
              </w:rPr>
              <w:t xml:space="preserve">地    址：三门峡市虢国路东段                       </w:t>
            </w:r>
          </w:p>
        </w:tc>
      </w:tr>
      <w:tr w14:paraId="7DAE9D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2DEE8203">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2</w:t>
            </w:r>
          </w:p>
        </w:tc>
        <w:tc>
          <w:tcPr>
            <w:tcW w:w="1559" w:type="dxa"/>
            <w:noWrap w:val="0"/>
            <w:vAlign w:val="center"/>
          </w:tcPr>
          <w:p w14:paraId="3DDE39E1">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1.1.2.6</w:t>
            </w:r>
          </w:p>
        </w:tc>
        <w:tc>
          <w:tcPr>
            <w:tcW w:w="6916" w:type="dxa"/>
            <w:noWrap w:val="0"/>
            <w:vAlign w:val="center"/>
          </w:tcPr>
          <w:p w14:paraId="236E2857">
            <w:pPr>
              <w:widowControl/>
              <w:spacing w:line="440" w:lineRule="exact"/>
              <w:jc w:val="left"/>
              <w:rPr>
                <w:rFonts w:hint="eastAsia" w:ascii="宋体" w:hAnsi="宋体" w:cs="宋体"/>
                <w:kern w:val="0"/>
                <w:szCs w:val="21"/>
              </w:rPr>
            </w:pPr>
            <w:r>
              <w:rPr>
                <w:rFonts w:hint="eastAsia" w:ascii="宋体" w:hAnsi="宋体" w:cs="宋体"/>
                <w:kern w:val="0"/>
                <w:szCs w:val="21"/>
              </w:rPr>
              <w:t>监 理 人：招标确定</w:t>
            </w:r>
          </w:p>
          <w:p w14:paraId="1B00CBB6">
            <w:pPr>
              <w:widowControl/>
              <w:spacing w:line="440" w:lineRule="exact"/>
              <w:jc w:val="left"/>
              <w:rPr>
                <w:rFonts w:hint="eastAsia" w:ascii="宋体" w:hAnsi="宋体" w:cs="宋体"/>
                <w:kern w:val="0"/>
                <w:szCs w:val="21"/>
              </w:rPr>
            </w:pPr>
            <w:r>
              <w:rPr>
                <w:rFonts w:hint="eastAsia" w:ascii="宋体" w:hAnsi="宋体" w:cs="宋体"/>
                <w:kern w:val="0"/>
                <w:szCs w:val="21"/>
              </w:rPr>
              <w:t xml:space="preserve">地    址：（待定）                   </w:t>
            </w:r>
          </w:p>
        </w:tc>
      </w:tr>
      <w:tr w14:paraId="4C066F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44F2FC66">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3</w:t>
            </w:r>
          </w:p>
        </w:tc>
        <w:tc>
          <w:tcPr>
            <w:tcW w:w="1559" w:type="dxa"/>
            <w:noWrap w:val="0"/>
            <w:vAlign w:val="center"/>
          </w:tcPr>
          <w:p w14:paraId="5E40C4BC">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1.1.4.5</w:t>
            </w:r>
          </w:p>
        </w:tc>
        <w:tc>
          <w:tcPr>
            <w:tcW w:w="6916" w:type="dxa"/>
            <w:noWrap w:val="0"/>
            <w:vAlign w:val="center"/>
          </w:tcPr>
          <w:p w14:paraId="2B1DF3CD">
            <w:pPr>
              <w:widowControl/>
              <w:spacing w:line="440" w:lineRule="exact"/>
              <w:jc w:val="left"/>
              <w:rPr>
                <w:rFonts w:hint="eastAsia" w:ascii="宋体" w:hAnsi="宋体" w:cs="宋体"/>
                <w:kern w:val="0"/>
                <w:szCs w:val="21"/>
              </w:rPr>
            </w:pPr>
            <w:r>
              <w:rPr>
                <w:rFonts w:hint="eastAsia" w:ascii="宋体" w:hAnsi="宋体" w:cs="宋体"/>
                <w:kern w:val="0"/>
                <w:szCs w:val="21"/>
              </w:rPr>
              <w:t>缺陷责任期：自实际交工日期起计算</w:t>
            </w:r>
            <w:r>
              <w:rPr>
                <w:rFonts w:ascii="宋体" w:hAnsi="宋体" w:cs="宋体"/>
                <w:kern w:val="0"/>
                <w:szCs w:val="21"/>
                <w:u w:val="single"/>
              </w:rPr>
              <w:t xml:space="preserve">  1  </w:t>
            </w:r>
            <w:r>
              <w:rPr>
                <w:rFonts w:hint="eastAsia" w:ascii="宋体" w:hAnsi="宋体" w:cs="宋体"/>
                <w:kern w:val="0"/>
                <w:szCs w:val="21"/>
              </w:rPr>
              <w:t>年</w:t>
            </w:r>
          </w:p>
        </w:tc>
      </w:tr>
      <w:tr w14:paraId="47FBA7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27AFE62B">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4</w:t>
            </w:r>
          </w:p>
        </w:tc>
        <w:tc>
          <w:tcPr>
            <w:tcW w:w="1559" w:type="dxa"/>
            <w:noWrap w:val="0"/>
            <w:vAlign w:val="center"/>
          </w:tcPr>
          <w:p w14:paraId="7CBC722E">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1.6.3</w:t>
            </w:r>
          </w:p>
        </w:tc>
        <w:tc>
          <w:tcPr>
            <w:tcW w:w="6916" w:type="dxa"/>
            <w:noWrap w:val="0"/>
            <w:vAlign w:val="center"/>
          </w:tcPr>
          <w:p w14:paraId="1CBFC66E">
            <w:pPr>
              <w:widowControl/>
              <w:spacing w:line="440" w:lineRule="exact"/>
              <w:jc w:val="left"/>
              <w:rPr>
                <w:rFonts w:hint="eastAsia" w:ascii="宋体" w:hAnsi="宋体" w:cs="宋体"/>
                <w:kern w:val="0"/>
                <w:szCs w:val="21"/>
              </w:rPr>
            </w:pPr>
            <w:r>
              <w:rPr>
                <w:rFonts w:hint="eastAsia" w:ascii="宋体" w:hAnsi="宋体" w:cs="宋体"/>
                <w:kern w:val="0"/>
                <w:szCs w:val="21"/>
              </w:rPr>
              <w:t>图纸需要修改和补充的，应由监理人取得发包人同意后，在该项工程或工程相应部位施工前</w:t>
            </w:r>
            <w:r>
              <w:rPr>
                <w:rFonts w:hint="eastAsia" w:ascii="宋体" w:hAnsi="宋体" w:cs="宋体"/>
                <w:kern w:val="0"/>
                <w:szCs w:val="21"/>
                <w:u w:val="single"/>
              </w:rPr>
              <w:t>7</w:t>
            </w:r>
            <w:r>
              <w:rPr>
                <w:rFonts w:hint="eastAsia" w:ascii="宋体" w:hAnsi="宋体" w:cs="宋体"/>
                <w:kern w:val="0"/>
                <w:szCs w:val="21"/>
              </w:rPr>
              <w:t>天签发图纸修改图给承包人</w:t>
            </w:r>
          </w:p>
        </w:tc>
      </w:tr>
      <w:tr w14:paraId="4FB218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24AEDE48">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5</w:t>
            </w:r>
          </w:p>
        </w:tc>
        <w:tc>
          <w:tcPr>
            <w:tcW w:w="1559" w:type="dxa"/>
            <w:noWrap w:val="0"/>
            <w:vAlign w:val="center"/>
          </w:tcPr>
          <w:p w14:paraId="3D5292E1">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3.1.1</w:t>
            </w:r>
          </w:p>
        </w:tc>
        <w:tc>
          <w:tcPr>
            <w:tcW w:w="6916" w:type="dxa"/>
            <w:noWrap w:val="0"/>
            <w:vAlign w:val="center"/>
          </w:tcPr>
          <w:p w14:paraId="15FFB2E6">
            <w:pPr>
              <w:widowControl/>
              <w:spacing w:line="440" w:lineRule="exact"/>
              <w:jc w:val="left"/>
              <w:rPr>
                <w:rFonts w:hint="eastAsia" w:ascii="宋体" w:hAnsi="宋体" w:cs="宋体"/>
                <w:kern w:val="0"/>
                <w:szCs w:val="21"/>
              </w:rPr>
            </w:pPr>
            <w:r>
              <w:rPr>
                <w:rFonts w:hint="eastAsia" w:ascii="宋体" w:hAnsi="宋体" w:cs="宋体"/>
                <w:szCs w:val="21"/>
              </w:rPr>
              <w:t>所有的变更必须得到业主的审核及批准</w:t>
            </w:r>
          </w:p>
        </w:tc>
      </w:tr>
      <w:tr w14:paraId="226F54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394AA4AA">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6</w:t>
            </w:r>
          </w:p>
        </w:tc>
        <w:tc>
          <w:tcPr>
            <w:tcW w:w="1559" w:type="dxa"/>
            <w:noWrap w:val="0"/>
            <w:vAlign w:val="center"/>
          </w:tcPr>
          <w:p w14:paraId="41382132">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5.2.4</w:t>
            </w:r>
          </w:p>
        </w:tc>
        <w:tc>
          <w:tcPr>
            <w:tcW w:w="6916" w:type="dxa"/>
            <w:noWrap w:val="0"/>
            <w:vAlign w:val="center"/>
          </w:tcPr>
          <w:p w14:paraId="230848BB">
            <w:pPr>
              <w:widowControl/>
              <w:spacing w:line="440" w:lineRule="exact"/>
              <w:jc w:val="left"/>
              <w:rPr>
                <w:rFonts w:hint="eastAsia" w:ascii="宋体" w:hAnsi="宋体" w:cs="宋体"/>
                <w:kern w:val="0"/>
                <w:szCs w:val="21"/>
              </w:rPr>
            </w:pPr>
            <w:r>
              <w:rPr>
                <w:rFonts w:hint="eastAsia" w:ascii="宋体" w:hAnsi="宋体" w:cs="宋体"/>
                <w:kern w:val="0"/>
                <w:szCs w:val="21"/>
              </w:rPr>
              <w:t>发包人是否提供材料或工程设备：</w:t>
            </w:r>
            <w:r>
              <w:rPr>
                <w:rFonts w:hint="eastAsia" w:ascii="宋体" w:hAnsi="宋体" w:cs="宋体"/>
                <w:kern w:val="0"/>
                <w:szCs w:val="21"/>
                <w:u w:val="single"/>
              </w:rPr>
              <w:t>否</w:t>
            </w:r>
          </w:p>
        </w:tc>
      </w:tr>
      <w:tr w14:paraId="3874FD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5CCF0C63">
            <w:pPr>
              <w:widowControl/>
              <w:spacing w:line="440" w:lineRule="exact"/>
              <w:jc w:val="center"/>
              <w:rPr>
                <w:rFonts w:hint="eastAsia" w:ascii="宋体" w:hAnsi="宋体" w:cs="宋体"/>
                <w:kern w:val="0"/>
                <w:szCs w:val="21"/>
              </w:rPr>
            </w:pPr>
            <w:r>
              <w:rPr>
                <w:rFonts w:hint="eastAsia" w:ascii="宋体" w:hAnsi="宋体" w:cs="宋体"/>
                <w:kern w:val="0"/>
                <w:szCs w:val="21"/>
              </w:rPr>
              <w:t>7</w:t>
            </w:r>
          </w:p>
        </w:tc>
        <w:tc>
          <w:tcPr>
            <w:tcW w:w="1559" w:type="dxa"/>
            <w:noWrap w:val="0"/>
            <w:vAlign w:val="center"/>
          </w:tcPr>
          <w:p w14:paraId="6D498C09">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11.5</w:t>
            </w:r>
          </w:p>
        </w:tc>
        <w:tc>
          <w:tcPr>
            <w:tcW w:w="6916" w:type="dxa"/>
            <w:noWrap w:val="0"/>
            <w:vAlign w:val="center"/>
          </w:tcPr>
          <w:p w14:paraId="28ABD6B1">
            <w:pPr>
              <w:widowControl/>
              <w:spacing w:line="440" w:lineRule="exact"/>
              <w:jc w:val="left"/>
              <w:rPr>
                <w:rFonts w:hint="eastAsia" w:ascii="宋体" w:hAnsi="宋体" w:cs="宋体"/>
                <w:kern w:val="0"/>
                <w:szCs w:val="21"/>
              </w:rPr>
            </w:pPr>
            <w:r>
              <w:rPr>
                <w:rFonts w:hint="eastAsia" w:ascii="宋体" w:hAnsi="宋体" w:cs="宋体"/>
                <w:kern w:val="0"/>
                <w:szCs w:val="21"/>
              </w:rPr>
              <w:t>逾期交工违约金：</w:t>
            </w:r>
            <w:r>
              <w:rPr>
                <w:rFonts w:hint="eastAsia" w:ascii="宋体" w:hAnsi="宋体" w:cs="宋体"/>
                <w:kern w:val="0"/>
                <w:szCs w:val="21"/>
                <w:u w:val="single"/>
              </w:rPr>
              <w:t>1000</w:t>
            </w:r>
            <w:r>
              <w:rPr>
                <w:rFonts w:hint="eastAsia" w:ascii="宋体" w:hAnsi="宋体" w:cs="宋体"/>
                <w:kern w:val="0"/>
                <w:szCs w:val="21"/>
              </w:rPr>
              <w:t>元/天</w:t>
            </w:r>
          </w:p>
        </w:tc>
      </w:tr>
      <w:tr w14:paraId="1D5E56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545409F1">
            <w:pPr>
              <w:widowControl/>
              <w:spacing w:line="440" w:lineRule="exact"/>
              <w:jc w:val="center"/>
              <w:rPr>
                <w:rFonts w:hint="eastAsia" w:ascii="宋体" w:hAnsi="宋体" w:cs="宋体"/>
                <w:kern w:val="0"/>
                <w:szCs w:val="21"/>
              </w:rPr>
            </w:pPr>
            <w:r>
              <w:rPr>
                <w:rFonts w:hint="eastAsia" w:ascii="宋体" w:hAnsi="宋体" w:cs="宋体"/>
                <w:kern w:val="0"/>
                <w:szCs w:val="21"/>
              </w:rPr>
              <w:t>8</w:t>
            </w:r>
          </w:p>
        </w:tc>
        <w:tc>
          <w:tcPr>
            <w:tcW w:w="1559" w:type="dxa"/>
            <w:noWrap w:val="0"/>
            <w:vAlign w:val="center"/>
          </w:tcPr>
          <w:p w14:paraId="344DC4FD">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11.5</w:t>
            </w:r>
          </w:p>
        </w:tc>
        <w:tc>
          <w:tcPr>
            <w:tcW w:w="6916" w:type="dxa"/>
            <w:noWrap w:val="0"/>
            <w:vAlign w:val="center"/>
          </w:tcPr>
          <w:p w14:paraId="6C3B9296">
            <w:pPr>
              <w:widowControl/>
              <w:spacing w:line="440" w:lineRule="exact"/>
              <w:jc w:val="left"/>
              <w:rPr>
                <w:rFonts w:hint="eastAsia" w:ascii="宋体" w:hAnsi="宋体" w:cs="宋体"/>
                <w:kern w:val="0"/>
                <w:szCs w:val="21"/>
              </w:rPr>
            </w:pPr>
            <w:r>
              <w:rPr>
                <w:rFonts w:hint="eastAsia" w:ascii="宋体" w:hAnsi="宋体" w:cs="宋体"/>
                <w:kern w:val="0"/>
                <w:szCs w:val="21"/>
              </w:rPr>
              <w:t>逾期交工违约金限额：</w:t>
            </w:r>
            <w:r>
              <w:rPr>
                <w:rFonts w:hint="eastAsia" w:ascii="宋体" w:hAnsi="宋体" w:cs="宋体"/>
                <w:kern w:val="0"/>
                <w:szCs w:val="21"/>
                <w:u w:val="single"/>
              </w:rPr>
              <w:t>10</w:t>
            </w:r>
            <w:r>
              <w:rPr>
                <w:rFonts w:hint="eastAsia" w:ascii="宋体" w:hAnsi="宋体" w:cs="宋体"/>
                <w:kern w:val="0"/>
                <w:szCs w:val="21"/>
              </w:rPr>
              <w:t>%签约合同价</w:t>
            </w:r>
          </w:p>
        </w:tc>
      </w:tr>
      <w:tr w14:paraId="36BD3F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3AD4551A">
            <w:pPr>
              <w:widowControl/>
              <w:spacing w:line="440" w:lineRule="exact"/>
              <w:jc w:val="center"/>
              <w:rPr>
                <w:rFonts w:hint="eastAsia" w:ascii="宋体" w:hAnsi="宋体" w:cs="宋体"/>
                <w:kern w:val="0"/>
                <w:szCs w:val="21"/>
              </w:rPr>
            </w:pPr>
            <w:r>
              <w:rPr>
                <w:rFonts w:hint="eastAsia" w:ascii="宋体" w:hAnsi="宋体" w:cs="宋体"/>
                <w:kern w:val="0"/>
                <w:szCs w:val="21"/>
              </w:rPr>
              <w:t>9</w:t>
            </w:r>
          </w:p>
        </w:tc>
        <w:tc>
          <w:tcPr>
            <w:tcW w:w="1559" w:type="dxa"/>
            <w:noWrap w:val="0"/>
            <w:vAlign w:val="center"/>
          </w:tcPr>
          <w:p w14:paraId="2328CBEE">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11.6</w:t>
            </w:r>
          </w:p>
        </w:tc>
        <w:tc>
          <w:tcPr>
            <w:tcW w:w="6916" w:type="dxa"/>
            <w:noWrap w:val="0"/>
            <w:vAlign w:val="center"/>
          </w:tcPr>
          <w:p w14:paraId="0AFEF171">
            <w:pPr>
              <w:widowControl/>
              <w:spacing w:line="440" w:lineRule="exact"/>
              <w:jc w:val="left"/>
              <w:rPr>
                <w:rFonts w:hint="eastAsia" w:ascii="宋体" w:hAnsi="宋体" w:cs="宋体"/>
                <w:kern w:val="0"/>
                <w:szCs w:val="21"/>
              </w:rPr>
            </w:pPr>
            <w:r>
              <w:rPr>
                <w:rFonts w:hint="eastAsia" w:ascii="宋体" w:hAnsi="宋体" w:cs="宋体"/>
                <w:kern w:val="0"/>
                <w:szCs w:val="21"/>
              </w:rPr>
              <w:t>提前交工的奖金：\</w:t>
            </w:r>
          </w:p>
        </w:tc>
      </w:tr>
      <w:tr w14:paraId="4B0AC6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670441CB">
            <w:pPr>
              <w:widowControl/>
              <w:spacing w:line="440" w:lineRule="exact"/>
              <w:jc w:val="center"/>
              <w:rPr>
                <w:rFonts w:hint="eastAsia" w:ascii="宋体" w:hAnsi="宋体" w:cs="宋体"/>
                <w:kern w:val="0"/>
                <w:szCs w:val="21"/>
              </w:rPr>
            </w:pPr>
            <w:r>
              <w:rPr>
                <w:rFonts w:hint="eastAsia" w:ascii="宋体" w:hAnsi="宋体" w:cs="宋体"/>
                <w:kern w:val="0"/>
                <w:szCs w:val="21"/>
              </w:rPr>
              <w:t>10</w:t>
            </w:r>
          </w:p>
        </w:tc>
        <w:tc>
          <w:tcPr>
            <w:tcW w:w="1559" w:type="dxa"/>
            <w:noWrap w:val="0"/>
            <w:vAlign w:val="center"/>
          </w:tcPr>
          <w:p w14:paraId="7E4AABEF">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11.6</w:t>
            </w:r>
          </w:p>
        </w:tc>
        <w:tc>
          <w:tcPr>
            <w:tcW w:w="6916" w:type="dxa"/>
            <w:noWrap w:val="0"/>
            <w:vAlign w:val="center"/>
          </w:tcPr>
          <w:p w14:paraId="2C2B78CB">
            <w:pPr>
              <w:widowControl/>
              <w:spacing w:line="440" w:lineRule="exact"/>
              <w:jc w:val="left"/>
              <w:rPr>
                <w:rFonts w:hint="eastAsia" w:ascii="宋体" w:hAnsi="宋体" w:cs="宋体"/>
                <w:kern w:val="0"/>
                <w:szCs w:val="21"/>
              </w:rPr>
            </w:pPr>
            <w:r>
              <w:rPr>
                <w:rFonts w:hint="eastAsia" w:ascii="宋体" w:hAnsi="宋体" w:cs="宋体"/>
                <w:kern w:val="0"/>
                <w:szCs w:val="21"/>
              </w:rPr>
              <w:t>提前交工的奖金限额：\</w:t>
            </w:r>
          </w:p>
        </w:tc>
      </w:tr>
      <w:tr w14:paraId="33E721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406DA0EB">
            <w:pPr>
              <w:widowControl/>
              <w:spacing w:line="440" w:lineRule="exact"/>
              <w:jc w:val="center"/>
              <w:rPr>
                <w:rFonts w:hint="eastAsia" w:ascii="宋体" w:hAnsi="宋体" w:cs="宋体"/>
                <w:kern w:val="0"/>
                <w:szCs w:val="21"/>
              </w:rPr>
            </w:pPr>
            <w:r>
              <w:rPr>
                <w:rFonts w:hint="eastAsia" w:ascii="宋体" w:hAnsi="宋体" w:cs="宋体"/>
                <w:kern w:val="0"/>
                <w:szCs w:val="21"/>
              </w:rPr>
              <w:t>11</w:t>
            </w:r>
          </w:p>
        </w:tc>
        <w:tc>
          <w:tcPr>
            <w:tcW w:w="1559" w:type="dxa"/>
            <w:noWrap w:val="0"/>
            <w:vAlign w:val="center"/>
          </w:tcPr>
          <w:p w14:paraId="6F2E74AF">
            <w:pPr>
              <w:widowControl/>
              <w:spacing w:line="440" w:lineRule="exact"/>
              <w:jc w:val="center"/>
              <w:rPr>
                <w:rFonts w:hint="eastAsia" w:ascii="宋体" w:hAnsi="宋体" w:cs="宋体"/>
                <w:kern w:val="0"/>
                <w:szCs w:val="21"/>
              </w:rPr>
            </w:pPr>
            <w:r>
              <w:rPr>
                <w:rFonts w:hint="eastAsia" w:ascii="宋体" w:hAnsi="宋体" w:cs="宋体"/>
                <w:kern w:val="0"/>
                <w:szCs w:val="21"/>
              </w:rPr>
              <w:t>15.2.2</w:t>
            </w:r>
          </w:p>
        </w:tc>
        <w:tc>
          <w:tcPr>
            <w:tcW w:w="6916" w:type="dxa"/>
            <w:noWrap w:val="0"/>
            <w:vAlign w:val="center"/>
          </w:tcPr>
          <w:p w14:paraId="2D5C10AA">
            <w:pPr>
              <w:widowControl/>
              <w:spacing w:line="440" w:lineRule="exact"/>
              <w:jc w:val="left"/>
              <w:rPr>
                <w:rFonts w:hint="eastAsia" w:ascii="宋体" w:hAnsi="宋体" w:cs="宋体"/>
                <w:kern w:val="0"/>
                <w:szCs w:val="21"/>
              </w:rPr>
            </w:pPr>
            <w:r>
              <w:rPr>
                <w:rFonts w:hint="eastAsia" w:ascii="宋体" w:hAnsi="宋体" w:cs="宋体"/>
                <w:kern w:val="0"/>
                <w:szCs w:val="21"/>
              </w:rPr>
              <w:t>按招标人制定的管理办法执行</w:t>
            </w:r>
          </w:p>
        </w:tc>
      </w:tr>
      <w:tr w14:paraId="40FA17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150849C3">
            <w:pPr>
              <w:widowControl/>
              <w:spacing w:line="440" w:lineRule="exact"/>
              <w:jc w:val="center"/>
              <w:rPr>
                <w:rFonts w:hint="eastAsia" w:ascii="宋体" w:hAnsi="宋体" w:cs="宋体"/>
                <w:kern w:val="0"/>
                <w:szCs w:val="21"/>
              </w:rPr>
            </w:pPr>
            <w:r>
              <w:rPr>
                <w:rFonts w:hint="eastAsia" w:ascii="宋体" w:hAnsi="宋体" w:cs="宋体"/>
                <w:kern w:val="0"/>
                <w:szCs w:val="21"/>
              </w:rPr>
              <w:t>12</w:t>
            </w:r>
          </w:p>
        </w:tc>
        <w:tc>
          <w:tcPr>
            <w:tcW w:w="1559" w:type="dxa"/>
            <w:noWrap w:val="0"/>
            <w:vAlign w:val="center"/>
          </w:tcPr>
          <w:p w14:paraId="1927203E">
            <w:pPr>
              <w:widowControl/>
              <w:spacing w:line="440" w:lineRule="exact"/>
              <w:jc w:val="center"/>
              <w:rPr>
                <w:rFonts w:hint="eastAsia" w:ascii="宋体" w:hAnsi="宋体" w:cs="宋体"/>
                <w:kern w:val="0"/>
                <w:szCs w:val="21"/>
              </w:rPr>
            </w:pPr>
            <w:r>
              <w:rPr>
                <w:rFonts w:hint="eastAsia" w:ascii="宋体" w:hAnsi="宋体" w:cs="宋体"/>
                <w:kern w:val="0"/>
                <w:szCs w:val="21"/>
              </w:rPr>
              <w:t>16.1</w:t>
            </w:r>
          </w:p>
        </w:tc>
        <w:tc>
          <w:tcPr>
            <w:tcW w:w="6916" w:type="dxa"/>
            <w:noWrap w:val="0"/>
            <w:vAlign w:val="center"/>
          </w:tcPr>
          <w:p w14:paraId="2CE03CC2">
            <w:pPr>
              <w:widowControl/>
              <w:spacing w:line="440" w:lineRule="exact"/>
              <w:jc w:val="left"/>
              <w:rPr>
                <w:rFonts w:hint="eastAsia" w:ascii="宋体" w:hAnsi="宋体" w:cs="宋体"/>
                <w:kern w:val="0"/>
                <w:szCs w:val="21"/>
              </w:rPr>
            </w:pPr>
            <w:r>
              <w:rPr>
                <w:rFonts w:hint="eastAsia" w:ascii="宋体" w:hAnsi="宋体" w:cs="宋体"/>
                <w:szCs w:val="21"/>
              </w:rPr>
              <w:t>因物价波动引起的价格调整合同期内不调价</w:t>
            </w:r>
          </w:p>
        </w:tc>
      </w:tr>
      <w:tr w14:paraId="0497B6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43AB46C7">
            <w:pPr>
              <w:widowControl/>
              <w:spacing w:line="440" w:lineRule="exact"/>
              <w:jc w:val="center"/>
              <w:rPr>
                <w:rFonts w:hint="eastAsia" w:ascii="宋体" w:hAnsi="宋体" w:cs="宋体"/>
                <w:kern w:val="0"/>
                <w:szCs w:val="21"/>
              </w:rPr>
            </w:pPr>
            <w:r>
              <w:rPr>
                <w:rFonts w:hint="eastAsia" w:ascii="宋体" w:hAnsi="宋体" w:cs="宋体"/>
                <w:kern w:val="0"/>
                <w:szCs w:val="21"/>
              </w:rPr>
              <w:t>13</w:t>
            </w:r>
          </w:p>
        </w:tc>
        <w:tc>
          <w:tcPr>
            <w:tcW w:w="1559" w:type="dxa"/>
            <w:noWrap w:val="0"/>
            <w:vAlign w:val="center"/>
          </w:tcPr>
          <w:p w14:paraId="71C2A466">
            <w:pPr>
              <w:widowControl/>
              <w:spacing w:line="440" w:lineRule="exact"/>
              <w:jc w:val="center"/>
              <w:rPr>
                <w:rFonts w:hint="eastAsia" w:ascii="宋体" w:hAnsi="宋体" w:cs="宋体"/>
                <w:kern w:val="0"/>
                <w:szCs w:val="21"/>
              </w:rPr>
            </w:pPr>
            <w:r>
              <w:rPr>
                <w:rFonts w:hint="eastAsia" w:ascii="宋体" w:hAnsi="宋体" w:cs="宋体"/>
                <w:kern w:val="0"/>
                <w:szCs w:val="21"/>
              </w:rPr>
              <w:t>17.2.1</w:t>
            </w:r>
          </w:p>
        </w:tc>
        <w:tc>
          <w:tcPr>
            <w:tcW w:w="6916" w:type="dxa"/>
            <w:noWrap w:val="0"/>
            <w:vAlign w:val="center"/>
          </w:tcPr>
          <w:p w14:paraId="550C2512">
            <w:pPr>
              <w:widowControl/>
              <w:spacing w:line="440" w:lineRule="exact"/>
              <w:jc w:val="left"/>
              <w:rPr>
                <w:rFonts w:hint="eastAsia" w:ascii="宋体" w:hAnsi="宋体" w:cs="宋体"/>
                <w:kern w:val="0"/>
                <w:szCs w:val="21"/>
              </w:rPr>
            </w:pPr>
            <w:r>
              <w:rPr>
                <w:rFonts w:hint="eastAsia" w:ascii="宋体" w:hAnsi="宋体" w:cs="宋体"/>
                <w:kern w:val="0"/>
                <w:szCs w:val="21"/>
              </w:rPr>
              <w:t>开工预付款金额：\</w:t>
            </w:r>
          </w:p>
        </w:tc>
      </w:tr>
      <w:tr w14:paraId="559F49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0663A262">
            <w:pPr>
              <w:widowControl/>
              <w:spacing w:line="440" w:lineRule="exact"/>
              <w:jc w:val="center"/>
              <w:rPr>
                <w:rFonts w:hint="eastAsia" w:ascii="宋体" w:hAnsi="宋体" w:cs="宋体"/>
                <w:kern w:val="0"/>
                <w:szCs w:val="21"/>
              </w:rPr>
            </w:pPr>
            <w:r>
              <w:rPr>
                <w:rFonts w:hint="eastAsia" w:ascii="宋体" w:hAnsi="宋体" w:cs="宋体"/>
                <w:kern w:val="0"/>
                <w:szCs w:val="21"/>
              </w:rPr>
              <w:t>14</w:t>
            </w:r>
          </w:p>
        </w:tc>
        <w:tc>
          <w:tcPr>
            <w:tcW w:w="1559" w:type="dxa"/>
            <w:noWrap w:val="0"/>
            <w:vAlign w:val="center"/>
          </w:tcPr>
          <w:p w14:paraId="376F58C1">
            <w:pPr>
              <w:widowControl/>
              <w:spacing w:line="440" w:lineRule="exact"/>
              <w:jc w:val="center"/>
              <w:rPr>
                <w:rFonts w:hint="eastAsia" w:ascii="宋体" w:hAnsi="宋体" w:cs="宋体"/>
                <w:kern w:val="0"/>
                <w:szCs w:val="21"/>
              </w:rPr>
            </w:pPr>
            <w:r>
              <w:rPr>
                <w:rFonts w:hint="eastAsia" w:ascii="宋体" w:hAnsi="宋体" w:cs="宋体"/>
                <w:kern w:val="0"/>
                <w:szCs w:val="21"/>
                <w:lang w:eastAsia="en-US"/>
              </w:rPr>
              <w:t>17.2.1</w:t>
            </w:r>
          </w:p>
        </w:tc>
        <w:tc>
          <w:tcPr>
            <w:tcW w:w="6916" w:type="dxa"/>
            <w:noWrap w:val="0"/>
            <w:vAlign w:val="center"/>
          </w:tcPr>
          <w:p w14:paraId="55E03FED">
            <w:pPr>
              <w:widowControl/>
              <w:spacing w:line="440" w:lineRule="exact"/>
              <w:jc w:val="left"/>
              <w:rPr>
                <w:rFonts w:hint="eastAsia" w:ascii="宋体" w:hAnsi="宋体" w:cs="宋体"/>
                <w:kern w:val="0"/>
                <w:szCs w:val="21"/>
              </w:rPr>
            </w:pPr>
            <w:r>
              <w:rPr>
                <w:rFonts w:hint="eastAsia" w:ascii="宋体" w:hAnsi="宋体" w:cs="宋体"/>
                <w:kern w:val="0"/>
                <w:szCs w:val="21"/>
              </w:rPr>
              <w:t>材料、设备预付款比例：\</w:t>
            </w:r>
          </w:p>
        </w:tc>
      </w:tr>
      <w:tr w14:paraId="589C68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75B297AB">
            <w:pPr>
              <w:widowControl/>
              <w:spacing w:line="440" w:lineRule="exact"/>
              <w:jc w:val="center"/>
              <w:rPr>
                <w:rFonts w:hint="eastAsia" w:ascii="宋体" w:hAnsi="宋体" w:cs="宋体"/>
                <w:kern w:val="0"/>
                <w:szCs w:val="21"/>
              </w:rPr>
            </w:pPr>
            <w:r>
              <w:rPr>
                <w:rFonts w:hint="eastAsia" w:ascii="宋体" w:hAnsi="宋体" w:cs="宋体"/>
                <w:kern w:val="0"/>
                <w:szCs w:val="21"/>
                <w:lang w:eastAsia="en-US"/>
              </w:rPr>
              <w:t>1</w:t>
            </w:r>
            <w:r>
              <w:rPr>
                <w:rFonts w:hint="eastAsia" w:ascii="宋体" w:hAnsi="宋体" w:cs="宋体"/>
                <w:kern w:val="0"/>
                <w:szCs w:val="21"/>
              </w:rPr>
              <w:t>5</w:t>
            </w:r>
          </w:p>
        </w:tc>
        <w:tc>
          <w:tcPr>
            <w:tcW w:w="1559" w:type="dxa"/>
            <w:noWrap w:val="0"/>
            <w:vAlign w:val="center"/>
          </w:tcPr>
          <w:p w14:paraId="1D198EBB">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17.3.2</w:t>
            </w:r>
          </w:p>
        </w:tc>
        <w:tc>
          <w:tcPr>
            <w:tcW w:w="6916" w:type="dxa"/>
            <w:noWrap w:val="0"/>
            <w:vAlign w:val="center"/>
          </w:tcPr>
          <w:p w14:paraId="50D5A6DA">
            <w:pPr>
              <w:widowControl/>
              <w:spacing w:line="440" w:lineRule="exact"/>
              <w:jc w:val="left"/>
              <w:rPr>
                <w:rFonts w:hint="eastAsia" w:ascii="宋体" w:hAnsi="宋体" w:cs="宋体"/>
                <w:kern w:val="0"/>
                <w:szCs w:val="21"/>
              </w:rPr>
            </w:pPr>
            <w:r>
              <w:rPr>
                <w:rFonts w:hint="eastAsia" w:ascii="宋体" w:hAnsi="宋体" w:cs="宋体"/>
                <w:kern w:val="0"/>
                <w:szCs w:val="21"/>
              </w:rPr>
              <w:t>承包人在每个付款周期末向监理人提交进度付款申请单的份数：</w:t>
            </w:r>
            <w:r>
              <w:rPr>
                <w:rFonts w:hint="eastAsia" w:ascii="宋体" w:hAnsi="宋体" w:cs="宋体"/>
                <w:kern w:val="0"/>
                <w:szCs w:val="21"/>
                <w:u w:val="single"/>
              </w:rPr>
              <w:t>5</w:t>
            </w:r>
            <w:r>
              <w:rPr>
                <w:rFonts w:hint="eastAsia" w:ascii="宋体" w:hAnsi="宋体" w:cs="宋体"/>
                <w:kern w:val="0"/>
                <w:szCs w:val="21"/>
              </w:rPr>
              <w:t>份</w:t>
            </w:r>
          </w:p>
        </w:tc>
      </w:tr>
      <w:tr w14:paraId="4DE875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50717FFE">
            <w:pPr>
              <w:widowControl/>
              <w:spacing w:line="440" w:lineRule="exact"/>
              <w:jc w:val="center"/>
              <w:rPr>
                <w:rFonts w:hint="eastAsia" w:ascii="宋体" w:hAnsi="宋体" w:cs="宋体"/>
                <w:kern w:val="0"/>
                <w:szCs w:val="21"/>
              </w:rPr>
            </w:pPr>
            <w:r>
              <w:rPr>
                <w:rFonts w:hint="eastAsia" w:ascii="宋体" w:hAnsi="宋体" w:cs="宋体"/>
                <w:kern w:val="0"/>
                <w:szCs w:val="21"/>
              </w:rPr>
              <w:t>16</w:t>
            </w:r>
          </w:p>
        </w:tc>
        <w:tc>
          <w:tcPr>
            <w:tcW w:w="1559" w:type="dxa"/>
            <w:noWrap w:val="0"/>
            <w:vAlign w:val="center"/>
          </w:tcPr>
          <w:p w14:paraId="4B4BBC5C">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17.3.3（1）</w:t>
            </w:r>
          </w:p>
        </w:tc>
        <w:tc>
          <w:tcPr>
            <w:tcW w:w="6916" w:type="dxa"/>
            <w:noWrap w:val="0"/>
            <w:vAlign w:val="center"/>
          </w:tcPr>
          <w:p w14:paraId="4A13BB06">
            <w:pPr>
              <w:widowControl/>
              <w:spacing w:line="440" w:lineRule="exact"/>
              <w:jc w:val="left"/>
              <w:rPr>
                <w:rFonts w:hint="eastAsia" w:ascii="宋体" w:hAnsi="宋体" w:cs="宋体"/>
                <w:kern w:val="0"/>
                <w:szCs w:val="21"/>
              </w:rPr>
            </w:pPr>
            <w:r>
              <w:rPr>
                <w:rFonts w:hint="eastAsia" w:ascii="宋体" w:hAnsi="宋体" w:cs="宋体"/>
                <w:szCs w:val="21"/>
              </w:rPr>
              <w:t>签约合同价的</w:t>
            </w:r>
            <w:r>
              <w:rPr>
                <w:rFonts w:hint="eastAsia" w:ascii="宋体" w:hAnsi="宋体" w:cs="宋体"/>
                <w:szCs w:val="21"/>
                <w:u w:val="single"/>
              </w:rPr>
              <w:t>0.2%</w:t>
            </w:r>
          </w:p>
        </w:tc>
      </w:tr>
      <w:tr w14:paraId="37B5C7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6C5B69FD">
            <w:pPr>
              <w:widowControl/>
              <w:spacing w:line="440" w:lineRule="exact"/>
              <w:jc w:val="center"/>
              <w:rPr>
                <w:rFonts w:hint="eastAsia" w:ascii="宋体" w:hAnsi="宋体" w:cs="宋体"/>
                <w:kern w:val="0"/>
                <w:szCs w:val="21"/>
              </w:rPr>
            </w:pPr>
            <w:r>
              <w:rPr>
                <w:rFonts w:hint="eastAsia" w:ascii="宋体" w:hAnsi="宋体" w:cs="宋体"/>
                <w:kern w:val="0"/>
                <w:szCs w:val="21"/>
                <w:lang w:eastAsia="en-US"/>
              </w:rPr>
              <w:t>1</w:t>
            </w:r>
            <w:r>
              <w:rPr>
                <w:rFonts w:hint="eastAsia" w:ascii="宋体" w:hAnsi="宋体" w:cs="宋体"/>
                <w:kern w:val="0"/>
                <w:szCs w:val="21"/>
              </w:rPr>
              <w:t>7</w:t>
            </w:r>
          </w:p>
        </w:tc>
        <w:tc>
          <w:tcPr>
            <w:tcW w:w="1559" w:type="dxa"/>
            <w:noWrap w:val="0"/>
            <w:vAlign w:val="center"/>
          </w:tcPr>
          <w:p w14:paraId="60FC3C19">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17.3.3（2）</w:t>
            </w:r>
          </w:p>
        </w:tc>
        <w:tc>
          <w:tcPr>
            <w:tcW w:w="6916" w:type="dxa"/>
            <w:noWrap w:val="0"/>
            <w:vAlign w:val="center"/>
          </w:tcPr>
          <w:p w14:paraId="74FBD95E">
            <w:pPr>
              <w:widowControl/>
              <w:spacing w:line="440" w:lineRule="exact"/>
              <w:jc w:val="left"/>
              <w:rPr>
                <w:rFonts w:hint="eastAsia" w:ascii="宋体" w:hAnsi="宋体" w:cs="宋体"/>
                <w:kern w:val="0"/>
                <w:szCs w:val="21"/>
              </w:rPr>
            </w:pPr>
            <w:r>
              <w:rPr>
                <w:rFonts w:hint="eastAsia" w:ascii="宋体" w:hAnsi="宋体" w:cs="宋体"/>
                <w:kern w:val="0"/>
                <w:szCs w:val="21"/>
              </w:rPr>
              <w:t>逾期付款违约金的利率：\</w:t>
            </w:r>
          </w:p>
        </w:tc>
      </w:tr>
      <w:tr w14:paraId="0D73C2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17E47582">
            <w:pPr>
              <w:widowControl/>
              <w:spacing w:line="440" w:lineRule="exact"/>
              <w:jc w:val="center"/>
              <w:rPr>
                <w:rFonts w:hint="eastAsia" w:ascii="宋体" w:hAnsi="宋体" w:cs="宋体"/>
                <w:kern w:val="0"/>
                <w:szCs w:val="21"/>
              </w:rPr>
            </w:pPr>
            <w:r>
              <w:rPr>
                <w:rFonts w:hint="eastAsia" w:ascii="宋体" w:hAnsi="宋体" w:cs="宋体"/>
                <w:kern w:val="0"/>
                <w:szCs w:val="21"/>
              </w:rPr>
              <w:t>18</w:t>
            </w:r>
          </w:p>
        </w:tc>
        <w:tc>
          <w:tcPr>
            <w:tcW w:w="1559" w:type="dxa"/>
            <w:noWrap w:val="0"/>
            <w:vAlign w:val="center"/>
          </w:tcPr>
          <w:p w14:paraId="5D490376">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17.4.1</w:t>
            </w:r>
          </w:p>
        </w:tc>
        <w:tc>
          <w:tcPr>
            <w:tcW w:w="6916" w:type="dxa"/>
            <w:noWrap w:val="0"/>
            <w:vAlign w:val="center"/>
          </w:tcPr>
          <w:p w14:paraId="7DA3E1E2">
            <w:pPr>
              <w:widowControl/>
              <w:spacing w:line="440" w:lineRule="exact"/>
              <w:jc w:val="left"/>
              <w:rPr>
                <w:rFonts w:hint="eastAsia" w:ascii="宋体" w:hAnsi="宋体" w:cs="宋体"/>
                <w:kern w:val="0"/>
                <w:szCs w:val="21"/>
              </w:rPr>
            </w:pPr>
            <w:r>
              <w:rPr>
                <w:rFonts w:hint="eastAsia" w:ascii="宋体" w:hAnsi="宋体" w:cs="宋体"/>
                <w:kern w:val="0"/>
                <w:szCs w:val="21"/>
              </w:rPr>
              <w:t>质量保证金百分比：月支付额的</w:t>
            </w:r>
            <w:r>
              <w:rPr>
                <w:rFonts w:hint="eastAsia" w:ascii="宋体" w:hAnsi="宋体" w:cs="宋体"/>
                <w:kern w:val="0"/>
                <w:szCs w:val="21"/>
                <w:u w:val="single"/>
              </w:rPr>
              <w:t xml:space="preserve">10 </w:t>
            </w:r>
            <w:r>
              <w:rPr>
                <w:rFonts w:hint="eastAsia" w:ascii="宋体" w:hAnsi="宋体" w:cs="宋体"/>
                <w:kern w:val="0"/>
                <w:szCs w:val="21"/>
              </w:rPr>
              <w:t>%</w:t>
            </w:r>
          </w:p>
        </w:tc>
      </w:tr>
      <w:tr w14:paraId="51AD2C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57778F83">
            <w:pPr>
              <w:widowControl/>
              <w:spacing w:line="440" w:lineRule="exact"/>
              <w:jc w:val="center"/>
              <w:rPr>
                <w:rFonts w:hint="eastAsia" w:ascii="宋体" w:hAnsi="宋体" w:cs="宋体"/>
                <w:kern w:val="0"/>
                <w:szCs w:val="21"/>
              </w:rPr>
            </w:pPr>
            <w:r>
              <w:rPr>
                <w:rFonts w:hint="eastAsia" w:ascii="宋体" w:hAnsi="宋体" w:cs="宋体"/>
                <w:kern w:val="0"/>
                <w:szCs w:val="21"/>
              </w:rPr>
              <w:t>19</w:t>
            </w:r>
          </w:p>
        </w:tc>
        <w:tc>
          <w:tcPr>
            <w:tcW w:w="1559" w:type="dxa"/>
            <w:noWrap w:val="0"/>
            <w:vAlign w:val="center"/>
          </w:tcPr>
          <w:p w14:paraId="46029BBD">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17.4.1</w:t>
            </w:r>
          </w:p>
        </w:tc>
        <w:tc>
          <w:tcPr>
            <w:tcW w:w="6916" w:type="dxa"/>
            <w:noWrap w:val="0"/>
            <w:vAlign w:val="center"/>
          </w:tcPr>
          <w:p w14:paraId="66D4F167">
            <w:pPr>
              <w:widowControl/>
              <w:spacing w:line="440" w:lineRule="exact"/>
              <w:jc w:val="left"/>
              <w:rPr>
                <w:rFonts w:hint="eastAsia" w:ascii="宋体" w:hAnsi="宋体" w:cs="宋体"/>
                <w:kern w:val="0"/>
                <w:szCs w:val="21"/>
              </w:rPr>
            </w:pPr>
            <w:r>
              <w:rPr>
                <w:rFonts w:hint="eastAsia" w:ascii="宋体" w:hAnsi="宋体" w:cs="宋体"/>
                <w:kern w:val="0"/>
                <w:szCs w:val="21"/>
              </w:rPr>
              <w:t>质量保证金限额：</w:t>
            </w:r>
            <w:r>
              <w:rPr>
                <w:rFonts w:hint="eastAsia" w:ascii="宋体" w:hAnsi="宋体" w:cs="宋体"/>
                <w:szCs w:val="21"/>
              </w:rPr>
              <w:t>合同价格的3%。</w:t>
            </w:r>
          </w:p>
        </w:tc>
      </w:tr>
      <w:tr w14:paraId="18EF38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21D4CFF8">
            <w:pPr>
              <w:widowControl/>
              <w:spacing w:line="440" w:lineRule="exact"/>
              <w:jc w:val="center"/>
              <w:rPr>
                <w:rFonts w:hint="eastAsia" w:ascii="宋体" w:hAnsi="宋体" w:cs="宋体"/>
                <w:kern w:val="0"/>
                <w:szCs w:val="21"/>
              </w:rPr>
            </w:pPr>
            <w:r>
              <w:rPr>
                <w:rFonts w:hint="eastAsia" w:ascii="宋体" w:hAnsi="宋体" w:cs="宋体"/>
                <w:kern w:val="0"/>
                <w:szCs w:val="21"/>
                <w:lang w:eastAsia="en-US"/>
              </w:rPr>
              <w:t>2</w:t>
            </w:r>
            <w:r>
              <w:rPr>
                <w:rFonts w:hint="eastAsia" w:ascii="宋体" w:hAnsi="宋体" w:cs="宋体"/>
                <w:kern w:val="0"/>
                <w:szCs w:val="21"/>
              </w:rPr>
              <w:t>0</w:t>
            </w:r>
          </w:p>
        </w:tc>
        <w:tc>
          <w:tcPr>
            <w:tcW w:w="1559" w:type="dxa"/>
            <w:noWrap w:val="0"/>
            <w:vAlign w:val="center"/>
          </w:tcPr>
          <w:p w14:paraId="1753DD86">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17.5.1</w:t>
            </w:r>
          </w:p>
        </w:tc>
        <w:tc>
          <w:tcPr>
            <w:tcW w:w="6916" w:type="dxa"/>
            <w:noWrap w:val="0"/>
            <w:vAlign w:val="center"/>
          </w:tcPr>
          <w:p w14:paraId="69090D6F">
            <w:pPr>
              <w:widowControl/>
              <w:spacing w:line="440" w:lineRule="exact"/>
              <w:jc w:val="left"/>
              <w:rPr>
                <w:rFonts w:hint="eastAsia" w:ascii="宋体" w:hAnsi="宋体" w:cs="宋体"/>
                <w:kern w:val="0"/>
                <w:szCs w:val="21"/>
              </w:rPr>
            </w:pPr>
            <w:r>
              <w:rPr>
                <w:rFonts w:hint="eastAsia" w:ascii="宋体" w:hAnsi="宋体" w:cs="宋体"/>
                <w:kern w:val="0"/>
                <w:szCs w:val="21"/>
              </w:rPr>
              <w:t>承包人向监理人提交交工付款申请单（包括相关证明材料）的份数：</w:t>
            </w:r>
            <w:r>
              <w:rPr>
                <w:rFonts w:hint="eastAsia" w:ascii="宋体" w:hAnsi="宋体" w:cs="宋体"/>
                <w:kern w:val="0"/>
                <w:szCs w:val="21"/>
                <w:u w:val="single"/>
              </w:rPr>
              <w:t>5</w:t>
            </w:r>
            <w:r>
              <w:rPr>
                <w:rFonts w:hint="eastAsia" w:ascii="宋体" w:hAnsi="宋体" w:cs="宋体"/>
                <w:kern w:val="0"/>
                <w:szCs w:val="21"/>
              </w:rPr>
              <w:t>份</w:t>
            </w:r>
          </w:p>
        </w:tc>
      </w:tr>
      <w:tr w14:paraId="07CCDA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6C354339">
            <w:pPr>
              <w:widowControl/>
              <w:spacing w:line="440" w:lineRule="exact"/>
              <w:jc w:val="center"/>
              <w:rPr>
                <w:rFonts w:hint="eastAsia" w:ascii="宋体" w:hAnsi="宋体" w:cs="宋体"/>
                <w:kern w:val="0"/>
                <w:szCs w:val="21"/>
              </w:rPr>
            </w:pPr>
            <w:r>
              <w:rPr>
                <w:rFonts w:hint="eastAsia" w:ascii="宋体" w:hAnsi="宋体" w:cs="宋体"/>
                <w:kern w:val="0"/>
                <w:szCs w:val="21"/>
                <w:lang w:eastAsia="en-US"/>
              </w:rPr>
              <w:t>2</w:t>
            </w:r>
            <w:r>
              <w:rPr>
                <w:rFonts w:hint="eastAsia" w:ascii="宋体" w:hAnsi="宋体" w:cs="宋体"/>
                <w:kern w:val="0"/>
                <w:szCs w:val="21"/>
              </w:rPr>
              <w:t>1</w:t>
            </w:r>
          </w:p>
        </w:tc>
        <w:tc>
          <w:tcPr>
            <w:tcW w:w="1559" w:type="dxa"/>
            <w:noWrap w:val="0"/>
            <w:vAlign w:val="center"/>
          </w:tcPr>
          <w:p w14:paraId="56D93C05">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17.6.1</w:t>
            </w:r>
          </w:p>
        </w:tc>
        <w:tc>
          <w:tcPr>
            <w:tcW w:w="6916" w:type="dxa"/>
            <w:noWrap w:val="0"/>
            <w:vAlign w:val="center"/>
          </w:tcPr>
          <w:p w14:paraId="07AB83EA">
            <w:pPr>
              <w:widowControl/>
              <w:spacing w:line="440" w:lineRule="exact"/>
              <w:jc w:val="left"/>
              <w:rPr>
                <w:rFonts w:hint="eastAsia" w:ascii="宋体" w:hAnsi="宋体" w:cs="宋体"/>
                <w:kern w:val="0"/>
                <w:szCs w:val="21"/>
              </w:rPr>
            </w:pPr>
            <w:r>
              <w:rPr>
                <w:rFonts w:hint="eastAsia" w:ascii="宋体" w:hAnsi="宋体" w:cs="宋体"/>
                <w:kern w:val="0"/>
                <w:szCs w:val="21"/>
              </w:rPr>
              <w:t>承包人向监理人提交最终结清申请单（包括相关证明材料）的份数：</w:t>
            </w:r>
            <w:r>
              <w:rPr>
                <w:rFonts w:hint="eastAsia" w:ascii="宋体" w:hAnsi="宋体" w:cs="宋体"/>
                <w:kern w:val="0"/>
                <w:szCs w:val="21"/>
                <w:u w:val="single"/>
              </w:rPr>
              <w:t>5</w:t>
            </w:r>
            <w:r>
              <w:rPr>
                <w:rFonts w:hint="eastAsia" w:ascii="宋体" w:hAnsi="宋体" w:cs="宋体"/>
                <w:kern w:val="0"/>
                <w:szCs w:val="21"/>
              </w:rPr>
              <w:t>份</w:t>
            </w:r>
          </w:p>
        </w:tc>
      </w:tr>
      <w:tr w14:paraId="49F1C7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38F6689A">
            <w:pPr>
              <w:widowControl/>
              <w:spacing w:line="440" w:lineRule="exact"/>
              <w:jc w:val="center"/>
              <w:rPr>
                <w:rFonts w:hint="eastAsia" w:ascii="宋体" w:hAnsi="宋体" w:cs="宋体"/>
                <w:kern w:val="0"/>
                <w:szCs w:val="21"/>
              </w:rPr>
            </w:pPr>
            <w:r>
              <w:rPr>
                <w:rFonts w:hint="eastAsia" w:ascii="宋体" w:hAnsi="宋体" w:cs="宋体"/>
                <w:kern w:val="0"/>
                <w:szCs w:val="21"/>
                <w:lang w:eastAsia="en-US"/>
              </w:rPr>
              <w:t>2</w:t>
            </w:r>
            <w:r>
              <w:rPr>
                <w:rFonts w:hint="eastAsia" w:ascii="宋体" w:hAnsi="宋体" w:cs="宋体"/>
                <w:kern w:val="0"/>
                <w:szCs w:val="21"/>
              </w:rPr>
              <w:t>2</w:t>
            </w:r>
          </w:p>
        </w:tc>
        <w:tc>
          <w:tcPr>
            <w:tcW w:w="1559" w:type="dxa"/>
            <w:noWrap w:val="0"/>
            <w:vAlign w:val="center"/>
          </w:tcPr>
          <w:p w14:paraId="6025D8E9">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18.2</w:t>
            </w:r>
          </w:p>
        </w:tc>
        <w:tc>
          <w:tcPr>
            <w:tcW w:w="6916" w:type="dxa"/>
            <w:noWrap w:val="0"/>
            <w:vAlign w:val="center"/>
          </w:tcPr>
          <w:p w14:paraId="7D75A98A">
            <w:pPr>
              <w:widowControl/>
              <w:spacing w:line="440" w:lineRule="exact"/>
              <w:jc w:val="left"/>
              <w:rPr>
                <w:rFonts w:hint="eastAsia" w:ascii="宋体" w:hAnsi="宋体" w:cs="宋体"/>
                <w:kern w:val="0"/>
                <w:szCs w:val="21"/>
                <w:lang w:eastAsia="en-US"/>
              </w:rPr>
            </w:pPr>
            <w:r>
              <w:rPr>
                <w:rFonts w:hint="eastAsia" w:ascii="宋体" w:hAnsi="宋体" w:cs="宋体"/>
                <w:kern w:val="0"/>
                <w:szCs w:val="21"/>
                <w:lang w:eastAsia="en-US"/>
              </w:rPr>
              <w:t>竣工资料的份数：</w:t>
            </w:r>
            <w:r>
              <w:rPr>
                <w:rFonts w:hint="eastAsia" w:ascii="宋体" w:hAnsi="宋体" w:cs="宋体"/>
                <w:kern w:val="0"/>
                <w:szCs w:val="21"/>
                <w:u w:val="single"/>
              </w:rPr>
              <w:t>5</w:t>
            </w:r>
            <w:r>
              <w:rPr>
                <w:rFonts w:hint="eastAsia" w:ascii="宋体" w:hAnsi="宋体" w:cs="宋体"/>
                <w:kern w:val="0"/>
                <w:szCs w:val="21"/>
                <w:lang w:eastAsia="en-US"/>
              </w:rPr>
              <w:t>份</w:t>
            </w:r>
          </w:p>
        </w:tc>
      </w:tr>
      <w:tr w14:paraId="3584D4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53726BF4">
            <w:pPr>
              <w:widowControl/>
              <w:spacing w:line="440" w:lineRule="exact"/>
              <w:jc w:val="center"/>
              <w:rPr>
                <w:rFonts w:hint="eastAsia" w:ascii="宋体" w:hAnsi="宋体" w:cs="宋体"/>
                <w:kern w:val="0"/>
                <w:szCs w:val="21"/>
              </w:rPr>
            </w:pPr>
            <w:r>
              <w:rPr>
                <w:rFonts w:hint="eastAsia" w:ascii="宋体" w:hAnsi="宋体" w:cs="宋体"/>
                <w:kern w:val="0"/>
                <w:szCs w:val="21"/>
                <w:lang w:eastAsia="en-US"/>
              </w:rPr>
              <w:t>2</w:t>
            </w:r>
            <w:r>
              <w:rPr>
                <w:rFonts w:hint="eastAsia" w:ascii="宋体" w:hAnsi="宋体" w:cs="宋体"/>
                <w:kern w:val="0"/>
                <w:szCs w:val="21"/>
              </w:rPr>
              <w:t>3</w:t>
            </w:r>
          </w:p>
        </w:tc>
        <w:tc>
          <w:tcPr>
            <w:tcW w:w="1559" w:type="dxa"/>
            <w:noWrap w:val="0"/>
            <w:vAlign w:val="center"/>
          </w:tcPr>
          <w:p w14:paraId="20042E57">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19.7</w:t>
            </w:r>
          </w:p>
        </w:tc>
        <w:tc>
          <w:tcPr>
            <w:tcW w:w="6916" w:type="dxa"/>
            <w:noWrap w:val="0"/>
            <w:vAlign w:val="center"/>
          </w:tcPr>
          <w:p w14:paraId="330426E3">
            <w:pPr>
              <w:widowControl/>
              <w:spacing w:line="440" w:lineRule="exact"/>
              <w:jc w:val="left"/>
              <w:rPr>
                <w:rFonts w:hint="eastAsia" w:ascii="宋体" w:hAnsi="宋体" w:cs="宋体"/>
                <w:kern w:val="0"/>
                <w:szCs w:val="21"/>
              </w:rPr>
            </w:pPr>
            <w:r>
              <w:rPr>
                <w:rFonts w:hint="eastAsia" w:ascii="宋体" w:hAnsi="宋体" w:cs="宋体"/>
                <w:kern w:val="0"/>
                <w:szCs w:val="21"/>
              </w:rPr>
              <w:t>保修期：自实际交工日期起计算</w:t>
            </w:r>
            <w:r>
              <w:rPr>
                <w:rFonts w:hint="eastAsia" w:ascii="宋体" w:hAnsi="宋体" w:cs="宋体"/>
                <w:kern w:val="0"/>
                <w:szCs w:val="21"/>
                <w:u w:val="single"/>
              </w:rPr>
              <w:t>1</w:t>
            </w:r>
            <w:r>
              <w:rPr>
                <w:rFonts w:hint="eastAsia" w:ascii="宋体" w:hAnsi="宋体" w:cs="宋体"/>
                <w:kern w:val="0"/>
                <w:szCs w:val="21"/>
              </w:rPr>
              <w:t>年</w:t>
            </w:r>
          </w:p>
        </w:tc>
      </w:tr>
      <w:tr w14:paraId="51F9D4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23B74586">
            <w:pPr>
              <w:widowControl/>
              <w:spacing w:line="440" w:lineRule="exact"/>
              <w:jc w:val="center"/>
              <w:rPr>
                <w:rFonts w:hint="eastAsia" w:ascii="宋体" w:hAnsi="宋体" w:cs="宋体"/>
                <w:kern w:val="0"/>
                <w:szCs w:val="21"/>
              </w:rPr>
            </w:pPr>
            <w:r>
              <w:rPr>
                <w:rFonts w:hint="eastAsia" w:ascii="宋体" w:hAnsi="宋体" w:cs="宋体"/>
                <w:kern w:val="0"/>
                <w:szCs w:val="21"/>
              </w:rPr>
              <w:t>24</w:t>
            </w:r>
          </w:p>
        </w:tc>
        <w:tc>
          <w:tcPr>
            <w:tcW w:w="1559" w:type="dxa"/>
            <w:noWrap w:val="0"/>
            <w:vAlign w:val="center"/>
          </w:tcPr>
          <w:p w14:paraId="1CC51C5D">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24.1</w:t>
            </w:r>
          </w:p>
        </w:tc>
        <w:tc>
          <w:tcPr>
            <w:tcW w:w="6916" w:type="dxa"/>
            <w:noWrap w:val="0"/>
            <w:vAlign w:val="center"/>
          </w:tcPr>
          <w:p w14:paraId="772DEC75">
            <w:pPr>
              <w:widowControl/>
              <w:spacing w:line="440" w:lineRule="exact"/>
              <w:jc w:val="left"/>
              <w:rPr>
                <w:rFonts w:hint="eastAsia" w:ascii="宋体" w:hAnsi="宋体" w:cs="宋体"/>
                <w:kern w:val="0"/>
                <w:szCs w:val="21"/>
                <w:u w:val="single"/>
              </w:rPr>
            </w:pPr>
            <w:r>
              <w:rPr>
                <w:rFonts w:hint="eastAsia" w:ascii="宋体" w:hAnsi="宋体" w:cs="宋体"/>
                <w:kern w:val="0"/>
                <w:szCs w:val="21"/>
              </w:rPr>
              <w:t>争议的最终解决方式：</w:t>
            </w:r>
            <w:r>
              <w:rPr>
                <w:rFonts w:hint="eastAsia" w:ascii="宋体" w:hAnsi="宋体" w:cs="宋体"/>
                <w:kern w:val="0"/>
                <w:szCs w:val="21"/>
                <w:u w:val="single"/>
              </w:rPr>
              <w:t>仲裁或诉讼</w:t>
            </w:r>
          </w:p>
          <w:p w14:paraId="1DA4EFFB">
            <w:pPr>
              <w:widowControl/>
              <w:spacing w:line="440" w:lineRule="exact"/>
              <w:jc w:val="left"/>
              <w:rPr>
                <w:rFonts w:hint="eastAsia" w:ascii="宋体" w:hAnsi="宋体" w:cs="宋体"/>
                <w:kern w:val="0"/>
                <w:szCs w:val="21"/>
              </w:rPr>
            </w:pPr>
            <w:r>
              <w:rPr>
                <w:rFonts w:hint="eastAsia" w:ascii="宋体" w:hAnsi="宋体" w:cs="宋体"/>
                <w:kern w:val="0"/>
                <w:szCs w:val="21"/>
              </w:rPr>
              <w:t>如采用仲裁，仲裁委员会名称：三门峡仲裁委员会。</w:t>
            </w:r>
          </w:p>
        </w:tc>
      </w:tr>
    </w:tbl>
    <w:p w14:paraId="5314E0DC">
      <w:pPr>
        <w:widowControl/>
        <w:spacing w:line="440" w:lineRule="exact"/>
        <w:ind w:firstLine="480" w:firstLineChars="200"/>
        <w:jc w:val="left"/>
        <w:rPr>
          <w:kern w:val="0"/>
          <w:sz w:val="24"/>
        </w:rPr>
      </w:pPr>
    </w:p>
    <w:p w14:paraId="5FDB2EB5">
      <w:pPr>
        <w:widowControl/>
        <w:spacing w:line="440" w:lineRule="exact"/>
        <w:rPr>
          <w:rFonts w:hint="eastAsia" w:ascii="宋体" w:hAnsi="宋体" w:cs="宋体"/>
          <w:b/>
          <w:bCs/>
          <w:kern w:val="44"/>
          <w:sz w:val="24"/>
          <w:szCs w:val="24"/>
        </w:rPr>
      </w:pPr>
      <w:r>
        <w:rPr>
          <w:rFonts w:ascii="宋体"/>
          <w:kern w:val="0"/>
          <w:sz w:val="24"/>
        </w:rPr>
        <w:br w:type="page"/>
      </w:r>
      <w:r>
        <w:rPr>
          <w:rFonts w:hint="eastAsia" w:ascii="宋体" w:hAnsi="宋体" w:cs="宋体"/>
          <w:b/>
          <w:bCs/>
          <w:kern w:val="44"/>
          <w:sz w:val="24"/>
          <w:szCs w:val="24"/>
        </w:rPr>
        <w:t>项目专用合同条款</w:t>
      </w:r>
    </w:p>
    <w:p w14:paraId="3B1DD152">
      <w:pPr>
        <w:widowControl/>
        <w:spacing w:line="440" w:lineRule="exact"/>
        <w:jc w:val="left"/>
        <w:rPr>
          <w:rFonts w:ascii="宋体"/>
          <w:kern w:val="0"/>
          <w:sz w:val="24"/>
          <w:szCs w:val="24"/>
        </w:rPr>
      </w:pPr>
      <w:r>
        <w:rPr>
          <w:rFonts w:hint="eastAsia" w:ascii="宋体" w:hAnsi="宋体" w:cs="宋体"/>
          <w:kern w:val="0"/>
          <w:sz w:val="24"/>
          <w:szCs w:val="24"/>
        </w:rPr>
        <w:t>说明：本部分所列的项目专用合同条款是对“公路工程专用合同条款”中规定必须在项目专用合同条款中明确的内容的集中，招标人编制的“项目专用合同条款”不限于本部分所列内容。</w:t>
      </w:r>
    </w:p>
    <w:p w14:paraId="08AA2E2D">
      <w:pPr>
        <w:widowControl/>
        <w:spacing w:line="440" w:lineRule="exact"/>
        <w:rPr>
          <w:rFonts w:hint="eastAsia" w:ascii="宋体" w:hAnsi="宋体" w:cs="宋体"/>
          <w:b/>
          <w:bCs/>
          <w:kern w:val="44"/>
          <w:sz w:val="24"/>
          <w:szCs w:val="24"/>
        </w:rPr>
      </w:pPr>
      <w:bookmarkStart w:id="1628" w:name="_Toc234382937"/>
      <w:bookmarkStart w:id="1629" w:name="_Toc513132388"/>
      <w:bookmarkStart w:id="1630" w:name="_Toc488083622"/>
      <w:bookmarkStart w:id="1631" w:name="_Toc512689755"/>
      <w:bookmarkStart w:id="1632" w:name="_Toc480282388"/>
      <w:bookmarkStart w:id="1633" w:name="_Toc479237813"/>
      <w:bookmarkStart w:id="1634" w:name="_Toc513212908"/>
      <w:bookmarkStart w:id="1635" w:name="_Toc479265642"/>
      <w:r>
        <w:rPr>
          <w:rFonts w:hint="eastAsia" w:ascii="宋体" w:hAnsi="宋体" w:cs="宋体"/>
          <w:b/>
          <w:bCs/>
          <w:kern w:val="44"/>
          <w:sz w:val="24"/>
          <w:szCs w:val="24"/>
        </w:rPr>
        <w:t>4.1承包人的一般义务</w:t>
      </w:r>
      <w:bookmarkEnd w:id="1628"/>
      <w:bookmarkEnd w:id="1629"/>
      <w:bookmarkEnd w:id="1630"/>
      <w:bookmarkEnd w:id="1631"/>
      <w:bookmarkEnd w:id="1632"/>
      <w:bookmarkEnd w:id="1633"/>
      <w:bookmarkEnd w:id="1634"/>
      <w:bookmarkEnd w:id="1635"/>
    </w:p>
    <w:p w14:paraId="13EF20A4">
      <w:pPr>
        <w:widowControl/>
        <w:tabs>
          <w:tab w:val="left" w:pos="3193"/>
        </w:tabs>
        <w:spacing w:line="440" w:lineRule="exact"/>
        <w:jc w:val="left"/>
        <w:rPr>
          <w:rFonts w:ascii="宋体"/>
          <w:kern w:val="0"/>
          <w:sz w:val="24"/>
          <w:szCs w:val="24"/>
        </w:rPr>
      </w:pPr>
      <w:r>
        <w:rPr>
          <w:rFonts w:ascii="宋体" w:hAnsi="宋体" w:cs="宋体"/>
          <w:kern w:val="0"/>
          <w:sz w:val="24"/>
          <w:szCs w:val="24"/>
        </w:rPr>
        <w:t xml:space="preserve">4.1.10 </w:t>
      </w:r>
      <w:r>
        <w:rPr>
          <w:rFonts w:hint="eastAsia" w:ascii="宋体" w:hAnsi="宋体" w:cs="宋体"/>
          <w:kern w:val="0"/>
          <w:sz w:val="24"/>
          <w:szCs w:val="24"/>
        </w:rPr>
        <w:t>其他义务</w:t>
      </w:r>
    </w:p>
    <w:p w14:paraId="108C78A4">
      <w:pPr>
        <w:widowControl/>
        <w:tabs>
          <w:tab w:val="left" w:pos="3193"/>
        </w:tabs>
        <w:spacing w:line="440" w:lineRule="exact"/>
        <w:jc w:val="left"/>
        <w:rPr>
          <w:rFonts w:ascii="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）承包人应履行的其他义务：</w:t>
      </w:r>
      <w:r>
        <w:rPr>
          <w:rFonts w:ascii="宋体" w:hAnsi="宋体" w:cs="宋体"/>
          <w:kern w:val="0"/>
          <w:sz w:val="24"/>
          <w:szCs w:val="24"/>
          <w:u w:val="single"/>
        </w:rPr>
        <w:t xml:space="preserve">                  </w:t>
      </w:r>
    </w:p>
    <w:p w14:paraId="2C52355C">
      <w:pPr>
        <w:widowControl/>
        <w:spacing w:line="440" w:lineRule="exact"/>
        <w:rPr>
          <w:rFonts w:hint="eastAsia" w:ascii="宋体" w:hAnsi="宋体" w:cs="宋体"/>
          <w:b/>
          <w:bCs/>
          <w:kern w:val="44"/>
          <w:sz w:val="24"/>
          <w:szCs w:val="24"/>
        </w:rPr>
      </w:pPr>
      <w:bookmarkStart w:id="1636" w:name="_Toc479265643"/>
      <w:bookmarkStart w:id="1637" w:name="_Toc234382938"/>
      <w:bookmarkStart w:id="1638" w:name="_Toc479237814"/>
      <w:bookmarkStart w:id="1639" w:name="_Toc513132389"/>
      <w:bookmarkStart w:id="1640" w:name="_Toc488083623"/>
      <w:bookmarkStart w:id="1641" w:name="_Toc480282389"/>
      <w:bookmarkStart w:id="1642" w:name="_Toc513212909"/>
      <w:bookmarkStart w:id="1643" w:name="_Toc512689756"/>
      <w:r>
        <w:rPr>
          <w:rFonts w:hint="eastAsia" w:ascii="宋体" w:hAnsi="宋体" w:cs="宋体"/>
          <w:b/>
          <w:bCs/>
          <w:kern w:val="44"/>
          <w:sz w:val="24"/>
          <w:szCs w:val="24"/>
        </w:rPr>
        <w:t>4.11不利物质条件</w:t>
      </w:r>
      <w:bookmarkEnd w:id="1636"/>
      <w:bookmarkEnd w:id="1637"/>
      <w:bookmarkEnd w:id="1638"/>
      <w:bookmarkEnd w:id="1639"/>
      <w:bookmarkEnd w:id="1640"/>
      <w:bookmarkEnd w:id="1641"/>
      <w:bookmarkEnd w:id="1642"/>
      <w:bookmarkEnd w:id="1643"/>
    </w:p>
    <w:p w14:paraId="77C805B1">
      <w:pPr>
        <w:widowControl/>
        <w:tabs>
          <w:tab w:val="left" w:pos="3193"/>
        </w:tabs>
        <w:spacing w:line="440" w:lineRule="exact"/>
        <w:jc w:val="left"/>
        <w:rPr>
          <w:rFonts w:ascii="宋体"/>
          <w:kern w:val="0"/>
          <w:sz w:val="24"/>
          <w:szCs w:val="24"/>
        </w:rPr>
      </w:pPr>
      <w:r>
        <w:rPr>
          <w:rFonts w:ascii="宋体" w:hAnsi="宋体" w:cs="宋体"/>
          <w:kern w:val="0"/>
          <w:sz w:val="24"/>
          <w:szCs w:val="24"/>
        </w:rPr>
        <w:t>4.11.1</w:t>
      </w:r>
      <w:r>
        <w:rPr>
          <w:rFonts w:hint="eastAsia" w:ascii="宋体" w:hAnsi="宋体" w:cs="宋体"/>
          <w:kern w:val="0"/>
          <w:sz w:val="24"/>
          <w:szCs w:val="24"/>
        </w:rPr>
        <w:t>不利物质条件的范围：</w:t>
      </w:r>
      <w:r>
        <w:rPr>
          <w:rFonts w:ascii="宋体" w:hAnsi="宋体" w:cs="宋体"/>
          <w:kern w:val="0"/>
          <w:sz w:val="24"/>
          <w:szCs w:val="24"/>
          <w:u w:val="single"/>
        </w:rPr>
        <w:t xml:space="preserve">                     </w:t>
      </w:r>
    </w:p>
    <w:p w14:paraId="4B073D3F">
      <w:pPr>
        <w:widowControl/>
        <w:spacing w:line="440" w:lineRule="exact"/>
        <w:rPr>
          <w:rFonts w:hint="eastAsia" w:ascii="宋体" w:hAnsi="宋体" w:cs="宋体"/>
          <w:b/>
          <w:bCs/>
          <w:kern w:val="44"/>
          <w:sz w:val="24"/>
          <w:szCs w:val="24"/>
        </w:rPr>
      </w:pPr>
      <w:bookmarkStart w:id="1644" w:name="_Toc513132390"/>
      <w:bookmarkStart w:id="1645" w:name="_Toc512689757"/>
      <w:bookmarkStart w:id="1646" w:name="_Toc479265644"/>
      <w:bookmarkStart w:id="1647" w:name="_Toc479237815"/>
      <w:bookmarkStart w:id="1648" w:name="_Toc234382939"/>
      <w:bookmarkStart w:id="1649" w:name="_Toc513212910"/>
      <w:bookmarkStart w:id="1650" w:name="_Toc488083624"/>
      <w:bookmarkStart w:id="1651" w:name="_Toc480282390"/>
      <w:r>
        <w:rPr>
          <w:rFonts w:hint="eastAsia" w:ascii="宋体" w:hAnsi="宋体" w:cs="宋体"/>
          <w:b/>
          <w:bCs/>
          <w:kern w:val="44"/>
          <w:sz w:val="24"/>
          <w:szCs w:val="24"/>
        </w:rPr>
        <w:t>10.1 合同进度计划</w:t>
      </w:r>
      <w:bookmarkEnd w:id="1644"/>
      <w:bookmarkEnd w:id="1645"/>
      <w:bookmarkEnd w:id="1646"/>
      <w:bookmarkEnd w:id="1647"/>
      <w:bookmarkEnd w:id="1648"/>
      <w:bookmarkEnd w:id="1649"/>
      <w:bookmarkEnd w:id="1650"/>
      <w:bookmarkEnd w:id="1651"/>
    </w:p>
    <w:p w14:paraId="6ABB9551">
      <w:pPr>
        <w:widowControl/>
        <w:tabs>
          <w:tab w:val="left" w:pos="3193"/>
        </w:tabs>
        <w:spacing w:line="440" w:lineRule="exact"/>
        <w:jc w:val="left"/>
        <w:rPr>
          <w:rFonts w:ascii="宋体"/>
          <w:kern w:val="0"/>
          <w:sz w:val="24"/>
          <w:szCs w:val="24"/>
        </w:rPr>
      </w:pPr>
      <w:r>
        <w:rPr>
          <w:rFonts w:hint="eastAsia" w:ascii="宋体" w:hAnsi="宋体" w:cs="宋体"/>
          <w:kern w:val="0"/>
          <w:sz w:val="24"/>
          <w:szCs w:val="24"/>
        </w:rPr>
        <w:t>承包人编制施工方案的内容：</w:t>
      </w:r>
      <w:r>
        <w:rPr>
          <w:rFonts w:ascii="宋体" w:hAnsi="宋体" w:cs="宋体"/>
          <w:kern w:val="0"/>
          <w:sz w:val="24"/>
          <w:szCs w:val="24"/>
          <w:u w:val="single"/>
        </w:rPr>
        <w:t xml:space="preserve">                       </w:t>
      </w:r>
    </w:p>
    <w:p w14:paraId="6B75E4E9">
      <w:pPr>
        <w:widowControl/>
        <w:spacing w:line="440" w:lineRule="exact"/>
        <w:rPr>
          <w:rFonts w:ascii="宋体" w:hAnsi="宋体" w:cs="宋体"/>
          <w:b/>
          <w:bCs/>
          <w:kern w:val="44"/>
          <w:sz w:val="24"/>
          <w:szCs w:val="24"/>
        </w:rPr>
      </w:pPr>
      <w:bookmarkStart w:id="1652" w:name="_Toc512689758"/>
      <w:bookmarkStart w:id="1653" w:name="_Toc513212911"/>
      <w:bookmarkStart w:id="1654" w:name="_Toc479237816"/>
      <w:bookmarkStart w:id="1655" w:name="_Toc513132391"/>
      <w:bookmarkStart w:id="1656" w:name="_Toc488083625"/>
      <w:bookmarkStart w:id="1657" w:name="_Toc234382940"/>
      <w:bookmarkStart w:id="1658" w:name="_Toc479265645"/>
      <w:bookmarkStart w:id="1659" w:name="_Toc480282391"/>
      <w:r>
        <w:rPr>
          <w:rFonts w:hint="eastAsia" w:ascii="宋体" w:hAnsi="宋体" w:cs="宋体"/>
          <w:b/>
          <w:bCs/>
          <w:kern w:val="44"/>
          <w:sz w:val="24"/>
          <w:szCs w:val="24"/>
        </w:rPr>
        <w:t>11.4异常恶劣的气候条件</w:t>
      </w:r>
      <w:bookmarkEnd w:id="1652"/>
      <w:bookmarkEnd w:id="1653"/>
      <w:bookmarkEnd w:id="1654"/>
      <w:bookmarkEnd w:id="1655"/>
      <w:bookmarkEnd w:id="1656"/>
      <w:bookmarkEnd w:id="1657"/>
      <w:bookmarkEnd w:id="1658"/>
      <w:bookmarkEnd w:id="1659"/>
    </w:p>
    <w:p w14:paraId="013C96C3">
      <w:pPr>
        <w:widowControl/>
        <w:spacing w:line="440" w:lineRule="exact"/>
        <w:rPr>
          <w:rFonts w:ascii="宋体" w:hAnsi="宋体" w:cs="宋体"/>
          <w:b/>
          <w:bCs/>
          <w:kern w:val="44"/>
          <w:sz w:val="24"/>
          <w:szCs w:val="24"/>
        </w:rPr>
      </w:pPr>
      <w:r>
        <w:rPr>
          <w:rFonts w:hint="eastAsia" w:ascii="宋体" w:hAnsi="宋体" w:cs="宋体"/>
          <w:kern w:val="0"/>
          <w:sz w:val="24"/>
          <w:szCs w:val="24"/>
        </w:rPr>
        <w:t>异常恶劣的气候条件的范围：</w:t>
      </w:r>
      <w:r>
        <w:rPr>
          <w:rFonts w:ascii="宋体" w:hAnsi="宋体" w:cs="宋体"/>
          <w:kern w:val="0"/>
          <w:sz w:val="24"/>
          <w:szCs w:val="24"/>
          <w:u w:val="single"/>
        </w:rPr>
        <w:t xml:space="preserve">                       </w:t>
      </w:r>
    </w:p>
    <w:p w14:paraId="7F783B15">
      <w:pPr>
        <w:keepNext/>
        <w:keepLines/>
        <w:spacing w:line="440" w:lineRule="exact"/>
        <w:rPr>
          <w:rFonts w:ascii="宋体" w:hAnsi="Calibri" w:eastAsia="黑体"/>
          <w:b/>
          <w:bCs/>
          <w:kern w:val="44"/>
          <w:sz w:val="24"/>
          <w:szCs w:val="24"/>
        </w:rPr>
      </w:pPr>
      <w:bookmarkStart w:id="1660" w:name="_Toc512689759"/>
      <w:bookmarkStart w:id="1661" w:name="_Toc479265646"/>
      <w:bookmarkStart w:id="1662" w:name="_Toc479237817"/>
      <w:bookmarkStart w:id="1663" w:name="_Toc513212912"/>
      <w:bookmarkStart w:id="1664" w:name="_Toc480282392"/>
      <w:bookmarkStart w:id="1665" w:name="_Toc488083626"/>
      <w:bookmarkStart w:id="1666" w:name="_Toc192710559"/>
      <w:bookmarkStart w:id="1667" w:name="_Toc234382941"/>
      <w:bookmarkStart w:id="1668" w:name="_Toc513132392"/>
      <w:bookmarkStart w:id="1669" w:name="_Toc3475628"/>
      <w:r>
        <w:rPr>
          <w:rFonts w:hint="eastAsia" w:ascii="宋体" w:hAnsi="宋体" w:cs="宋体"/>
          <w:b/>
          <w:bCs/>
          <w:kern w:val="44"/>
          <w:sz w:val="24"/>
          <w:szCs w:val="24"/>
        </w:rPr>
        <w:t>12.1承包人暂停施工的责任</w:t>
      </w:r>
      <w:bookmarkEnd w:id="1660"/>
      <w:bookmarkEnd w:id="1661"/>
      <w:bookmarkEnd w:id="1662"/>
      <w:bookmarkEnd w:id="1663"/>
      <w:bookmarkEnd w:id="1664"/>
      <w:bookmarkEnd w:id="1665"/>
      <w:bookmarkEnd w:id="1666"/>
      <w:bookmarkEnd w:id="1667"/>
      <w:bookmarkEnd w:id="1668"/>
      <w:bookmarkEnd w:id="1669"/>
    </w:p>
    <w:p w14:paraId="6BD3C477">
      <w:pPr>
        <w:widowControl/>
        <w:tabs>
          <w:tab w:val="left" w:pos="3193"/>
        </w:tabs>
        <w:spacing w:line="440" w:lineRule="exact"/>
        <w:jc w:val="left"/>
        <w:rPr>
          <w:rFonts w:ascii="宋体" w:hAnsi="宋体" w:cs="宋体"/>
          <w:kern w:val="0"/>
          <w:sz w:val="24"/>
          <w:szCs w:val="24"/>
          <w:u w:val="single"/>
        </w:rPr>
      </w:pPr>
      <w:r>
        <w:rPr>
          <w:rFonts w:ascii="宋体" w:hAnsi="宋体" w:cs="宋体"/>
          <w:kern w:val="0"/>
          <w:sz w:val="24"/>
          <w:szCs w:val="24"/>
        </w:rPr>
        <w:t>12.1</w:t>
      </w:r>
      <w:r>
        <w:rPr>
          <w:rFonts w:hint="eastAsia" w:ascii="宋体" w:hAnsi="宋体" w:cs="宋体"/>
          <w:kern w:val="0"/>
          <w:sz w:val="24"/>
          <w:szCs w:val="24"/>
        </w:rPr>
        <w:t>（</w:t>
      </w:r>
      <w:r>
        <w:rPr>
          <w:rFonts w:ascii="宋体" w:hAnsi="宋体" w:cs="宋体"/>
          <w:kern w:val="0"/>
          <w:sz w:val="24"/>
          <w:szCs w:val="24"/>
        </w:rPr>
        <w:t>6</w:t>
      </w:r>
      <w:r>
        <w:rPr>
          <w:rFonts w:hint="eastAsia" w:ascii="宋体" w:hAnsi="宋体" w:cs="宋体"/>
          <w:kern w:val="0"/>
          <w:sz w:val="24"/>
          <w:szCs w:val="24"/>
        </w:rPr>
        <w:t>）由承包人承担的其他暂停施工：</w:t>
      </w:r>
      <w:r>
        <w:rPr>
          <w:rFonts w:ascii="宋体" w:hAnsi="宋体" w:cs="宋体"/>
          <w:kern w:val="0"/>
          <w:sz w:val="24"/>
          <w:szCs w:val="24"/>
          <w:u w:val="single"/>
        </w:rPr>
        <w:t xml:space="preserve">                </w:t>
      </w:r>
    </w:p>
    <w:p w14:paraId="48476D21">
      <w:pPr>
        <w:widowControl/>
        <w:spacing w:line="440" w:lineRule="exact"/>
        <w:rPr>
          <w:rFonts w:hint="eastAsia" w:ascii="宋体" w:hAnsi="宋体" w:cs="宋体"/>
          <w:b/>
          <w:bCs/>
          <w:kern w:val="44"/>
          <w:sz w:val="24"/>
          <w:szCs w:val="24"/>
        </w:rPr>
      </w:pPr>
      <w:bookmarkStart w:id="1670" w:name="_Toc512689760"/>
      <w:bookmarkStart w:id="1671" w:name="_Toc513212913"/>
      <w:bookmarkStart w:id="1672" w:name="_Toc513132393"/>
      <w:r>
        <w:rPr>
          <w:rFonts w:hint="eastAsia" w:ascii="宋体" w:hAnsi="宋体" w:cs="宋体"/>
          <w:b/>
          <w:bCs/>
          <w:kern w:val="44"/>
          <w:sz w:val="24"/>
          <w:szCs w:val="24"/>
        </w:rPr>
        <w:t>17.3工程进度付款</w:t>
      </w:r>
      <w:bookmarkEnd w:id="1670"/>
      <w:bookmarkEnd w:id="1671"/>
      <w:bookmarkEnd w:id="1672"/>
    </w:p>
    <w:p w14:paraId="2950F57D">
      <w:pPr>
        <w:widowControl/>
        <w:spacing w:line="440" w:lineRule="exact"/>
        <w:jc w:val="left"/>
        <w:rPr>
          <w:rFonts w:ascii="宋体" w:hAnsi="宋体" w:cs="宋体"/>
          <w:kern w:val="0"/>
          <w:sz w:val="24"/>
          <w:szCs w:val="24"/>
        </w:rPr>
      </w:pPr>
      <w:r>
        <w:rPr>
          <w:rFonts w:ascii="宋体" w:hAnsi="宋体" w:cs="宋体"/>
          <w:kern w:val="0"/>
          <w:sz w:val="24"/>
          <w:szCs w:val="24"/>
        </w:rPr>
        <w:t>17.3.5 农民工工资保证金的缴存时间 :</w:t>
      </w:r>
      <w:r>
        <w:rPr>
          <w:rFonts w:ascii="宋体" w:hAnsi="宋体" w:cs="宋体"/>
          <w:kern w:val="0"/>
          <w:sz w:val="24"/>
          <w:szCs w:val="24"/>
          <w:u w:val="single"/>
        </w:rPr>
        <w:t xml:space="preserve">            </w:t>
      </w:r>
      <w:r>
        <w:rPr>
          <w:rFonts w:ascii="宋体" w:hAnsi="宋体" w:cs="宋体"/>
          <w:kern w:val="0"/>
          <w:sz w:val="24"/>
          <w:szCs w:val="24"/>
        </w:rPr>
        <w:t xml:space="preserve"> </w:t>
      </w:r>
      <w:r>
        <w:rPr>
          <w:rFonts w:ascii="宋体" w:hAnsi="宋体" w:cs="宋体"/>
          <w:kern w:val="0"/>
          <w:sz w:val="24"/>
          <w:szCs w:val="24"/>
        </w:rPr>
        <w:tab/>
      </w:r>
      <w:r>
        <w:rPr>
          <w:rFonts w:ascii="宋体" w:hAnsi="宋体" w:cs="宋体"/>
          <w:kern w:val="0"/>
          <w:sz w:val="24"/>
          <w:szCs w:val="24"/>
        </w:rPr>
        <w:tab/>
      </w:r>
      <w:r>
        <w:rPr>
          <w:rFonts w:ascii="宋体" w:hAnsi="宋体" w:cs="宋体"/>
          <w:kern w:val="0"/>
          <w:sz w:val="24"/>
          <w:szCs w:val="24"/>
        </w:rPr>
        <w:t xml:space="preserve"> </w:t>
      </w:r>
    </w:p>
    <w:p w14:paraId="25775004">
      <w:pPr>
        <w:widowControl/>
        <w:spacing w:line="440" w:lineRule="exact"/>
        <w:jc w:val="left"/>
        <w:rPr>
          <w:rFonts w:ascii="宋体" w:hAnsi="宋体" w:cs="宋体"/>
          <w:kern w:val="0"/>
          <w:sz w:val="24"/>
          <w:szCs w:val="24"/>
        </w:rPr>
      </w:pPr>
      <w:r>
        <w:rPr>
          <w:rFonts w:ascii="宋体" w:hAnsi="宋体" w:cs="宋体"/>
          <w:kern w:val="0"/>
          <w:sz w:val="24"/>
          <w:szCs w:val="24"/>
        </w:rPr>
        <w:t>农民工工资保证金的缴存金额:</w:t>
      </w:r>
      <w:r>
        <w:rPr>
          <w:rFonts w:ascii="宋体" w:hAnsi="宋体" w:cs="宋体"/>
          <w:kern w:val="0"/>
          <w:sz w:val="24"/>
          <w:szCs w:val="24"/>
          <w:u w:val="single"/>
        </w:rPr>
        <w:t xml:space="preserve">            </w:t>
      </w:r>
      <w:r>
        <w:rPr>
          <w:rFonts w:ascii="宋体" w:hAnsi="宋体" w:cs="宋体"/>
          <w:kern w:val="0"/>
          <w:sz w:val="24"/>
          <w:szCs w:val="24"/>
        </w:rPr>
        <w:t xml:space="preserve">  </w:t>
      </w:r>
      <w:r>
        <w:rPr>
          <w:rFonts w:ascii="宋体" w:hAnsi="宋体" w:cs="宋体"/>
          <w:kern w:val="0"/>
          <w:sz w:val="24"/>
          <w:szCs w:val="24"/>
        </w:rPr>
        <w:tab/>
      </w:r>
      <w:r>
        <w:rPr>
          <w:rFonts w:ascii="宋体" w:hAnsi="宋体" w:cs="宋体"/>
          <w:kern w:val="0"/>
          <w:sz w:val="24"/>
          <w:szCs w:val="24"/>
        </w:rPr>
        <w:t xml:space="preserve"> </w:t>
      </w:r>
    </w:p>
    <w:p w14:paraId="12929320">
      <w:pPr>
        <w:widowControl/>
        <w:spacing w:line="440" w:lineRule="exact"/>
        <w:jc w:val="left"/>
        <w:rPr>
          <w:rFonts w:ascii="宋体" w:hAnsi="宋体" w:cs="宋体"/>
          <w:kern w:val="0"/>
          <w:sz w:val="24"/>
          <w:szCs w:val="24"/>
        </w:rPr>
      </w:pPr>
      <w:r>
        <w:rPr>
          <w:rFonts w:ascii="宋体" w:hAnsi="宋体" w:cs="宋体"/>
          <w:kern w:val="0"/>
          <w:sz w:val="24"/>
          <w:szCs w:val="24"/>
        </w:rPr>
        <w:t>农民工工资保 证金的扣留条件:</w:t>
      </w:r>
      <w:r>
        <w:rPr>
          <w:rFonts w:ascii="宋体" w:hAnsi="宋体" w:cs="宋体"/>
          <w:kern w:val="0"/>
          <w:sz w:val="24"/>
          <w:szCs w:val="24"/>
          <w:u w:val="single"/>
        </w:rPr>
        <w:t xml:space="preserve">            </w:t>
      </w:r>
      <w:r>
        <w:rPr>
          <w:rFonts w:ascii="宋体" w:hAnsi="宋体" w:cs="宋体"/>
          <w:kern w:val="0"/>
          <w:sz w:val="24"/>
          <w:szCs w:val="24"/>
        </w:rPr>
        <w:t xml:space="preserve"> </w:t>
      </w:r>
      <w:r>
        <w:rPr>
          <w:rFonts w:ascii="宋体" w:hAnsi="宋体" w:cs="宋体"/>
          <w:kern w:val="0"/>
          <w:sz w:val="24"/>
          <w:szCs w:val="24"/>
        </w:rPr>
        <w:tab/>
      </w:r>
      <w:r>
        <w:rPr>
          <w:rFonts w:ascii="宋体" w:hAnsi="宋体" w:cs="宋体"/>
          <w:kern w:val="0"/>
          <w:sz w:val="24"/>
          <w:szCs w:val="24"/>
        </w:rPr>
        <w:t xml:space="preserve"> </w:t>
      </w:r>
    </w:p>
    <w:p w14:paraId="04164AD5">
      <w:pPr>
        <w:widowControl/>
        <w:spacing w:line="440" w:lineRule="exact"/>
        <w:jc w:val="left"/>
        <w:rPr>
          <w:rFonts w:ascii="宋体" w:hAnsi="宋体" w:cs="宋体"/>
          <w:kern w:val="0"/>
          <w:sz w:val="24"/>
          <w:szCs w:val="24"/>
        </w:rPr>
      </w:pPr>
      <w:r>
        <w:rPr>
          <w:rFonts w:ascii="宋体" w:hAnsi="宋体" w:cs="宋体"/>
          <w:kern w:val="0"/>
          <w:sz w:val="24"/>
          <w:szCs w:val="24"/>
        </w:rPr>
        <w:t>农民工工资保证金的返还时间:</w:t>
      </w:r>
      <w:r>
        <w:rPr>
          <w:rFonts w:ascii="宋体" w:hAnsi="宋体" w:cs="宋体"/>
          <w:kern w:val="0"/>
          <w:sz w:val="24"/>
          <w:szCs w:val="24"/>
          <w:u w:val="single"/>
        </w:rPr>
        <w:t xml:space="preserve">            </w:t>
      </w:r>
      <w:r>
        <w:rPr>
          <w:rFonts w:ascii="宋体" w:hAnsi="宋体" w:cs="宋体"/>
          <w:kern w:val="0"/>
          <w:sz w:val="24"/>
          <w:szCs w:val="24"/>
        </w:rPr>
        <w:t xml:space="preserve">  </w:t>
      </w:r>
      <w:r>
        <w:rPr>
          <w:rFonts w:ascii="宋体" w:hAnsi="宋体" w:cs="宋体"/>
          <w:kern w:val="0"/>
          <w:sz w:val="24"/>
          <w:szCs w:val="24"/>
        </w:rPr>
        <w:tab/>
      </w:r>
      <w:r>
        <w:rPr>
          <w:rFonts w:ascii="宋体" w:hAnsi="宋体" w:cs="宋体"/>
          <w:kern w:val="0"/>
          <w:sz w:val="24"/>
          <w:szCs w:val="24"/>
        </w:rPr>
        <w:t xml:space="preserve"> </w:t>
      </w:r>
    </w:p>
    <w:p w14:paraId="394E85C8">
      <w:pPr>
        <w:keepNext/>
        <w:keepLines/>
        <w:spacing w:line="440" w:lineRule="exact"/>
        <w:rPr>
          <w:rFonts w:ascii="宋体" w:hAnsi="Calibri" w:eastAsia="黑体"/>
          <w:b/>
          <w:bCs/>
          <w:kern w:val="44"/>
          <w:sz w:val="24"/>
          <w:szCs w:val="24"/>
        </w:rPr>
      </w:pPr>
      <w:bookmarkStart w:id="1673" w:name="_Toc3475629"/>
      <w:bookmarkStart w:id="1674" w:name="_Toc513212914"/>
      <w:bookmarkStart w:id="1675" w:name="_Toc192710560"/>
      <w:bookmarkStart w:id="1676" w:name="_Toc488083627"/>
      <w:bookmarkStart w:id="1677" w:name="_Toc513132394"/>
      <w:bookmarkStart w:id="1678" w:name="_Toc512689761"/>
      <w:bookmarkStart w:id="1679" w:name="_Toc479265647"/>
      <w:bookmarkStart w:id="1680" w:name="_Toc480282393"/>
      <w:bookmarkStart w:id="1681" w:name="_Toc234382942"/>
      <w:bookmarkStart w:id="1682" w:name="_Toc479237818"/>
      <w:r>
        <w:rPr>
          <w:rFonts w:hint="eastAsia" w:ascii="宋体" w:hAnsi="宋体" w:cs="宋体"/>
          <w:b/>
          <w:bCs/>
          <w:kern w:val="44"/>
          <w:sz w:val="24"/>
          <w:szCs w:val="24"/>
        </w:rPr>
        <w:t>21.1不可抗力的确认</w:t>
      </w:r>
      <w:bookmarkEnd w:id="1673"/>
      <w:bookmarkEnd w:id="1674"/>
      <w:bookmarkEnd w:id="1675"/>
      <w:bookmarkEnd w:id="1676"/>
      <w:bookmarkEnd w:id="1677"/>
      <w:bookmarkEnd w:id="1678"/>
      <w:bookmarkEnd w:id="1679"/>
      <w:bookmarkEnd w:id="1680"/>
      <w:bookmarkEnd w:id="1681"/>
      <w:bookmarkEnd w:id="1682"/>
    </w:p>
    <w:p w14:paraId="040022D4">
      <w:pPr>
        <w:widowControl/>
        <w:tabs>
          <w:tab w:val="left" w:pos="3193"/>
        </w:tabs>
        <w:spacing w:line="440" w:lineRule="exact"/>
        <w:jc w:val="left"/>
        <w:rPr>
          <w:rFonts w:ascii="宋体"/>
          <w:kern w:val="0"/>
          <w:sz w:val="24"/>
          <w:szCs w:val="24"/>
        </w:rPr>
      </w:pPr>
      <w:r>
        <w:rPr>
          <w:rFonts w:ascii="宋体" w:hAnsi="宋体" w:cs="宋体"/>
          <w:kern w:val="0"/>
          <w:sz w:val="24"/>
          <w:szCs w:val="24"/>
        </w:rPr>
        <w:t>21.1.1</w:t>
      </w:r>
      <w:r>
        <w:rPr>
          <w:rFonts w:hint="eastAsia" w:ascii="宋体" w:hAnsi="宋体" w:cs="宋体"/>
          <w:kern w:val="0"/>
          <w:sz w:val="24"/>
          <w:szCs w:val="24"/>
        </w:rPr>
        <w:t>（</w:t>
      </w:r>
      <w:r>
        <w:rPr>
          <w:rFonts w:ascii="宋体" w:hAnsi="宋体" w:cs="宋体"/>
          <w:kern w:val="0"/>
          <w:sz w:val="24"/>
          <w:szCs w:val="24"/>
        </w:rPr>
        <w:t>6</w:t>
      </w:r>
      <w:r>
        <w:rPr>
          <w:rFonts w:hint="eastAsia" w:ascii="宋体" w:hAnsi="宋体" w:cs="宋体"/>
          <w:kern w:val="0"/>
          <w:sz w:val="24"/>
          <w:szCs w:val="24"/>
        </w:rPr>
        <w:t>）不可抗力的其他情形：</w:t>
      </w:r>
      <w:r>
        <w:rPr>
          <w:rFonts w:ascii="宋体" w:hAnsi="宋体" w:cs="宋体"/>
          <w:kern w:val="0"/>
          <w:sz w:val="24"/>
          <w:szCs w:val="24"/>
          <w:u w:val="single"/>
        </w:rPr>
        <w:t xml:space="preserve">                  </w:t>
      </w:r>
    </w:p>
    <w:p w14:paraId="77DE7913">
      <w:pPr>
        <w:keepNext/>
        <w:keepLines/>
        <w:spacing w:line="440" w:lineRule="exact"/>
        <w:rPr>
          <w:rFonts w:ascii="宋体" w:hAnsi="Calibri" w:eastAsia="黑体"/>
          <w:b/>
          <w:bCs/>
          <w:kern w:val="44"/>
          <w:sz w:val="24"/>
          <w:szCs w:val="24"/>
        </w:rPr>
      </w:pPr>
      <w:bookmarkStart w:id="1683" w:name="_Toc513212915"/>
      <w:bookmarkStart w:id="1684" w:name="_Toc234382943"/>
      <w:bookmarkStart w:id="1685" w:name="_Toc479265648"/>
      <w:bookmarkStart w:id="1686" w:name="_Toc513132395"/>
      <w:bookmarkStart w:id="1687" w:name="_Toc480282394"/>
      <w:bookmarkStart w:id="1688" w:name="_Toc488083628"/>
      <w:bookmarkStart w:id="1689" w:name="_Toc479237819"/>
      <w:bookmarkStart w:id="1690" w:name="_Toc3475630"/>
      <w:bookmarkStart w:id="1691" w:name="_Toc512689762"/>
      <w:r>
        <w:rPr>
          <w:rFonts w:hint="eastAsia" w:ascii="宋体" w:hAnsi="宋体" w:cs="宋体"/>
          <w:b/>
          <w:bCs/>
          <w:kern w:val="44"/>
          <w:sz w:val="24"/>
          <w:szCs w:val="24"/>
        </w:rPr>
        <w:t>22.1承包人违约</w:t>
      </w:r>
      <w:bookmarkEnd w:id="1683"/>
      <w:bookmarkEnd w:id="1684"/>
      <w:bookmarkEnd w:id="1685"/>
      <w:bookmarkEnd w:id="1686"/>
      <w:bookmarkEnd w:id="1687"/>
      <w:bookmarkEnd w:id="1688"/>
      <w:bookmarkEnd w:id="1689"/>
      <w:bookmarkEnd w:id="1690"/>
      <w:bookmarkEnd w:id="1691"/>
    </w:p>
    <w:p w14:paraId="329805C3">
      <w:pPr>
        <w:widowControl/>
        <w:tabs>
          <w:tab w:val="left" w:pos="3193"/>
        </w:tabs>
        <w:spacing w:line="440" w:lineRule="exact"/>
        <w:jc w:val="left"/>
        <w:rPr>
          <w:rFonts w:ascii="宋体"/>
          <w:kern w:val="0"/>
          <w:sz w:val="24"/>
          <w:szCs w:val="24"/>
          <w:u w:val="single"/>
        </w:rPr>
      </w:pPr>
      <w:r>
        <w:rPr>
          <w:rFonts w:ascii="宋体" w:hAnsi="宋体" w:cs="宋体"/>
          <w:kern w:val="0"/>
          <w:sz w:val="24"/>
          <w:szCs w:val="24"/>
        </w:rPr>
        <w:t>22.1.2</w:t>
      </w:r>
      <w:r>
        <w:rPr>
          <w:rFonts w:hint="eastAsia" w:ascii="宋体" w:hAnsi="宋体" w:cs="宋体"/>
          <w:kern w:val="0"/>
          <w:sz w:val="24"/>
          <w:szCs w:val="24"/>
        </w:rPr>
        <w:t>当承包人发生第</w:t>
      </w:r>
      <w:r>
        <w:rPr>
          <w:rFonts w:ascii="宋体" w:hAnsi="宋体" w:cs="宋体"/>
          <w:kern w:val="0"/>
          <w:sz w:val="24"/>
          <w:szCs w:val="24"/>
        </w:rPr>
        <w:t>22.1.1</w:t>
      </w:r>
      <w:r>
        <w:rPr>
          <w:rFonts w:hint="eastAsia" w:ascii="宋体" w:hAnsi="宋体" w:cs="宋体"/>
          <w:kern w:val="0"/>
          <w:sz w:val="24"/>
          <w:szCs w:val="24"/>
        </w:rPr>
        <w:t>项约定的违约情况时，发包人有权向承包人课以违约金，具体约定如下：</w:t>
      </w:r>
      <w:r>
        <w:rPr>
          <w:rFonts w:ascii="宋体" w:hAnsi="宋体" w:cs="宋体"/>
          <w:kern w:val="0"/>
          <w:sz w:val="24"/>
          <w:szCs w:val="24"/>
          <w:u w:val="single"/>
        </w:rPr>
        <w:t xml:space="preserve">                                                    </w:t>
      </w:r>
    </w:p>
    <w:p w14:paraId="7BC4462D">
      <w:pPr>
        <w:widowControl/>
        <w:tabs>
          <w:tab w:val="left" w:pos="3193"/>
        </w:tabs>
        <w:spacing w:line="440" w:lineRule="exact"/>
        <w:ind w:firstLine="480" w:firstLineChars="200"/>
        <w:jc w:val="left"/>
        <w:rPr>
          <w:rFonts w:ascii="宋体"/>
          <w:kern w:val="0"/>
          <w:sz w:val="24"/>
          <w:szCs w:val="24"/>
        </w:rPr>
      </w:pPr>
      <w:r>
        <w:rPr>
          <w:rFonts w:hint="eastAsia" w:ascii="宋体" w:hAnsi="宋体" w:cs="宋体"/>
          <w:kern w:val="0"/>
          <w:sz w:val="24"/>
          <w:szCs w:val="24"/>
        </w:rPr>
        <w:t>………</w:t>
      </w:r>
    </w:p>
    <w:p w14:paraId="35002BB0">
      <w:pPr>
        <w:widowControl/>
        <w:spacing w:line="360" w:lineRule="auto"/>
        <w:jc w:val="center"/>
        <w:rPr>
          <w:rFonts w:hint="eastAsia" w:ascii="宋体" w:hAnsi="宋体" w:cs="宋体"/>
          <w:b/>
          <w:bCs/>
          <w:kern w:val="44"/>
          <w:sz w:val="24"/>
          <w:szCs w:val="24"/>
        </w:rPr>
      </w:pPr>
      <w:r>
        <w:rPr>
          <w:rFonts w:ascii="宋体"/>
          <w:kern w:val="0"/>
          <w:sz w:val="24"/>
        </w:rPr>
        <w:br w:type="page"/>
      </w:r>
      <w:r>
        <w:rPr>
          <w:rFonts w:hint="eastAsia" w:ascii="宋体" w:hAnsi="宋体" w:cs="宋体"/>
          <w:b/>
          <w:bCs/>
          <w:kern w:val="44"/>
          <w:sz w:val="24"/>
          <w:szCs w:val="24"/>
        </w:rPr>
        <w:t>第三节 合同附件格式</w:t>
      </w:r>
    </w:p>
    <w:p w14:paraId="444B1D39">
      <w:pPr>
        <w:widowControl/>
        <w:spacing w:line="360" w:lineRule="auto"/>
        <w:jc w:val="left"/>
        <w:rPr>
          <w:rFonts w:ascii="宋体"/>
          <w:b/>
          <w:kern w:val="0"/>
          <w:sz w:val="24"/>
          <w:szCs w:val="24"/>
        </w:rPr>
      </w:pPr>
    </w:p>
    <w:p w14:paraId="0E414300">
      <w:pPr>
        <w:widowControl/>
        <w:spacing w:line="360" w:lineRule="auto"/>
        <w:ind w:left="420"/>
        <w:jc w:val="left"/>
        <w:rPr>
          <w:rFonts w:hint="eastAsia" w:ascii="宋体" w:hAnsi="宋体" w:cs="宋体"/>
          <w:b/>
          <w:bCs/>
          <w:kern w:val="44"/>
          <w:sz w:val="24"/>
          <w:szCs w:val="24"/>
        </w:rPr>
      </w:pPr>
      <w:r>
        <w:rPr>
          <w:rFonts w:hint="eastAsia" w:ascii="宋体" w:hAnsi="宋体" w:cs="宋体"/>
          <w:b/>
          <w:bCs/>
          <w:kern w:val="44"/>
          <w:sz w:val="24"/>
          <w:szCs w:val="24"/>
        </w:rPr>
        <w:t>附件一：合同协议书</w:t>
      </w:r>
    </w:p>
    <w:p w14:paraId="3E236345">
      <w:pPr>
        <w:widowControl/>
        <w:spacing w:line="360" w:lineRule="auto"/>
        <w:jc w:val="center"/>
        <w:rPr>
          <w:rFonts w:ascii="黑体" w:hAnsi="宋体" w:eastAsia="黑体"/>
          <w:b/>
          <w:kern w:val="0"/>
          <w:sz w:val="24"/>
          <w:szCs w:val="24"/>
        </w:rPr>
      </w:pPr>
      <w:r>
        <w:rPr>
          <w:rFonts w:hint="eastAsia" w:ascii="宋体" w:hAnsi="宋体" w:cs="宋体"/>
          <w:b/>
          <w:bCs/>
          <w:kern w:val="44"/>
          <w:sz w:val="24"/>
          <w:szCs w:val="24"/>
        </w:rPr>
        <w:t>合同协议书</w:t>
      </w:r>
    </w:p>
    <w:p w14:paraId="3AFF4C0B">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u w:val="single"/>
        </w:rPr>
        <w:t xml:space="preserve">        </w:t>
      </w:r>
      <w:r>
        <w:rPr>
          <w:rFonts w:ascii="宋体" w:hAnsi="宋体"/>
          <w:kern w:val="0"/>
          <w:sz w:val="24"/>
          <w:szCs w:val="24"/>
        </w:rPr>
        <w:t>（发包人名称，以下简称“发包人”）为实施</w:t>
      </w:r>
      <w:r>
        <w:rPr>
          <w:rFonts w:hint="eastAsia" w:ascii="宋体" w:hAnsi="宋体"/>
          <w:kern w:val="0"/>
          <w:sz w:val="24"/>
          <w:szCs w:val="24"/>
          <w:u w:val="single"/>
        </w:rPr>
        <w:t xml:space="preserve">                </w:t>
      </w:r>
      <w:r>
        <w:rPr>
          <w:rFonts w:ascii="宋体" w:hAnsi="宋体"/>
          <w:kern w:val="0"/>
          <w:sz w:val="24"/>
          <w:szCs w:val="24"/>
        </w:rPr>
        <w:t>（项目名称），已接受</w:t>
      </w:r>
      <w:r>
        <w:rPr>
          <w:rFonts w:hint="eastAsia" w:ascii="宋体" w:hAnsi="宋体"/>
          <w:kern w:val="0"/>
          <w:sz w:val="24"/>
          <w:szCs w:val="24"/>
          <w:u w:val="single"/>
        </w:rPr>
        <w:t xml:space="preserve">        </w:t>
      </w:r>
      <w:r>
        <w:rPr>
          <w:rFonts w:ascii="宋体" w:hAnsi="宋体"/>
          <w:kern w:val="0"/>
          <w:sz w:val="24"/>
          <w:szCs w:val="24"/>
        </w:rPr>
        <w:t>（承包人名称，以下简称“承包人”）对该项目</w:t>
      </w:r>
      <w:r>
        <w:rPr>
          <w:rFonts w:hint="eastAsia" w:ascii="宋体" w:hAnsi="宋体"/>
          <w:kern w:val="0"/>
          <w:sz w:val="24"/>
          <w:szCs w:val="24"/>
          <w:u w:val="single"/>
        </w:rPr>
        <w:t xml:space="preserve">    </w:t>
      </w:r>
      <w:r>
        <w:rPr>
          <w:rFonts w:ascii="宋体" w:hAnsi="宋体"/>
          <w:kern w:val="0"/>
          <w:sz w:val="24"/>
          <w:szCs w:val="24"/>
        </w:rPr>
        <w:t>标段施工的投标。 发包人和承包人共同达成如下协议。</w:t>
      </w:r>
    </w:p>
    <w:p w14:paraId="21AE5A3F">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1．第</w:t>
      </w:r>
      <w:r>
        <w:rPr>
          <w:rFonts w:hint="eastAsia" w:ascii="宋体" w:hAnsi="宋体"/>
          <w:kern w:val="0"/>
          <w:sz w:val="24"/>
          <w:szCs w:val="24"/>
          <w:u w:val="single"/>
        </w:rPr>
        <w:t xml:space="preserve">  </w:t>
      </w:r>
      <w:r>
        <w:rPr>
          <w:rFonts w:hint="eastAsia" w:ascii="宋体" w:hAnsi="宋体"/>
          <w:kern w:val="0"/>
          <w:sz w:val="24"/>
          <w:szCs w:val="24"/>
        </w:rPr>
        <w:t>标段由K</w:t>
      </w:r>
      <w:r>
        <w:rPr>
          <w:rFonts w:hint="eastAsia" w:ascii="宋体" w:hAnsi="宋体"/>
          <w:kern w:val="0"/>
          <w:sz w:val="24"/>
          <w:szCs w:val="24"/>
          <w:u w:val="single"/>
        </w:rPr>
        <w:t xml:space="preserve">   </w:t>
      </w:r>
      <w:r>
        <w:rPr>
          <w:rFonts w:hint="eastAsia" w:ascii="宋体" w:hAnsi="宋体"/>
          <w:kern w:val="0"/>
          <w:sz w:val="24"/>
          <w:szCs w:val="24"/>
        </w:rPr>
        <w:t>+</w:t>
      </w:r>
      <w:r>
        <w:rPr>
          <w:rFonts w:hint="eastAsia" w:ascii="宋体" w:hAnsi="宋体"/>
          <w:kern w:val="0"/>
          <w:sz w:val="24"/>
          <w:szCs w:val="24"/>
          <w:u w:val="single"/>
        </w:rPr>
        <w:t xml:space="preserve">    </w:t>
      </w:r>
      <w:r>
        <w:rPr>
          <w:rFonts w:hint="eastAsia" w:ascii="宋体" w:hAnsi="宋体"/>
          <w:kern w:val="0"/>
          <w:sz w:val="24"/>
          <w:szCs w:val="24"/>
        </w:rPr>
        <w:t>至K</w:t>
      </w:r>
      <w:r>
        <w:rPr>
          <w:rFonts w:hint="eastAsia" w:ascii="宋体" w:hAnsi="宋体"/>
          <w:kern w:val="0"/>
          <w:sz w:val="24"/>
          <w:szCs w:val="24"/>
          <w:u w:val="single"/>
        </w:rPr>
        <w:t xml:space="preserve">   </w:t>
      </w:r>
      <w:r>
        <w:rPr>
          <w:rFonts w:hint="eastAsia" w:ascii="宋体" w:hAnsi="宋体"/>
          <w:kern w:val="0"/>
          <w:sz w:val="24"/>
          <w:szCs w:val="24"/>
        </w:rPr>
        <w:t>+</w:t>
      </w:r>
      <w:r>
        <w:rPr>
          <w:rFonts w:hint="eastAsia" w:ascii="宋体" w:hAnsi="宋体"/>
          <w:kern w:val="0"/>
          <w:sz w:val="24"/>
          <w:szCs w:val="24"/>
          <w:u w:val="single"/>
        </w:rPr>
        <w:t xml:space="preserve">   </w:t>
      </w:r>
      <w:r>
        <w:rPr>
          <w:rFonts w:hint="eastAsia" w:ascii="宋体" w:hAnsi="宋体"/>
          <w:kern w:val="0"/>
          <w:sz w:val="24"/>
          <w:szCs w:val="24"/>
        </w:rPr>
        <w:t>，长约</w:t>
      </w:r>
      <w:r>
        <w:rPr>
          <w:rFonts w:hint="eastAsia" w:ascii="宋体" w:hAnsi="宋体"/>
          <w:kern w:val="0"/>
          <w:sz w:val="24"/>
          <w:szCs w:val="24"/>
          <w:u w:val="single"/>
        </w:rPr>
        <w:t xml:space="preserve">    </w:t>
      </w:r>
      <w:r>
        <w:rPr>
          <w:rFonts w:hint="eastAsia" w:ascii="宋体" w:hAnsi="宋体"/>
          <w:kern w:val="0"/>
          <w:sz w:val="24"/>
          <w:szCs w:val="24"/>
        </w:rPr>
        <w:t>km，公路等级为</w:t>
      </w:r>
      <w:r>
        <w:rPr>
          <w:rFonts w:hint="eastAsia" w:ascii="宋体" w:hAnsi="宋体"/>
          <w:kern w:val="0"/>
          <w:sz w:val="24"/>
          <w:szCs w:val="24"/>
          <w:u w:val="single"/>
        </w:rPr>
        <w:t xml:space="preserve">     </w:t>
      </w:r>
      <w:r>
        <w:rPr>
          <w:rFonts w:hint="eastAsia" w:ascii="宋体" w:hAnsi="宋体"/>
          <w:kern w:val="0"/>
          <w:sz w:val="24"/>
          <w:szCs w:val="24"/>
        </w:rPr>
        <w:t>，设计时速为</w:t>
      </w:r>
      <w:r>
        <w:rPr>
          <w:rFonts w:hint="eastAsia" w:ascii="宋体" w:hAnsi="宋体"/>
          <w:kern w:val="0"/>
          <w:sz w:val="24"/>
          <w:szCs w:val="24"/>
          <w:u w:val="single"/>
        </w:rPr>
        <w:t xml:space="preserve">   </w:t>
      </w:r>
      <w:r>
        <w:rPr>
          <w:rFonts w:hint="eastAsia" w:ascii="宋体" w:hAnsi="宋体"/>
          <w:kern w:val="0"/>
          <w:sz w:val="24"/>
          <w:szCs w:val="24"/>
        </w:rPr>
        <w:t>，</w:t>
      </w:r>
      <w:r>
        <w:rPr>
          <w:rFonts w:hint="eastAsia" w:ascii="宋体" w:hAnsi="宋体"/>
          <w:kern w:val="0"/>
          <w:sz w:val="24"/>
          <w:szCs w:val="24"/>
          <w:u w:val="single"/>
        </w:rPr>
        <w:t xml:space="preserve">  </w:t>
      </w:r>
      <w:r>
        <w:rPr>
          <w:rFonts w:hint="eastAsia" w:ascii="宋体" w:hAnsi="宋体"/>
          <w:kern w:val="0"/>
          <w:sz w:val="24"/>
          <w:szCs w:val="24"/>
        </w:rPr>
        <w:t>路面，有</w:t>
      </w:r>
      <w:r>
        <w:rPr>
          <w:rFonts w:hint="eastAsia" w:ascii="宋体" w:hAnsi="宋体"/>
          <w:kern w:val="0"/>
          <w:sz w:val="24"/>
          <w:szCs w:val="24"/>
          <w:u w:val="single"/>
        </w:rPr>
        <w:t xml:space="preserve">  </w:t>
      </w:r>
      <w:r>
        <w:rPr>
          <w:rFonts w:hint="eastAsia" w:ascii="宋体" w:hAnsi="宋体"/>
          <w:kern w:val="0"/>
          <w:sz w:val="24"/>
          <w:szCs w:val="24"/>
        </w:rPr>
        <w:t>立交</w:t>
      </w:r>
      <w:r>
        <w:rPr>
          <w:rFonts w:hint="eastAsia" w:ascii="宋体" w:hAnsi="宋体"/>
          <w:kern w:val="0"/>
          <w:sz w:val="24"/>
          <w:szCs w:val="24"/>
          <w:u w:val="single"/>
        </w:rPr>
        <w:t xml:space="preserve">  </w:t>
      </w:r>
      <w:r>
        <w:rPr>
          <w:rFonts w:hint="eastAsia" w:ascii="宋体" w:hAnsi="宋体"/>
          <w:kern w:val="0"/>
          <w:sz w:val="24"/>
          <w:szCs w:val="24"/>
        </w:rPr>
        <w:t>处；特大桥</w:t>
      </w:r>
      <w:r>
        <w:rPr>
          <w:rFonts w:hint="eastAsia" w:ascii="宋体" w:hAnsi="宋体"/>
          <w:kern w:val="0"/>
          <w:sz w:val="24"/>
          <w:szCs w:val="24"/>
          <w:u w:val="single"/>
        </w:rPr>
        <w:t xml:space="preserve">   </w:t>
      </w:r>
      <w:r>
        <w:rPr>
          <w:rFonts w:hint="eastAsia" w:ascii="宋体" w:hAnsi="宋体"/>
          <w:kern w:val="0"/>
          <w:sz w:val="24"/>
          <w:szCs w:val="24"/>
        </w:rPr>
        <w:t>座，计长</w:t>
      </w:r>
      <w:r>
        <w:rPr>
          <w:rFonts w:hint="eastAsia" w:ascii="宋体" w:hAnsi="宋体"/>
          <w:kern w:val="0"/>
          <w:sz w:val="24"/>
          <w:szCs w:val="24"/>
          <w:u w:val="single"/>
        </w:rPr>
        <w:t xml:space="preserve">   </w:t>
      </w:r>
      <w:r>
        <w:rPr>
          <w:rFonts w:hint="eastAsia" w:ascii="宋体" w:hAnsi="宋体"/>
          <w:kern w:val="0"/>
          <w:sz w:val="24"/>
          <w:szCs w:val="24"/>
        </w:rPr>
        <w:t>m；大中桥</w:t>
      </w:r>
      <w:r>
        <w:rPr>
          <w:rFonts w:hint="eastAsia" w:ascii="宋体" w:hAnsi="宋体"/>
          <w:kern w:val="0"/>
          <w:sz w:val="24"/>
          <w:szCs w:val="24"/>
          <w:u w:val="single"/>
        </w:rPr>
        <w:t xml:space="preserve">  </w:t>
      </w:r>
      <w:r>
        <w:rPr>
          <w:rFonts w:hint="eastAsia" w:ascii="宋体" w:hAnsi="宋体"/>
          <w:kern w:val="0"/>
          <w:sz w:val="24"/>
          <w:szCs w:val="24"/>
        </w:rPr>
        <w:t>座，计长</w:t>
      </w:r>
      <w:r>
        <w:rPr>
          <w:rFonts w:hint="eastAsia" w:ascii="宋体" w:hAnsi="宋体"/>
          <w:kern w:val="0"/>
          <w:sz w:val="24"/>
          <w:szCs w:val="24"/>
          <w:u w:val="single"/>
        </w:rPr>
        <w:t xml:space="preserve">    </w:t>
      </w:r>
      <w:r>
        <w:rPr>
          <w:rFonts w:hint="eastAsia" w:ascii="宋体" w:hAnsi="宋体"/>
          <w:kern w:val="0"/>
          <w:sz w:val="24"/>
          <w:szCs w:val="24"/>
        </w:rPr>
        <w:t>m；隧道</w:t>
      </w:r>
      <w:r>
        <w:rPr>
          <w:rFonts w:hint="eastAsia" w:ascii="宋体" w:hAnsi="宋体"/>
          <w:kern w:val="0"/>
          <w:sz w:val="24"/>
          <w:szCs w:val="24"/>
          <w:u w:val="single"/>
        </w:rPr>
        <w:t xml:space="preserve">    </w:t>
      </w:r>
      <w:r>
        <w:rPr>
          <w:rFonts w:hint="eastAsia" w:ascii="宋体" w:hAnsi="宋体"/>
          <w:kern w:val="0"/>
          <w:sz w:val="24"/>
          <w:szCs w:val="24"/>
        </w:rPr>
        <w:t>座，计长</w:t>
      </w:r>
      <w:r>
        <w:rPr>
          <w:rFonts w:hint="eastAsia" w:ascii="宋体" w:hAnsi="宋体"/>
          <w:kern w:val="0"/>
          <w:sz w:val="24"/>
          <w:szCs w:val="24"/>
          <w:u w:val="single"/>
        </w:rPr>
        <w:t xml:space="preserve">    </w:t>
      </w:r>
      <w:r>
        <w:rPr>
          <w:rFonts w:hint="eastAsia" w:ascii="宋体" w:hAnsi="宋体"/>
          <w:kern w:val="0"/>
          <w:sz w:val="24"/>
          <w:szCs w:val="24"/>
        </w:rPr>
        <w:t>m以及其他构造物工程等。</w:t>
      </w:r>
    </w:p>
    <w:p w14:paraId="42BC6811">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2</w:t>
      </w:r>
      <w:r>
        <w:rPr>
          <w:rFonts w:ascii="宋体" w:hAnsi="宋体"/>
          <w:kern w:val="0"/>
          <w:sz w:val="24"/>
          <w:szCs w:val="24"/>
        </w:rPr>
        <w:t xml:space="preserve">. </w:t>
      </w:r>
      <w:r>
        <w:rPr>
          <w:rFonts w:hint="eastAsia" w:ascii="宋体" w:hAnsi="宋体"/>
          <w:kern w:val="0"/>
          <w:sz w:val="24"/>
          <w:szCs w:val="24"/>
        </w:rPr>
        <w:t>下列文件应视为构成合同文件的组成部分</w:t>
      </w:r>
      <w:r>
        <w:rPr>
          <w:rFonts w:ascii="宋体" w:hAnsi="宋体"/>
          <w:kern w:val="0"/>
          <w:sz w:val="24"/>
          <w:szCs w:val="24"/>
        </w:rPr>
        <w:t>：</w:t>
      </w:r>
    </w:p>
    <w:p w14:paraId="6A726D3E">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（1）本协议书及各种合同附件（含评标期间和合同谈判过程中的澄清文件和补充资料）；</w:t>
      </w:r>
    </w:p>
    <w:p w14:paraId="0BCDC619">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（2）中标通知书；</w:t>
      </w:r>
    </w:p>
    <w:p w14:paraId="758B0F53">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（3）补遗书；</w:t>
      </w:r>
    </w:p>
    <w:p w14:paraId="2AFC16EB">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（4）投标函及投标函附录；</w:t>
      </w:r>
    </w:p>
    <w:p w14:paraId="74701B19">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（5）项目专用合同条款；</w:t>
      </w:r>
    </w:p>
    <w:p w14:paraId="5AD6D378">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（6）公路工程专用合同条款；</w:t>
      </w:r>
    </w:p>
    <w:p w14:paraId="16A4B9D9">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（7）通用合同条款；</w:t>
      </w:r>
    </w:p>
    <w:p w14:paraId="301C960E">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（8）技术规范；</w:t>
      </w:r>
    </w:p>
    <w:p w14:paraId="2378C325">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（9）图纸；</w:t>
      </w:r>
    </w:p>
    <w:p w14:paraId="2C80A7DA">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（10）已标价工程量清单；</w:t>
      </w:r>
    </w:p>
    <w:p w14:paraId="1AE8D14D">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（11）承包人有关人员、设备投入的承诺及投标文件中的施工组织设计；</w:t>
      </w:r>
    </w:p>
    <w:p w14:paraId="72DCB379">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（12）其他合同文件。</w:t>
      </w:r>
    </w:p>
    <w:p w14:paraId="0F1AA325">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3</w:t>
      </w:r>
      <w:r>
        <w:rPr>
          <w:rFonts w:ascii="宋体" w:hAnsi="宋体"/>
          <w:kern w:val="0"/>
          <w:sz w:val="24"/>
          <w:szCs w:val="24"/>
        </w:rPr>
        <w:t>. 上述文件互相补充和解释，如有不明确或不一致之处，以合同约定次序在先者为准。</w:t>
      </w:r>
    </w:p>
    <w:p w14:paraId="41E734C6">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4</w:t>
      </w:r>
      <w:r>
        <w:rPr>
          <w:rFonts w:ascii="宋体" w:hAnsi="宋体"/>
          <w:kern w:val="0"/>
          <w:sz w:val="24"/>
          <w:szCs w:val="24"/>
        </w:rPr>
        <w:t xml:space="preserve">. </w:t>
      </w:r>
      <w:r>
        <w:rPr>
          <w:rFonts w:hint="eastAsia" w:ascii="宋体" w:hAnsi="宋体"/>
          <w:kern w:val="0"/>
          <w:sz w:val="24"/>
          <w:szCs w:val="24"/>
        </w:rPr>
        <w:t>根据工程量清单所列的预计数量和单价或总额价计算的签约</w:t>
      </w:r>
      <w:r>
        <w:rPr>
          <w:rFonts w:ascii="宋体" w:hAnsi="宋体"/>
          <w:kern w:val="0"/>
          <w:sz w:val="24"/>
          <w:szCs w:val="24"/>
        </w:rPr>
        <w:t>合同价：人民币（大写）</w:t>
      </w:r>
      <w:r>
        <w:rPr>
          <w:rFonts w:hint="eastAsia" w:ascii="宋体" w:hAnsi="宋体"/>
          <w:kern w:val="0"/>
          <w:sz w:val="24"/>
          <w:szCs w:val="24"/>
          <w:u w:val="single"/>
        </w:rPr>
        <w:t xml:space="preserve">        </w:t>
      </w:r>
      <w:r>
        <w:rPr>
          <w:rFonts w:ascii="宋体" w:hAnsi="宋体"/>
          <w:kern w:val="0"/>
          <w:sz w:val="24"/>
          <w:szCs w:val="24"/>
        </w:rPr>
        <w:t>元（¥</w:t>
      </w:r>
      <w:r>
        <w:rPr>
          <w:rFonts w:hint="eastAsia" w:ascii="宋体" w:hAnsi="宋体"/>
          <w:kern w:val="0"/>
          <w:sz w:val="24"/>
          <w:szCs w:val="24"/>
          <w:u w:val="single"/>
        </w:rPr>
        <w:t xml:space="preserve">        </w:t>
      </w:r>
      <w:r>
        <w:rPr>
          <w:rFonts w:ascii="宋体" w:hAnsi="宋体"/>
          <w:kern w:val="0"/>
          <w:sz w:val="24"/>
          <w:szCs w:val="24"/>
        </w:rPr>
        <w:t>）。</w:t>
      </w:r>
    </w:p>
    <w:p w14:paraId="5310F1FE">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5</w:t>
      </w:r>
      <w:r>
        <w:rPr>
          <w:rFonts w:ascii="宋体" w:hAnsi="宋体"/>
          <w:kern w:val="0"/>
          <w:sz w:val="24"/>
          <w:szCs w:val="24"/>
        </w:rPr>
        <w:t>. 承包人项目负责人：</w:t>
      </w:r>
      <w:r>
        <w:rPr>
          <w:rFonts w:hint="eastAsia" w:ascii="宋体" w:hAnsi="宋体"/>
          <w:kern w:val="0"/>
          <w:sz w:val="24"/>
          <w:szCs w:val="24"/>
          <w:u w:val="single"/>
        </w:rPr>
        <w:t xml:space="preserve">        </w:t>
      </w:r>
      <w:r>
        <w:rPr>
          <w:rFonts w:ascii="宋体" w:hAnsi="宋体"/>
          <w:kern w:val="0"/>
          <w:sz w:val="24"/>
          <w:szCs w:val="24"/>
        </w:rPr>
        <w:t>。</w:t>
      </w:r>
    </w:p>
    <w:p w14:paraId="58976EEC">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6</w:t>
      </w:r>
      <w:r>
        <w:rPr>
          <w:rFonts w:ascii="宋体" w:hAnsi="宋体"/>
          <w:kern w:val="0"/>
          <w:sz w:val="24"/>
          <w:szCs w:val="24"/>
        </w:rPr>
        <w:t>. 工程质量符合</w:t>
      </w:r>
      <w:r>
        <w:rPr>
          <w:rFonts w:hint="eastAsia" w:ascii="宋体" w:hAnsi="宋体"/>
          <w:kern w:val="0"/>
          <w:sz w:val="24"/>
          <w:szCs w:val="24"/>
          <w:u w:val="single"/>
        </w:rPr>
        <w:t xml:space="preserve">        </w:t>
      </w:r>
      <w:r>
        <w:rPr>
          <w:rFonts w:ascii="宋体" w:hAnsi="宋体"/>
          <w:kern w:val="0"/>
          <w:sz w:val="24"/>
          <w:szCs w:val="24"/>
        </w:rPr>
        <w:t>标准。</w:t>
      </w:r>
    </w:p>
    <w:p w14:paraId="529872AC">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7</w:t>
      </w:r>
      <w:r>
        <w:rPr>
          <w:rFonts w:ascii="宋体" w:hAnsi="宋体"/>
          <w:kern w:val="0"/>
          <w:sz w:val="24"/>
          <w:szCs w:val="24"/>
        </w:rPr>
        <w:t>. 承包人承诺按合同约定承担工程的实施、完成及缺陷修复。</w:t>
      </w:r>
    </w:p>
    <w:p w14:paraId="6647B31D">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8</w:t>
      </w:r>
      <w:r>
        <w:rPr>
          <w:rFonts w:ascii="宋体" w:hAnsi="宋体"/>
          <w:kern w:val="0"/>
          <w:sz w:val="24"/>
          <w:szCs w:val="24"/>
        </w:rPr>
        <w:t>. 发包人承诺按合同约定的条件、时间和方式向承包人支付合同价款。</w:t>
      </w:r>
    </w:p>
    <w:p w14:paraId="4ECE1DDE">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9</w:t>
      </w:r>
      <w:r>
        <w:rPr>
          <w:rFonts w:ascii="宋体" w:hAnsi="宋体"/>
          <w:kern w:val="0"/>
          <w:sz w:val="24"/>
          <w:szCs w:val="24"/>
        </w:rPr>
        <w:t>. 承包人应按照监理人指示开工，工期为</w:t>
      </w:r>
      <w:r>
        <w:rPr>
          <w:rFonts w:hint="eastAsia" w:ascii="宋体" w:hAnsi="宋体"/>
          <w:kern w:val="0"/>
          <w:sz w:val="24"/>
          <w:szCs w:val="24"/>
          <w:u w:val="single"/>
        </w:rPr>
        <w:t xml:space="preserve">      </w:t>
      </w:r>
      <w:r>
        <w:rPr>
          <w:rFonts w:hint="eastAsia" w:ascii="宋体" w:hAnsi="宋体"/>
          <w:kern w:val="0"/>
          <w:sz w:val="24"/>
          <w:szCs w:val="24"/>
        </w:rPr>
        <w:t>月</w:t>
      </w:r>
      <w:r>
        <w:rPr>
          <w:rFonts w:ascii="宋体" w:hAnsi="宋体"/>
          <w:kern w:val="0"/>
          <w:sz w:val="24"/>
          <w:szCs w:val="24"/>
        </w:rPr>
        <w:t>。</w:t>
      </w:r>
    </w:p>
    <w:p w14:paraId="24EAD176">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10. 本协议书在承包人提供履约担保后，由双方法定代表人或其委托代理人签署并加盖单位章后生效。全部工程完工后经竣交工验收合格、缺陷责任期满签发缺陷责任终止证书后生效。</w:t>
      </w:r>
    </w:p>
    <w:p w14:paraId="2CE6C7B6">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11．本协议书正本二份、副本</w:t>
      </w:r>
      <w:r>
        <w:rPr>
          <w:rFonts w:hint="eastAsia" w:ascii="宋体" w:hAnsi="宋体"/>
          <w:kern w:val="0"/>
          <w:sz w:val="24"/>
          <w:szCs w:val="24"/>
          <w:u w:val="single"/>
        </w:rPr>
        <w:t xml:space="preserve">   </w:t>
      </w:r>
      <w:r>
        <w:rPr>
          <w:rFonts w:hint="eastAsia" w:ascii="宋体" w:hAnsi="宋体"/>
          <w:kern w:val="0"/>
          <w:sz w:val="24"/>
          <w:szCs w:val="24"/>
        </w:rPr>
        <w:t>份，合同双方各执正本一份，副本</w:t>
      </w:r>
      <w:r>
        <w:rPr>
          <w:rFonts w:hint="eastAsia" w:ascii="宋体" w:hAnsi="宋体"/>
          <w:kern w:val="0"/>
          <w:sz w:val="24"/>
          <w:szCs w:val="24"/>
          <w:u w:val="single"/>
        </w:rPr>
        <w:t xml:space="preserve">   </w:t>
      </w:r>
      <w:r>
        <w:rPr>
          <w:rFonts w:hint="eastAsia" w:ascii="宋体" w:hAnsi="宋体"/>
          <w:kern w:val="0"/>
          <w:sz w:val="24"/>
          <w:szCs w:val="24"/>
        </w:rPr>
        <w:t>份，当正本与副本的内容不一致时，以正本为准。</w:t>
      </w:r>
    </w:p>
    <w:p w14:paraId="1CA8FA04">
      <w:pPr>
        <w:widowControl/>
        <w:spacing w:line="440" w:lineRule="exact"/>
        <w:ind w:firstLine="480" w:firstLineChars="200"/>
        <w:jc w:val="left"/>
        <w:rPr>
          <w:rFonts w:ascii="宋体" w:hAnsi="宋体"/>
          <w:kern w:val="0"/>
          <w:sz w:val="24"/>
          <w:szCs w:val="24"/>
        </w:rPr>
      </w:pPr>
      <w:r>
        <w:rPr>
          <w:rFonts w:ascii="宋体" w:hAnsi="宋体"/>
          <w:kern w:val="0"/>
          <w:sz w:val="24"/>
          <w:szCs w:val="24"/>
        </w:rPr>
        <w:t>1</w:t>
      </w:r>
      <w:r>
        <w:rPr>
          <w:rFonts w:hint="eastAsia" w:ascii="宋体" w:hAnsi="宋体"/>
          <w:kern w:val="0"/>
          <w:sz w:val="24"/>
          <w:szCs w:val="24"/>
        </w:rPr>
        <w:t>2</w:t>
      </w:r>
      <w:r>
        <w:rPr>
          <w:rFonts w:ascii="宋体" w:hAnsi="宋体"/>
          <w:kern w:val="0"/>
          <w:sz w:val="24"/>
          <w:szCs w:val="24"/>
        </w:rPr>
        <w:t>.合同未尽事宜，双方另行签订补充协议。补充协议是合同的组成部分。</w:t>
      </w:r>
    </w:p>
    <w:p w14:paraId="17AB131D">
      <w:pPr>
        <w:widowControl/>
        <w:spacing w:line="440" w:lineRule="exact"/>
        <w:jc w:val="left"/>
        <w:rPr>
          <w:rFonts w:ascii="宋体" w:hAnsi="宋体"/>
          <w:kern w:val="0"/>
          <w:sz w:val="24"/>
          <w:szCs w:val="24"/>
        </w:rPr>
      </w:pPr>
    </w:p>
    <w:p w14:paraId="3F54D228">
      <w:pPr>
        <w:widowControl/>
        <w:spacing w:after="200" w:line="440" w:lineRule="exact"/>
        <w:ind w:firstLine="972" w:firstLineChars="405"/>
        <w:jc w:val="left"/>
        <w:rPr>
          <w:rFonts w:ascii="宋体" w:hAnsi="宋体"/>
          <w:kern w:val="0"/>
          <w:sz w:val="24"/>
          <w:szCs w:val="24"/>
        </w:rPr>
      </w:pPr>
    </w:p>
    <w:p w14:paraId="57DC8A59">
      <w:pPr>
        <w:widowControl/>
        <w:spacing w:after="200" w:line="440" w:lineRule="exact"/>
        <w:ind w:firstLine="566" w:firstLineChars="236"/>
        <w:jc w:val="left"/>
        <w:rPr>
          <w:rFonts w:ascii="宋体" w:hAnsi="宋体"/>
          <w:kern w:val="0"/>
          <w:sz w:val="24"/>
          <w:szCs w:val="24"/>
        </w:rPr>
      </w:pPr>
      <w:r>
        <w:rPr>
          <w:rFonts w:ascii="宋体" w:hAnsi="宋体"/>
          <w:kern w:val="0"/>
          <w:sz w:val="24"/>
          <w:szCs w:val="24"/>
        </w:rPr>
        <w:t>发包人：</w:t>
      </w:r>
      <w:r>
        <w:rPr>
          <w:rFonts w:hint="eastAsia" w:ascii="宋体" w:hAnsi="宋体"/>
          <w:kern w:val="0"/>
          <w:sz w:val="24"/>
          <w:szCs w:val="24"/>
          <w:u w:val="single"/>
        </w:rPr>
        <w:t xml:space="preserve">               </w:t>
      </w:r>
      <w:r>
        <w:rPr>
          <w:rFonts w:ascii="宋体" w:hAnsi="宋体"/>
          <w:kern w:val="0"/>
          <w:sz w:val="24"/>
          <w:szCs w:val="24"/>
        </w:rPr>
        <w:t>（盖单位章）</w:t>
      </w:r>
      <w:r>
        <w:rPr>
          <w:rFonts w:hint="eastAsia" w:ascii="宋体" w:hAnsi="宋体"/>
          <w:kern w:val="0"/>
          <w:sz w:val="24"/>
          <w:szCs w:val="24"/>
        </w:rPr>
        <w:t xml:space="preserve">  </w:t>
      </w:r>
      <w:r>
        <w:rPr>
          <w:rFonts w:ascii="宋体" w:hAnsi="宋体"/>
          <w:kern w:val="0"/>
          <w:sz w:val="24"/>
          <w:szCs w:val="24"/>
        </w:rPr>
        <w:t>承包人：</w:t>
      </w:r>
      <w:r>
        <w:rPr>
          <w:rFonts w:hint="eastAsia" w:ascii="宋体" w:hAnsi="宋体"/>
          <w:kern w:val="0"/>
          <w:sz w:val="24"/>
          <w:szCs w:val="24"/>
          <w:u w:val="single"/>
        </w:rPr>
        <w:t xml:space="preserve">               </w:t>
      </w:r>
      <w:r>
        <w:rPr>
          <w:rFonts w:ascii="宋体" w:hAnsi="宋体"/>
          <w:kern w:val="0"/>
          <w:sz w:val="24"/>
          <w:szCs w:val="24"/>
        </w:rPr>
        <w:t xml:space="preserve">（盖单位章） </w:t>
      </w:r>
    </w:p>
    <w:p w14:paraId="62057601">
      <w:pPr>
        <w:widowControl/>
        <w:spacing w:after="200" w:line="440" w:lineRule="exact"/>
        <w:ind w:firstLine="566" w:firstLineChars="236"/>
        <w:jc w:val="left"/>
        <w:rPr>
          <w:rFonts w:ascii="宋体" w:hAnsi="宋体"/>
          <w:kern w:val="0"/>
          <w:sz w:val="24"/>
          <w:szCs w:val="24"/>
        </w:rPr>
      </w:pPr>
      <w:r>
        <w:rPr>
          <w:rFonts w:ascii="宋体" w:hAnsi="宋体"/>
          <w:kern w:val="0"/>
          <w:sz w:val="24"/>
          <w:szCs w:val="24"/>
        </w:rPr>
        <w:t>法定代表人或其委托代理人：</w:t>
      </w:r>
      <w:r>
        <w:rPr>
          <w:rFonts w:hint="eastAsia" w:ascii="宋体" w:hAnsi="宋体"/>
          <w:kern w:val="0"/>
          <w:sz w:val="24"/>
          <w:szCs w:val="24"/>
          <w:u w:val="single"/>
        </w:rPr>
        <w:t xml:space="preserve"> </w:t>
      </w:r>
      <w:r>
        <w:rPr>
          <w:rFonts w:hint="eastAsia" w:ascii="宋体" w:hAnsi="宋体"/>
          <w:kern w:val="0"/>
          <w:sz w:val="24"/>
          <w:szCs w:val="24"/>
        </w:rPr>
        <w:t>（</w:t>
      </w:r>
      <w:r>
        <w:rPr>
          <w:rFonts w:ascii="宋体" w:hAnsi="宋体"/>
          <w:kern w:val="0"/>
          <w:sz w:val="24"/>
          <w:szCs w:val="24"/>
        </w:rPr>
        <w:t>签字）</w:t>
      </w:r>
      <w:r>
        <w:rPr>
          <w:rFonts w:hint="eastAsia" w:ascii="宋体" w:hAnsi="宋体"/>
          <w:kern w:val="0"/>
          <w:sz w:val="24"/>
          <w:szCs w:val="24"/>
        </w:rPr>
        <w:t xml:space="preserve">  </w:t>
      </w:r>
      <w:r>
        <w:rPr>
          <w:rFonts w:ascii="宋体" w:hAnsi="宋体"/>
          <w:kern w:val="0"/>
          <w:sz w:val="24"/>
          <w:szCs w:val="24"/>
        </w:rPr>
        <w:t>法定代表人或其委托代理人：</w:t>
      </w:r>
      <w:r>
        <w:rPr>
          <w:rFonts w:hint="eastAsia" w:ascii="宋体" w:hAnsi="宋体"/>
          <w:kern w:val="0"/>
          <w:sz w:val="24"/>
          <w:szCs w:val="24"/>
          <w:u w:val="single"/>
        </w:rPr>
        <w:t xml:space="preserve">  </w:t>
      </w:r>
      <w:r>
        <w:rPr>
          <w:rFonts w:ascii="宋体" w:hAnsi="宋体"/>
          <w:kern w:val="0"/>
          <w:sz w:val="24"/>
          <w:szCs w:val="24"/>
        </w:rPr>
        <w:t>（签字）</w:t>
      </w:r>
    </w:p>
    <w:p w14:paraId="6776639C">
      <w:pPr>
        <w:widowControl/>
        <w:spacing w:after="200" w:line="440" w:lineRule="exact"/>
        <w:ind w:firstLine="566" w:firstLineChars="236"/>
        <w:jc w:val="left"/>
        <w:rPr>
          <w:rFonts w:ascii="宋体" w:hAnsi="宋体"/>
          <w:kern w:val="0"/>
          <w:sz w:val="24"/>
          <w:szCs w:val="24"/>
          <w:lang w:eastAsia="en-US"/>
        </w:rPr>
      </w:pPr>
      <w:r>
        <w:rPr>
          <w:rFonts w:hint="eastAsia" w:ascii="宋体" w:hAnsi="宋体"/>
          <w:kern w:val="0"/>
          <w:sz w:val="24"/>
          <w:szCs w:val="24"/>
        </w:rPr>
        <w:t xml:space="preserve">   </w:t>
      </w:r>
      <w:r>
        <w:rPr>
          <w:rFonts w:hint="eastAsia" w:ascii="宋体" w:hAnsi="宋体"/>
          <w:kern w:val="0"/>
          <w:sz w:val="24"/>
          <w:szCs w:val="24"/>
          <w:u w:val="single"/>
        </w:rPr>
        <w:t xml:space="preserve">      </w:t>
      </w:r>
      <w:r>
        <w:rPr>
          <w:rFonts w:ascii="宋体" w:hAnsi="宋体"/>
          <w:kern w:val="0"/>
          <w:sz w:val="24"/>
          <w:szCs w:val="24"/>
          <w:lang w:eastAsia="en-US"/>
        </w:rPr>
        <w:t>年</w:t>
      </w:r>
      <w:r>
        <w:rPr>
          <w:rFonts w:hint="eastAsia" w:ascii="宋体" w:hAnsi="宋体"/>
          <w:kern w:val="0"/>
          <w:sz w:val="24"/>
          <w:szCs w:val="24"/>
          <w:u w:val="single"/>
          <w:lang w:eastAsia="en-US"/>
        </w:rPr>
        <w:t xml:space="preserve">    </w:t>
      </w:r>
      <w:r>
        <w:rPr>
          <w:rFonts w:ascii="宋体" w:hAnsi="宋体"/>
          <w:kern w:val="0"/>
          <w:sz w:val="24"/>
          <w:szCs w:val="24"/>
          <w:lang w:eastAsia="en-US"/>
        </w:rPr>
        <w:t>月</w:t>
      </w:r>
      <w:r>
        <w:rPr>
          <w:rFonts w:hint="eastAsia" w:ascii="宋体" w:hAnsi="宋体"/>
          <w:kern w:val="0"/>
          <w:sz w:val="24"/>
          <w:szCs w:val="24"/>
          <w:u w:val="single"/>
          <w:lang w:eastAsia="en-US"/>
        </w:rPr>
        <w:t xml:space="preserve">    </w:t>
      </w:r>
      <w:r>
        <w:rPr>
          <w:rFonts w:ascii="宋体" w:hAnsi="宋体"/>
          <w:kern w:val="0"/>
          <w:sz w:val="24"/>
          <w:szCs w:val="24"/>
          <w:lang w:eastAsia="en-US"/>
        </w:rPr>
        <w:t>日</w:t>
      </w:r>
      <w:r>
        <w:rPr>
          <w:rFonts w:hint="eastAsia" w:ascii="宋体" w:hAnsi="宋体"/>
          <w:kern w:val="0"/>
          <w:sz w:val="24"/>
          <w:szCs w:val="24"/>
          <w:lang w:eastAsia="en-US"/>
        </w:rPr>
        <w:t xml:space="preserve">                       </w:t>
      </w:r>
      <w:r>
        <w:rPr>
          <w:rFonts w:hint="eastAsia" w:ascii="宋体" w:hAnsi="宋体"/>
          <w:kern w:val="0"/>
          <w:sz w:val="24"/>
          <w:szCs w:val="24"/>
          <w:u w:val="single"/>
          <w:lang w:eastAsia="en-US"/>
        </w:rPr>
        <w:t xml:space="preserve">      </w:t>
      </w:r>
      <w:r>
        <w:rPr>
          <w:rFonts w:ascii="宋体" w:hAnsi="宋体"/>
          <w:kern w:val="0"/>
          <w:sz w:val="24"/>
          <w:szCs w:val="24"/>
          <w:lang w:eastAsia="en-US"/>
        </w:rPr>
        <w:t>年</w:t>
      </w:r>
      <w:r>
        <w:rPr>
          <w:rFonts w:hint="eastAsia" w:ascii="宋体" w:hAnsi="宋体"/>
          <w:kern w:val="0"/>
          <w:sz w:val="24"/>
          <w:szCs w:val="24"/>
          <w:u w:val="single"/>
          <w:lang w:eastAsia="en-US"/>
        </w:rPr>
        <w:t xml:space="preserve">    </w:t>
      </w:r>
      <w:r>
        <w:rPr>
          <w:rFonts w:ascii="宋体" w:hAnsi="宋体"/>
          <w:kern w:val="0"/>
          <w:sz w:val="24"/>
          <w:szCs w:val="24"/>
          <w:lang w:eastAsia="en-US"/>
        </w:rPr>
        <w:t>月</w:t>
      </w:r>
      <w:r>
        <w:rPr>
          <w:rFonts w:hint="eastAsia" w:ascii="宋体" w:hAnsi="宋体"/>
          <w:kern w:val="0"/>
          <w:sz w:val="24"/>
          <w:szCs w:val="24"/>
          <w:u w:val="single"/>
          <w:lang w:eastAsia="en-US"/>
        </w:rPr>
        <w:t xml:space="preserve">    </w:t>
      </w:r>
      <w:r>
        <w:rPr>
          <w:rFonts w:ascii="宋体" w:hAnsi="宋体"/>
          <w:kern w:val="0"/>
          <w:sz w:val="24"/>
          <w:szCs w:val="24"/>
          <w:lang w:eastAsia="en-US"/>
        </w:rPr>
        <w:t>日</w:t>
      </w:r>
    </w:p>
    <w:p w14:paraId="431BB727">
      <w:pPr>
        <w:keepNext/>
        <w:keepLines/>
        <w:spacing w:before="120" w:beforeLines="50" w:after="120" w:afterLines="50" w:line="400" w:lineRule="exact"/>
        <w:jc w:val="center"/>
        <w:rPr>
          <w:rFonts w:ascii="宋体" w:hAnsi="宋体" w:eastAsia="黑体"/>
          <w:b/>
          <w:bCs/>
          <w:kern w:val="44"/>
          <w:sz w:val="24"/>
          <w:szCs w:val="24"/>
          <w:lang w:eastAsia="en-US"/>
        </w:rPr>
      </w:pPr>
    </w:p>
    <w:p w14:paraId="6DFEA09A">
      <w:pPr>
        <w:widowControl/>
        <w:jc w:val="left"/>
        <w:rPr>
          <w:rFonts w:ascii="宋体" w:eastAsia="黑体"/>
          <w:bCs/>
          <w:kern w:val="44"/>
          <w:sz w:val="24"/>
        </w:rPr>
      </w:pPr>
      <w:r>
        <w:rPr>
          <w:rFonts w:ascii="宋体" w:eastAsia="黑体"/>
          <w:bCs/>
          <w:kern w:val="44"/>
          <w:sz w:val="24"/>
        </w:rPr>
        <w:br w:type="page"/>
      </w:r>
    </w:p>
    <w:p w14:paraId="32CC9BCF">
      <w:pPr>
        <w:widowControl/>
        <w:spacing w:after="200" w:line="276" w:lineRule="auto"/>
        <w:jc w:val="left"/>
        <w:rPr>
          <w:rFonts w:hint="eastAsia" w:ascii="宋体" w:hAnsi="宋体" w:cs="宋体"/>
          <w:b/>
          <w:bCs/>
          <w:kern w:val="44"/>
          <w:sz w:val="24"/>
        </w:rPr>
      </w:pPr>
      <w:bookmarkStart w:id="1692" w:name="_Toc512689763"/>
      <w:bookmarkStart w:id="1693" w:name="_Toc513132396"/>
      <w:bookmarkStart w:id="1694" w:name="_Toc513212916"/>
      <w:bookmarkStart w:id="1695" w:name="_Toc234382945"/>
      <w:r>
        <w:rPr>
          <w:rFonts w:hint="eastAsia" w:ascii="宋体" w:hAnsi="宋体" w:cs="宋体"/>
          <w:b/>
          <w:bCs/>
          <w:kern w:val="44"/>
          <w:sz w:val="24"/>
        </w:rPr>
        <w:t>附件二   廉政合同</w:t>
      </w:r>
      <w:bookmarkEnd w:id="1692"/>
      <w:bookmarkEnd w:id="1693"/>
      <w:bookmarkEnd w:id="1694"/>
      <w:bookmarkEnd w:id="1695"/>
    </w:p>
    <w:p w14:paraId="2F63ADD6">
      <w:pPr>
        <w:widowControl/>
        <w:spacing w:after="200" w:line="276" w:lineRule="auto"/>
        <w:jc w:val="center"/>
        <w:rPr>
          <w:rFonts w:hint="eastAsia" w:ascii="宋体" w:hAnsi="宋体" w:cs="宋体"/>
          <w:b/>
          <w:bCs/>
          <w:kern w:val="44"/>
          <w:sz w:val="24"/>
        </w:rPr>
      </w:pPr>
      <w:r>
        <w:rPr>
          <w:rFonts w:hint="eastAsia" w:ascii="宋体" w:hAnsi="宋体" w:cs="宋体"/>
          <w:b/>
          <w:bCs/>
          <w:kern w:val="44"/>
          <w:sz w:val="24"/>
        </w:rPr>
        <w:t>廉政合同</w:t>
      </w:r>
    </w:p>
    <w:p w14:paraId="3F00A19E">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根据《关于在交通基础设施建设中加强廉政建设的若干意见》以及有关工程建设、廉政建设的规定，为做好工程建设中的党风廉政建设，保证工程建设高效优质，保证建设资金的安全和有效使用以及投资效益，</w:t>
      </w:r>
      <w:r>
        <w:rPr>
          <w:rFonts w:hint="eastAsia" w:ascii="宋体" w:hAnsi="宋体"/>
          <w:kern w:val="0"/>
          <w:sz w:val="24"/>
          <w:szCs w:val="24"/>
          <w:u w:val="single"/>
        </w:rPr>
        <w:t xml:space="preserve">     </w:t>
      </w:r>
      <w:r>
        <w:rPr>
          <w:rFonts w:hint="eastAsia" w:ascii="宋体" w:hAnsi="宋体"/>
          <w:kern w:val="0"/>
          <w:sz w:val="24"/>
          <w:szCs w:val="24"/>
        </w:rPr>
        <w:t>（项目名称）项目法人</w:t>
      </w:r>
      <w:r>
        <w:rPr>
          <w:rFonts w:hint="eastAsia" w:ascii="宋体" w:hAnsi="宋体"/>
          <w:kern w:val="0"/>
          <w:sz w:val="24"/>
          <w:szCs w:val="24"/>
          <w:u w:val="single"/>
        </w:rPr>
        <w:t xml:space="preserve">          </w:t>
      </w:r>
      <w:r>
        <w:rPr>
          <w:rFonts w:hint="eastAsia" w:ascii="宋体" w:hAnsi="宋体"/>
          <w:kern w:val="0"/>
          <w:sz w:val="24"/>
          <w:szCs w:val="24"/>
        </w:rPr>
        <w:t xml:space="preserve"> （项目法人名称，以下简称“发包人”）与该项目</w:t>
      </w:r>
      <w:r>
        <w:rPr>
          <w:rFonts w:hint="eastAsia" w:ascii="宋体" w:hAnsi="宋体"/>
          <w:kern w:val="0"/>
          <w:sz w:val="24"/>
          <w:szCs w:val="24"/>
          <w:u w:val="single"/>
        </w:rPr>
        <w:t xml:space="preserve">    </w:t>
      </w:r>
      <w:r>
        <w:rPr>
          <w:rFonts w:hint="eastAsia" w:ascii="宋体" w:hAnsi="宋体"/>
          <w:kern w:val="0"/>
          <w:sz w:val="24"/>
          <w:szCs w:val="24"/>
        </w:rPr>
        <w:t>标段的施工单位</w:t>
      </w:r>
      <w:r>
        <w:rPr>
          <w:rFonts w:hint="eastAsia" w:ascii="宋体" w:hAnsi="宋体"/>
          <w:kern w:val="0"/>
          <w:sz w:val="24"/>
          <w:szCs w:val="24"/>
          <w:u w:val="single"/>
        </w:rPr>
        <w:t xml:space="preserve">      </w:t>
      </w:r>
      <w:r>
        <w:rPr>
          <w:rFonts w:hint="eastAsia" w:ascii="宋体" w:hAnsi="宋体"/>
          <w:kern w:val="0"/>
          <w:sz w:val="24"/>
          <w:szCs w:val="24"/>
        </w:rPr>
        <w:t>（施工单位名称，以下简称“承包人”），特订立如下合同。</w:t>
      </w:r>
    </w:p>
    <w:p w14:paraId="2D6BE52F">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1．发包人和承包人双方的权利和义务</w:t>
      </w:r>
    </w:p>
    <w:p w14:paraId="10B499E8">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（1）严格遵守党的政策规定和国家有关法律法规及交通运输部的有关规定。</w:t>
      </w:r>
    </w:p>
    <w:p w14:paraId="308AB464">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（2）严格执行</w:t>
      </w:r>
      <w:r>
        <w:rPr>
          <w:rFonts w:hint="eastAsia" w:ascii="宋体" w:hAnsi="宋体"/>
          <w:kern w:val="0"/>
          <w:sz w:val="24"/>
          <w:szCs w:val="24"/>
          <w:u w:val="single"/>
        </w:rPr>
        <w:t xml:space="preserve">     </w:t>
      </w:r>
      <w:r>
        <w:rPr>
          <w:rFonts w:hint="eastAsia" w:ascii="宋体" w:hAnsi="宋体"/>
          <w:kern w:val="0"/>
          <w:sz w:val="24"/>
          <w:szCs w:val="24"/>
        </w:rPr>
        <w:t>（项目名称）</w:t>
      </w:r>
      <w:r>
        <w:rPr>
          <w:rFonts w:hint="eastAsia" w:ascii="宋体" w:hAnsi="宋体"/>
          <w:kern w:val="0"/>
          <w:sz w:val="24"/>
          <w:szCs w:val="24"/>
          <w:u w:val="single"/>
        </w:rPr>
        <w:t xml:space="preserve">      </w:t>
      </w:r>
      <w:r>
        <w:rPr>
          <w:rFonts w:hint="eastAsia" w:ascii="宋体" w:hAnsi="宋体"/>
          <w:kern w:val="0"/>
          <w:sz w:val="24"/>
          <w:szCs w:val="24"/>
        </w:rPr>
        <w:t>标段施工合同文件，自觉按合同办事。</w:t>
      </w:r>
    </w:p>
    <w:p w14:paraId="035B2F79">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（3）双方的业务活动坚持公开、公正、诚信、透明的原则（法律认定的商业秘密和合同文件另有规定除外），不得损害国家和集体利益，不得违反工程建设管理规章制度。</w:t>
      </w:r>
    </w:p>
    <w:p w14:paraId="3773B116">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（4）建立健全廉政制度，开展廉政教育，设立廉政告示牌，公布举报电话，监督并认真查处违法违纪行为。</w:t>
      </w:r>
    </w:p>
    <w:p w14:paraId="509F70EE">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（5）发现对方在业务活动中有违反廉政规定的行为，有及时提醒对方纠正的权利和义务。</w:t>
      </w:r>
    </w:p>
    <w:p w14:paraId="53F91645">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（6）发现对方严重违反本合同义务条款的行为，有向其上级有关部门举报、建议给予处理并要求告知处理结果的权利。</w:t>
      </w:r>
    </w:p>
    <w:p w14:paraId="32FA4606">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2．发包人的义务</w:t>
      </w:r>
    </w:p>
    <w:p w14:paraId="540FD88F">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（1）发包人及其工作人员不得索要或接受承包人的礼金、有价证券和贵重物品，不得让承包人报销任何应由发包人或发包人工作人员个人支付的费用等。</w:t>
      </w:r>
    </w:p>
    <w:p w14:paraId="644BCB30">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（2）发包人工作人员不得参加承包人安排的超标准宴请和娱乐活动；不得接受承包人提供的通讯工具、交通工具和高档办公用品等。</w:t>
      </w:r>
    </w:p>
    <w:p w14:paraId="3086E992">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（3）发包人及其工作人员不利要求或者接受承包人为其住房装修、婚丧嫁娶活动、配偶子女的工作安排以及出国出境、旅游等提供方便等。</w:t>
      </w:r>
    </w:p>
    <w:p w14:paraId="20B08FC8">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（4）发包人工作人员及其配偶、子女不得从事与发包人工作有关的材料设备供应、工程分包、劳务等经济活动等。</w:t>
      </w:r>
    </w:p>
    <w:p w14:paraId="3B34DE91">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（5）发包人及期工作人员不得以任何理由向承包人推荐分包单位或推销材料，不得要求承包人购买合同规定外的材料和设备。</w:t>
      </w:r>
    </w:p>
    <w:p w14:paraId="61E2004C">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（6）发包人工作人员要秉公办事，不准营私舞弊，不准利用职权从事各种个人有偿中介活动和安排个人施工队伍。</w:t>
      </w:r>
    </w:p>
    <w:p w14:paraId="43F4A3EB">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3．承包人的义务</w:t>
      </w:r>
    </w:p>
    <w:p w14:paraId="7E95666C">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（1）承包人不得以任何理由向发包人及其工作人员行贿或馈赠礼金、有价证券、贵重礼品。</w:t>
      </w:r>
    </w:p>
    <w:p w14:paraId="2C2FC422">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（2）承包人不得以任何名义为发包人及其工作人员报销应由发包人单位或个人支付的任何费用。</w:t>
      </w:r>
    </w:p>
    <w:p w14:paraId="2F730C00">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（3）承包人不得以任何理由安排发包人工作人员参加超标准宴请及娱乐活动。</w:t>
      </w:r>
    </w:p>
    <w:p w14:paraId="5A54C3D2">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（4）承包人不得为发包人单位和个人购置或提供通讯工具、交通工具和高档办公用品等。</w:t>
      </w:r>
    </w:p>
    <w:p w14:paraId="46B123DC">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4．违约责任</w:t>
      </w:r>
    </w:p>
    <w:p w14:paraId="1E312CF6">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（1）发包人及其工作人员违反本合同第1、2条，按管理权限，依据有关规定给予党纪、政纪或组织处理；涉嫌犯罪的，移交司法机关追究刑事责任；给承包人单位造成经济损失的，应予以赔偿。</w:t>
      </w:r>
    </w:p>
    <w:p w14:paraId="1B3B2A8C">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2）承包人及其工作人员违反本合同第1、3条，按管理权限，依据有关规定给予党纪、政纪或组织处理；给发包人单位造成经济损失的，应予以赔偿；情节严重的，发包人建议交通主管部门给予承包人一至三年内不得进入其主管的公路建设市场的处罚。</w:t>
      </w:r>
    </w:p>
    <w:p w14:paraId="2D25AF7A">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5.双方约定：本合同由双方或双方上级单位的纪检监察部门负责监督执行。由发包人或发包人上级单位的纪检监察部门约请承包人或承包人上级单位纪检监察部门对本合同执行情况进行检查，提出在本合同规定范围内的裁定意见。</w:t>
      </w:r>
    </w:p>
    <w:p w14:paraId="5ABF5993">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6.本合同有效期为发包人和承包人签署之日起至该工程项目竣工验收后止。</w:t>
      </w:r>
    </w:p>
    <w:p w14:paraId="30988F83">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7．本合同作为</w:t>
      </w:r>
      <w:r>
        <w:rPr>
          <w:rFonts w:hint="eastAsia" w:ascii="宋体" w:hAnsi="宋体"/>
          <w:kern w:val="0"/>
          <w:sz w:val="24"/>
          <w:szCs w:val="24"/>
          <w:u w:val="single"/>
        </w:rPr>
        <w:t xml:space="preserve">   </w:t>
      </w:r>
      <w:r>
        <w:rPr>
          <w:rFonts w:hint="eastAsia" w:ascii="宋体" w:hAnsi="宋体"/>
          <w:kern w:val="0"/>
          <w:sz w:val="24"/>
          <w:szCs w:val="24"/>
        </w:rPr>
        <w:t>（项目名称）</w:t>
      </w:r>
      <w:r>
        <w:rPr>
          <w:rFonts w:hint="eastAsia" w:ascii="宋体" w:hAnsi="宋体"/>
          <w:kern w:val="0"/>
          <w:sz w:val="24"/>
          <w:szCs w:val="24"/>
          <w:u w:val="single"/>
        </w:rPr>
        <w:t xml:space="preserve">    </w:t>
      </w:r>
      <w:r>
        <w:rPr>
          <w:rFonts w:hint="eastAsia" w:ascii="宋体" w:hAnsi="宋体"/>
          <w:kern w:val="0"/>
          <w:sz w:val="24"/>
          <w:szCs w:val="24"/>
        </w:rPr>
        <w:t>标段施工合同的附件，与工程施工合同具有同等的法律效力，经合同双方签署后立即生效。</w:t>
      </w:r>
    </w:p>
    <w:p w14:paraId="2F3F2719">
      <w:pPr>
        <w:widowControl/>
        <w:spacing w:line="440" w:lineRule="exact"/>
        <w:ind w:firstLine="480" w:firstLineChars="200"/>
        <w:jc w:val="left"/>
        <w:rPr>
          <w:rFonts w:hint="eastAsia" w:ascii="宋体" w:hAnsi="宋体"/>
          <w:kern w:val="0"/>
          <w:sz w:val="24"/>
          <w:szCs w:val="24"/>
        </w:rPr>
      </w:pPr>
      <w:r>
        <w:rPr>
          <w:rFonts w:hint="eastAsia" w:ascii="宋体" w:hAnsi="宋体"/>
          <w:kern w:val="0"/>
          <w:sz w:val="24"/>
          <w:szCs w:val="24"/>
        </w:rPr>
        <w:t>8．本合同一式四份，由发包人和承包人各执—份，送交发包人和承包人的监督单位各一份</w:t>
      </w:r>
    </w:p>
    <w:p w14:paraId="76846B2E">
      <w:pPr>
        <w:widowControl/>
        <w:spacing w:line="440" w:lineRule="exact"/>
        <w:jc w:val="left"/>
        <w:rPr>
          <w:rFonts w:ascii="宋体" w:hAnsi="宋体"/>
          <w:kern w:val="0"/>
          <w:sz w:val="24"/>
          <w:szCs w:val="24"/>
        </w:rPr>
      </w:pPr>
      <w:r>
        <w:rPr>
          <w:rFonts w:ascii="宋体" w:hAnsi="宋体"/>
          <w:kern w:val="0"/>
          <w:sz w:val="24"/>
          <w:szCs w:val="24"/>
        </w:rPr>
        <w:t>发包人：</w:t>
      </w:r>
      <w:r>
        <w:rPr>
          <w:rFonts w:hint="eastAsia" w:ascii="宋体" w:hAnsi="宋体"/>
          <w:kern w:val="0"/>
          <w:sz w:val="24"/>
          <w:szCs w:val="24"/>
          <w:u w:val="single"/>
        </w:rPr>
        <w:t xml:space="preserve">                </w:t>
      </w:r>
      <w:r>
        <w:rPr>
          <w:rFonts w:ascii="宋体" w:hAnsi="宋体"/>
          <w:kern w:val="0"/>
          <w:sz w:val="24"/>
          <w:szCs w:val="24"/>
        </w:rPr>
        <w:t>（盖单位章）</w:t>
      </w:r>
      <w:r>
        <w:rPr>
          <w:rFonts w:hint="eastAsia" w:ascii="宋体" w:hAnsi="宋体"/>
          <w:kern w:val="0"/>
          <w:sz w:val="24"/>
          <w:szCs w:val="24"/>
        </w:rPr>
        <w:t xml:space="preserve">  </w:t>
      </w:r>
      <w:r>
        <w:rPr>
          <w:rFonts w:ascii="宋体" w:hAnsi="宋体"/>
          <w:kern w:val="0"/>
          <w:sz w:val="24"/>
          <w:szCs w:val="24"/>
        </w:rPr>
        <w:t>承包人：</w:t>
      </w:r>
      <w:r>
        <w:rPr>
          <w:rFonts w:hint="eastAsia" w:ascii="宋体" w:hAnsi="宋体"/>
          <w:kern w:val="0"/>
          <w:sz w:val="24"/>
          <w:szCs w:val="24"/>
          <w:u w:val="single"/>
        </w:rPr>
        <w:t xml:space="preserve">                </w:t>
      </w:r>
      <w:r>
        <w:rPr>
          <w:rFonts w:ascii="宋体" w:hAnsi="宋体"/>
          <w:kern w:val="0"/>
          <w:sz w:val="24"/>
          <w:szCs w:val="24"/>
        </w:rPr>
        <w:t xml:space="preserve">（盖单位章） </w:t>
      </w:r>
    </w:p>
    <w:p w14:paraId="24CD453E">
      <w:pPr>
        <w:widowControl/>
        <w:spacing w:line="440" w:lineRule="exact"/>
        <w:jc w:val="left"/>
        <w:rPr>
          <w:rFonts w:ascii="宋体" w:hAnsi="宋体"/>
          <w:kern w:val="0"/>
          <w:sz w:val="24"/>
          <w:szCs w:val="24"/>
        </w:rPr>
      </w:pPr>
      <w:r>
        <w:rPr>
          <w:rFonts w:ascii="宋体" w:hAnsi="宋体"/>
          <w:kern w:val="0"/>
          <w:sz w:val="24"/>
          <w:szCs w:val="24"/>
        </w:rPr>
        <w:t>法定代表人或其委托代理人：</w:t>
      </w:r>
      <w:r>
        <w:rPr>
          <w:rFonts w:hint="eastAsia" w:ascii="宋体" w:hAnsi="宋体"/>
          <w:kern w:val="0"/>
          <w:sz w:val="24"/>
          <w:szCs w:val="24"/>
          <w:u w:val="single"/>
        </w:rPr>
        <w:t xml:space="preserve">  </w:t>
      </w:r>
      <w:r>
        <w:rPr>
          <w:rFonts w:hint="eastAsia" w:ascii="宋体" w:hAnsi="宋体"/>
          <w:kern w:val="0"/>
          <w:sz w:val="24"/>
          <w:szCs w:val="24"/>
        </w:rPr>
        <w:t>（</w:t>
      </w:r>
      <w:r>
        <w:rPr>
          <w:rFonts w:ascii="宋体" w:hAnsi="宋体"/>
          <w:kern w:val="0"/>
          <w:sz w:val="24"/>
          <w:szCs w:val="24"/>
        </w:rPr>
        <w:t>签字）</w:t>
      </w:r>
      <w:r>
        <w:rPr>
          <w:rFonts w:hint="eastAsia" w:ascii="宋体" w:hAnsi="宋体"/>
          <w:kern w:val="0"/>
          <w:sz w:val="24"/>
          <w:szCs w:val="24"/>
        </w:rPr>
        <w:t xml:space="preserve">  </w:t>
      </w:r>
      <w:r>
        <w:rPr>
          <w:rFonts w:ascii="宋体" w:hAnsi="宋体"/>
          <w:kern w:val="0"/>
          <w:sz w:val="24"/>
          <w:szCs w:val="24"/>
        </w:rPr>
        <w:t>法定代表人或其委托代理人：</w:t>
      </w:r>
      <w:r>
        <w:rPr>
          <w:rFonts w:hint="eastAsia" w:ascii="宋体" w:hAnsi="宋体"/>
          <w:kern w:val="0"/>
          <w:sz w:val="24"/>
          <w:szCs w:val="24"/>
          <w:u w:val="single"/>
        </w:rPr>
        <w:t xml:space="preserve">  </w:t>
      </w:r>
      <w:r>
        <w:rPr>
          <w:rFonts w:ascii="宋体" w:hAnsi="宋体"/>
          <w:kern w:val="0"/>
          <w:sz w:val="24"/>
          <w:szCs w:val="24"/>
        </w:rPr>
        <w:t>（签字）</w:t>
      </w:r>
    </w:p>
    <w:p w14:paraId="6D1717A9">
      <w:pPr>
        <w:widowControl/>
        <w:spacing w:line="440" w:lineRule="exact"/>
        <w:ind w:firstLine="840"/>
        <w:jc w:val="left"/>
        <w:rPr>
          <w:rFonts w:ascii="宋体" w:hAnsi="宋体"/>
          <w:kern w:val="0"/>
          <w:sz w:val="24"/>
          <w:szCs w:val="24"/>
        </w:rPr>
      </w:pPr>
      <w:r>
        <w:rPr>
          <w:rFonts w:hint="eastAsia" w:ascii="宋体" w:hAnsi="宋体"/>
          <w:kern w:val="0"/>
          <w:sz w:val="24"/>
          <w:szCs w:val="24"/>
        </w:rPr>
        <w:t xml:space="preserve">   </w:t>
      </w:r>
      <w:r>
        <w:rPr>
          <w:rFonts w:hint="eastAsia" w:ascii="宋体" w:hAnsi="宋体"/>
          <w:kern w:val="0"/>
          <w:sz w:val="24"/>
          <w:szCs w:val="24"/>
          <w:u w:val="single"/>
        </w:rPr>
        <w:t xml:space="preserve">      </w:t>
      </w:r>
      <w:r>
        <w:rPr>
          <w:rFonts w:ascii="宋体" w:hAnsi="宋体"/>
          <w:kern w:val="0"/>
          <w:sz w:val="24"/>
          <w:szCs w:val="24"/>
        </w:rPr>
        <w:t>年</w:t>
      </w:r>
      <w:r>
        <w:rPr>
          <w:rFonts w:hint="eastAsia" w:ascii="宋体" w:hAnsi="宋体"/>
          <w:kern w:val="0"/>
          <w:sz w:val="24"/>
          <w:szCs w:val="24"/>
          <w:u w:val="single"/>
        </w:rPr>
        <w:t xml:space="preserve">    </w:t>
      </w:r>
      <w:r>
        <w:rPr>
          <w:rFonts w:ascii="宋体" w:hAnsi="宋体"/>
          <w:kern w:val="0"/>
          <w:sz w:val="24"/>
          <w:szCs w:val="24"/>
        </w:rPr>
        <w:t>月</w:t>
      </w:r>
      <w:r>
        <w:rPr>
          <w:rFonts w:hint="eastAsia" w:ascii="宋体" w:hAnsi="宋体"/>
          <w:kern w:val="0"/>
          <w:sz w:val="24"/>
          <w:szCs w:val="24"/>
          <w:u w:val="single"/>
        </w:rPr>
        <w:t xml:space="preserve">    </w:t>
      </w:r>
      <w:r>
        <w:rPr>
          <w:rFonts w:ascii="宋体" w:hAnsi="宋体"/>
          <w:kern w:val="0"/>
          <w:sz w:val="24"/>
          <w:szCs w:val="24"/>
        </w:rPr>
        <w:t>日</w:t>
      </w:r>
      <w:r>
        <w:rPr>
          <w:rFonts w:hint="eastAsia" w:ascii="宋体" w:hAnsi="宋体"/>
          <w:kern w:val="0"/>
          <w:sz w:val="24"/>
          <w:szCs w:val="24"/>
        </w:rPr>
        <w:t xml:space="preserve">                       </w:t>
      </w:r>
      <w:r>
        <w:rPr>
          <w:rFonts w:hint="eastAsia" w:ascii="宋体" w:hAnsi="宋体"/>
          <w:kern w:val="0"/>
          <w:sz w:val="24"/>
          <w:szCs w:val="24"/>
          <w:u w:val="single"/>
        </w:rPr>
        <w:t xml:space="preserve">      </w:t>
      </w:r>
      <w:r>
        <w:rPr>
          <w:rFonts w:ascii="宋体" w:hAnsi="宋体"/>
          <w:kern w:val="0"/>
          <w:sz w:val="24"/>
          <w:szCs w:val="24"/>
        </w:rPr>
        <w:t>年</w:t>
      </w:r>
      <w:r>
        <w:rPr>
          <w:rFonts w:hint="eastAsia" w:ascii="宋体" w:hAnsi="宋体"/>
          <w:kern w:val="0"/>
          <w:sz w:val="24"/>
          <w:szCs w:val="24"/>
          <w:u w:val="single"/>
        </w:rPr>
        <w:t xml:space="preserve">    </w:t>
      </w:r>
      <w:r>
        <w:rPr>
          <w:rFonts w:ascii="宋体" w:hAnsi="宋体"/>
          <w:kern w:val="0"/>
          <w:sz w:val="24"/>
          <w:szCs w:val="24"/>
        </w:rPr>
        <w:t>月</w:t>
      </w:r>
      <w:r>
        <w:rPr>
          <w:rFonts w:hint="eastAsia" w:ascii="宋体" w:hAnsi="宋体"/>
          <w:kern w:val="0"/>
          <w:sz w:val="24"/>
          <w:szCs w:val="24"/>
          <w:u w:val="single"/>
        </w:rPr>
        <w:t xml:space="preserve">    </w:t>
      </w:r>
      <w:r>
        <w:rPr>
          <w:rFonts w:ascii="宋体" w:hAnsi="宋体"/>
          <w:kern w:val="0"/>
          <w:sz w:val="24"/>
          <w:szCs w:val="24"/>
        </w:rPr>
        <w:t>日</w:t>
      </w:r>
    </w:p>
    <w:p w14:paraId="436B4063">
      <w:pPr>
        <w:widowControl/>
        <w:spacing w:line="440" w:lineRule="exact"/>
        <w:jc w:val="left"/>
        <w:rPr>
          <w:rFonts w:ascii="宋体" w:hAnsi="宋体"/>
          <w:kern w:val="0"/>
          <w:sz w:val="24"/>
          <w:szCs w:val="24"/>
        </w:rPr>
      </w:pPr>
      <w:r>
        <w:rPr>
          <w:rFonts w:hint="eastAsia" w:ascii="宋体" w:hAnsi="宋体"/>
          <w:kern w:val="0"/>
          <w:sz w:val="24"/>
          <w:szCs w:val="24"/>
        </w:rPr>
        <w:t>发包人监督单位：</w:t>
      </w:r>
      <w:r>
        <w:rPr>
          <w:rFonts w:hint="eastAsia" w:ascii="宋体" w:hAnsi="宋体"/>
          <w:kern w:val="0"/>
          <w:sz w:val="24"/>
          <w:szCs w:val="24"/>
          <w:u w:val="single"/>
        </w:rPr>
        <w:t>（全称） （盖单位章）</w:t>
      </w:r>
      <w:r>
        <w:rPr>
          <w:rFonts w:hint="eastAsia" w:ascii="宋体" w:hAnsi="宋体"/>
          <w:kern w:val="0"/>
          <w:sz w:val="24"/>
          <w:szCs w:val="24"/>
        </w:rPr>
        <w:t xml:space="preserve">  承包人监督单位：</w:t>
      </w:r>
      <w:r>
        <w:rPr>
          <w:rFonts w:hint="eastAsia" w:ascii="宋体" w:hAnsi="宋体"/>
          <w:kern w:val="0"/>
          <w:sz w:val="24"/>
          <w:szCs w:val="24"/>
          <w:u w:val="single"/>
        </w:rPr>
        <w:t>（全称） （盖单位章）</w:t>
      </w:r>
    </w:p>
    <w:p w14:paraId="31358DEC">
      <w:pPr>
        <w:widowControl/>
        <w:jc w:val="left"/>
        <w:rPr>
          <w:rFonts w:ascii="宋体" w:eastAsia="黑体"/>
          <w:bCs/>
          <w:kern w:val="44"/>
          <w:sz w:val="24"/>
        </w:rPr>
      </w:pPr>
      <w:r>
        <w:rPr>
          <w:rFonts w:ascii="宋体" w:eastAsia="黑体"/>
          <w:bCs/>
          <w:kern w:val="44"/>
          <w:sz w:val="24"/>
        </w:rPr>
        <w:br w:type="page"/>
      </w:r>
    </w:p>
    <w:p w14:paraId="201AF3D5">
      <w:pPr>
        <w:widowControl/>
        <w:spacing w:after="200" w:line="276" w:lineRule="auto"/>
        <w:jc w:val="left"/>
        <w:rPr>
          <w:rFonts w:hint="eastAsia" w:ascii="宋体" w:hAnsi="宋体" w:cs="宋体"/>
          <w:b/>
          <w:bCs/>
          <w:kern w:val="44"/>
          <w:sz w:val="24"/>
        </w:rPr>
      </w:pPr>
      <w:bookmarkStart w:id="1696" w:name="_Toc513212917"/>
      <w:r>
        <w:rPr>
          <w:rFonts w:hint="eastAsia" w:ascii="宋体" w:hAnsi="宋体" w:cs="宋体"/>
          <w:b/>
          <w:bCs/>
          <w:kern w:val="44"/>
          <w:sz w:val="24"/>
        </w:rPr>
        <w:t>附件三   安全生产合同</w:t>
      </w:r>
      <w:bookmarkEnd w:id="1696"/>
    </w:p>
    <w:p w14:paraId="258F9059">
      <w:pPr>
        <w:widowControl/>
        <w:spacing w:after="200" w:line="276" w:lineRule="auto"/>
        <w:jc w:val="center"/>
        <w:rPr>
          <w:rFonts w:hint="eastAsia" w:ascii="宋体" w:hAnsi="宋体" w:cs="宋体"/>
          <w:b/>
          <w:bCs/>
          <w:kern w:val="44"/>
          <w:sz w:val="24"/>
        </w:rPr>
      </w:pPr>
      <w:r>
        <w:rPr>
          <w:rFonts w:hint="eastAsia" w:ascii="宋体" w:hAnsi="宋体" w:cs="宋体"/>
          <w:b/>
          <w:bCs/>
          <w:kern w:val="44"/>
          <w:sz w:val="24"/>
        </w:rPr>
        <w:t>安全生产合同</w:t>
      </w:r>
    </w:p>
    <w:p w14:paraId="321AB0BB">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为在</w:t>
      </w:r>
      <w:r>
        <w:rPr>
          <w:rFonts w:hint="eastAsia" w:ascii="宋体" w:hAnsi="宋体"/>
          <w:kern w:val="0"/>
          <w:sz w:val="24"/>
          <w:szCs w:val="24"/>
          <w:u w:val="single"/>
        </w:rPr>
        <w:t xml:space="preserve">      </w:t>
      </w:r>
      <w:r>
        <w:rPr>
          <w:rFonts w:hint="eastAsia" w:ascii="宋体" w:hAnsi="宋体"/>
          <w:kern w:val="0"/>
          <w:sz w:val="24"/>
          <w:szCs w:val="24"/>
        </w:rPr>
        <w:t>（项目名称）</w:t>
      </w:r>
      <w:r>
        <w:rPr>
          <w:rFonts w:hint="eastAsia" w:ascii="宋体" w:hAnsi="宋体"/>
          <w:kern w:val="0"/>
          <w:sz w:val="24"/>
          <w:szCs w:val="24"/>
          <w:u w:val="single"/>
        </w:rPr>
        <w:t xml:space="preserve">    </w:t>
      </w:r>
      <w:r>
        <w:rPr>
          <w:rFonts w:hint="eastAsia" w:ascii="宋体" w:hAnsi="宋体"/>
          <w:kern w:val="0"/>
          <w:sz w:val="24"/>
          <w:szCs w:val="24"/>
        </w:rPr>
        <w:t>（标段）施工合同的实施过程中创造安全、高效的施工环境，切实搞好本项目的安全管理工作，本项目发包人</w:t>
      </w:r>
      <w:r>
        <w:rPr>
          <w:rFonts w:hint="eastAsia" w:ascii="宋体" w:hAnsi="宋体"/>
          <w:kern w:val="0"/>
          <w:sz w:val="24"/>
          <w:szCs w:val="24"/>
          <w:u w:val="single"/>
        </w:rPr>
        <w:t xml:space="preserve">    </w:t>
      </w:r>
      <w:r>
        <w:rPr>
          <w:rFonts w:hint="eastAsia" w:ascii="宋体" w:hAnsi="宋体"/>
          <w:kern w:val="0"/>
          <w:sz w:val="24"/>
          <w:szCs w:val="24"/>
        </w:rPr>
        <w:t>（发包人名称，以下简称“发包人”）与承包人</w:t>
      </w:r>
      <w:r>
        <w:rPr>
          <w:rFonts w:hint="eastAsia" w:ascii="宋体" w:hAnsi="宋体"/>
          <w:kern w:val="0"/>
          <w:sz w:val="24"/>
          <w:szCs w:val="24"/>
          <w:u w:val="single"/>
        </w:rPr>
        <w:t xml:space="preserve">    </w:t>
      </w:r>
      <w:r>
        <w:rPr>
          <w:rFonts w:hint="eastAsia" w:ascii="宋体" w:hAnsi="宋体"/>
          <w:kern w:val="0"/>
          <w:sz w:val="24"/>
          <w:szCs w:val="24"/>
        </w:rPr>
        <w:t>（承包人名称，以下简称“承包人”）特此签订安全生产合同：</w:t>
      </w:r>
    </w:p>
    <w:p w14:paraId="0E413C1C">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1.发包人职责</w:t>
      </w:r>
    </w:p>
    <w:p w14:paraId="54119159">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（1）严格遵守国家有关安全生产的法律法规，认真执行工程承包合同中的有关安全要求。</w:t>
      </w:r>
    </w:p>
    <w:p w14:paraId="5BD9604C">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（2）按照“安全第一、预防为主”和坚持“管生产必须管安全”的原则进行安全生产管理，做到生产与安全工作同时计划、布置、检查、总结和评比。</w:t>
      </w:r>
    </w:p>
    <w:p w14:paraId="0AADD50B">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（3）重要的安全设施必须坚持与主体工程“三同时”的原则，即：同时设计、审批，同时施工，同时验收，投入使用。</w:t>
      </w:r>
    </w:p>
    <w:p w14:paraId="7A584200">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（4）定期召开安全生产调度会，及时传达中央及地方有关安全生产的精神。</w:t>
      </w:r>
    </w:p>
    <w:p w14:paraId="0CD5C329">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（5）组织对承包人施工现场安全生产检查，监督承包人及时处理发现的各种安全隐患。</w:t>
      </w:r>
    </w:p>
    <w:p w14:paraId="1DFC0C11">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2.承包人职责</w:t>
      </w:r>
    </w:p>
    <w:p w14:paraId="6B25D5A6">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严格遵守《中华人民共和国安全生产法》、《建设工程安全生产管理条例》等国家有关安全生产的法律法规、《公路水运工程安全生产监督管理办法》、《公路工程施工安全技术规程》和《公路筑养路机械操作规程》等有关安全生产的规定。认真执行工程承包合同中的有关安全要求。</w:t>
      </w:r>
    </w:p>
    <w:p w14:paraId="16E53C6C">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11E7987B">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3）建立健全安全生产责任制。从派往项目实施的项目负责人到生产工人（包括临时雇请的民工）的安全生产管理系统必须做到纵向到底，—环不漏；各职能部门、人员的安全生产责任制做到横向到边，人人有责。项目负责人是安全生产的第一责任人。现场设置的安全机构，应按《公路水运工程安全生产监督管理办法》规定的最低数量和资质条件配备专职安全生产管理人员，专职负责所有员工的安全和治安保卫工作及预防事故的发生。安全机构人员有权按有关规定发布指令，并采取保护性措施防止事故发生。</w:t>
      </w:r>
    </w:p>
    <w:p w14:paraId="2ED34B37">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（4）承包人在任何时候都应采取各种合理的预防措施，防止其员工发生任何违法、违禁、暴力或妨碍治安的行为。</w:t>
      </w:r>
    </w:p>
    <w:p w14:paraId="6772DC57">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5）对于从事电气、起重、建筑登高架设作业、锅炉、压力容器、焊接、机动车船艇驾驶、爆破、潜水、瓦斯检验等特殊工种的人员，经过专业培训，获得《安全操作合格证》后，方准持证上岗。施工现场如出现特种作业无证操作现象时，项目负责人必须承担管理责任。</w:t>
      </w:r>
    </w:p>
    <w:p w14:paraId="6B9D437A">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14:paraId="5FEFBEBE">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（7）操作人员上岗，必须按规定穿戴防护用品。施工负责人和安全检查员应随时检查劳动防护用品的穿戴情况，不按规定穿戴防护用品的人员不得上岗。</w:t>
      </w:r>
    </w:p>
    <w:p w14:paraId="47200B7E">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（8）所有施工机具设备和高空作业的设备均应定期检查，并有安全员的签字记录，保证其经常处于完好状态；不合格的机具、设备和劳动保护用品严禁使用：</w:t>
      </w:r>
    </w:p>
    <w:p w14:paraId="235790E8">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（9）施工中采用新技术、新工艺、新设备、新材料时，必须制定相应的安全技术措施，施工现场必须具有相关的安全标志牌。</w:t>
      </w:r>
    </w:p>
    <w:p w14:paraId="3C40B085">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10）承包人必须按照本工程项目特点，组织制定本工程实施中的生产安全事故应急救援预案；如果发生安全事故，应按照《国务院关于特大安全事故行政责任追究的规定》以及其他有关规定，及时上报有关部门，并坚持“四不放过”的原则．严肃处理相关责任人。</w:t>
      </w:r>
    </w:p>
    <w:p w14:paraId="643845C7">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（11）安全生产费用按照《公路水运工程安全生产监督管理办法》的相关规定使用和管理。</w:t>
      </w:r>
    </w:p>
    <w:p w14:paraId="5AA6B4E8">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3.违约责任</w:t>
      </w:r>
    </w:p>
    <w:p w14:paraId="428A48E0">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如因发包人或承包人违约造成安全事故，将依法追究责任。</w:t>
      </w:r>
    </w:p>
    <w:p w14:paraId="32D33E44">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4.本合同由双方法定代表人或其授权的代理人签署并加盖单位章后生效，全部工程竣工验收后失效。</w:t>
      </w:r>
    </w:p>
    <w:p w14:paraId="567DDAFA">
      <w:pPr>
        <w:widowControl/>
        <w:spacing w:line="440" w:lineRule="exact"/>
        <w:ind w:firstLine="480" w:firstLineChars="200"/>
        <w:jc w:val="left"/>
        <w:rPr>
          <w:rFonts w:hint="eastAsia" w:ascii="宋体" w:hAnsi="宋体"/>
          <w:kern w:val="0"/>
          <w:sz w:val="24"/>
          <w:szCs w:val="24"/>
        </w:rPr>
      </w:pPr>
      <w:r>
        <w:rPr>
          <w:rFonts w:hint="eastAsia" w:ascii="宋体" w:hAnsi="宋体"/>
          <w:kern w:val="0"/>
          <w:sz w:val="24"/>
          <w:szCs w:val="24"/>
        </w:rPr>
        <w:t>5.本合同正本—式二份，副本</w:t>
      </w:r>
      <w:r>
        <w:rPr>
          <w:rFonts w:hint="eastAsia" w:ascii="宋体" w:hAnsi="宋体"/>
          <w:kern w:val="0"/>
          <w:sz w:val="24"/>
          <w:szCs w:val="24"/>
          <w:u w:val="single"/>
        </w:rPr>
        <w:t xml:space="preserve">  </w:t>
      </w:r>
      <w:r>
        <w:rPr>
          <w:rFonts w:hint="eastAsia" w:ascii="宋体" w:hAnsi="宋体"/>
          <w:kern w:val="0"/>
          <w:sz w:val="24"/>
          <w:szCs w:val="24"/>
        </w:rPr>
        <w:t>份，合同双方各执正本—份，副本</w:t>
      </w:r>
      <w:r>
        <w:rPr>
          <w:rFonts w:hint="eastAsia" w:ascii="宋体" w:hAnsi="宋体"/>
          <w:kern w:val="0"/>
          <w:sz w:val="24"/>
          <w:szCs w:val="24"/>
          <w:u w:val="single"/>
        </w:rPr>
        <w:t xml:space="preserve">  </w:t>
      </w:r>
      <w:r>
        <w:rPr>
          <w:rFonts w:hint="eastAsia" w:ascii="宋体" w:hAnsi="宋体"/>
          <w:kern w:val="0"/>
          <w:sz w:val="24"/>
          <w:szCs w:val="24"/>
        </w:rPr>
        <w:t>份，当正本与副本的内容不一致时，以正本为准。</w:t>
      </w:r>
    </w:p>
    <w:p w14:paraId="2E04AEAE">
      <w:pPr>
        <w:widowControl/>
        <w:spacing w:line="440" w:lineRule="exact"/>
        <w:jc w:val="left"/>
        <w:rPr>
          <w:rFonts w:ascii="宋体" w:hAnsi="宋体"/>
          <w:kern w:val="0"/>
          <w:sz w:val="24"/>
          <w:szCs w:val="24"/>
        </w:rPr>
      </w:pPr>
      <w:r>
        <w:rPr>
          <w:rFonts w:ascii="宋体" w:hAnsi="宋体"/>
          <w:kern w:val="0"/>
          <w:sz w:val="24"/>
          <w:szCs w:val="24"/>
        </w:rPr>
        <w:t>发包人：</w:t>
      </w:r>
      <w:r>
        <w:rPr>
          <w:rFonts w:hint="eastAsia" w:ascii="宋体" w:hAnsi="宋体"/>
          <w:kern w:val="0"/>
          <w:sz w:val="24"/>
          <w:szCs w:val="24"/>
          <w:u w:val="single"/>
        </w:rPr>
        <w:t xml:space="preserve">                </w:t>
      </w:r>
      <w:r>
        <w:rPr>
          <w:rFonts w:ascii="宋体" w:hAnsi="宋体"/>
          <w:kern w:val="0"/>
          <w:sz w:val="24"/>
          <w:szCs w:val="24"/>
        </w:rPr>
        <w:t>（盖单位章）</w:t>
      </w:r>
      <w:r>
        <w:rPr>
          <w:rFonts w:hint="eastAsia" w:ascii="宋体" w:hAnsi="宋体"/>
          <w:kern w:val="0"/>
          <w:sz w:val="24"/>
          <w:szCs w:val="24"/>
        </w:rPr>
        <w:t xml:space="preserve">  </w:t>
      </w:r>
      <w:r>
        <w:rPr>
          <w:rFonts w:ascii="宋体" w:hAnsi="宋体"/>
          <w:kern w:val="0"/>
          <w:sz w:val="24"/>
          <w:szCs w:val="24"/>
        </w:rPr>
        <w:t>承包人：</w:t>
      </w:r>
      <w:r>
        <w:rPr>
          <w:rFonts w:hint="eastAsia" w:ascii="宋体" w:hAnsi="宋体"/>
          <w:kern w:val="0"/>
          <w:sz w:val="24"/>
          <w:szCs w:val="24"/>
          <w:u w:val="single"/>
        </w:rPr>
        <w:t xml:space="preserve">                </w:t>
      </w:r>
      <w:r>
        <w:rPr>
          <w:rFonts w:ascii="宋体" w:hAnsi="宋体"/>
          <w:kern w:val="0"/>
          <w:sz w:val="24"/>
          <w:szCs w:val="24"/>
        </w:rPr>
        <w:t xml:space="preserve">（盖单位章） </w:t>
      </w:r>
    </w:p>
    <w:p w14:paraId="0ACBF555">
      <w:pPr>
        <w:widowControl/>
        <w:spacing w:line="440" w:lineRule="exact"/>
        <w:jc w:val="left"/>
        <w:rPr>
          <w:rFonts w:ascii="宋体" w:hAnsi="宋体"/>
          <w:kern w:val="0"/>
          <w:sz w:val="24"/>
          <w:szCs w:val="24"/>
        </w:rPr>
      </w:pPr>
      <w:r>
        <w:rPr>
          <w:rFonts w:ascii="宋体" w:hAnsi="宋体"/>
          <w:kern w:val="0"/>
          <w:sz w:val="24"/>
          <w:szCs w:val="24"/>
        </w:rPr>
        <w:t>法定代表人或其委托代理人：</w:t>
      </w:r>
      <w:r>
        <w:rPr>
          <w:rFonts w:hint="eastAsia" w:ascii="宋体" w:hAnsi="宋体"/>
          <w:kern w:val="0"/>
          <w:sz w:val="24"/>
          <w:szCs w:val="24"/>
          <w:u w:val="single"/>
        </w:rPr>
        <w:t xml:space="preserve">  </w:t>
      </w:r>
      <w:r>
        <w:rPr>
          <w:rFonts w:hint="eastAsia" w:ascii="宋体" w:hAnsi="宋体"/>
          <w:kern w:val="0"/>
          <w:sz w:val="24"/>
          <w:szCs w:val="24"/>
        </w:rPr>
        <w:t>（</w:t>
      </w:r>
      <w:r>
        <w:rPr>
          <w:rFonts w:ascii="宋体" w:hAnsi="宋体"/>
          <w:kern w:val="0"/>
          <w:sz w:val="24"/>
          <w:szCs w:val="24"/>
        </w:rPr>
        <w:t>签字）</w:t>
      </w:r>
      <w:r>
        <w:rPr>
          <w:rFonts w:hint="eastAsia" w:ascii="宋体" w:hAnsi="宋体"/>
          <w:kern w:val="0"/>
          <w:sz w:val="24"/>
          <w:szCs w:val="24"/>
        </w:rPr>
        <w:t xml:space="preserve">  </w:t>
      </w:r>
      <w:r>
        <w:rPr>
          <w:rFonts w:ascii="宋体" w:hAnsi="宋体"/>
          <w:kern w:val="0"/>
          <w:sz w:val="24"/>
          <w:szCs w:val="24"/>
        </w:rPr>
        <w:t>法定代表人或其委托代理人：</w:t>
      </w:r>
      <w:r>
        <w:rPr>
          <w:rFonts w:hint="eastAsia" w:ascii="宋体" w:hAnsi="宋体"/>
          <w:kern w:val="0"/>
          <w:sz w:val="24"/>
          <w:szCs w:val="24"/>
          <w:u w:val="single"/>
        </w:rPr>
        <w:t xml:space="preserve">  </w:t>
      </w:r>
      <w:r>
        <w:rPr>
          <w:rFonts w:ascii="宋体" w:hAnsi="宋体"/>
          <w:kern w:val="0"/>
          <w:sz w:val="24"/>
          <w:szCs w:val="24"/>
        </w:rPr>
        <w:t>（签字）</w:t>
      </w:r>
    </w:p>
    <w:p w14:paraId="2A2F29E9">
      <w:pPr>
        <w:widowControl/>
        <w:spacing w:line="440" w:lineRule="exact"/>
        <w:ind w:firstLine="840"/>
        <w:jc w:val="left"/>
        <w:rPr>
          <w:rFonts w:ascii="宋体" w:hAnsi="宋体"/>
          <w:kern w:val="0"/>
          <w:sz w:val="24"/>
          <w:szCs w:val="24"/>
        </w:rPr>
      </w:pPr>
      <w:r>
        <w:rPr>
          <w:rFonts w:hint="eastAsia" w:ascii="宋体" w:hAnsi="宋体"/>
          <w:kern w:val="0"/>
          <w:sz w:val="24"/>
          <w:szCs w:val="24"/>
        </w:rPr>
        <w:t xml:space="preserve">   </w:t>
      </w:r>
      <w:r>
        <w:rPr>
          <w:rFonts w:hint="eastAsia" w:ascii="宋体" w:hAnsi="宋体"/>
          <w:kern w:val="0"/>
          <w:sz w:val="24"/>
          <w:szCs w:val="24"/>
          <w:u w:val="single"/>
        </w:rPr>
        <w:t xml:space="preserve">      </w:t>
      </w:r>
      <w:r>
        <w:rPr>
          <w:rFonts w:ascii="宋体" w:hAnsi="宋体"/>
          <w:kern w:val="0"/>
          <w:sz w:val="24"/>
          <w:szCs w:val="24"/>
        </w:rPr>
        <w:t>年</w:t>
      </w:r>
      <w:r>
        <w:rPr>
          <w:rFonts w:hint="eastAsia" w:ascii="宋体" w:hAnsi="宋体"/>
          <w:kern w:val="0"/>
          <w:sz w:val="24"/>
          <w:szCs w:val="24"/>
          <w:u w:val="single"/>
        </w:rPr>
        <w:t xml:space="preserve">    </w:t>
      </w:r>
      <w:r>
        <w:rPr>
          <w:rFonts w:ascii="宋体" w:hAnsi="宋体"/>
          <w:kern w:val="0"/>
          <w:sz w:val="24"/>
          <w:szCs w:val="24"/>
        </w:rPr>
        <w:t>月</w:t>
      </w:r>
      <w:r>
        <w:rPr>
          <w:rFonts w:hint="eastAsia" w:ascii="宋体" w:hAnsi="宋体"/>
          <w:kern w:val="0"/>
          <w:sz w:val="24"/>
          <w:szCs w:val="24"/>
          <w:u w:val="single"/>
        </w:rPr>
        <w:t xml:space="preserve">    </w:t>
      </w:r>
      <w:r>
        <w:rPr>
          <w:rFonts w:ascii="宋体" w:hAnsi="宋体"/>
          <w:kern w:val="0"/>
          <w:sz w:val="24"/>
          <w:szCs w:val="24"/>
        </w:rPr>
        <w:t>日</w:t>
      </w:r>
      <w:r>
        <w:rPr>
          <w:rFonts w:hint="eastAsia" w:ascii="宋体" w:hAnsi="宋体"/>
          <w:kern w:val="0"/>
          <w:sz w:val="24"/>
          <w:szCs w:val="24"/>
        </w:rPr>
        <w:t xml:space="preserve">                       </w:t>
      </w:r>
      <w:r>
        <w:rPr>
          <w:rFonts w:hint="eastAsia" w:ascii="宋体" w:hAnsi="宋体"/>
          <w:kern w:val="0"/>
          <w:sz w:val="24"/>
          <w:szCs w:val="24"/>
          <w:u w:val="single"/>
        </w:rPr>
        <w:t xml:space="preserve">      </w:t>
      </w:r>
      <w:r>
        <w:rPr>
          <w:rFonts w:ascii="宋体" w:hAnsi="宋体"/>
          <w:kern w:val="0"/>
          <w:sz w:val="24"/>
          <w:szCs w:val="24"/>
        </w:rPr>
        <w:t>年</w:t>
      </w:r>
      <w:r>
        <w:rPr>
          <w:rFonts w:hint="eastAsia" w:ascii="宋体" w:hAnsi="宋体"/>
          <w:kern w:val="0"/>
          <w:sz w:val="24"/>
          <w:szCs w:val="24"/>
          <w:u w:val="single"/>
        </w:rPr>
        <w:t xml:space="preserve">    </w:t>
      </w:r>
      <w:r>
        <w:rPr>
          <w:rFonts w:ascii="宋体" w:hAnsi="宋体"/>
          <w:kern w:val="0"/>
          <w:sz w:val="24"/>
          <w:szCs w:val="24"/>
        </w:rPr>
        <w:t>月</w:t>
      </w:r>
      <w:r>
        <w:rPr>
          <w:rFonts w:hint="eastAsia" w:ascii="宋体" w:hAnsi="宋体"/>
          <w:kern w:val="0"/>
          <w:sz w:val="24"/>
          <w:szCs w:val="24"/>
          <w:u w:val="single"/>
        </w:rPr>
        <w:t xml:space="preserve">    </w:t>
      </w:r>
      <w:r>
        <w:rPr>
          <w:rFonts w:ascii="宋体" w:hAnsi="宋体"/>
          <w:kern w:val="0"/>
          <w:sz w:val="24"/>
          <w:szCs w:val="24"/>
        </w:rPr>
        <w:t>日</w:t>
      </w:r>
    </w:p>
    <w:p w14:paraId="3A632063">
      <w:pPr>
        <w:spacing w:line="360" w:lineRule="auto"/>
        <w:rPr>
          <w:rFonts w:hint="eastAsia" w:ascii="宋体" w:hAnsi="宋体" w:cs="宋体"/>
          <w:sz w:val="24"/>
          <w:szCs w:val="24"/>
        </w:rPr>
      </w:pPr>
      <w:r>
        <w:rPr>
          <w:rFonts w:ascii="黑体" w:eastAsia="黑体"/>
          <w:kern w:val="0"/>
          <w:sz w:val="44"/>
          <w:szCs w:val="44"/>
        </w:rPr>
        <w:br w:type="page"/>
      </w:r>
      <w:bookmarkStart w:id="1697" w:name="_Toc234382947"/>
      <w:r>
        <w:rPr>
          <w:rFonts w:hint="eastAsia" w:ascii="宋体" w:hAnsi="宋体" w:cs="宋体"/>
          <w:b/>
          <w:sz w:val="24"/>
          <w:szCs w:val="24"/>
        </w:rPr>
        <w:t>附件四</w:t>
      </w:r>
      <w:r>
        <w:rPr>
          <w:rFonts w:hint="eastAsia" w:ascii="宋体" w:hAnsi="宋体" w:cs="宋体"/>
          <w:sz w:val="24"/>
          <w:szCs w:val="24"/>
        </w:rPr>
        <w:t xml:space="preserve">   </w:t>
      </w:r>
      <w:r>
        <w:rPr>
          <w:rFonts w:hint="eastAsia" w:ascii="宋体" w:hAnsi="宋体" w:cs="宋体"/>
          <w:b/>
          <w:bCs/>
          <w:sz w:val="24"/>
          <w:szCs w:val="24"/>
        </w:rPr>
        <w:t>其他主要管理人员和技术人员最低要求</w:t>
      </w:r>
      <w:bookmarkEnd w:id="1697"/>
    </w:p>
    <w:p w14:paraId="25432757">
      <w:pPr>
        <w:spacing w:line="360" w:lineRule="auto"/>
        <w:jc w:val="center"/>
        <w:rPr>
          <w:rFonts w:hint="eastAsia" w:ascii="宋体" w:hAnsi="宋体" w:cs="宋体"/>
          <w:sz w:val="24"/>
          <w:szCs w:val="24"/>
        </w:rPr>
      </w:pPr>
    </w:p>
    <w:p w14:paraId="348B1783">
      <w:pPr>
        <w:spacing w:line="360" w:lineRule="auto"/>
        <w:jc w:val="center"/>
        <w:rPr>
          <w:rFonts w:hint="eastAsia" w:ascii="宋体" w:hAnsi="宋体" w:cs="宋体"/>
          <w:sz w:val="24"/>
          <w:szCs w:val="24"/>
        </w:rPr>
      </w:pPr>
      <w:r>
        <w:rPr>
          <w:rFonts w:hint="eastAsia" w:ascii="宋体" w:hAnsi="宋体" w:cs="宋体"/>
          <w:sz w:val="24"/>
          <w:szCs w:val="24"/>
        </w:rPr>
        <w:t>其他主要管理人员和技术人员最低要求</w:t>
      </w:r>
    </w:p>
    <w:tbl>
      <w:tblPr>
        <w:tblStyle w:val="48"/>
        <w:tblW w:w="92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35"/>
        <w:gridCol w:w="1984"/>
        <w:gridCol w:w="5020"/>
      </w:tblGrid>
      <w:tr w14:paraId="39C124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40A38B63">
            <w:pPr>
              <w:spacing w:line="360" w:lineRule="auto"/>
              <w:jc w:val="center"/>
              <w:rPr>
                <w:rFonts w:hint="eastAsia" w:ascii="宋体" w:hAnsi="宋体" w:cs="宋体"/>
                <w:sz w:val="24"/>
                <w:szCs w:val="24"/>
              </w:rPr>
            </w:pPr>
            <w:r>
              <w:rPr>
                <w:rFonts w:hint="eastAsia" w:ascii="宋体" w:hAnsi="宋体" w:cs="宋体"/>
                <w:sz w:val="24"/>
                <w:szCs w:val="24"/>
              </w:rPr>
              <w:t>人  员</w:t>
            </w:r>
          </w:p>
        </w:tc>
        <w:tc>
          <w:tcPr>
            <w:tcW w:w="1984" w:type="dxa"/>
            <w:noWrap w:val="0"/>
            <w:vAlign w:val="center"/>
          </w:tcPr>
          <w:p w14:paraId="7ABDF637">
            <w:pPr>
              <w:spacing w:line="360" w:lineRule="auto"/>
              <w:jc w:val="center"/>
              <w:rPr>
                <w:rFonts w:hint="eastAsia" w:ascii="宋体" w:hAnsi="宋体" w:cs="宋体"/>
                <w:sz w:val="24"/>
                <w:szCs w:val="24"/>
              </w:rPr>
            </w:pPr>
            <w:r>
              <w:rPr>
                <w:rFonts w:hint="eastAsia" w:ascii="宋体" w:hAnsi="宋体" w:cs="宋体"/>
                <w:sz w:val="24"/>
                <w:szCs w:val="24"/>
              </w:rPr>
              <w:t>数  量</w:t>
            </w:r>
          </w:p>
        </w:tc>
        <w:tc>
          <w:tcPr>
            <w:tcW w:w="5020" w:type="dxa"/>
            <w:noWrap w:val="0"/>
            <w:vAlign w:val="center"/>
          </w:tcPr>
          <w:p w14:paraId="12490DC9">
            <w:pPr>
              <w:spacing w:line="360" w:lineRule="auto"/>
              <w:jc w:val="center"/>
              <w:rPr>
                <w:rFonts w:hint="eastAsia" w:ascii="宋体" w:hAnsi="宋体" w:cs="宋体"/>
                <w:sz w:val="24"/>
                <w:szCs w:val="24"/>
              </w:rPr>
            </w:pPr>
            <w:r>
              <w:rPr>
                <w:rFonts w:hint="eastAsia" w:ascii="宋体" w:hAnsi="宋体" w:cs="宋体"/>
                <w:sz w:val="24"/>
                <w:szCs w:val="24"/>
              </w:rPr>
              <w:t>资 格 要 求</w:t>
            </w:r>
          </w:p>
        </w:tc>
      </w:tr>
      <w:tr w14:paraId="3808C7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0D218984">
            <w:pPr>
              <w:spacing w:line="360" w:lineRule="auto"/>
              <w:ind w:left="840"/>
              <w:rPr>
                <w:rFonts w:hint="eastAsia" w:ascii="宋体" w:hAnsi="宋体" w:cs="宋体"/>
                <w:sz w:val="24"/>
                <w:szCs w:val="24"/>
              </w:rPr>
            </w:pPr>
          </w:p>
        </w:tc>
        <w:tc>
          <w:tcPr>
            <w:tcW w:w="1984" w:type="dxa"/>
            <w:noWrap w:val="0"/>
            <w:vAlign w:val="center"/>
          </w:tcPr>
          <w:p w14:paraId="5A5BF740">
            <w:pPr>
              <w:spacing w:line="360" w:lineRule="auto"/>
              <w:ind w:left="840"/>
              <w:rPr>
                <w:rFonts w:hint="eastAsia" w:ascii="宋体" w:hAnsi="宋体" w:cs="宋体"/>
                <w:sz w:val="24"/>
                <w:szCs w:val="24"/>
              </w:rPr>
            </w:pPr>
          </w:p>
        </w:tc>
        <w:tc>
          <w:tcPr>
            <w:tcW w:w="5020" w:type="dxa"/>
            <w:noWrap w:val="0"/>
            <w:vAlign w:val="center"/>
          </w:tcPr>
          <w:p w14:paraId="242DF096">
            <w:pPr>
              <w:spacing w:line="360" w:lineRule="auto"/>
              <w:ind w:left="840"/>
              <w:rPr>
                <w:rFonts w:hint="eastAsia" w:ascii="宋体" w:hAnsi="宋体" w:cs="宋体"/>
                <w:sz w:val="24"/>
                <w:szCs w:val="24"/>
              </w:rPr>
            </w:pPr>
          </w:p>
        </w:tc>
      </w:tr>
      <w:tr w14:paraId="449A49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42A401B7">
            <w:pPr>
              <w:spacing w:line="360" w:lineRule="auto"/>
              <w:ind w:left="840"/>
              <w:rPr>
                <w:rFonts w:hint="eastAsia" w:ascii="宋体" w:hAnsi="宋体" w:cs="宋体"/>
                <w:sz w:val="24"/>
                <w:szCs w:val="24"/>
              </w:rPr>
            </w:pPr>
          </w:p>
        </w:tc>
        <w:tc>
          <w:tcPr>
            <w:tcW w:w="1984" w:type="dxa"/>
            <w:noWrap w:val="0"/>
            <w:vAlign w:val="center"/>
          </w:tcPr>
          <w:p w14:paraId="48C5A172">
            <w:pPr>
              <w:spacing w:line="360" w:lineRule="auto"/>
              <w:ind w:left="840"/>
              <w:rPr>
                <w:rFonts w:hint="eastAsia" w:ascii="宋体" w:hAnsi="宋体" w:cs="宋体"/>
                <w:sz w:val="24"/>
                <w:szCs w:val="24"/>
              </w:rPr>
            </w:pPr>
          </w:p>
        </w:tc>
        <w:tc>
          <w:tcPr>
            <w:tcW w:w="5020" w:type="dxa"/>
            <w:noWrap w:val="0"/>
            <w:vAlign w:val="center"/>
          </w:tcPr>
          <w:p w14:paraId="4B6CC4F4">
            <w:pPr>
              <w:spacing w:line="360" w:lineRule="auto"/>
              <w:ind w:left="840"/>
              <w:rPr>
                <w:rFonts w:hint="eastAsia" w:ascii="宋体" w:hAnsi="宋体" w:cs="宋体"/>
                <w:sz w:val="24"/>
                <w:szCs w:val="24"/>
              </w:rPr>
            </w:pPr>
          </w:p>
        </w:tc>
      </w:tr>
      <w:tr w14:paraId="4DB1EC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16E97C9E">
            <w:pPr>
              <w:spacing w:line="360" w:lineRule="auto"/>
              <w:ind w:left="840"/>
              <w:rPr>
                <w:rFonts w:hint="eastAsia" w:ascii="宋体" w:hAnsi="宋体" w:cs="宋体"/>
                <w:sz w:val="24"/>
                <w:szCs w:val="24"/>
              </w:rPr>
            </w:pPr>
          </w:p>
        </w:tc>
        <w:tc>
          <w:tcPr>
            <w:tcW w:w="1984" w:type="dxa"/>
            <w:noWrap w:val="0"/>
            <w:vAlign w:val="center"/>
          </w:tcPr>
          <w:p w14:paraId="4D09C70D">
            <w:pPr>
              <w:spacing w:line="360" w:lineRule="auto"/>
              <w:ind w:left="840"/>
              <w:rPr>
                <w:rFonts w:hint="eastAsia" w:ascii="宋体" w:hAnsi="宋体" w:cs="宋体"/>
                <w:sz w:val="24"/>
                <w:szCs w:val="24"/>
              </w:rPr>
            </w:pPr>
          </w:p>
        </w:tc>
        <w:tc>
          <w:tcPr>
            <w:tcW w:w="5020" w:type="dxa"/>
            <w:noWrap w:val="0"/>
            <w:vAlign w:val="center"/>
          </w:tcPr>
          <w:p w14:paraId="1948CD5E">
            <w:pPr>
              <w:spacing w:line="360" w:lineRule="auto"/>
              <w:ind w:left="840"/>
              <w:rPr>
                <w:rFonts w:hint="eastAsia" w:ascii="宋体" w:hAnsi="宋体" w:cs="宋体"/>
                <w:sz w:val="24"/>
                <w:szCs w:val="24"/>
              </w:rPr>
            </w:pPr>
          </w:p>
        </w:tc>
      </w:tr>
      <w:tr w14:paraId="2172F6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39B6557B">
            <w:pPr>
              <w:spacing w:line="360" w:lineRule="auto"/>
              <w:ind w:left="840"/>
              <w:rPr>
                <w:rFonts w:hint="eastAsia" w:ascii="宋体" w:hAnsi="宋体" w:cs="宋体"/>
                <w:sz w:val="24"/>
                <w:szCs w:val="24"/>
              </w:rPr>
            </w:pPr>
          </w:p>
        </w:tc>
        <w:tc>
          <w:tcPr>
            <w:tcW w:w="1984" w:type="dxa"/>
            <w:noWrap w:val="0"/>
            <w:vAlign w:val="center"/>
          </w:tcPr>
          <w:p w14:paraId="4A2733ED">
            <w:pPr>
              <w:spacing w:line="360" w:lineRule="auto"/>
              <w:ind w:left="840"/>
              <w:rPr>
                <w:rFonts w:hint="eastAsia" w:ascii="宋体" w:hAnsi="宋体" w:cs="宋体"/>
                <w:sz w:val="24"/>
                <w:szCs w:val="24"/>
              </w:rPr>
            </w:pPr>
          </w:p>
        </w:tc>
        <w:tc>
          <w:tcPr>
            <w:tcW w:w="5020" w:type="dxa"/>
            <w:noWrap w:val="0"/>
            <w:vAlign w:val="center"/>
          </w:tcPr>
          <w:p w14:paraId="1BEFF1CF">
            <w:pPr>
              <w:spacing w:line="360" w:lineRule="auto"/>
              <w:ind w:left="840"/>
              <w:rPr>
                <w:rFonts w:hint="eastAsia" w:ascii="宋体" w:hAnsi="宋体" w:cs="宋体"/>
                <w:sz w:val="24"/>
                <w:szCs w:val="24"/>
              </w:rPr>
            </w:pPr>
          </w:p>
        </w:tc>
      </w:tr>
      <w:tr w14:paraId="65943E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1BD42A3C">
            <w:pPr>
              <w:spacing w:line="360" w:lineRule="auto"/>
              <w:ind w:left="840"/>
              <w:rPr>
                <w:rFonts w:hint="eastAsia" w:ascii="宋体" w:hAnsi="宋体" w:cs="宋体"/>
                <w:sz w:val="24"/>
                <w:szCs w:val="24"/>
              </w:rPr>
            </w:pPr>
          </w:p>
        </w:tc>
        <w:tc>
          <w:tcPr>
            <w:tcW w:w="1984" w:type="dxa"/>
            <w:noWrap w:val="0"/>
            <w:vAlign w:val="center"/>
          </w:tcPr>
          <w:p w14:paraId="1882B38A">
            <w:pPr>
              <w:spacing w:line="360" w:lineRule="auto"/>
              <w:ind w:left="840"/>
              <w:rPr>
                <w:rFonts w:hint="eastAsia" w:ascii="宋体" w:hAnsi="宋体" w:cs="宋体"/>
                <w:sz w:val="24"/>
                <w:szCs w:val="24"/>
              </w:rPr>
            </w:pPr>
          </w:p>
        </w:tc>
        <w:tc>
          <w:tcPr>
            <w:tcW w:w="5020" w:type="dxa"/>
            <w:noWrap w:val="0"/>
            <w:vAlign w:val="center"/>
          </w:tcPr>
          <w:p w14:paraId="2325D503">
            <w:pPr>
              <w:spacing w:line="360" w:lineRule="auto"/>
              <w:ind w:left="840"/>
              <w:rPr>
                <w:rFonts w:hint="eastAsia" w:ascii="宋体" w:hAnsi="宋体" w:cs="宋体"/>
                <w:sz w:val="24"/>
                <w:szCs w:val="24"/>
              </w:rPr>
            </w:pPr>
          </w:p>
        </w:tc>
      </w:tr>
      <w:tr w14:paraId="1426AB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50A930C3">
            <w:pPr>
              <w:spacing w:line="360" w:lineRule="auto"/>
              <w:ind w:left="840"/>
              <w:rPr>
                <w:rFonts w:hint="eastAsia" w:ascii="宋体" w:hAnsi="宋体" w:cs="宋体"/>
                <w:sz w:val="24"/>
                <w:szCs w:val="24"/>
              </w:rPr>
            </w:pPr>
          </w:p>
        </w:tc>
        <w:tc>
          <w:tcPr>
            <w:tcW w:w="1984" w:type="dxa"/>
            <w:noWrap w:val="0"/>
            <w:vAlign w:val="center"/>
          </w:tcPr>
          <w:p w14:paraId="472C41DD">
            <w:pPr>
              <w:spacing w:line="360" w:lineRule="auto"/>
              <w:ind w:left="840"/>
              <w:rPr>
                <w:rFonts w:hint="eastAsia" w:ascii="宋体" w:hAnsi="宋体" w:cs="宋体"/>
                <w:sz w:val="24"/>
                <w:szCs w:val="24"/>
              </w:rPr>
            </w:pPr>
          </w:p>
        </w:tc>
        <w:tc>
          <w:tcPr>
            <w:tcW w:w="5020" w:type="dxa"/>
            <w:noWrap w:val="0"/>
            <w:vAlign w:val="center"/>
          </w:tcPr>
          <w:p w14:paraId="6D785033">
            <w:pPr>
              <w:spacing w:line="360" w:lineRule="auto"/>
              <w:ind w:left="840"/>
              <w:rPr>
                <w:rFonts w:hint="eastAsia" w:ascii="宋体" w:hAnsi="宋体" w:cs="宋体"/>
                <w:sz w:val="24"/>
                <w:szCs w:val="24"/>
              </w:rPr>
            </w:pPr>
          </w:p>
        </w:tc>
      </w:tr>
      <w:tr w14:paraId="4B2ACC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35EBA13E">
            <w:pPr>
              <w:spacing w:line="360" w:lineRule="auto"/>
              <w:ind w:left="840"/>
              <w:rPr>
                <w:rFonts w:hint="eastAsia" w:ascii="宋体" w:hAnsi="宋体" w:cs="宋体"/>
                <w:sz w:val="24"/>
                <w:szCs w:val="24"/>
              </w:rPr>
            </w:pPr>
          </w:p>
        </w:tc>
        <w:tc>
          <w:tcPr>
            <w:tcW w:w="1984" w:type="dxa"/>
            <w:noWrap w:val="0"/>
            <w:vAlign w:val="center"/>
          </w:tcPr>
          <w:p w14:paraId="30FE6AF4">
            <w:pPr>
              <w:spacing w:line="360" w:lineRule="auto"/>
              <w:ind w:left="840"/>
              <w:rPr>
                <w:rFonts w:hint="eastAsia" w:ascii="宋体" w:hAnsi="宋体" w:cs="宋体"/>
                <w:sz w:val="24"/>
                <w:szCs w:val="24"/>
              </w:rPr>
            </w:pPr>
          </w:p>
        </w:tc>
        <w:tc>
          <w:tcPr>
            <w:tcW w:w="5020" w:type="dxa"/>
            <w:noWrap w:val="0"/>
            <w:vAlign w:val="center"/>
          </w:tcPr>
          <w:p w14:paraId="32E997FE">
            <w:pPr>
              <w:spacing w:line="360" w:lineRule="auto"/>
              <w:ind w:left="840"/>
              <w:rPr>
                <w:rFonts w:hint="eastAsia" w:ascii="宋体" w:hAnsi="宋体" w:cs="宋体"/>
                <w:sz w:val="24"/>
                <w:szCs w:val="24"/>
              </w:rPr>
            </w:pPr>
          </w:p>
        </w:tc>
      </w:tr>
      <w:tr w14:paraId="2EDD68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617C6C81">
            <w:pPr>
              <w:spacing w:line="360" w:lineRule="auto"/>
              <w:ind w:left="840"/>
              <w:rPr>
                <w:rFonts w:hint="eastAsia" w:ascii="宋体" w:hAnsi="宋体" w:cs="宋体"/>
                <w:sz w:val="24"/>
                <w:szCs w:val="24"/>
              </w:rPr>
            </w:pPr>
          </w:p>
        </w:tc>
        <w:tc>
          <w:tcPr>
            <w:tcW w:w="1984" w:type="dxa"/>
            <w:noWrap w:val="0"/>
            <w:vAlign w:val="center"/>
          </w:tcPr>
          <w:p w14:paraId="7A0DD770">
            <w:pPr>
              <w:spacing w:line="360" w:lineRule="auto"/>
              <w:ind w:left="840"/>
              <w:rPr>
                <w:rFonts w:hint="eastAsia" w:ascii="宋体" w:hAnsi="宋体" w:cs="宋体"/>
                <w:sz w:val="24"/>
                <w:szCs w:val="24"/>
              </w:rPr>
            </w:pPr>
          </w:p>
        </w:tc>
        <w:tc>
          <w:tcPr>
            <w:tcW w:w="5020" w:type="dxa"/>
            <w:noWrap w:val="0"/>
            <w:vAlign w:val="center"/>
          </w:tcPr>
          <w:p w14:paraId="65434D55">
            <w:pPr>
              <w:spacing w:line="360" w:lineRule="auto"/>
              <w:ind w:left="840"/>
              <w:rPr>
                <w:rFonts w:hint="eastAsia" w:ascii="宋体" w:hAnsi="宋体" w:cs="宋体"/>
                <w:sz w:val="24"/>
                <w:szCs w:val="24"/>
              </w:rPr>
            </w:pPr>
          </w:p>
        </w:tc>
      </w:tr>
      <w:tr w14:paraId="3F1B1E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4EF59BE7">
            <w:pPr>
              <w:spacing w:line="360" w:lineRule="auto"/>
              <w:ind w:left="840"/>
              <w:rPr>
                <w:rFonts w:hint="eastAsia" w:ascii="宋体" w:hAnsi="宋体" w:cs="宋体"/>
                <w:sz w:val="24"/>
                <w:szCs w:val="24"/>
              </w:rPr>
            </w:pPr>
          </w:p>
        </w:tc>
        <w:tc>
          <w:tcPr>
            <w:tcW w:w="1984" w:type="dxa"/>
            <w:noWrap w:val="0"/>
            <w:vAlign w:val="center"/>
          </w:tcPr>
          <w:p w14:paraId="5CEB97B9">
            <w:pPr>
              <w:spacing w:line="360" w:lineRule="auto"/>
              <w:ind w:left="840"/>
              <w:rPr>
                <w:rFonts w:hint="eastAsia" w:ascii="宋体" w:hAnsi="宋体" w:cs="宋体"/>
                <w:sz w:val="24"/>
                <w:szCs w:val="24"/>
              </w:rPr>
            </w:pPr>
          </w:p>
        </w:tc>
        <w:tc>
          <w:tcPr>
            <w:tcW w:w="5020" w:type="dxa"/>
            <w:noWrap w:val="0"/>
            <w:vAlign w:val="center"/>
          </w:tcPr>
          <w:p w14:paraId="2AD36D48">
            <w:pPr>
              <w:spacing w:line="360" w:lineRule="auto"/>
              <w:ind w:left="840"/>
              <w:rPr>
                <w:rFonts w:hint="eastAsia" w:ascii="宋体" w:hAnsi="宋体" w:cs="宋体"/>
                <w:sz w:val="24"/>
                <w:szCs w:val="24"/>
              </w:rPr>
            </w:pPr>
          </w:p>
        </w:tc>
      </w:tr>
      <w:tr w14:paraId="552AA6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63F6B9FE">
            <w:pPr>
              <w:spacing w:line="360" w:lineRule="auto"/>
              <w:ind w:left="840"/>
              <w:rPr>
                <w:rFonts w:hint="eastAsia" w:ascii="宋体" w:hAnsi="宋体" w:cs="宋体"/>
                <w:sz w:val="24"/>
                <w:szCs w:val="24"/>
              </w:rPr>
            </w:pPr>
          </w:p>
        </w:tc>
        <w:tc>
          <w:tcPr>
            <w:tcW w:w="1984" w:type="dxa"/>
            <w:noWrap w:val="0"/>
            <w:vAlign w:val="center"/>
          </w:tcPr>
          <w:p w14:paraId="3BA5575B">
            <w:pPr>
              <w:spacing w:line="360" w:lineRule="auto"/>
              <w:ind w:left="840"/>
              <w:rPr>
                <w:rFonts w:hint="eastAsia" w:ascii="宋体" w:hAnsi="宋体" w:cs="宋体"/>
                <w:sz w:val="24"/>
                <w:szCs w:val="24"/>
              </w:rPr>
            </w:pPr>
          </w:p>
        </w:tc>
        <w:tc>
          <w:tcPr>
            <w:tcW w:w="5020" w:type="dxa"/>
            <w:noWrap w:val="0"/>
            <w:vAlign w:val="center"/>
          </w:tcPr>
          <w:p w14:paraId="1C03FC89">
            <w:pPr>
              <w:spacing w:line="360" w:lineRule="auto"/>
              <w:ind w:left="840"/>
              <w:rPr>
                <w:rFonts w:hint="eastAsia" w:ascii="宋体" w:hAnsi="宋体" w:cs="宋体"/>
                <w:sz w:val="24"/>
                <w:szCs w:val="24"/>
              </w:rPr>
            </w:pPr>
          </w:p>
        </w:tc>
      </w:tr>
      <w:tr w14:paraId="724BA0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154CB062">
            <w:pPr>
              <w:spacing w:line="360" w:lineRule="auto"/>
              <w:ind w:left="840"/>
              <w:rPr>
                <w:rFonts w:hint="eastAsia" w:ascii="宋体" w:hAnsi="宋体" w:cs="宋体"/>
                <w:sz w:val="24"/>
                <w:szCs w:val="24"/>
              </w:rPr>
            </w:pPr>
          </w:p>
        </w:tc>
        <w:tc>
          <w:tcPr>
            <w:tcW w:w="1984" w:type="dxa"/>
            <w:noWrap w:val="0"/>
            <w:vAlign w:val="center"/>
          </w:tcPr>
          <w:p w14:paraId="4134CE84">
            <w:pPr>
              <w:spacing w:line="360" w:lineRule="auto"/>
              <w:ind w:left="840"/>
              <w:rPr>
                <w:rFonts w:hint="eastAsia" w:ascii="宋体" w:hAnsi="宋体" w:cs="宋体"/>
                <w:sz w:val="24"/>
                <w:szCs w:val="24"/>
              </w:rPr>
            </w:pPr>
          </w:p>
        </w:tc>
        <w:tc>
          <w:tcPr>
            <w:tcW w:w="5020" w:type="dxa"/>
            <w:noWrap w:val="0"/>
            <w:vAlign w:val="center"/>
          </w:tcPr>
          <w:p w14:paraId="2CCD3D64">
            <w:pPr>
              <w:spacing w:line="360" w:lineRule="auto"/>
              <w:ind w:left="840"/>
              <w:rPr>
                <w:rFonts w:hint="eastAsia" w:ascii="宋体" w:hAnsi="宋体" w:cs="宋体"/>
                <w:sz w:val="24"/>
                <w:szCs w:val="24"/>
              </w:rPr>
            </w:pPr>
          </w:p>
        </w:tc>
      </w:tr>
      <w:tr w14:paraId="34C69E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688A8E06">
            <w:pPr>
              <w:spacing w:line="360" w:lineRule="auto"/>
              <w:ind w:left="840"/>
              <w:rPr>
                <w:rFonts w:hint="eastAsia" w:ascii="宋体" w:hAnsi="宋体" w:cs="宋体"/>
                <w:sz w:val="24"/>
                <w:szCs w:val="24"/>
              </w:rPr>
            </w:pPr>
          </w:p>
        </w:tc>
        <w:tc>
          <w:tcPr>
            <w:tcW w:w="1984" w:type="dxa"/>
            <w:noWrap w:val="0"/>
            <w:vAlign w:val="center"/>
          </w:tcPr>
          <w:p w14:paraId="79254BD5">
            <w:pPr>
              <w:spacing w:line="360" w:lineRule="auto"/>
              <w:ind w:left="840"/>
              <w:rPr>
                <w:rFonts w:hint="eastAsia" w:ascii="宋体" w:hAnsi="宋体" w:cs="宋体"/>
                <w:sz w:val="24"/>
                <w:szCs w:val="24"/>
              </w:rPr>
            </w:pPr>
          </w:p>
        </w:tc>
        <w:tc>
          <w:tcPr>
            <w:tcW w:w="5020" w:type="dxa"/>
            <w:noWrap w:val="0"/>
            <w:vAlign w:val="center"/>
          </w:tcPr>
          <w:p w14:paraId="3D2AE106">
            <w:pPr>
              <w:spacing w:line="360" w:lineRule="auto"/>
              <w:ind w:left="840"/>
              <w:rPr>
                <w:rFonts w:hint="eastAsia" w:ascii="宋体" w:hAnsi="宋体" w:cs="宋体"/>
                <w:sz w:val="24"/>
                <w:szCs w:val="24"/>
              </w:rPr>
            </w:pPr>
          </w:p>
        </w:tc>
      </w:tr>
      <w:tr w14:paraId="3E343C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6A184361">
            <w:pPr>
              <w:spacing w:line="360" w:lineRule="auto"/>
              <w:ind w:left="840"/>
              <w:rPr>
                <w:rFonts w:hint="eastAsia" w:ascii="宋体" w:hAnsi="宋体" w:cs="宋体"/>
                <w:sz w:val="24"/>
                <w:szCs w:val="24"/>
              </w:rPr>
            </w:pPr>
          </w:p>
        </w:tc>
        <w:tc>
          <w:tcPr>
            <w:tcW w:w="1984" w:type="dxa"/>
            <w:noWrap w:val="0"/>
            <w:vAlign w:val="center"/>
          </w:tcPr>
          <w:p w14:paraId="2FBB5F66">
            <w:pPr>
              <w:spacing w:line="360" w:lineRule="auto"/>
              <w:ind w:left="840"/>
              <w:rPr>
                <w:rFonts w:hint="eastAsia" w:ascii="宋体" w:hAnsi="宋体" w:cs="宋体"/>
                <w:sz w:val="24"/>
                <w:szCs w:val="24"/>
              </w:rPr>
            </w:pPr>
          </w:p>
        </w:tc>
        <w:tc>
          <w:tcPr>
            <w:tcW w:w="5020" w:type="dxa"/>
            <w:noWrap w:val="0"/>
            <w:vAlign w:val="center"/>
          </w:tcPr>
          <w:p w14:paraId="6D7F3F6B">
            <w:pPr>
              <w:spacing w:line="360" w:lineRule="auto"/>
              <w:ind w:left="840"/>
              <w:rPr>
                <w:rFonts w:hint="eastAsia" w:ascii="宋体" w:hAnsi="宋体" w:cs="宋体"/>
                <w:sz w:val="24"/>
                <w:szCs w:val="24"/>
              </w:rPr>
            </w:pPr>
          </w:p>
        </w:tc>
      </w:tr>
      <w:tr w14:paraId="0F0C18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7B5FDBEF">
            <w:pPr>
              <w:spacing w:line="360" w:lineRule="auto"/>
              <w:ind w:left="840"/>
              <w:rPr>
                <w:rFonts w:hint="eastAsia" w:ascii="宋体" w:hAnsi="宋体" w:cs="宋体"/>
                <w:sz w:val="24"/>
                <w:szCs w:val="24"/>
              </w:rPr>
            </w:pPr>
          </w:p>
        </w:tc>
        <w:tc>
          <w:tcPr>
            <w:tcW w:w="1984" w:type="dxa"/>
            <w:noWrap w:val="0"/>
            <w:vAlign w:val="center"/>
          </w:tcPr>
          <w:p w14:paraId="54EB420B">
            <w:pPr>
              <w:spacing w:line="360" w:lineRule="auto"/>
              <w:ind w:left="840"/>
              <w:rPr>
                <w:rFonts w:hint="eastAsia" w:ascii="宋体" w:hAnsi="宋体" w:cs="宋体"/>
                <w:sz w:val="24"/>
                <w:szCs w:val="24"/>
              </w:rPr>
            </w:pPr>
          </w:p>
        </w:tc>
        <w:tc>
          <w:tcPr>
            <w:tcW w:w="5020" w:type="dxa"/>
            <w:noWrap w:val="0"/>
            <w:vAlign w:val="center"/>
          </w:tcPr>
          <w:p w14:paraId="207D38B0">
            <w:pPr>
              <w:spacing w:line="360" w:lineRule="auto"/>
              <w:ind w:left="840"/>
              <w:rPr>
                <w:rFonts w:hint="eastAsia" w:ascii="宋体" w:hAnsi="宋体" w:cs="宋体"/>
                <w:sz w:val="24"/>
                <w:szCs w:val="24"/>
              </w:rPr>
            </w:pPr>
          </w:p>
        </w:tc>
      </w:tr>
      <w:tr w14:paraId="11E69F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0A93F0E1">
            <w:pPr>
              <w:spacing w:line="360" w:lineRule="auto"/>
              <w:ind w:left="840"/>
              <w:rPr>
                <w:rFonts w:hint="eastAsia" w:ascii="宋体" w:hAnsi="宋体" w:cs="宋体"/>
                <w:sz w:val="24"/>
                <w:szCs w:val="24"/>
              </w:rPr>
            </w:pPr>
          </w:p>
        </w:tc>
        <w:tc>
          <w:tcPr>
            <w:tcW w:w="1984" w:type="dxa"/>
            <w:noWrap w:val="0"/>
            <w:vAlign w:val="center"/>
          </w:tcPr>
          <w:p w14:paraId="350369D2">
            <w:pPr>
              <w:spacing w:line="360" w:lineRule="auto"/>
              <w:ind w:left="840"/>
              <w:rPr>
                <w:rFonts w:hint="eastAsia" w:ascii="宋体" w:hAnsi="宋体" w:cs="宋体"/>
                <w:sz w:val="24"/>
                <w:szCs w:val="24"/>
              </w:rPr>
            </w:pPr>
          </w:p>
        </w:tc>
        <w:tc>
          <w:tcPr>
            <w:tcW w:w="5020" w:type="dxa"/>
            <w:noWrap w:val="0"/>
            <w:vAlign w:val="center"/>
          </w:tcPr>
          <w:p w14:paraId="5232F6F9">
            <w:pPr>
              <w:spacing w:line="360" w:lineRule="auto"/>
              <w:ind w:left="840"/>
              <w:rPr>
                <w:rFonts w:hint="eastAsia" w:ascii="宋体" w:hAnsi="宋体" w:cs="宋体"/>
                <w:sz w:val="24"/>
                <w:szCs w:val="24"/>
              </w:rPr>
            </w:pPr>
          </w:p>
        </w:tc>
      </w:tr>
      <w:tr w14:paraId="5A113A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44CCFCBB">
            <w:pPr>
              <w:spacing w:line="360" w:lineRule="auto"/>
              <w:ind w:left="840"/>
              <w:rPr>
                <w:rFonts w:hint="eastAsia" w:ascii="宋体" w:hAnsi="宋体" w:cs="宋体"/>
                <w:sz w:val="24"/>
                <w:szCs w:val="24"/>
              </w:rPr>
            </w:pPr>
          </w:p>
        </w:tc>
        <w:tc>
          <w:tcPr>
            <w:tcW w:w="1984" w:type="dxa"/>
            <w:noWrap w:val="0"/>
            <w:vAlign w:val="center"/>
          </w:tcPr>
          <w:p w14:paraId="0ED5B607">
            <w:pPr>
              <w:spacing w:line="360" w:lineRule="auto"/>
              <w:ind w:left="840"/>
              <w:rPr>
                <w:rFonts w:hint="eastAsia" w:ascii="宋体" w:hAnsi="宋体" w:cs="宋体"/>
                <w:sz w:val="24"/>
                <w:szCs w:val="24"/>
              </w:rPr>
            </w:pPr>
          </w:p>
        </w:tc>
        <w:tc>
          <w:tcPr>
            <w:tcW w:w="5020" w:type="dxa"/>
            <w:noWrap w:val="0"/>
            <w:vAlign w:val="center"/>
          </w:tcPr>
          <w:p w14:paraId="7F2628B3">
            <w:pPr>
              <w:spacing w:line="360" w:lineRule="auto"/>
              <w:ind w:left="840"/>
              <w:rPr>
                <w:rFonts w:hint="eastAsia" w:ascii="宋体" w:hAnsi="宋体" w:cs="宋体"/>
                <w:sz w:val="24"/>
                <w:szCs w:val="24"/>
              </w:rPr>
            </w:pPr>
          </w:p>
        </w:tc>
      </w:tr>
      <w:tr w14:paraId="0CB66E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478C2626">
            <w:pPr>
              <w:spacing w:line="360" w:lineRule="auto"/>
              <w:ind w:left="840"/>
              <w:rPr>
                <w:rFonts w:hint="eastAsia" w:ascii="宋体" w:hAnsi="宋体" w:cs="宋体"/>
                <w:sz w:val="24"/>
                <w:szCs w:val="24"/>
              </w:rPr>
            </w:pPr>
          </w:p>
        </w:tc>
        <w:tc>
          <w:tcPr>
            <w:tcW w:w="1984" w:type="dxa"/>
            <w:noWrap w:val="0"/>
            <w:vAlign w:val="center"/>
          </w:tcPr>
          <w:p w14:paraId="6951F5CF">
            <w:pPr>
              <w:spacing w:line="360" w:lineRule="auto"/>
              <w:ind w:left="840"/>
              <w:rPr>
                <w:rFonts w:hint="eastAsia" w:ascii="宋体" w:hAnsi="宋体" w:cs="宋体"/>
                <w:sz w:val="24"/>
                <w:szCs w:val="24"/>
              </w:rPr>
            </w:pPr>
          </w:p>
        </w:tc>
        <w:tc>
          <w:tcPr>
            <w:tcW w:w="5020" w:type="dxa"/>
            <w:noWrap w:val="0"/>
            <w:vAlign w:val="center"/>
          </w:tcPr>
          <w:p w14:paraId="28EE800B">
            <w:pPr>
              <w:spacing w:line="360" w:lineRule="auto"/>
              <w:ind w:left="840"/>
              <w:rPr>
                <w:rFonts w:hint="eastAsia" w:ascii="宋体" w:hAnsi="宋体" w:cs="宋体"/>
                <w:sz w:val="24"/>
                <w:szCs w:val="24"/>
              </w:rPr>
            </w:pPr>
          </w:p>
        </w:tc>
      </w:tr>
    </w:tbl>
    <w:p w14:paraId="18656B87">
      <w:pPr>
        <w:snapToGrid w:val="0"/>
        <w:spacing w:line="360" w:lineRule="auto"/>
        <w:jc w:val="left"/>
        <w:rPr>
          <w:rFonts w:hint="eastAsia" w:ascii="宋体" w:hAnsi="宋体" w:cs="宋体"/>
          <w:sz w:val="24"/>
          <w:szCs w:val="24"/>
        </w:rPr>
      </w:pPr>
      <w:r>
        <w:rPr>
          <w:rFonts w:hint="eastAsia" w:ascii="宋体" w:hAnsi="宋体" w:cs="宋体"/>
          <w:sz w:val="24"/>
          <w:szCs w:val="24"/>
        </w:rPr>
        <w:t>注：招标人应在招标文件中规定若投标人在所投标标段中标需派驻的其他主要管理人员和技术人员。招标人将在发出中标通知书之前要求中标人按照本表的最低要求填报派驻本标段的其他主要管理人员和技术人员，在经招标人审批后作为派驻本标段的项目管理机构主要人员且不允许更换。</w:t>
      </w:r>
    </w:p>
    <w:p w14:paraId="252BB493">
      <w:pPr>
        <w:widowControl/>
        <w:jc w:val="left"/>
        <w:rPr>
          <w:rFonts w:ascii="宋体" w:eastAsia="黑体"/>
          <w:bCs/>
          <w:kern w:val="44"/>
          <w:sz w:val="24"/>
        </w:rPr>
      </w:pPr>
    </w:p>
    <w:p w14:paraId="769E91E5">
      <w:pPr>
        <w:spacing w:line="360" w:lineRule="auto"/>
        <w:rPr>
          <w:rFonts w:hint="eastAsia" w:ascii="宋体" w:hAnsi="宋体" w:cs="宋体"/>
          <w:sz w:val="24"/>
          <w:szCs w:val="24"/>
        </w:rPr>
      </w:pPr>
      <w:bookmarkStart w:id="1698" w:name="_Toc234382949"/>
      <w:bookmarkStart w:id="1699" w:name="_Toc513132398"/>
      <w:bookmarkStart w:id="1700" w:name="_Toc512689765"/>
      <w:bookmarkStart w:id="1701" w:name="_Toc513212918"/>
      <w:r>
        <w:rPr>
          <w:rFonts w:ascii="宋体" w:hAnsi="宋体" w:cs="宋体"/>
          <w:b/>
          <w:sz w:val="24"/>
          <w:szCs w:val="24"/>
        </w:rPr>
        <w:br w:type="page"/>
      </w:r>
      <w:r>
        <w:rPr>
          <w:rFonts w:hint="eastAsia" w:ascii="宋体" w:hAnsi="宋体" w:cs="宋体"/>
          <w:b/>
          <w:sz w:val="24"/>
          <w:szCs w:val="24"/>
        </w:rPr>
        <w:t>附件</w:t>
      </w:r>
      <w:r>
        <w:rPr>
          <w:rFonts w:hint="eastAsia" w:ascii="宋体" w:hAnsi="宋体" w:cs="宋体"/>
          <w:b/>
          <w:bCs w:val="0"/>
          <w:sz w:val="24"/>
          <w:szCs w:val="24"/>
        </w:rPr>
        <w:t>五   主要机械设备和试验检测设备最低要求</w:t>
      </w:r>
    </w:p>
    <w:p w14:paraId="385EF965">
      <w:pPr>
        <w:spacing w:line="360" w:lineRule="auto"/>
        <w:rPr>
          <w:rFonts w:hint="eastAsia" w:ascii="宋体" w:hAnsi="宋体" w:cs="宋体"/>
          <w:sz w:val="24"/>
          <w:szCs w:val="24"/>
        </w:rPr>
      </w:pPr>
    </w:p>
    <w:p w14:paraId="6C049525">
      <w:pPr>
        <w:spacing w:line="360" w:lineRule="auto"/>
        <w:jc w:val="center"/>
        <w:rPr>
          <w:rFonts w:hint="eastAsia" w:ascii="宋体" w:hAnsi="宋体" w:cs="宋体"/>
          <w:sz w:val="24"/>
          <w:szCs w:val="24"/>
        </w:rPr>
      </w:pPr>
      <w:r>
        <w:rPr>
          <w:rFonts w:hint="eastAsia" w:ascii="宋体" w:hAnsi="宋体" w:cs="宋体"/>
          <w:sz w:val="24"/>
          <w:szCs w:val="24"/>
        </w:rPr>
        <w:t>主要机械设备和试验检测设备最低要求</w:t>
      </w:r>
    </w:p>
    <w:tbl>
      <w:tblPr>
        <w:tblStyle w:val="48"/>
        <w:tblW w:w="90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08"/>
        <w:gridCol w:w="3417"/>
        <w:gridCol w:w="1553"/>
        <w:gridCol w:w="2394"/>
      </w:tblGrid>
      <w:tr w14:paraId="1BD864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708" w:type="dxa"/>
            <w:noWrap w:val="0"/>
            <w:vAlign w:val="center"/>
          </w:tcPr>
          <w:p w14:paraId="3C80BCF5">
            <w:pPr>
              <w:spacing w:line="360" w:lineRule="auto"/>
              <w:jc w:val="center"/>
              <w:rPr>
                <w:rFonts w:hint="eastAsia" w:ascii="宋体" w:hAnsi="宋体" w:cs="宋体"/>
                <w:sz w:val="24"/>
                <w:szCs w:val="24"/>
              </w:rPr>
            </w:pPr>
            <w:r>
              <w:rPr>
                <w:rFonts w:hint="eastAsia" w:ascii="宋体" w:hAnsi="宋体" w:cs="宋体"/>
                <w:sz w:val="24"/>
                <w:szCs w:val="24"/>
              </w:rPr>
              <w:t>设备名称</w:t>
            </w:r>
          </w:p>
        </w:tc>
        <w:tc>
          <w:tcPr>
            <w:tcW w:w="3417" w:type="dxa"/>
            <w:noWrap w:val="0"/>
            <w:vAlign w:val="center"/>
          </w:tcPr>
          <w:p w14:paraId="7F7B98A0">
            <w:pPr>
              <w:spacing w:line="360" w:lineRule="auto"/>
              <w:jc w:val="center"/>
              <w:rPr>
                <w:rFonts w:hint="eastAsia" w:ascii="宋体" w:hAnsi="宋体" w:cs="宋体"/>
                <w:sz w:val="24"/>
                <w:szCs w:val="24"/>
              </w:rPr>
            </w:pPr>
            <w:r>
              <w:rPr>
                <w:rFonts w:hint="eastAsia" w:ascii="宋体" w:hAnsi="宋体" w:cs="宋体"/>
                <w:sz w:val="24"/>
                <w:szCs w:val="24"/>
              </w:rPr>
              <w:t>规格、功率及容量</w:t>
            </w:r>
          </w:p>
        </w:tc>
        <w:tc>
          <w:tcPr>
            <w:tcW w:w="1553" w:type="dxa"/>
            <w:noWrap w:val="0"/>
            <w:vAlign w:val="center"/>
          </w:tcPr>
          <w:p w14:paraId="23C881E1">
            <w:pPr>
              <w:spacing w:line="360" w:lineRule="auto"/>
              <w:jc w:val="center"/>
              <w:rPr>
                <w:rFonts w:hint="eastAsia" w:ascii="宋体" w:hAnsi="宋体" w:cs="宋体"/>
                <w:sz w:val="24"/>
                <w:szCs w:val="24"/>
              </w:rPr>
            </w:pPr>
            <w:r>
              <w:rPr>
                <w:rFonts w:hint="eastAsia" w:ascii="宋体" w:hAnsi="宋体" w:cs="宋体"/>
                <w:sz w:val="24"/>
                <w:szCs w:val="24"/>
              </w:rPr>
              <w:t>单位</w:t>
            </w:r>
          </w:p>
        </w:tc>
        <w:tc>
          <w:tcPr>
            <w:tcW w:w="2394" w:type="dxa"/>
            <w:noWrap w:val="0"/>
            <w:vAlign w:val="center"/>
          </w:tcPr>
          <w:p w14:paraId="5A3D4931">
            <w:pPr>
              <w:spacing w:line="360" w:lineRule="auto"/>
              <w:jc w:val="center"/>
              <w:rPr>
                <w:rFonts w:hint="eastAsia" w:ascii="宋体" w:hAnsi="宋体" w:cs="宋体"/>
                <w:sz w:val="24"/>
                <w:szCs w:val="24"/>
              </w:rPr>
            </w:pPr>
            <w:r>
              <w:rPr>
                <w:rFonts w:hint="eastAsia" w:ascii="宋体" w:hAnsi="宋体" w:cs="宋体"/>
                <w:sz w:val="24"/>
                <w:szCs w:val="24"/>
              </w:rPr>
              <w:t>最低数量要求</w:t>
            </w:r>
          </w:p>
        </w:tc>
      </w:tr>
      <w:tr w14:paraId="79309A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noWrap w:val="0"/>
            <w:vAlign w:val="center"/>
          </w:tcPr>
          <w:p w14:paraId="002B0724">
            <w:pPr>
              <w:spacing w:line="360" w:lineRule="auto"/>
              <w:ind w:left="840"/>
              <w:jc w:val="center"/>
              <w:rPr>
                <w:rFonts w:hint="eastAsia" w:ascii="宋体" w:hAnsi="宋体" w:cs="宋体"/>
                <w:sz w:val="24"/>
                <w:szCs w:val="24"/>
              </w:rPr>
            </w:pPr>
          </w:p>
        </w:tc>
        <w:tc>
          <w:tcPr>
            <w:tcW w:w="3417" w:type="dxa"/>
            <w:noWrap w:val="0"/>
            <w:vAlign w:val="center"/>
          </w:tcPr>
          <w:p w14:paraId="269C5BA3">
            <w:pPr>
              <w:spacing w:line="360" w:lineRule="auto"/>
              <w:ind w:left="840"/>
              <w:jc w:val="center"/>
              <w:rPr>
                <w:rFonts w:hint="eastAsia" w:ascii="宋体" w:hAnsi="宋体" w:cs="宋体"/>
                <w:sz w:val="24"/>
                <w:szCs w:val="24"/>
              </w:rPr>
            </w:pPr>
          </w:p>
        </w:tc>
        <w:tc>
          <w:tcPr>
            <w:tcW w:w="1553" w:type="dxa"/>
            <w:noWrap w:val="0"/>
            <w:vAlign w:val="center"/>
          </w:tcPr>
          <w:p w14:paraId="17866979">
            <w:pPr>
              <w:spacing w:line="360" w:lineRule="auto"/>
              <w:ind w:left="840"/>
              <w:jc w:val="center"/>
              <w:rPr>
                <w:rFonts w:hint="eastAsia" w:ascii="宋体" w:hAnsi="宋体" w:cs="宋体"/>
                <w:sz w:val="24"/>
                <w:szCs w:val="24"/>
              </w:rPr>
            </w:pPr>
          </w:p>
        </w:tc>
        <w:tc>
          <w:tcPr>
            <w:tcW w:w="2394" w:type="dxa"/>
            <w:noWrap w:val="0"/>
            <w:vAlign w:val="center"/>
          </w:tcPr>
          <w:p w14:paraId="5CF66AB1">
            <w:pPr>
              <w:spacing w:line="360" w:lineRule="auto"/>
              <w:ind w:left="840"/>
              <w:jc w:val="center"/>
              <w:rPr>
                <w:rFonts w:hint="eastAsia" w:ascii="宋体" w:hAnsi="宋体" w:cs="宋体"/>
                <w:sz w:val="24"/>
                <w:szCs w:val="24"/>
              </w:rPr>
            </w:pPr>
          </w:p>
        </w:tc>
      </w:tr>
      <w:tr w14:paraId="573718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noWrap w:val="0"/>
            <w:vAlign w:val="center"/>
          </w:tcPr>
          <w:p w14:paraId="2174A8FF">
            <w:pPr>
              <w:spacing w:line="360" w:lineRule="auto"/>
              <w:ind w:left="840"/>
              <w:jc w:val="center"/>
              <w:rPr>
                <w:rFonts w:hint="eastAsia" w:ascii="宋体" w:hAnsi="宋体" w:cs="宋体"/>
                <w:sz w:val="24"/>
                <w:szCs w:val="24"/>
              </w:rPr>
            </w:pPr>
          </w:p>
        </w:tc>
        <w:tc>
          <w:tcPr>
            <w:tcW w:w="3417" w:type="dxa"/>
            <w:noWrap w:val="0"/>
            <w:vAlign w:val="center"/>
          </w:tcPr>
          <w:p w14:paraId="50829D2D">
            <w:pPr>
              <w:spacing w:line="360" w:lineRule="auto"/>
              <w:ind w:left="840"/>
              <w:jc w:val="center"/>
              <w:rPr>
                <w:rFonts w:hint="eastAsia" w:ascii="宋体" w:hAnsi="宋体" w:cs="宋体"/>
                <w:sz w:val="24"/>
                <w:szCs w:val="24"/>
              </w:rPr>
            </w:pPr>
          </w:p>
        </w:tc>
        <w:tc>
          <w:tcPr>
            <w:tcW w:w="1553" w:type="dxa"/>
            <w:noWrap w:val="0"/>
            <w:vAlign w:val="center"/>
          </w:tcPr>
          <w:p w14:paraId="0CF728FD">
            <w:pPr>
              <w:spacing w:line="360" w:lineRule="auto"/>
              <w:ind w:left="840"/>
              <w:jc w:val="center"/>
              <w:rPr>
                <w:rFonts w:hint="eastAsia" w:ascii="宋体" w:hAnsi="宋体" w:cs="宋体"/>
                <w:sz w:val="24"/>
                <w:szCs w:val="24"/>
              </w:rPr>
            </w:pPr>
          </w:p>
        </w:tc>
        <w:tc>
          <w:tcPr>
            <w:tcW w:w="2394" w:type="dxa"/>
            <w:noWrap w:val="0"/>
            <w:vAlign w:val="center"/>
          </w:tcPr>
          <w:p w14:paraId="4ABE8D52">
            <w:pPr>
              <w:spacing w:line="360" w:lineRule="auto"/>
              <w:ind w:left="840"/>
              <w:jc w:val="center"/>
              <w:rPr>
                <w:rFonts w:hint="eastAsia" w:ascii="宋体" w:hAnsi="宋体" w:cs="宋体"/>
                <w:sz w:val="24"/>
                <w:szCs w:val="24"/>
              </w:rPr>
            </w:pPr>
          </w:p>
        </w:tc>
      </w:tr>
      <w:tr w14:paraId="0E54BD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noWrap w:val="0"/>
            <w:vAlign w:val="center"/>
          </w:tcPr>
          <w:p w14:paraId="1C18104A">
            <w:pPr>
              <w:spacing w:line="360" w:lineRule="auto"/>
              <w:ind w:left="840"/>
              <w:jc w:val="center"/>
              <w:rPr>
                <w:rFonts w:hint="eastAsia" w:ascii="宋体" w:hAnsi="宋体" w:cs="宋体"/>
                <w:sz w:val="24"/>
                <w:szCs w:val="24"/>
              </w:rPr>
            </w:pPr>
          </w:p>
        </w:tc>
        <w:tc>
          <w:tcPr>
            <w:tcW w:w="3417" w:type="dxa"/>
            <w:noWrap w:val="0"/>
            <w:vAlign w:val="center"/>
          </w:tcPr>
          <w:p w14:paraId="74CF661A">
            <w:pPr>
              <w:spacing w:line="360" w:lineRule="auto"/>
              <w:ind w:left="840"/>
              <w:jc w:val="center"/>
              <w:rPr>
                <w:rFonts w:hint="eastAsia" w:ascii="宋体" w:hAnsi="宋体" w:cs="宋体"/>
                <w:sz w:val="24"/>
                <w:szCs w:val="24"/>
              </w:rPr>
            </w:pPr>
          </w:p>
        </w:tc>
        <w:tc>
          <w:tcPr>
            <w:tcW w:w="1553" w:type="dxa"/>
            <w:noWrap w:val="0"/>
            <w:vAlign w:val="center"/>
          </w:tcPr>
          <w:p w14:paraId="2999C25F">
            <w:pPr>
              <w:spacing w:line="360" w:lineRule="auto"/>
              <w:ind w:left="840"/>
              <w:jc w:val="center"/>
              <w:rPr>
                <w:rFonts w:hint="eastAsia" w:ascii="宋体" w:hAnsi="宋体" w:cs="宋体"/>
                <w:sz w:val="24"/>
                <w:szCs w:val="24"/>
              </w:rPr>
            </w:pPr>
          </w:p>
        </w:tc>
        <w:tc>
          <w:tcPr>
            <w:tcW w:w="2394" w:type="dxa"/>
            <w:noWrap w:val="0"/>
            <w:vAlign w:val="center"/>
          </w:tcPr>
          <w:p w14:paraId="7A2820C5">
            <w:pPr>
              <w:spacing w:line="360" w:lineRule="auto"/>
              <w:ind w:left="840"/>
              <w:jc w:val="center"/>
              <w:rPr>
                <w:rFonts w:hint="eastAsia" w:ascii="宋体" w:hAnsi="宋体" w:cs="宋体"/>
                <w:sz w:val="24"/>
                <w:szCs w:val="24"/>
              </w:rPr>
            </w:pPr>
          </w:p>
        </w:tc>
      </w:tr>
      <w:tr w14:paraId="3B026D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noWrap w:val="0"/>
            <w:vAlign w:val="center"/>
          </w:tcPr>
          <w:p w14:paraId="78B8A96E">
            <w:pPr>
              <w:spacing w:line="360" w:lineRule="auto"/>
              <w:ind w:left="840"/>
              <w:jc w:val="center"/>
              <w:rPr>
                <w:rFonts w:hint="eastAsia" w:ascii="宋体" w:hAnsi="宋体" w:cs="宋体"/>
                <w:sz w:val="24"/>
                <w:szCs w:val="24"/>
              </w:rPr>
            </w:pPr>
          </w:p>
        </w:tc>
        <w:tc>
          <w:tcPr>
            <w:tcW w:w="3417" w:type="dxa"/>
            <w:noWrap w:val="0"/>
            <w:vAlign w:val="center"/>
          </w:tcPr>
          <w:p w14:paraId="38F7C2AF">
            <w:pPr>
              <w:spacing w:line="360" w:lineRule="auto"/>
              <w:ind w:left="840"/>
              <w:jc w:val="center"/>
              <w:rPr>
                <w:rFonts w:hint="eastAsia" w:ascii="宋体" w:hAnsi="宋体" w:cs="宋体"/>
                <w:sz w:val="24"/>
                <w:szCs w:val="24"/>
              </w:rPr>
            </w:pPr>
          </w:p>
        </w:tc>
        <w:tc>
          <w:tcPr>
            <w:tcW w:w="1553" w:type="dxa"/>
            <w:noWrap w:val="0"/>
            <w:vAlign w:val="center"/>
          </w:tcPr>
          <w:p w14:paraId="58873DE2">
            <w:pPr>
              <w:spacing w:line="360" w:lineRule="auto"/>
              <w:ind w:left="840"/>
              <w:jc w:val="center"/>
              <w:rPr>
                <w:rFonts w:hint="eastAsia" w:ascii="宋体" w:hAnsi="宋体" w:cs="宋体"/>
                <w:sz w:val="24"/>
                <w:szCs w:val="24"/>
              </w:rPr>
            </w:pPr>
          </w:p>
        </w:tc>
        <w:tc>
          <w:tcPr>
            <w:tcW w:w="2394" w:type="dxa"/>
            <w:noWrap w:val="0"/>
            <w:vAlign w:val="center"/>
          </w:tcPr>
          <w:p w14:paraId="68463FF1">
            <w:pPr>
              <w:spacing w:line="360" w:lineRule="auto"/>
              <w:ind w:left="840"/>
              <w:jc w:val="center"/>
              <w:rPr>
                <w:rFonts w:hint="eastAsia" w:ascii="宋体" w:hAnsi="宋体" w:cs="宋体"/>
                <w:sz w:val="24"/>
                <w:szCs w:val="24"/>
              </w:rPr>
            </w:pPr>
          </w:p>
        </w:tc>
      </w:tr>
      <w:tr w14:paraId="5990C4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noWrap w:val="0"/>
            <w:vAlign w:val="center"/>
          </w:tcPr>
          <w:p w14:paraId="71B5EDF2">
            <w:pPr>
              <w:spacing w:line="360" w:lineRule="auto"/>
              <w:ind w:left="840"/>
              <w:jc w:val="center"/>
              <w:rPr>
                <w:rFonts w:hint="eastAsia" w:ascii="宋体" w:hAnsi="宋体" w:cs="宋体"/>
                <w:sz w:val="24"/>
                <w:szCs w:val="24"/>
              </w:rPr>
            </w:pPr>
          </w:p>
        </w:tc>
        <w:tc>
          <w:tcPr>
            <w:tcW w:w="3417" w:type="dxa"/>
            <w:noWrap w:val="0"/>
            <w:vAlign w:val="center"/>
          </w:tcPr>
          <w:p w14:paraId="1387337C">
            <w:pPr>
              <w:spacing w:line="360" w:lineRule="auto"/>
              <w:ind w:left="840"/>
              <w:jc w:val="center"/>
              <w:rPr>
                <w:rFonts w:hint="eastAsia" w:ascii="宋体" w:hAnsi="宋体" w:cs="宋体"/>
                <w:sz w:val="24"/>
                <w:szCs w:val="24"/>
              </w:rPr>
            </w:pPr>
          </w:p>
        </w:tc>
        <w:tc>
          <w:tcPr>
            <w:tcW w:w="1553" w:type="dxa"/>
            <w:noWrap w:val="0"/>
            <w:vAlign w:val="center"/>
          </w:tcPr>
          <w:p w14:paraId="50FA9912">
            <w:pPr>
              <w:spacing w:line="360" w:lineRule="auto"/>
              <w:ind w:left="840"/>
              <w:jc w:val="center"/>
              <w:rPr>
                <w:rFonts w:hint="eastAsia" w:ascii="宋体" w:hAnsi="宋体" w:cs="宋体"/>
                <w:sz w:val="24"/>
                <w:szCs w:val="24"/>
              </w:rPr>
            </w:pPr>
          </w:p>
        </w:tc>
        <w:tc>
          <w:tcPr>
            <w:tcW w:w="2394" w:type="dxa"/>
            <w:noWrap w:val="0"/>
            <w:vAlign w:val="center"/>
          </w:tcPr>
          <w:p w14:paraId="081E91DE">
            <w:pPr>
              <w:spacing w:line="360" w:lineRule="auto"/>
              <w:ind w:left="840"/>
              <w:jc w:val="center"/>
              <w:rPr>
                <w:rFonts w:hint="eastAsia" w:ascii="宋体" w:hAnsi="宋体" w:cs="宋体"/>
                <w:sz w:val="24"/>
                <w:szCs w:val="24"/>
              </w:rPr>
            </w:pPr>
          </w:p>
        </w:tc>
      </w:tr>
      <w:tr w14:paraId="688045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noWrap w:val="0"/>
            <w:vAlign w:val="center"/>
          </w:tcPr>
          <w:p w14:paraId="73E23EF2">
            <w:pPr>
              <w:spacing w:line="360" w:lineRule="auto"/>
              <w:ind w:left="840"/>
              <w:jc w:val="center"/>
              <w:rPr>
                <w:rFonts w:hint="eastAsia" w:ascii="宋体" w:hAnsi="宋体" w:cs="宋体"/>
                <w:sz w:val="24"/>
                <w:szCs w:val="24"/>
              </w:rPr>
            </w:pPr>
          </w:p>
        </w:tc>
        <w:tc>
          <w:tcPr>
            <w:tcW w:w="3417" w:type="dxa"/>
            <w:noWrap w:val="0"/>
            <w:vAlign w:val="center"/>
          </w:tcPr>
          <w:p w14:paraId="3F23341F">
            <w:pPr>
              <w:spacing w:line="360" w:lineRule="auto"/>
              <w:ind w:left="840"/>
              <w:jc w:val="center"/>
              <w:rPr>
                <w:rFonts w:hint="eastAsia" w:ascii="宋体" w:hAnsi="宋体" w:cs="宋体"/>
                <w:sz w:val="24"/>
                <w:szCs w:val="24"/>
              </w:rPr>
            </w:pPr>
          </w:p>
        </w:tc>
        <w:tc>
          <w:tcPr>
            <w:tcW w:w="1553" w:type="dxa"/>
            <w:noWrap w:val="0"/>
            <w:vAlign w:val="center"/>
          </w:tcPr>
          <w:p w14:paraId="54AE7DCE">
            <w:pPr>
              <w:spacing w:line="360" w:lineRule="auto"/>
              <w:ind w:left="840"/>
              <w:jc w:val="center"/>
              <w:rPr>
                <w:rFonts w:hint="eastAsia" w:ascii="宋体" w:hAnsi="宋体" w:cs="宋体"/>
                <w:sz w:val="24"/>
                <w:szCs w:val="24"/>
              </w:rPr>
            </w:pPr>
          </w:p>
        </w:tc>
        <w:tc>
          <w:tcPr>
            <w:tcW w:w="2394" w:type="dxa"/>
            <w:noWrap w:val="0"/>
            <w:vAlign w:val="center"/>
          </w:tcPr>
          <w:p w14:paraId="58C1D0C0">
            <w:pPr>
              <w:spacing w:line="360" w:lineRule="auto"/>
              <w:ind w:left="840"/>
              <w:jc w:val="center"/>
              <w:rPr>
                <w:rFonts w:hint="eastAsia" w:ascii="宋体" w:hAnsi="宋体" w:cs="宋体"/>
                <w:sz w:val="24"/>
                <w:szCs w:val="24"/>
              </w:rPr>
            </w:pPr>
          </w:p>
        </w:tc>
      </w:tr>
      <w:tr w14:paraId="14DCB6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noWrap w:val="0"/>
            <w:vAlign w:val="center"/>
          </w:tcPr>
          <w:p w14:paraId="4C12E364">
            <w:pPr>
              <w:spacing w:line="360" w:lineRule="auto"/>
              <w:ind w:left="840"/>
              <w:jc w:val="center"/>
              <w:rPr>
                <w:rFonts w:hint="eastAsia" w:ascii="宋体" w:hAnsi="宋体" w:cs="宋体"/>
                <w:sz w:val="24"/>
                <w:szCs w:val="24"/>
              </w:rPr>
            </w:pPr>
          </w:p>
        </w:tc>
        <w:tc>
          <w:tcPr>
            <w:tcW w:w="3417" w:type="dxa"/>
            <w:noWrap w:val="0"/>
            <w:vAlign w:val="center"/>
          </w:tcPr>
          <w:p w14:paraId="45B100D4">
            <w:pPr>
              <w:spacing w:line="360" w:lineRule="auto"/>
              <w:ind w:left="840"/>
              <w:jc w:val="center"/>
              <w:rPr>
                <w:rFonts w:hint="eastAsia" w:ascii="宋体" w:hAnsi="宋体" w:cs="宋体"/>
                <w:sz w:val="24"/>
                <w:szCs w:val="24"/>
              </w:rPr>
            </w:pPr>
          </w:p>
        </w:tc>
        <w:tc>
          <w:tcPr>
            <w:tcW w:w="1553" w:type="dxa"/>
            <w:noWrap w:val="0"/>
            <w:vAlign w:val="center"/>
          </w:tcPr>
          <w:p w14:paraId="3E66E30C">
            <w:pPr>
              <w:spacing w:line="360" w:lineRule="auto"/>
              <w:ind w:left="840"/>
              <w:jc w:val="center"/>
              <w:rPr>
                <w:rFonts w:hint="eastAsia" w:ascii="宋体" w:hAnsi="宋体" w:cs="宋体"/>
                <w:sz w:val="24"/>
                <w:szCs w:val="24"/>
              </w:rPr>
            </w:pPr>
          </w:p>
        </w:tc>
        <w:tc>
          <w:tcPr>
            <w:tcW w:w="2394" w:type="dxa"/>
            <w:noWrap w:val="0"/>
            <w:vAlign w:val="center"/>
          </w:tcPr>
          <w:p w14:paraId="749F3D05">
            <w:pPr>
              <w:spacing w:line="360" w:lineRule="auto"/>
              <w:ind w:left="840"/>
              <w:jc w:val="center"/>
              <w:rPr>
                <w:rFonts w:hint="eastAsia" w:ascii="宋体" w:hAnsi="宋体" w:cs="宋体"/>
                <w:sz w:val="24"/>
                <w:szCs w:val="24"/>
              </w:rPr>
            </w:pPr>
          </w:p>
        </w:tc>
      </w:tr>
      <w:tr w14:paraId="4BBC61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noWrap w:val="0"/>
            <w:vAlign w:val="center"/>
          </w:tcPr>
          <w:p w14:paraId="00DB20AE">
            <w:pPr>
              <w:spacing w:line="360" w:lineRule="auto"/>
              <w:ind w:left="840"/>
              <w:jc w:val="center"/>
              <w:rPr>
                <w:rFonts w:hint="eastAsia" w:ascii="宋体" w:hAnsi="宋体" w:cs="宋体"/>
                <w:sz w:val="24"/>
                <w:szCs w:val="24"/>
              </w:rPr>
            </w:pPr>
          </w:p>
        </w:tc>
        <w:tc>
          <w:tcPr>
            <w:tcW w:w="3417" w:type="dxa"/>
            <w:noWrap w:val="0"/>
            <w:vAlign w:val="center"/>
          </w:tcPr>
          <w:p w14:paraId="4D23F607">
            <w:pPr>
              <w:spacing w:line="360" w:lineRule="auto"/>
              <w:ind w:left="840"/>
              <w:jc w:val="center"/>
              <w:rPr>
                <w:rFonts w:hint="eastAsia" w:ascii="宋体" w:hAnsi="宋体" w:cs="宋体"/>
                <w:sz w:val="24"/>
                <w:szCs w:val="24"/>
              </w:rPr>
            </w:pPr>
          </w:p>
        </w:tc>
        <w:tc>
          <w:tcPr>
            <w:tcW w:w="1553" w:type="dxa"/>
            <w:noWrap w:val="0"/>
            <w:vAlign w:val="center"/>
          </w:tcPr>
          <w:p w14:paraId="768D44BA">
            <w:pPr>
              <w:spacing w:line="360" w:lineRule="auto"/>
              <w:ind w:left="840"/>
              <w:jc w:val="center"/>
              <w:rPr>
                <w:rFonts w:hint="eastAsia" w:ascii="宋体" w:hAnsi="宋体" w:cs="宋体"/>
                <w:sz w:val="24"/>
                <w:szCs w:val="24"/>
              </w:rPr>
            </w:pPr>
          </w:p>
        </w:tc>
        <w:tc>
          <w:tcPr>
            <w:tcW w:w="2394" w:type="dxa"/>
            <w:noWrap w:val="0"/>
            <w:vAlign w:val="center"/>
          </w:tcPr>
          <w:p w14:paraId="1824994F">
            <w:pPr>
              <w:spacing w:line="360" w:lineRule="auto"/>
              <w:ind w:left="840"/>
              <w:jc w:val="center"/>
              <w:rPr>
                <w:rFonts w:hint="eastAsia" w:ascii="宋体" w:hAnsi="宋体" w:cs="宋体"/>
                <w:sz w:val="24"/>
                <w:szCs w:val="24"/>
              </w:rPr>
            </w:pPr>
          </w:p>
        </w:tc>
      </w:tr>
      <w:tr w14:paraId="21AEBA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noWrap w:val="0"/>
            <w:vAlign w:val="center"/>
          </w:tcPr>
          <w:p w14:paraId="592B8AA7">
            <w:pPr>
              <w:spacing w:line="360" w:lineRule="auto"/>
              <w:ind w:left="840"/>
              <w:jc w:val="center"/>
              <w:rPr>
                <w:rFonts w:hint="eastAsia" w:ascii="宋体" w:hAnsi="宋体" w:cs="宋体"/>
                <w:sz w:val="24"/>
                <w:szCs w:val="24"/>
              </w:rPr>
            </w:pPr>
          </w:p>
        </w:tc>
        <w:tc>
          <w:tcPr>
            <w:tcW w:w="3417" w:type="dxa"/>
            <w:noWrap w:val="0"/>
            <w:vAlign w:val="center"/>
          </w:tcPr>
          <w:p w14:paraId="17BA0131">
            <w:pPr>
              <w:spacing w:line="360" w:lineRule="auto"/>
              <w:ind w:left="840"/>
              <w:jc w:val="center"/>
              <w:rPr>
                <w:rFonts w:hint="eastAsia" w:ascii="宋体" w:hAnsi="宋体" w:cs="宋体"/>
                <w:sz w:val="24"/>
                <w:szCs w:val="24"/>
              </w:rPr>
            </w:pPr>
          </w:p>
        </w:tc>
        <w:tc>
          <w:tcPr>
            <w:tcW w:w="1553" w:type="dxa"/>
            <w:noWrap w:val="0"/>
            <w:vAlign w:val="center"/>
          </w:tcPr>
          <w:p w14:paraId="3DA3FA6C">
            <w:pPr>
              <w:spacing w:line="360" w:lineRule="auto"/>
              <w:ind w:left="840"/>
              <w:jc w:val="center"/>
              <w:rPr>
                <w:rFonts w:hint="eastAsia" w:ascii="宋体" w:hAnsi="宋体" w:cs="宋体"/>
                <w:sz w:val="24"/>
                <w:szCs w:val="24"/>
              </w:rPr>
            </w:pPr>
          </w:p>
        </w:tc>
        <w:tc>
          <w:tcPr>
            <w:tcW w:w="2394" w:type="dxa"/>
            <w:noWrap w:val="0"/>
            <w:vAlign w:val="center"/>
          </w:tcPr>
          <w:p w14:paraId="5494348C">
            <w:pPr>
              <w:spacing w:line="360" w:lineRule="auto"/>
              <w:ind w:left="840"/>
              <w:jc w:val="center"/>
              <w:rPr>
                <w:rFonts w:hint="eastAsia" w:ascii="宋体" w:hAnsi="宋体" w:cs="宋体"/>
                <w:sz w:val="24"/>
                <w:szCs w:val="24"/>
              </w:rPr>
            </w:pPr>
          </w:p>
        </w:tc>
      </w:tr>
      <w:tr w14:paraId="7AA27F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noWrap w:val="0"/>
            <w:vAlign w:val="center"/>
          </w:tcPr>
          <w:p w14:paraId="1704EAFD">
            <w:pPr>
              <w:spacing w:line="360" w:lineRule="auto"/>
              <w:ind w:left="840"/>
              <w:jc w:val="center"/>
              <w:rPr>
                <w:rFonts w:hint="eastAsia" w:ascii="宋体" w:hAnsi="宋体" w:cs="宋体"/>
                <w:sz w:val="24"/>
                <w:szCs w:val="24"/>
              </w:rPr>
            </w:pPr>
          </w:p>
        </w:tc>
        <w:tc>
          <w:tcPr>
            <w:tcW w:w="3417" w:type="dxa"/>
            <w:noWrap w:val="0"/>
            <w:vAlign w:val="center"/>
          </w:tcPr>
          <w:p w14:paraId="059C7F24">
            <w:pPr>
              <w:spacing w:line="360" w:lineRule="auto"/>
              <w:ind w:left="840"/>
              <w:jc w:val="center"/>
              <w:rPr>
                <w:rFonts w:hint="eastAsia" w:ascii="宋体" w:hAnsi="宋体" w:cs="宋体"/>
                <w:sz w:val="24"/>
                <w:szCs w:val="24"/>
              </w:rPr>
            </w:pPr>
          </w:p>
        </w:tc>
        <w:tc>
          <w:tcPr>
            <w:tcW w:w="1553" w:type="dxa"/>
            <w:noWrap w:val="0"/>
            <w:vAlign w:val="center"/>
          </w:tcPr>
          <w:p w14:paraId="16C56AE6">
            <w:pPr>
              <w:spacing w:line="360" w:lineRule="auto"/>
              <w:ind w:left="840"/>
              <w:jc w:val="center"/>
              <w:rPr>
                <w:rFonts w:hint="eastAsia" w:ascii="宋体" w:hAnsi="宋体" w:cs="宋体"/>
                <w:sz w:val="24"/>
                <w:szCs w:val="24"/>
              </w:rPr>
            </w:pPr>
          </w:p>
        </w:tc>
        <w:tc>
          <w:tcPr>
            <w:tcW w:w="2394" w:type="dxa"/>
            <w:noWrap w:val="0"/>
            <w:vAlign w:val="center"/>
          </w:tcPr>
          <w:p w14:paraId="566FF22D">
            <w:pPr>
              <w:spacing w:line="360" w:lineRule="auto"/>
              <w:ind w:left="840"/>
              <w:jc w:val="center"/>
              <w:rPr>
                <w:rFonts w:hint="eastAsia" w:ascii="宋体" w:hAnsi="宋体" w:cs="宋体"/>
                <w:sz w:val="24"/>
                <w:szCs w:val="24"/>
              </w:rPr>
            </w:pPr>
          </w:p>
        </w:tc>
      </w:tr>
      <w:tr w14:paraId="5DDBF7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noWrap w:val="0"/>
            <w:vAlign w:val="center"/>
          </w:tcPr>
          <w:p w14:paraId="1F094B3D">
            <w:pPr>
              <w:spacing w:line="360" w:lineRule="auto"/>
              <w:ind w:left="840"/>
              <w:jc w:val="center"/>
              <w:rPr>
                <w:rFonts w:hint="eastAsia" w:ascii="宋体" w:hAnsi="宋体" w:cs="宋体"/>
                <w:sz w:val="24"/>
                <w:szCs w:val="24"/>
              </w:rPr>
            </w:pPr>
          </w:p>
        </w:tc>
        <w:tc>
          <w:tcPr>
            <w:tcW w:w="3417" w:type="dxa"/>
            <w:noWrap w:val="0"/>
            <w:vAlign w:val="center"/>
          </w:tcPr>
          <w:p w14:paraId="1899B307">
            <w:pPr>
              <w:spacing w:line="360" w:lineRule="auto"/>
              <w:ind w:left="840"/>
              <w:jc w:val="center"/>
              <w:rPr>
                <w:rFonts w:hint="eastAsia" w:ascii="宋体" w:hAnsi="宋体" w:cs="宋体"/>
                <w:sz w:val="24"/>
                <w:szCs w:val="24"/>
              </w:rPr>
            </w:pPr>
          </w:p>
        </w:tc>
        <w:tc>
          <w:tcPr>
            <w:tcW w:w="1553" w:type="dxa"/>
            <w:noWrap w:val="0"/>
            <w:vAlign w:val="center"/>
          </w:tcPr>
          <w:p w14:paraId="6ADB2A9A">
            <w:pPr>
              <w:spacing w:line="360" w:lineRule="auto"/>
              <w:ind w:left="840"/>
              <w:jc w:val="center"/>
              <w:rPr>
                <w:rFonts w:hint="eastAsia" w:ascii="宋体" w:hAnsi="宋体" w:cs="宋体"/>
                <w:sz w:val="24"/>
                <w:szCs w:val="24"/>
              </w:rPr>
            </w:pPr>
          </w:p>
        </w:tc>
        <w:tc>
          <w:tcPr>
            <w:tcW w:w="2394" w:type="dxa"/>
            <w:noWrap w:val="0"/>
            <w:vAlign w:val="center"/>
          </w:tcPr>
          <w:p w14:paraId="50EDAECE">
            <w:pPr>
              <w:spacing w:line="360" w:lineRule="auto"/>
              <w:ind w:left="840"/>
              <w:jc w:val="center"/>
              <w:rPr>
                <w:rFonts w:hint="eastAsia" w:ascii="宋体" w:hAnsi="宋体" w:cs="宋体"/>
                <w:sz w:val="24"/>
                <w:szCs w:val="24"/>
              </w:rPr>
            </w:pPr>
          </w:p>
        </w:tc>
      </w:tr>
      <w:tr w14:paraId="3FD774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noWrap w:val="0"/>
            <w:vAlign w:val="center"/>
          </w:tcPr>
          <w:p w14:paraId="1106B740">
            <w:pPr>
              <w:spacing w:line="360" w:lineRule="auto"/>
              <w:ind w:left="840"/>
              <w:jc w:val="center"/>
              <w:rPr>
                <w:rFonts w:hint="eastAsia" w:ascii="宋体" w:hAnsi="宋体" w:cs="宋体"/>
                <w:sz w:val="24"/>
                <w:szCs w:val="24"/>
              </w:rPr>
            </w:pPr>
          </w:p>
        </w:tc>
        <w:tc>
          <w:tcPr>
            <w:tcW w:w="3417" w:type="dxa"/>
            <w:noWrap w:val="0"/>
            <w:vAlign w:val="center"/>
          </w:tcPr>
          <w:p w14:paraId="4D891D5E">
            <w:pPr>
              <w:spacing w:line="360" w:lineRule="auto"/>
              <w:ind w:left="840"/>
              <w:jc w:val="center"/>
              <w:rPr>
                <w:rFonts w:hint="eastAsia" w:ascii="宋体" w:hAnsi="宋体" w:cs="宋体"/>
                <w:sz w:val="24"/>
                <w:szCs w:val="24"/>
              </w:rPr>
            </w:pPr>
          </w:p>
        </w:tc>
        <w:tc>
          <w:tcPr>
            <w:tcW w:w="1553" w:type="dxa"/>
            <w:noWrap w:val="0"/>
            <w:vAlign w:val="center"/>
          </w:tcPr>
          <w:p w14:paraId="70862DD7">
            <w:pPr>
              <w:spacing w:line="360" w:lineRule="auto"/>
              <w:ind w:left="840"/>
              <w:jc w:val="center"/>
              <w:rPr>
                <w:rFonts w:hint="eastAsia" w:ascii="宋体" w:hAnsi="宋体" w:cs="宋体"/>
                <w:sz w:val="24"/>
                <w:szCs w:val="24"/>
              </w:rPr>
            </w:pPr>
          </w:p>
        </w:tc>
        <w:tc>
          <w:tcPr>
            <w:tcW w:w="2394" w:type="dxa"/>
            <w:noWrap w:val="0"/>
            <w:vAlign w:val="center"/>
          </w:tcPr>
          <w:p w14:paraId="1A74F680">
            <w:pPr>
              <w:spacing w:line="360" w:lineRule="auto"/>
              <w:ind w:left="840"/>
              <w:jc w:val="center"/>
              <w:rPr>
                <w:rFonts w:hint="eastAsia" w:ascii="宋体" w:hAnsi="宋体" w:cs="宋体"/>
                <w:sz w:val="24"/>
                <w:szCs w:val="24"/>
              </w:rPr>
            </w:pPr>
          </w:p>
        </w:tc>
      </w:tr>
      <w:tr w14:paraId="2CB591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noWrap w:val="0"/>
            <w:vAlign w:val="center"/>
          </w:tcPr>
          <w:p w14:paraId="5956E6E2">
            <w:pPr>
              <w:spacing w:line="360" w:lineRule="auto"/>
              <w:ind w:left="840"/>
              <w:jc w:val="center"/>
              <w:rPr>
                <w:rFonts w:hint="eastAsia" w:ascii="宋体" w:hAnsi="宋体" w:cs="宋体"/>
                <w:sz w:val="24"/>
                <w:szCs w:val="24"/>
              </w:rPr>
            </w:pPr>
          </w:p>
        </w:tc>
        <w:tc>
          <w:tcPr>
            <w:tcW w:w="3417" w:type="dxa"/>
            <w:noWrap w:val="0"/>
            <w:vAlign w:val="center"/>
          </w:tcPr>
          <w:p w14:paraId="1D900B9C">
            <w:pPr>
              <w:spacing w:line="360" w:lineRule="auto"/>
              <w:ind w:left="840"/>
              <w:jc w:val="center"/>
              <w:rPr>
                <w:rFonts w:hint="eastAsia" w:ascii="宋体" w:hAnsi="宋体" w:cs="宋体"/>
                <w:sz w:val="24"/>
                <w:szCs w:val="24"/>
              </w:rPr>
            </w:pPr>
          </w:p>
        </w:tc>
        <w:tc>
          <w:tcPr>
            <w:tcW w:w="1553" w:type="dxa"/>
            <w:noWrap w:val="0"/>
            <w:vAlign w:val="center"/>
          </w:tcPr>
          <w:p w14:paraId="3A2BE764">
            <w:pPr>
              <w:spacing w:line="360" w:lineRule="auto"/>
              <w:ind w:left="840"/>
              <w:jc w:val="center"/>
              <w:rPr>
                <w:rFonts w:hint="eastAsia" w:ascii="宋体" w:hAnsi="宋体" w:cs="宋体"/>
                <w:sz w:val="24"/>
                <w:szCs w:val="24"/>
              </w:rPr>
            </w:pPr>
          </w:p>
        </w:tc>
        <w:tc>
          <w:tcPr>
            <w:tcW w:w="2394" w:type="dxa"/>
            <w:noWrap w:val="0"/>
            <w:vAlign w:val="center"/>
          </w:tcPr>
          <w:p w14:paraId="0CF01D0D">
            <w:pPr>
              <w:spacing w:line="360" w:lineRule="auto"/>
              <w:ind w:left="840"/>
              <w:jc w:val="center"/>
              <w:rPr>
                <w:rFonts w:hint="eastAsia" w:ascii="宋体" w:hAnsi="宋体" w:cs="宋体"/>
                <w:sz w:val="24"/>
                <w:szCs w:val="24"/>
              </w:rPr>
            </w:pPr>
          </w:p>
        </w:tc>
      </w:tr>
      <w:tr w14:paraId="7FF4D8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noWrap w:val="0"/>
            <w:vAlign w:val="center"/>
          </w:tcPr>
          <w:p w14:paraId="6B091E7D">
            <w:pPr>
              <w:spacing w:line="360" w:lineRule="auto"/>
              <w:ind w:left="840"/>
              <w:jc w:val="center"/>
              <w:rPr>
                <w:rFonts w:hint="eastAsia" w:ascii="宋体" w:hAnsi="宋体" w:cs="宋体"/>
                <w:sz w:val="24"/>
                <w:szCs w:val="24"/>
              </w:rPr>
            </w:pPr>
          </w:p>
        </w:tc>
        <w:tc>
          <w:tcPr>
            <w:tcW w:w="3417" w:type="dxa"/>
            <w:noWrap w:val="0"/>
            <w:vAlign w:val="center"/>
          </w:tcPr>
          <w:p w14:paraId="718EB158">
            <w:pPr>
              <w:spacing w:line="360" w:lineRule="auto"/>
              <w:ind w:left="840"/>
              <w:jc w:val="center"/>
              <w:rPr>
                <w:rFonts w:hint="eastAsia" w:ascii="宋体" w:hAnsi="宋体" w:cs="宋体"/>
                <w:sz w:val="24"/>
                <w:szCs w:val="24"/>
              </w:rPr>
            </w:pPr>
          </w:p>
        </w:tc>
        <w:tc>
          <w:tcPr>
            <w:tcW w:w="1553" w:type="dxa"/>
            <w:noWrap w:val="0"/>
            <w:vAlign w:val="center"/>
          </w:tcPr>
          <w:p w14:paraId="479068A8">
            <w:pPr>
              <w:spacing w:line="360" w:lineRule="auto"/>
              <w:ind w:left="840"/>
              <w:jc w:val="center"/>
              <w:rPr>
                <w:rFonts w:hint="eastAsia" w:ascii="宋体" w:hAnsi="宋体" w:cs="宋体"/>
                <w:sz w:val="24"/>
                <w:szCs w:val="24"/>
              </w:rPr>
            </w:pPr>
          </w:p>
        </w:tc>
        <w:tc>
          <w:tcPr>
            <w:tcW w:w="2394" w:type="dxa"/>
            <w:noWrap w:val="0"/>
            <w:vAlign w:val="center"/>
          </w:tcPr>
          <w:p w14:paraId="26306150">
            <w:pPr>
              <w:spacing w:line="360" w:lineRule="auto"/>
              <w:ind w:left="840"/>
              <w:jc w:val="center"/>
              <w:rPr>
                <w:rFonts w:hint="eastAsia" w:ascii="宋体" w:hAnsi="宋体" w:cs="宋体"/>
                <w:sz w:val="24"/>
                <w:szCs w:val="24"/>
              </w:rPr>
            </w:pPr>
          </w:p>
        </w:tc>
      </w:tr>
      <w:tr w14:paraId="793E4B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noWrap w:val="0"/>
            <w:vAlign w:val="center"/>
          </w:tcPr>
          <w:p w14:paraId="514471DB">
            <w:pPr>
              <w:spacing w:line="360" w:lineRule="auto"/>
              <w:ind w:left="840"/>
              <w:jc w:val="center"/>
              <w:rPr>
                <w:rFonts w:hint="eastAsia" w:ascii="宋体" w:hAnsi="宋体" w:cs="宋体"/>
                <w:sz w:val="24"/>
                <w:szCs w:val="24"/>
              </w:rPr>
            </w:pPr>
          </w:p>
        </w:tc>
        <w:tc>
          <w:tcPr>
            <w:tcW w:w="3417" w:type="dxa"/>
            <w:noWrap w:val="0"/>
            <w:vAlign w:val="center"/>
          </w:tcPr>
          <w:p w14:paraId="6588D60D">
            <w:pPr>
              <w:spacing w:line="360" w:lineRule="auto"/>
              <w:ind w:left="840"/>
              <w:jc w:val="center"/>
              <w:rPr>
                <w:rFonts w:hint="eastAsia" w:ascii="宋体" w:hAnsi="宋体" w:cs="宋体"/>
                <w:sz w:val="24"/>
                <w:szCs w:val="24"/>
              </w:rPr>
            </w:pPr>
          </w:p>
        </w:tc>
        <w:tc>
          <w:tcPr>
            <w:tcW w:w="1553" w:type="dxa"/>
            <w:noWrap w:val="0"/>
            <w:vAlign w:val="center"/>
          </w:tcPr>
          <w:p w14:paraId="06719FF1">
            <w:pPr>
              <w:spacing w:line="360" w:lineRule="auto"/>
              <w:ind w:left="840"/>
              <w:jc w:val="center"/>
              <w:rPr>
                <w:rFonts w:hint="eastAsia" w:ascii="宋体" w:hAnsi="宋体" w:cs="宋体"/>
                <w:sz w:val="24"/>
                <w:szCs w:val="24"/>
              </w:rPr>
            </w:pPr>
          </w:p>
        </w:tc>
        <w:tc>
          <w:tcPr>
            <w:tcW w:w="2394" w:type="dxa"/>
            <w:noWrap w:val="0"/>
            <w:vAlign w:val="center"/>
          </w:tcPr>
          <w:p w14:paraId="36F22AF2">
            <w:pPr>
              <w:spacing w:line="360" w:lineRule="auto"/>
              <w:ind w:left="840"/>
              <w:jc w:val="center"/>
              <w:rPr>
                <w:rFonts w:hint="eastAsia" w:ascii="宋体" w:hAnsi="宋体" w:cs="宋体"/>
                <w:sz w:val="24"/>
                <w:szCs w:val="24"/>
              </w:rPr>
            </w:pPr>
          </w:p>
        </w:tc>
      </w:tr>
      <w:tr w14:paraId="6D6CA0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noWrap w:val="0"/>
            <w:vAlign w:val="center"/>
          </w:tcPr>
          <w:p w14:paraId="107E4124">
            <w:pPr>
              <w:spacing w:line="360" w:lineRule="auto"/>
              <w:ind w:left="840"/>
              <w:jc w:val="center"/>
              <w:rPr>
                <w:rFonts w:hint="eastAsia" w:ascii="宋体" w:hAnsi="宋体" w:cs="宋体"/>
                <w:sz w:val="24"/>
                <w:szCs w:val="24"/>
              </w:rPr>
            </w:pPr>
          </w:p>
        </w:tc>
        <w:tc>
          <w:tcPr>
            <w:tcW w:w="3417" w:type="dxa"/>
            <w:noWrap w:val="0"/>
            <w:vAlign w:val="center"/>
          </w:tcPr>
          <w:p w14:paraId="04508CCF">
            <w:pPr>
              <w:spacing w:line="360" w:lineRule="auto"/>
              <w:ind w:left="840"/>
              <w:jc w:val="center"/>
              <w:rPr>
                <w:rFonts w:hint="eastAsia" w:ascii="宋体" w:hAnsi="宋体" w:cs="宋体"/>
                <w:sz w:val="24"/>
                <w:szCs w:val="24"/>
              </w:rPr>
            </w:pPr>
          </w:p>
        </w:tc>
        <w:tc>
          <w:tcPr>
            <w:tcW w:w="1553" w:type="dxa"/>
            <w:noWrap w:val="0"/>
            <w:vAlign w:val="center"/>
          </w:tcPr>
          <w:p w14:paraId="4AAF45BC">
            <w:pPr>
              <w:spacing w:line="360" w:lineRule="auto"/>
              <w:ind w:left="840"/>
              <w:jc w:val="center"/>
              <w:rPr>
                <w:rFonts w:hint="eastAsia" w:ascii="宋体" w:hAnsi="宋体" w:cs="宋体"/>
                <w:sz w:val="24"/>
                <w:szCs w:val="24"/>
              </w:rPr>
            </w:pPr>
          </w:p>
        </w:tc>
        <w:tc>
          <w:tcPr>
            <w:tcW w:w="2394" w:type="dxa"/>
            <w:noWrap w:val="0"/>
            <w:vAlign w:val="center"/>
          </w:tcPr>
          <w:p w14:paraId="12B41F1F">
            <w:pPr>
              <w:spacing w:line="360" w:lineRule="auto"/>
              <w:ind w:left="840"/>
              <w:jc w:val="center"/>
              <w:rPr>
                <w:rFonts w:hint="eastAsia" w:ascii="宋体" w:hAnsi="宋体" w:cs="宋体"/>
                <w:sz w:val="24"/>
                <w:szCs w:val="24"/>
              </w:rPr>
            </w:pPr>
          </w:p>
        </w:tc>
      </w:tr>
      <w:tr w14:paraId="25B3E8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tcBorders>
              <w:bottom w:val="single" w:color="auto" w:sz="6" w:space="0"/>
            </w:tcBorders>
            <w:noWrap w:val="0"/>
            <w:vAlign w:val="center"/>
          </w:tcPr>
          <w:p w14:paraId="116D31FA">
            <w:pPr>
              <w:spacing w:line="360" w:lineRule="auto"/>
              <w:ind w:left="840"/>
              <w:jc w:val="center"/>
              <w:rPr>
                <w:rFonts w:hint="eastAsia" w:ascii="宋体" w:hAnsi="宋体" w:cs="宋体"/>
                <w:sz w:val="24"/>
                <w:szCs w:val="24"/>
              </w:rPr>
            </w:pPr>
          </w:p>
        </w:tc>
        <w:tc>
          <w:tcPr>
            <w:tcW w:w="3417" w:type="dxa"/>
            <w:tcBorders>
              <w:bottom w:val="single" w:color="auto" w:sz="6" w:space="0"/>
            </w:tcBorders>
            <w:noWrap w:val="0"/>
            <w:vAlign w:val="center"/>
          </w:tcPr>
          <w:p w14:paraId="62286767">
            <w:pPr>
              <w:spacing w:line="360" w:lineRule="auto"/>
              <w:ind w:left="840"/>
              <w:jc w:val="center"/>
              <w:rPr>
                <w:rFonts w:hint="eastAsia" w:ascii="宋体" w:hAnsi="宋体" w:cs="宋体"/>
                <w:sz w:val="24"/>
                <w:szCs w:val="24"/>
              </w:rPr>
            </w:pPr>
          </w:p>
        </w:tc>
        <w:tc>
          <w:tcPr>
            <w:tcW w:w="1553" w:type="dxa"/>
            <w:tcBorders>
              <w:bottom w:val="single" w:color="auto" w:sz="6" w:space="0"/>
            </w:tcBorders>
            <w:noWrap w:val="0"/>
            <w:vAlign w:val="center"/>
          </w:tcPr>
          <w:p w14:paraId="67F16F19">
            <w:pPr>
              <w:spacing w:line="360" w:lineRule="auto"/>
              <w:ind w:left="840"/>
              <w:jc w:val="center"/>
              <w:rPr>
                <w:rFonts w:hint="eastAsia" w:ascii="宋体" w:hAnsi="宋体" w:cs="宋体"/>
                <w:sz w:val="24"/>
                <w:szCs w:val="24"/>
              </w:rPr>
            </w:pPr>
          </w:p>
        </w:tc>
        <w:tc>
          <w:tcPr>
            <w:tcW w:w="2394" w:type="dxa"/>
            <w:tcBorders>
              <w:bottom w:val="single" w:color="auto" w:sz="6" w:space="0"/>
            </w:tcBorders>
            <w:noWrap w:val="0"/>
            <w:vAlign w:val="center"/>
          </w:tcPr>
          <w:p w14:paraId="11FEF14D">
            <w:pPr>
              <w:spacing w:line="360" w:lineRule="auto"/>
              <w:ind w:left="840"/>
              <w:jc w:val="center"/>
              <w:rPr>
                <w:rFonts w:hint="eastAsia" w:ascii="宋体" w:hAnsi="宋体" w:cs="宋体"/>
                <w:sz w:val="24"/>
                <w:szCs w:val="24"/>
              </w:rPr>
            </w:pPr>
          </w:p>
        </w:tc>
      </w:tr>
      <w:tr w14:paraId="629EFD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tcBorders>
              <w:top w:val="single" w:color="auto" w:sz="6" w:space="0"/>
              <w:left w:val="single" w:color="auto" w:sz="12" w:space="0"/>
              <w:bottom w:val="single" w:color="auto" w:sz="12" w:space="0"/>
            </w:tcBorders>
            <w:noWrap w:val="0"/>
            <w:vAlign w:val="center"/>
          </w:tcPr>
          <w:p w14:paraId="3C05A16A">
            <w:pPr>
              <w:spacing w:line="360" w:lineRule="auto"/>
              <w:ind w:left="840"/>
              <w:jc w:val="center"/>
              <w:rPr>
                <w:rFonts w:hint="eastAsia" w:ascii="宋体" w:hAnsi="宋体" w:cs="宋体"/>
                <w:sz w:val="24"/>
                <w:szCs w:val="24"/>
              </w:rPr>
            </w:pPr>
          </w:p>
        </w:tc>
        <w:tc>
          <w:tcPr>
            <w:tcW w:w="3417" w:type="dxa"/>
            <w:tcBorders>
              <w:top w:val="single" w:color="auto" w:sz="6" w:space="0"/>
              <w:bottom w:val="single" w:color="auto" w:sz="12" w:space="0"/>
            </w:tcBorders>
            <w:noWrap w:val="0"/>
            <w:vAlign w:val="center"/>
          </w:tcPr>
          <w:p w14:paraId="05B0EBC3">
            <w:pPr>
              <w:spacing w:line="360" w:lineRule="auto"/>
              <w:ind w:left="840"/>
              <w:jc w:val="center"/>
              <w:rPr>
                <w:rFonts w:hint="eastAsia" w:ascii="宋体" w:hAnsi="宋体" w:cs="宋体"/>
                <w:sz w:val="24"/>
                <w:szCs w:val="24"/>
              </w:rPr>
            </w:pPr>
          </w:p>
        </w:tc>
        <w:tc>
          <w:tcPr>
            <w:tcW w:w="1553" w:type="dxa"/>
            <w:tcBorders>
              <w:top w:val="single" w:color="auto" w:sz="6" w:space="0"/>
              <w:bottom w:val="single" w:color="auto" w:sz="12" w:space="0"/>
            </w:tcBorders>
            <w:noWrap w:val="0"/>
            <w:vAlign w:val="center"/>
          </w:tcPr>
          <w:p w14:paraId="305D561D">
            <w:pPr>
              <w:spacing w:line="360" w:lineRule="auto"/>
              <w:ind w:left="840"/>
              <w:jc w:val="center"/>
              <w:rPr>
                <w:rFonts w:hint="eastAsia" w:ascii="宋体" w:hAnsi="宋体" w:cs="宋体"/>
                <w:sz w:val="24"/>
                <w:szCs w:val="24"/>
              </w:rPr>
            </w:pPr>
          </w:p>
        </w:tc>
        <w:tc>
          <w:tcPr>
            <w:tcW w:w="2394" w:type="dxa"/>
            <w:tcBorders>
              <w:top w:val="single" w:color="auto" w:sz="6" w:space="0"/>
              <w:bottom w:val="single" w:color="auto" w:sz="12" w:space="0"/>
              <w:right w:val="single" w:color="auto" w:sz="12" w:space="0"/>
            </w:tcBorders>
            <w:noWrap w:val="0"/>
            <w:vAlign w:val="center"/>
          </w:tcPr>
          <w:p w14:paraId="0C713E7E">
            <w:pPr>
              <w:spacing w:line="360" w:lineRule="auto"/>
              <w:ind w:left="840"/>
              <w:jc w:val="center"/>
              <w:rPr>
                <w:rFonts w:hint="eastAsia" w:ascii="宋体" w:hAnsi="宋体" w:cs="宋体"/>
                <w:sz w:val="24"/>
                <w:szCs w:val="24"/>
              </w:rPr>
            </w:pPr>
          </w:p>
        </w:tc>
      </w:tr>
    </w:tbl>
    <w:p w14:paraId="777E00BC">
      <w:pPr>
        <w:widowControl/>
        <w:spacing w:after="200" w:line="276" w:lineRule="auto"/>
        <w:jc w:val="left"/>
        <w:rPr>
          <w:rFonts w:ascii="宋体" w:hAnsi="宋体" w:cs="宋体"/>
          <w:sz w:val="24"/>
          <w:szCs w:val="24"/>
        </w:rPr>
      </w:pPr>
      <w:r>
        <w:rPr>
          <w:rFonts w:hint="eastAsia" w:ascii="宋体" w:hAnsi="宋体" w:cs="宋体"/>
          <w:sz w:val="24"/>
          <w:szCs w:val="24"/>
        </w:rPr>
        <w:t>注：招标人应在招标文件中规定若投标人在所投标标段中标需提供的主要机械设备和试验检测设备。招标人将在发出中标通知书之前要求中标人按照本表的最低要求填报为本标段配备的主要设备，在经招标人审批后作为投入本标段的主要设备且不允许更换。</w:t>
      </w:r>
    </w:p>
    <w:p w14:paraId="379EACBC">
      <w:pPr>
        <w:widowControl/>
        <w:spacing w:after="200" w:line="276" w:lineRule="auto"/>
        <w:jc w:val="left"/>
        <w:rPr>
          <w:rFonts w:hint="eastAsia" w:ascii="宋体" w:hAnsi="宋体" w:cs="宋体"/>
          <w:b/>
          <w:bCs/>
          <w:kern w:val="44"/>
          <w:sz w:val="24"/>
        </w:rPr>
      </w:pPr>
      <w:r>
        <w:rPr>
          <w:rFonts w:ascii="宋体" w:hAnsi="宋体" w:cs="宋体"/>
          <w:sz w:val="24"/>
          <w:szCs w:val="24"/>
        </w:rPr>
        <w:br w:type="page"/>
      </w:r>
      <w:r>
        <w:rPr>
          <w:rFonts w:hint="eastAsia" w:ascii="宋体" w:hAnsi="宋体" w:cs="宋体"/>
          <w:b/>
          <w:bCs/>
          <w:kern w:val="44"/>
          <w:sz w:val="24"/>
        </w:rPr>
        <w:t>附件六   项目经理委托书</w:t>
      </w:r>
      <w:bookmarkEnd w:id="1698"/>
      <w:bookmarkEnd w:id="1699"/>
      <w:bookmarkEnd w:id="1700"/>
      <w:bookmarkEnd w:id="1701"/>
    </w:p>
    <w:p w14:paraId="03396A07">
      <w:pPr>
        <w:widowControl/>
        <w:spacing w:after="200" w:line="400" w:lineRule="exact"/>
        <w:jc w:val="center"/>
        <w:rPr>
          <w:rFonts w:ascii="宋体" w:hAnsi="宋体"/>
          <w:kern w:val="0"/>
          <w:sz w:val="24"/>
          <w:szCs w:val="24"/>
          <w:u w:val="single"/>
        </w:rPr>
      </w:pPr>
      <w:r>
        <w:rPr>
          <w:rFonts w:hint="eastAsia" w:ascii="宋体" w:hAnsi="宋体"/>
          <w:kern w:val="0"/>
          <w:sz w:val="24"/>
          <w:szCs w:val="24"/>
          <w:u w:val="single"/>
        </w:rPr>
        <w:t>（承包人全称）</w:t>
      </w:r>
    </w:p>
    <w:p w14:paraId="223BF201">
      <w:pPr>
        <w:widowControl/>
        <w:spacing w:after="200" w:line="400" w:lineRule="exact"/>
        <w:jc w:val="center"/>
        <w:rPr>
          <w:rFonts w:ascii="宋体" w:hAnsi="宋体"/>
          <w:kern w:val="0"/>
          <w:sz w:val="24"/>
          <w:szCs w:val="24"/>
          <w:u w:val="single"/>
        </w:rPr>
      </w:pPr>
      <w:r>
        <w:rPr>
          <w:rFonts w:hint="eastAsia" w:ascii="宋体" w:hAnsi="宋体"/>
          <w:kern w:val="0"/>
          <w:sz w:val="24"/>
          <w:szCs w:val="24"/>
          <w:u w:val="single"/>
        </w:rPr>
        <w:t>（合同工程名称）项目经理委任书</w:t>
      </w:r>
    </w:p>
    <w:p w14:paraId="0C9040F3">
      <w:pPr>
        <w:widowControl/>
        <w:spacing w:after="200" w:line="360" w:lineRule="auto"/>
        <w:jc w:val="left"/>
        <w:rPr>
          <w:rFonts w:ascii="宋体" w:hAnsi="宋体"/>
          <w:kern w:val="0"/>
          <w:sz w:val="24"/>
          <w:szCs w:val="24"/>
        </w:rPr>
      </w:pPr>
      <w:r>
        <w:rPr>
          <w:rFonts w:hint="eastAsia" w:ascii="宋体" w:hAnsi="宋体"/>
          <w:kern w:val="0"/>
          <w:sz w:val="24"/>
          <w:szCs w:val="24"/>
        </w:rPr>
        <w:t>致：</w:t>
      </w:r>
      <w:r>
        <w:rPr>
          <w:rFonts w:hint="eastAsia" w:ascii="宋体" w:hAnsi="宋体"/>
          <w:kern w:val="0"/>
          <w:sz w:val="24"/>
          <w:szCs w:val="24"/>
          <w:u w:val="single"/>
        </w:rPr>
        <w:t>（发包人全称</w:t>
      </w:r>
      <w:r>
        <w:rPr>
          <w:rFonts w:hint="eastAsia" w:ascii="宋体" w:hAnsi="宋体"/>
          <w:kern w:val="0"/>
          <w:sz w:val="24"/>
          <w:szCs w:val="24"/>
        </w:rPr>
        <w:t>）</w:t>
      </w:r>
    </w:p>
    <w:p w14:paraId="07DB8CB2">
      <w:pPr>
        <w:widowControl/>
        <w:spacing w:after="200" w:line="360" w:lineRule="auto"/>
        <w:ind w:firstLine="480" w:firstLineChars="200"/>
        <w:jc w:val="left"/>
        <w:rPr>
          <w:rFonts w:ascii="宋体" w:hAnsi="宋体"/>
          <w:kern w:val="0"/>
          <w:sz w:val="24"/>
          <w:szCs w:val="24"/>
        </w:rPr>
      </w:pPr>
      <w:r>
        <w:rPr>
          <w:rFonts w:hint="eastAsia" w:ascii="宋体" w:hAnsi="宋体"/>
          <w:kern w:val="0"/>
          <w:sz w:val="24"/>
          <w:szCs w:val="24"/>
          <w:u w:val="single"/>
        </w:rPr>
        <w:t>（承包人全称）</w:t>
      </w:r>
      <w:r>
        <w:rPr>
          <w:rFonts w:hint="eastAsia" w:ascii="宋体" w:hAnsi="宋体"/>
          <w:kern w:val="0"/>
          <w:sz w:val="24"/>
          <w:szCs w:val="24"/>
        </w:rPr>
        <w:t xml:space="preserve"> 法定代表人</w:t>
      </w:r>
      <w:r>
        <w:rPr>
          <w:rFonts w:hint="eastAsia" w:ascii="宋体" w:hAnsi="宋体"/>
          <w:kern w:val="0"/>
          <w:sz w:val="24"/>
          <w:szCs w:val="24"/>
          <w:u w:val="single"/>
        </w:rPr>
        <w:t xml:space="preserve"> （职务、姓名）</w:t>
      </w:r>
      <w:r>
        <w:rPr>
          <w:rFonts w:hint="eastAsia" w:ascii="宋体" w:hAnsi="宋体"/>
          <w:kern w:val="0"/>
          <w:sz w:val="24"/>
          <w:szCs w:val="24"/>
        </w:rPr>
        <w:t xml:space="preserve"> 代表本单位委任 </w:t>
      </w:r>
      <w:r>
        <w:rPr>
          <w:rFonts w:hint="eastAsia" w:ascii="宋体" w:hAnsi="宋体"/>
          <w:kern w:val="0"/>
          <w:sz w:val="24"/>
          <w:szCs w:val="24"/>
          <w:u w:val="single"/>
        </w:rPr>
        <w:t>（职务、姓名）</w:t>
      </w:r>
      <w:r>
        <w:rPr>
          <w:rFonts w:hint="eastAsia" w:ascii="宋体" w:hAnsi="宋体"/>
          <w:kern w:val="0"/>
          <w:sz w:val="24"/>
          <w:szCs w:val="24"/>
        </w:rPr>
        <w:t xml:space="preserve"> 为</w:t>
      </w:r>
      <w:r>
        <w:rPr>
          <w:rFonts w:hint="eastAsia" w:ascii="宋体" w:hAnsi="宋体"/>
          <w:kern w:val="0"/>
          <w:sz w:val="24"/>
          <w:szCs w:val="24"/>
          <w:u w:val="single"/>
        </w:rPr>
        <w:t>（合同工程名称）</w:t>
      </w:r>
      <w:r>
        <w:rPr>
          <w:rFonts w:hint="eastAsia" w:ascii="宋体" w:hAnsi="宋体"/>
          <w:kern w:val="0"/>
          <w:sz w:val="24"/>
          <w:szCs w:val="24"/>
        </w:rPr>
        <w:t>的项目经理。凡本合同执行中的有关技术、工程进度、现场管理、质量检验、结算与支付等方面工作，由</w:t>
      </w:r>
      <w:r>
        <w:rPr>
          <w:rFonts w:hint="eastAsia" w:ascii="宋体" w:hAnsi="宋体"/>
          <w:kern w:val="0"/>
          <w:sz w:val="24"/>
          <w:szCs w:val="24"/>
          <w:u w:val="single"/>
        </w:rPr>
        <w:t xml:space="preserve"> （姓名） </w:t>
      </w:r>
      <w:r>
        <w:rPr>
          <w:rFonts w:hint="eastAsia" w:ascii="宋体" w:hAnsi="宋体"/>
          <w:kern w:val="0"/>
          <w:sz w:val="24"/>
          <w:szCs w:val="24"/>
        </w:rPr>
        <w:t>代表本单位全面负责。</w:t>
      </w:r>
    </w:p>
    <w:p w14:paraId="633A54E1">
      <w:pPr>
        <w:widowControl/>
        <w:spacing w:after="200" w:line="400" w:lineRule="exact"/>
        <w:jc w:val="left"/>
        <w:rPr>
          <w:rFonts w:ascii="宋体" w:hAnsi="宋体"/>
          <w:kern w:val="0"/>
          <w:sz w:val="24"/>
          <w:szCs w:val="24"/>
        </w:rPr>
      </w:pPr>
    </w:p>
    <w:p w14:paraId="4E03D3E4">
      <w:pPr>
        <w:widowControl/>
        <w:wordWrap w:val="0"/>
        <w:spacing w:after="200" w:line="400" w:lineRule="exact"/>
        <w:jc w:val="right"/>
        <w:rPr>
          <w:rFonts w:ascii="宋体" w:hAnsi="宋体"/>
          <w:kern w:val="0"/>
          <w:sz w:val="24"/>
          <w:szCs w:val="24"/>
        </w:rPr>
      </w:pPr>
      <w:r>
        <w:rPr>
          <w:rFonts w:hint="eastAsia" w:ascii="宋体" w:hAnsi="宋体"/>
          <w:kern w:val="0"/>
          <w:sz w:val="24"/>
          <w:szCs w:val="24"/>
        </w:rPr>
        <w:t>承包人：</w:t>
      </w:r>
      <w:r>
        <w:rPr>
          <w:rFonts w:hint="eastAsia" w:ascii="宋体" w:hAnsi="宋体"/>
          <w:kern w:val="0"/>
          <w:sz w:val="24"/>
          <w:szCs w:val="24"/>
          <w:u w:val="single"/>
        </w:rPr>
        <w:t xml:space="preserve">            </w:t>
      </w:r>
      <w:r>
        <w:rPr>
          <w:rFonts w:hint="eastAsia" w:ascii="宋体" w:hAnsi="宋体"/>
          <w:kern w:val="0"/>
          <w:sz w:val="24"/>
          <w:szCs w:val="24"/>
        </w:rPr>
        <w:t>（盖单位章）</w:t>
      </w:r>
    </w:p>
    <w:p w14:paraId="5EE88CEC">
      <w:pPr>
        <w:widowControl/>
        <w:wordWrap w:val="0"/>
        <w:spacing w:after="200" w:line="400" w:lineRule="exact"/>
        <w:jc w:val="right"/>
        <w:rPr>
          <w:rFonts w:ascii="宋体" w:hAnsi="宋体"/>
          <w:kern w:val="0"/>
          <w:sz w:val="24"/>
          <w:szCs w:val="24"/>
          <w:u w:val="single"/>
        </w:rPr>
      </w:pPr>
      <w:r>
        <w:rPr>
          <w:rFonts w:hint="eastAsia" w:ascii="宋体" w:hAnsi="宋体"/>
          <w:kern w:val="0"/>
          <w:sz w:val="24"/>
          <w:szCs w:val="24"/>
        </w:rPr>
        <w:t>法定代表人：</w:t>
      </w:r>
      <w:r>
        <w:rPr>
          <w:rFonts w:hint="eastAsia" w:ascii="宋体" w:hAnsi="宋体"/>
          <w:kern w:val="0"/>
          <w:sz w:val="24"/>
          <w:szCs w:val="24"/>
          <w:u w:val="single"/>
        </w:rPr>
        <w:t xml:space="preserve">  （职务） </w:t>
      </w:r>
    </w:p>
    <w:p w14:paraId="200179E5">
      <w:pPr>
        <w:widowControl/>
        <w:wordWrap w:val="0"/>
        <w:spacing w:after="200" w:line="400" w:lineRule="exact"/>
        <w:ind w:firstLine="1800" w:firstLineChars="750"/>
        <w:jc w:val="right"/>
        <w:rPr>
          <w:rFonts w:ascii="宋体" w:hAnsi="宋体"/>
          <w:kern w:val="0"/>
          <w:sz w:val="24"/>
          <w:szCs w:val="24"/>
          <w:u w:val="single"/>
        </w:rPr>
      </w:pPr>
      <w:r>
        <w:rPr>
          <w:rFonts w:hint="eastAsia" w:ascii="宋体" w:hAnsi="宋体"/>
          <w:kern w:val="0"/>
          <w:sz w:val="24"/>
          <w:szCs w:val="24"/>
          <w:u w:val="single"/>
        </w:rPr>
        <w:t xml:space="preserve">  （姓名） </w:t>
      </w:r>
    </w:p>
    <w:p w14:paraId="6A4BD3B3">
      <w:pPr>
        <w:widowControl/>
        <w:wordWrap w:val="0"/>
        <w:spacing w:after="200" w:line="400" w:lineRule="exact"/>
        <w:ind w:firstLine="1800" w:firstLineChars="750"/>
        <w:jc w:val="right"/>
        <w:rPr>
          <w:rFonts w:ascii="宋体" w:hAnsi="宋体"/>
          <w:kern w:val="0"/>
          <w:sz w:val="24"/>
          <w:szCs w:val="24"/>
          <w:u w:val="single"/>
        </w:rPr>
      </w:pPr>
      <w:r>
        <w:rPr>
          <w:rFonts w:hint="eastAsia" w:ascii="宋体" w:hAnsi="宋体"/>
          <w:kern w:val="0"/>
          <w:sz w:val="24"/>
          <w:szCs w:val="24"/>
          <w:u w:val="single"/>
        </w:rPr>
        <w:t xml:space="preserve">  （签字） </w:t>
      </w:r>
    </w:p>
    <w:p w14:paraId="0149D8D5">
      <w:pPr>
        <w:widowControl/>
        <w:spacing w:after="200" w:line="400" w:lineRule="exact"/>
        <w:jc w:val="left"/>
        <w:rPr>
          <w:rFonts w:ascii="宋体" w:hAnsi="宋体"/>
          <w:kern w:val="0"/>
          <w:sz w:val="24"/>
          <w:szCs w:val="24"/>
        </w:rPr>
      </w:pPr>
    </w:p>
    <w:p w14:paraId="70E5B8BB">
      <w:pPr>
        <w:widowControl/>
        <w:wordWrap w:val="0"/>
        <w:spacing w:after="200" w:line="400" w:lineRule="exact"/>
        <w:ind w:right="240"/>
        <w:jc w:val="right"/>
        <w:rPr>
          <w:rFonts w:ascii="宋体" w:hAnsi="宋体"/>
          <w:kern w:val="0"/>
          <w:sz w:val="24"/>
          <w:szCs w:val="24"/>
        </w:rPr>
      </w:pPr>
      <w:r>
        <w:rPr>
          <w:rFonts w:hint="eastAsia" w:ascii="宋体" w:hAnsi="宋体"/>
          <w:kern w:val="0"/>
          <w:sz w:val="24"/>
          <w:szCs w:val="24"/>
          <w:u w:val="single"/>
        </w:rPr>
        <w:t xml:space="preserve">     </w:t>
      </w:r>
      <w:r>
        <w:rPr>
          <w:rFonts w:hint="eastAsia" w:ascii="宋体" w:hAnsi="宋体"/>
          <w:kern w:val="0"/>
          <w:sz w:val="24"/>
          <w:szCs w:val="24"/>
        </w:rPr>
        <w:t>年</w:t>
      </w:r>
      <w:r>
        <w:rPr>
          <w:rFonts w:hint="eastAsia" w:ascii="宋体" w:hAnsi="宋体"/>
          <w:kern w:val="0"/>
          <w:sz w:val="24"/>
          <w:szCs w:val="24"/>
          <w:u w:val="single"/>
        </w:rPr>
        <w:t xml:space="preserve">    </w:t>
      </w:r>
      <w:r>
        <w:rPr>
          <w:rFonts w:hint="eastAsia" w:ascii="宋体" w:hAnsi="宋体"/>
          <w:kern w:val="0"/>
          <w:sz w:val="24"/>
          <w:szCs w:val="24"/>
        </w:rPr>
        <w:t>月</w:t>
      </w:r>
      <w:r>
        <w:rPr>
          <w:rFonts w:hint="eastAsia" w:ascii="宋体" w:hAnsi="宋体"/>
          <w:kern w:val="0"/>
          <w:sz w:val="24"/>
          <w:szCs w:val="24"/>
          <w:u w:val="single"/>
        </w:rPr>
        <w:t xml:space="preserve">     </w:t>
      </w:r>
      <w:r>
        <w:rPr>
          <w:rFonts w:hint="eastAsia" w:ascii="宋体" w:hAnsi="宋体"/>
          <w:kern w:val="0"/>
          <w:sz w:val="24"/>
          <w:szCs w:val="24"/>
        </w:rPr>
        <w:t xml:space="preserve"> 日</w:t>
      </w:r>
    </w:p>
    <w:p w14:paraId="6676FDE7">
      <w:pPr>
        <w:widowControl/>
        <w:spacing w:after="200" w:line="400" w:lineRule="exact"/>
        <w:jc w:val="left"/>
        <w:rPr>
          <w:rFonts w:ascii="宋体" w:hAnsi="宋体"/>
          <w:kern w:val="0"/>
          <w:szCs w:val="21"/>
        </w:rPr>
      </w:pPr>
    </w:p>
    <w:p w14:paraId="3DDB4224">
      <w:pPr>
        <w:spacing w:line="440" w:lineRule="exact"/>
        <w:ind w:firstLine="6662" w:firstLineChars="2776"/>
        <w:rPr>
          <w:rFonts w:ascii="宋体" w:hAnsi="宋体"/>
          <w:sz w:val="24"/>
          <w:szCs w:val="24"/>
        </w:rPr>
      </w:pPr>
      <w:r>
        <w:rPr>
          <w:rFonts w:hint="eastAsia" w:ascii="宋体" w:hAnsi="宋体"/>
          <w:kern w:val="0"/>
          <w:sz w:val="24"/>
          <w:szCs w:val="24"/>
        </w:rPr>
        <w:t>抄送：</w:t>
      </w:r>
      <w:r>
        <w:rPr>
          <w:rFonts w:hint="eastAsia" w:ascii="宋体" w:hAnsi="宋体"/>
          <w:kern w:val="0"/>
          <w:sz w:val="24"/>
          <w:szCs w:val="24"/>
          <w:u w:val="single"/>
        </w:rPr>
        <w:t xml:space="preserve">  （监理人）</w:t>
      </w:r>
    </w:p>
    <w:p w14:paraId="458EF847">
      <w:pPr>
        <w:spacing w:line="360" w:lineRule="auto"/>
        <w:rPr>
          <w:rFonts w:hint="eastAsia" w:ascii="宋体" w:hAnsi="宋体" w:cs="宋体"/>
          <w:sz w:val="24"/>
          <w:szCs w:val="24"/>
        </w:rPr>
      </w:pPr>
      <w:r>
        <w:rPr>
          <w:rFonts w:ascii="宋体" w:hAnsi="宋体"/>
          <w:sz w:val="24"/>
          <w:szCs w:val="24"/>
        </w:rPr>
        <w:br w:type="page"/>
      </w:r>
      <w:r>
        <w:rPr>
          <w:rFonts w:hint="eastAsia" w:ascii="宋体" w:hAnsi="宋体" w:cs="宋体"/>
          <w:b/>
          <w:bCs w:val="0"/>
          <w:sz w:val="24"/>
          <w:szCs w:val="24"/>
        </w:rPr>
        <w:t>附件七  履约担保格式</w:t>
      </w:r>
    </w:p>
    <w:p w14:paraId="1D62F001">
      <w:pPr>
        <w:spacing w:before="162" w:line="220" w:lineRule="auto"/>
        <w:jc w:val="center"/>
        <w:rPr>
          <w:rFonts w:hint="eastAsia" w:ascii="宋体" w:hAnsi="宋体" w:cs="宋体"/>
          <w:sz w:val="25"/>
          <w:szCs w:val="25"/>
        </w:rPr>
      </w:pPr>
      <w:r>
        <w:rPr>
          <w:rFonts w:hint="eastAsia" w:ascii="宋体" w:hAnsi="宋体" w:cs="宋体"/>
          <w:spacing w:val="-10"/>
          <w:sz w:val="25"/>
          <w:szCs w:val="25"/>
        </w:rPr>
        <w:t>履</w:t>
      </w:r>
      <w:r>
        <w:rPr>
          <w:rFonts w:hint="eastAsia" w:ascii="宋体" w:hAnsi="宋体" w:cs="宋体"/>
          <w:spacing w:val="5"/>
          <w:sz w:val="25"/>
          <w:szCs w:val="25"/>
        </w:rPr>
        <w:t xml:space="preserve"> </w:t>
      </w:r>
      <w:r>
        <w:rPr>
          <w:rFonts w:hint="eastAsia" w:ascii="宋体" w:hAnsi="宋体" w:cs="宋体"/>
          <w:spacing w:val="-10"/>
          <w:sz w:val="25"/>
          <w:szCs w:val="25"/>
        </w:rPr>
        <w:t>约 担</w:t>
      </w:r>
      <w:r>
        <w:rPr>
          <w:rFonts w:hint="eastAsia" w:ascii="宋体" w:hAnsi="宋体" w:cs="宋体"/>
          <w:sz w:val="25"/>
          <w:szCs w:val="25"/>
        </w:rPr>
        <w:t xml:space="preserve"> </w:t>
      </w:r>
      <w:r>
        <w:rPr>
          <w:rFonts w:hint="eastAsia" w:ascii="宋体" w:hAnsi="宋体" w:cs="宋体"/>
          <w:spacing w:val="-10"/>
          <w:sz w:val="25"/>
          <w:szCs w:val="25"/>
        </w:rPr>
        <w:t>保</w:t>
      </w:r>
    </w:p>
    <w:p w14:paraId="5DD01186">
      <w:pPr>
        <w:spacing w:after="120" w:line="270" w:lineRule="auto"/>
        <w:rPr>
          <w:rFonts w:hint="eastAsia" w:ascii="宋体" w:hAnsi="宋体" w:cs="宋体"/>
          <w:kern w:val="0"/>
          <w:sz w:val="20"/>
          <w:szCs w:val="20"/>
        </w:rPr>
      </w:pPr>
    </w:p>
    <w:p w14:paraId="40B2175C">
      <w:pPr>
        <w:spacing w:after="120" w:line="271" w:lineRule="auto"/>
        <w:rPr>
          <w:rFonts w:hint="eastAsia" w:ascii="宋体" w:hAnsi="宋体" w:cs="宋体"/>
          <w:kern w:val="0"/>
          <w:sz w:val="24"/>
          <w:szCs w:val="24"/>
        </w:rPr>
      </w:pPr>
    </w:p>
    <w:p w14:paraId="66FE1862">
      <w:pPr>
        <w:keepNext w:val="0"/>
        <w:keepLines w:val="0"/>
        <w:pageBreakBefore w:val="0"/>
        <w:widowControl w:val="0"/>
        <w:tabs>
          <w:tab w:val="left" w:pos="2288"/>
        </w:tabs>
        <w:kinsoku/>
        <w:wordWrap w:val="0"/>
        <w:overflowPunct/>
        <w:topLinePunct/>
        <w:autoSpaceDE/>
        <w:autoSpaceDN/>
        <w:bidi w:val="0"/>
        <w:adjustRightInd/>
        <w:snapToGrid/>
        <w:spacing w:before="81" w:line="221" w:lineRule="auto"/>
        <w:jc w:val="both"/>
        <w:textAlignment w:val="auto"/>
        <w:rPr>
          <w:rFonts w:hint="eastAsia" w:ascii="宋体" w:hAnsi="宋体" w:cs="宋体"/>
          <w:sz w:val="24"/>
          <w:szCs w:val="24"/>
          <w:u w:val="single"/>
        </w:rPr>
      </w:pPr>
      <w:r>
        <w:rPr>
          <w:rFonts w:hint="eastAsia" w:ascii="宋体" w:hAnsi="宋体" w:cs="宋体"/>
          <w:spacing w:val="9"/>
          <w:sz w:val="24"/>
          <w:szCs w:val="24"/>
          <w:u w:val="single"/>
        </w:rPr>
        <w:t xml:space="preserve">   </w:t>
      </w:r>
      <w:r>
        <w:rPr>
          <w:rFonts w:hint="eastAsia" w:ascii="宋体" w:hAnsi="宋体" w:cs="宋体"/>
          <w:spacing w:val="9"/>
          <w:sz w:val="24"/>
          <w:szCs w:val="24"/>
          <w:u w:val="single"/>
          <w:lang w:val="en-US" w:eastAsia="zh-CN"/>
        </w:rPr>
        <w:t xml:space="preserve">       </w:t>
      </w:r>
      <w:r>
        <w:rPr>
          <w:rFonts w:hint="eastAsia" w:ascii="宋体" w:hAnsi="宋体" w:cs="宋体"/>
          <w:spacing w:val="9"/>
          <w:sz w:val="24"/>
          <w:szCs w:val="24"/>
          <w:u w:val="single"/>
        </w:rPr>
        <w:t xml:space="preserve"> </w:t>
      </w:r>
      <w:r>
        <w:rPr>
          <w:rFonts w:hint="eastAsia" w:ascii="宋体" w:hAnsi="宋体" w:cs="宋体"/>
          <w:spacing w:val="5"/>
          <w:sz w:val="24"/>
          <w:szCs w:val="24"/>
          <w:u w:val="single"/>
        </w:rPr>
        <w:t>(发包人名称):</w:t>
      </w:r>
    </w:p>
    <w:p w14:paraId="78BCAF3D">
      <w:pPr>
        <w:spacing w:after="120" w:line="276" w:lineRule="auto"/>
        <w:rPr>
          <w:rFonts w:hint="eastAsia" w:ascii="宋体" w:hAnsi="宋体" w:cs="宋体"/>
          <w:kern w:val="0"/>
          <w:sz w:val="24"/>
          <w:szCs w:val="24"/>
        </w:rPr>
      </w:pPr>
    </w:p>
    <w:p w14:paraId="236D0F6A">
      <w:pPr>
        <w:tabs>
          <w:tab w:val="left" w:pos="0"/>
          <w:tab w:val="left" w:pos="959"/>
        </w:tabs>
        <w:spacing w:before="81" w:line="348" w:lineRule="auto"/>
        <w:ind w:firstLine="448" w:firstLineChars="200"/>
        <w:rPr>
          <w:rFonts w:ascii="宋体" w:hAnsi="宋体" w:cs="宋体"/>
          <w:sz w:val="24"/>
          <w:szCs w:val="24"/>
        </w:rPr>
      </w:pPr>
      <w:r>
        <w:rPr>
          <w:rFonts w:hint="eastAsia" w:ascii="宋体" w:hAnsi="宋体" w:cs="宋体"/>
          <w:spacing w:val="-8"/>
          <w:sz w:val="24"/>
          <w:szCs w:val="24"/>
        </w:rPr>
        <w:t>鉴于</w:t>
      </w:r>
      <w:r>
        <w:rPr>
          <w:rFonts w:hint="eastAsia" w:ascii="宋体" w:hAnsi="宋体" w:cs="宋体"/>
          <w:spacing w:val="9"/>
          <w:sz w:val="24"/>
          <w:szCs w:val="24"/>
          <w:u w:val="single"/>
        </w:rPr>
        <w:t xml:space="preserve">       </w:t>
      </w:r>
      <w:r>
        <w:rPr>
          <w:rFonts w:hint="eastAsia" w:ascii="宋体" w:hAnsi="宋体" w:cs="宋体"/>
          <w:spacing w:val="-21"/>
          <w:sz w:val="24"/>
          <w:szCs w:val="24"/>
        </w:rPr>
        <w:t xml:space="preserve"> </w:t>
      </w:r>
      <w:r>
        <w:rPr>
          <w:rFonts w:hint="eastAsia" w:ascii="宋体" w:hAnsi="宋体" w:cs="宋体"/>
          <w:spacing w:val="-8"/>
          <w:sz w:val="24"/>
          <w:szCs w:val="24"/>
        </w:rPr>
        <w:t>(发包人名称，以下简称“发包人”)接受</w:t>
      </w:r>
      <w:r>
        <w:rPr>
          <w:rFonts w:hint="eastAsia" w:ascii="宋体" w:hAnsi="宋体" w:cs="宋体"/>
          <w:spacing w:val="12"/>
          <w:sz w:val="24"/>
          <w:szCs w:val="24"/>
          <w:u w:val="single"/>
        </w:rPr>
        <w:t xml:space="preserve">       </w:t>
      </w:r>
      <w:r>
        <w:rPr>
          <w:rFonts w:hint="eastAsia" w:ascii="宋体" w:hAnsi="宋体" w:cs="宋体"/>
          <w:spacing w:val="-34"/>
          <w:sz w:val="24"/>
          <w:szCs w:val="24"/>
        </w:rPr>
        <w:t xml:space="preserve"> </w:t>
      </w:r>
      <w:r>
        <w:rPr>
          <w:rFonts w:hint="eastAsia" w:ascii="宋体" w:hAnsi="宋体" w:cs="宋体"/>
          <w:spacing w:val="-8"/>
          <w:sz w:val="24"/>
          <w:szCs w:val="24"/>
        </w:rPr>
        <w:t>(承</w:t>
      </w:r>
      <w:r>
        <w:rPr>
          <w:rFonts w:hint="eastAsia" w:ascii="宋体" w:hAnsi="宋体" w:cs="宋体"/>
          <w:spacing w:val="-9"/>
          <w:sz w:val="24"/>
          <w:szCs w:val="24"/>
        </w:rPr>
        <w:t>包人名称)</w:t>
      </w:r>
      <w:r>
        <w:rPr>
          <w:rFonts w:hint="eastAsia" w:ascii="宋体" w:hAnsi="宋体" w:cs="宋体"/>
          <w:sz w:val="24"/>
          <w:szCs w:val="24"/>
        </w:rPr>
        <w:t xml:space="preserve"> </w:t>
      </w:r>
      <w:r>
        <w:rPr>
          <w:rFonts w:hint="eastAsia" w:ascii="宋体" w:hAnsi="宋体" w:cs="宋体"/>
          <w:spacing w:val="-7"/>
          <w:sz w:val="24"/>
          <w:szCs w:val="24"/>
        </w:rPr>
        <w:t>(以下称“承包人”)于</w:t>
      </w:r>
      <w:r>
        <w:rPr>
          <w:rFonts w:hint="eastAsia" w:ascii="宋体" w:hAnsi="宋体" w:cs="宋体"/>
          <w:spacing w:val="18"/>
          <w:sz w:val="24"/>
          <w:szCs w:val="24"/>
          <w:u w:val="single"/>
        </w:rPr>
        <w:t xml:space="preserve">     </w:t>
      </w:r>
      <w:r>
        <w:rPr>
          <w:rFonts w:hint="eastAsia" w:ascii="宋体" w:hAnsi="宋体" w:cs="宋体"/>
          <w:spacing w:val="-7"/>
          <w:sz w:val="24"/>
          <w:szCs w:val="24"/>
        </w:rPr>
        <w:t>年</w:t>
      </w:r>
      <w:r>
        <w:rPr>
          <w:rFonts w:hint="eastAsia" w:ascii="宋体" w:hAnsi="宋体" w:cs="宋体"/>
          <w:spacing w:val="-113"/>
          <w:sz w:val="24"/>
          <w:szCs w:val="24"/>
        </w:rPr>
        <w:t xml:space="preserve"> </w:t>
      </w:r>
      <w:r>
        <w:rPr>
          <w:rFonts w:hint="eastAsia" w:ascii="宋体" w:hAnsi="宋体" w:cs="宋体"/>
          <w:spacing w:val="10"/>
          <w:sz w:val="24"/>
          <w:szCs w:val="24"/>
          <w:u w:val="single"/>
        </w:rPr>
        <w:t xml:space="preserve">    </w:t>
      </w:r>
      <w:r>
        <w:rPr>
          <w:rFonts w:hint="eastAsia" w:ascii="宋体" w:hAnsi="宋体" w:cs="宋体"/>
          <w:spacing w:val="-7"/>
          <w:sz w:val="24"/>
          <w:szCs w:val="24"/>
          <w:u w:val="single"/>
        </w:rPr>
        <w:t xml:space="preserve">月    </w:t>
      </w:r>
      <w:r>
        <w:rPr>
          <w:rFonts w:hint="eastAsia" w:ascii="宋体" w:hAnsi="宋体" w:cs="宋体"/>
          <w:spacing w:val="-115"/>
          <w:sz w:val="24"/>
          <w:szCs w:val="24"/>
        </w:rPr>
        <w:t xml:space="preserve"> </w:t>
      </w:r>
      <w:r>
        <w:rPr>
          <w:rFonts w:hint="eastAsia" w:ascii="宋体" w:hAnsi="宋体" w:cs="宋体"/>
          <w:spacing w:val="-7"/>
          <w:sz w:val="24"/>
          <w:szCs w:val="24"/>
        </w:rPr>
        <w:t>日参加</w:t>
      </w:r>
      <w:r>
        <w:rPr>
          <w:rFonts w:hint="eastAsia" w:ascii="宋体" w:hAnsi="宋体" w:cs="宋体"/>
          <w:spacing w:val="-7"/>
          <w:sz w:val="24"/>
          <w:szCs w:val="24"/>
          <w:u w:val="single"/>
        </w:rPr>
        <w:t xml:space="preserve">      </w:t>
      </w:r>
      <w:r>
        <w:rPr>
          <w:rFonts w:hint="eastAsia" w:ascii="宋体" w:hAnsi="宋体" w:cs="宋体"/>
          <w:spacing w:val="-55"/>
          <w:sz w:val="24"/>
          <w:szCs w:val="24"/>
        </w:rPr>
        <w:t xml:space="preserve"> </w:t>
      </w:r>
      <w:r>
        <w:rPr>
          <w:rFonts w:hint="eastAsia" w:ascii="宋体" w:hAnsi="宋体" w:cs="宋体"/>
          <w:spacing w:val="-7"/>
          <w:sz w:val="24"/>
          <w:szCs w:val="24"/>
        </w:rPr>
        <w:t>(项目名称)</w:t>
      </w:r>
      <w:r>
        <w:rPr>
          <w:rFonts w:hint="eastAsia" w:ascii="宋体" w:hAnsi="宋体" w:cs="宋体"/>
          <w:spacing w:val="-119"/>
          <w:sz w:val="24"/>
          <w:szCs w:val="24"/>
        </w:rPr>
        <w:t xml:space="preserve"> </w:t>
      </w:r>
      <w:r>
        <w:rPr>
          <w:rFonts w:hint="eastAsia" w:ascii="宋体" w:hAnsi="宋体" w:cs="宋体"/>
          <w:spacing w:val="7"/>
          <w:sz w:val="24"/>
          <w:szCs w:val="24"/>
          <w:u w:val="single"/>
        </w:rPr>
        <w:t xml:space="preserve">    </w:t>
      </w:r>
      <w:r>
        <w:rPr>
          <w:rFonts w:hint="eastAsia" w:ascii="宋体" w:hAnsi="宋体" w:cs="宋体"/>
          <w:spacing w:val="-7"/>
          <w:sz w:val="24"/>
          <w:szCs w:val="24"/>
        </w:rPr>
        <w:t>施工的</w:t>
      </w:r>
      <w:r>
        <w:rPr>
          <w:rFonts w:hint="eastAsia" w:ascii="宋体" w:hAnsi="宋体" w:cs="宋体"/>
          <w:spacing w:val="2"/>
          <w:sz w:val="24"/>
          <w:szCs w:val="24"/>
        </w:rPr>
        <w:t xml:space="preserve"> </w:t>
      </w:r>
      <w:r>
        <w:rPr>
          <w:rFonts w:hint="eastAsia" w:ascii="宋体" w:hAnsi="宋体" w:cs="宋体"/>
          <w:spacing w:val="-12"/>
          <w:sz w:val="24"/>
          <w:szCs w:val="24"/>
        </w:rPr>
        <w:t>投标。我方愿意无条件地、不可撤销地就承包</w:t>
      </w:r>
      <w:r>
        <w:rPr>
          <w:rFonts w:hint="eastAsia" w:ascii="宋体" w:hAnsi="宋体" w:cs="宋体"/>
          <w:spacing w:val="-13"/>
          <w:sz w:val="24"/>
          <w:szCs w:val="24"/>
        </w:rPr>
        <w:t>人履行与你方订立的合同，向你方提供</w:t>
      </w:r>
      <w:r>
        <w:rPr>
          <w:rFonts w:hint="eastAsia" w:ascii="宋体" w:hAnsi="宋体" w:cs="宋体"/>
          <w:spacing w:val="-11"/>
          <w:sz w:val="24"/>
          <w:szCs w:val="24"/>
        </w:rPr>
        <w:t>担保。</w:t>
      </w:r>
    </w:p>
    <w:p w14:paraId="04171D94">
      <w:pPr>
        <w:tabs>
          <w:tab w:val="left" w:pos="0"/>
          <w:tab w:val="left" w:pos="840"/>
          <w:tab w:val="left" w:pos="959"/>
        </w:tabs>
        <w:spacing w:before="81" w:line="348" w:lineRule="auto"/>
        <w:ind w:firstLine="524" w:firstLineChars="200"/>
        <w:rPr>
          <w:rFonts w:ascii="宋体" w:hAnsi="宋体" w:cs="宋体"/>
          <w:sz w:val="24"/>
          <w:szCs w:val="24"/>
        </w:rPr>
      </w:pPr>
      <w:r>
        <w:rPr>
          <w:rFonts w:hint="eastAsia" w:ascii="宋体" w:hAnsi="宋体" w:cs="宋体"/>
          <w:spacing w:val="11"/>
          <w:sz w:val="24"/>
          <w:szCs w:val="24"/>
        </w:rPr>
        <w:t>1.担保金额人民币(大写)</w:t>
      </w:r>
      <w:r>
        <w:rPr>
          <w:rFonts w:hint="eastAsia" w:ascii="宋体" w:hAnsi="宋体" w:cs="宋体"/>
          <w:spacing w:val="11"/>
          <w:sz w:val="24"/>
          <w:szCs w:val="24"/>
          <w:u w:val="single"/>
        </w:rPr>
        <w:t xml:space="preserve">       </w:t>
      </w:r>
      <w:r>
        <w:rPr>
          <w:rFonts w:hint="eastAsia" w:ascii="宋体" w:hAnsi="宋体" w:cs="宋体"/>
          <w:spacing w:val="-104"/>
          <w:sz w:val="24"/>
          <w:szCs w:val="24"/>
        </w:rPr>
        <w:t xml:space="preserve"> </w:t>
      </w:r>
      <w:r>
        <w:rPr>
          <w:rFonts w:hint="eastAsia" w:ascii="宋体" w:hAnsi="宋体" w:cs="宋体"/>
          <w:spacing w:val="11"/>
          <w:sz w:val="24"/>
          <w:szCs w:val="24"/>
        </w:rPr>
        <w:t>元(¥</w:t>
      </w:r>
      <w:r>
        <w:rPr>
          <w:rFonts w:hint="eastAsia" w:ascii="宋体" w:hAnsi="宋体" w:cs="宋体"/>
          <w:spacing w:val="11"/>
          <w:sz w:val="24"/>
          <w:szCs w:val="24"/>
          <w:u w:val="single"/>
        </w:rPr>
        <w:t xml:space="preserve">       </w:t>
      </w:r>
      <w:r>
        <w:rPr>
          <w:rFonts w:hint="eastAsia" w:ascii="宋体" w:hAnsi="宋体" w:cs="宋体"/>
          <w:spacing w:val="-95"/>
          <w:sz w:val="24"/>
          <w:szCs w:val="24"/>
        </w:rPr>
        <w:t xml:space="preserve"> </w:t>
      </w:r>
      <w:r>
        <w:rPr>
          <w:rFonts w:hint="eastAsia" w:ascii="宋体" w:hAnsi="宋体" w:cs="宋体"/>
          <w:spacing w:val="11"/>
          <w:sz w:val="24"/>
          <w:szCs w:val="24"/>
        </w:rPr>
        <w:t>)。</w:t>
      </w:r>
    </w:p>
    <w:p w14:paraId="128ECDEE">
      <w:pPr>
        <w:spacing w:line="360" w:lineRule="auto"/>
        <w:ind w:firstLine="480" w:firstLineChars="200"/>
        <w:rPr>
          <w:rFonts w:ascii="宋体" w:hAnsi="宋体"/>
          <w:sz w:val="24"/>
          <w:szCs w:val="24"/>
        </w:rPr>
      </w:pPr>
      <w:r>
        <w:rPr>
          <w:rFonts w:hint="eastAsia" w:ascii="宋体" w:hAnsi="宋体"/>
          <w:sz w:val="24"/>
          <w:szCs w:val="24"/>
        </w:rPr>
        <w:t>2.担保有效期自发包人与承包人签订的合同生效之日起至发包人签发工程接收交工验收证书之日止。</w:t>
      </w:r>
    </w:p>
    <w:p w14:paraId="4B06023B">
      <w:pPr>
        <w:tabs>
          <w:tab w:val="left" w:pos="0"/>
          <w:tab w:val="left" w:pos="840"/>
          <w:tab w:val="left" w:pos="959"/>
        </w:tabs>
        <w:spacing w:before="81" w:line="348" w:lineRule="auto"/>
        <w:ind w:firstLine="432" w:firstLineChars="200"/>
        <w:rPr>
          <w:rFonts w:ascii="宋体" w:hAnsi="宋体" w:cs="宋体"/>
          <w:sz w:val="24"/>
          <w:szCs w:val="24"/>
        </w:rPr>
      </w:pPr>
      <w:r>
        <w:rPr>
          <w:rFonts w:hint="eastAsia" w:ascii="宋体" w:hAnsi="宋体" w:cs="宋体"/>
          <w:spacing w:val="-12"/>
          <w:sz w:val="24"/>
          <w:szCs w:val="24"/>
        </w:rPr>
        <w:t>3.在本担保有效期内，因承包人违反合同约定的义务给你方造成经济损失时，我</w:t>
      </w:r>
      <w:r>
        <w:rPr>
          <w:rFonts w:hint="eastAsia" w:ascii="宋体" w:hAnsi="宋体" w:cs="宋体"/>
          <w:spacing w:val="-8"/>
          <w:sz w:val="24"/>
          <w:szCs w:val="24"/>
        </w:rPr>
        <w:t>方在收到你方以书面形式提出的在担保金额内的</w:t>
      </w:r>
      <w:r>
        <w:rPr>
          <w:rFonts w:hint="eastAsia" w:ascii="宋体" w:hAnsi="宋体" w:cs="宋体"/>
          <w:spacing w:val="-9"/>
          <w:sz w:val="24"/>
          <w:szCs w:val="24"/>
        </w:rPr>
        <w:t>赔偿要求后，在7天内无条件支付，</w:t>
      </w:r>
      <w:r>
        <w:rPr>
          <w:rFonts w:hint="eastAsia" w:ascii="宋体" w:hAnsi="宋体" w:cs="宋体"/>
          <w:spacing w:val="-12"/>
          <w:sz w:val="24"/>
          <w:szCs w:val="24"/>
        </w:rPr>
        <w:t>无须你方出具证明或陈述理由。</w:t>
      </w:r>
    </w:p>
    <w:p w14:paraId="595DDCEF">
      <w:pPr>
        <w:tabs>
          <w:tab w:val="left" w:pos="0"/>
          <w:tab w:val="left" w:pos="840"/>
          <w:tab w:val="left" w:pos="959"/>
        </w:tabs>
        <w:spacing w:before="81" w:line="348" w:lineRule="auto"/>
        <w:ind w:firstLine="480" w:firstLineChars="200"/>
        <w:rPr>
          <w:rFonts w:hint="eastAsia" w:ascii="宋体" w:hAnsi="宋体" w:cs="宋体"/>
          <w:sz w:val="24"/>
          <w:szCs w:val="24"/>
        </w:rPr>
      </w:pPr>
      <w:r>
        <w:rPr>
          <w:rFonts w:hint="eastAsia" w:ascii="宋体" w:hAnsi="宋体" w:cs="宋体"/>
          <w:sz w:val="24"/>
          <w:szCs w:val="28"/>
        </w:rPr>
        <w:t>4.发包人和承包人按合同条款第15条变更合同时，我方承担本担保规定的义务不变。</w:t>
      </w:r>
    </w:p>
    <w:p w14:paraId="2EC3D89D">
      <w:pPr>
        <w:spacing w:after="120" w:line="282" w:lineRule="auto"/>
        <w:rPr>
          <w:rFonts w:hint="eastAsia" w:ascii="宋体" w:hAnsi="宋体" w:cs="宋体"/>
          <w:kern w:val="0"/>
          <w:sz w:val="24"/>
          <w:szCs w:val="24"/>
        </w:rPr>
      </w:pPr>
    </w:p>
    <w:p w14:paraId="25064258">
      <w:pPr>
        <w:spacing w:before="81" w:line="360" w:lineRule="auto"/>
        <w:ind w:left="4769"/>
        <w:rPr>
          <w:rFonts w:hint="eastAsia" w:ascii="宋体" w:hAnsi="宋体" w:cs="宋体"/>
          <w:sz w:val="24"/>
          <w:szCs w:val="24"/>
        </w:rPr>
      </w:pPr>
      <w:r>
        <w:rPr>
          <w:rFonts w:hint="eastAsia" w:ascii="宋体" w:hAnsi="宋体" w:cs="宋体"/>
          <w:spacing w:val="-10"/>
          <w:sz w:val="24"/>
          <w:szCs w:val="24"/>
        </w:rPr>
        <w:t>担</w:t>
      </w:r>
      <w:r>
        <w:rPr>
          <w:rFonts w:hint="eastAsia" w:ascii="宋体" w:hAnsi="宋体" w:cs="宋体"/>
          <w:spacing w:val="-33"/>
          <w:sz w:val="24"/>
          <w:szCs w:val="24"/>
        </w:rPr>
        <w:t xml:space="preserve"> </w:t>
      </w:r>
      <w:r>
        <w:rPr>
          <w:rFonts w:hint="eastAsia" w:ascii="宋体" w:hAnsi="宋体" w:cs="宋体"/>
          <w:spacing w:val="-10"/>
          <w:sz w:val="24"/>
          <w:szCs w:val="24"/>
        </w:rPr>
        <w:t>保</w:t>
      </w:r>
      <w:r>
        <w:rPr>
          <w:rFonts w:hint="eastAsia" w:ascii="宋体" w:hAnsi="宋体" w:cs="宋体"/>
          <w:spacing w:val="-36"/>
          <w:sz w:val="24"/>
          <w:szCs w:val="24"/>
        </w:rPr>
        <w:t xml:space="preserve"> </w:t>
      </w:r>
      <w:r>
        <w:rPr>
          <w:rFonts w:hint="eastAsia" w:ascii="宋体" w:hAnsi="宋体" w:cs="宋体"/>
          <w:spacing w:val="-10"/>
          <w:sz w:val="24"/>
          <w:szCs w:val="24"/>
        </w:rPr>
        <w:t>人</w:t>
      </w:r>
      <w:r>
        <w:rPr>
          <w:rFonts w:hint="eastAsia" w:ascii="宋体" w:hAnsi="宋体" w:cs="宋体"/>
          <w:spacing w:val="-47"/>
          <w:sz w:val="24"/>
          <w:szCs w:val="24"/>
        </w:rPr>
        <w:t xml:space="preserve"> </w:t>
      </w:r>
      <w:r>
        <w:rPr>
          <w:rFonts w:hint="eastAsia" w:ascii="宋体" w:hAnsi="宋体" w:cs="宋体"/>
          <w:spacing w:val="-10"/>
          <w:sz w:val="24"/>
          <w:szCs w:val="24"/>
        </w:rPr>
        <w:t>：</w:t>
      </w:r>
      <w:r>
        <w:rPr>
          <w:rFonts w:hint="eastAsia" w:ascii="宋体" w:hAnsi="宋体" w:cs="宋体"/>
          <w:spacing w:val="5"/>
          <w:sz w:val="24"/>
          <w:szCs w:val="24"/>
          <w:u w:val="single"/>
        </w:rPr>
        <w:t xml:space="preserve">                </w:t>
      </w:r>
      <w:r>
        <w:rPr>
          <w:rFonts w:hint="eastAsia" w:ascii="宋体" w:hAnsi="宋体" w:cs="宋体"/>
          <w:spacing w:val="-10"/>
          <w:sz w:val="24"/>
          <w:szCs w:val="24"/>
        </w:rPr>
        <w:t xml:space="preserve"> (盖单位章)</w:t>
      </w:r>
      <w:r>
        <w:rPr>
          <w:rFonts w:hint="eastAsia" w:ascii="宋体" w:hAnsi="宋体" w:cs="宋体"/>
          <w:spacing w:val="-18"/>
          <w:sz w:val="24"/>
          <w:szCs w:val="24"/>
        </w:rPr>
        <w:t>法定代表人或其委托代理人：</w:t>
      </w:r>
      <w:r>
        <w:rPr>
          <w:rFonts w:hint="eastAsia" w:ascii="宋体" w:hAnsi="宋体" w:cs="宋体"/>
          <w:spacing w:val="37"/>
          <w:sz w:val="24"/>
          <w:szCs w:val="24"/>
        </w:rPr>
        <w:t xml:space="preserve"> </w:t>
      </w:r>
      <w:r>
        <w:rPr>
          <w:rFonts w:hint="eastAsia" w:ascii="宋体" w:hAnsi="宋体" w:cs="宋体"/>
          <w:spacing w:val="3"/>
          <w:sz w:val="24"/>
          <w:szCs w:val="24"/>
          <w:u w:val="single"/>
        </w:rPr>
        <w:t xml:space="preserve">      </w:t>
      </w:r>
      <w:r>
        <w:rPr>
          <w:rFonts w:hint="eastAsia" w:ascii="宋体" w:hAnsi="宋体" w:cs="宋体"/>
          <w:spacing w:val="-18"/>
          <w:sz w:val="24"/>
          <w:szCs w:val="24"/>
        </w:rPr>
        <w:t xml:space="preserve"> (签字)</w:t>
      </w:r>
    </w:p>
    <w:p w14:paraId="3E020D77">
      <w:pPr>
        <w:spacing w:line="360" w:lineRule="auto"/>
        <w:ind w:firstLine="4818" w:firstLineChars="2231"/>
        <w:rPr>
          <w:rFonts w:hint="eastAsia" w:ascii="宋体" w:hAnsi="宋体" w:cs="宋体"/>
          <w:spacing w:val="-12"/>
          <w:sz w:val="24"/>
          <w:szCs w:val="24"/>
        </w:rPr>
      </w:pPr>
      <w:r>
        <w:rPr>
          <w:rFonts w:hint="eastAsia" w:ascii="宋体" w:hAnsi="宋体" w:cs="宋体"/>
          <w:spacing w:val="-12"/>
          <w:sz w:val="24"/>
          <w:szCs w:val="24"/>
        </w:rPr>
        <w:t>地   址：</w:t>
      </w:r>
      <w:r>
        <w:rPr>
          <w:rFonts w:hint="eastAsia" w:ascii="宋体" w:hAnsi="宋体" w:cs="宋体"/>
          <w:spacing w:val="5"/>
          <w:sz w:val="24"/>
          <w:szCs w:val="24"/>
          <w:u w:val="single"/>
        </w:rPr>
        <w:t xml:space="preserve">            </w:t>
      </w:r>
      <w:r>
        <w:rPr>
          <w:rFonts w:ascii="宋体" w:hAnsi="宋体" w:cs="宋体"/>
          <w:spacing w:val="5"/>
          <w:sz w:val="24"/>
          <w:szCs w:val="24"/>
          <w:u w:val="single"/>
        </w:rPr>
        <w:t xml:space="preserve">       </w:t>
      </w:r>
      <w:r>
        <w:rPr>
          <w:rFonts w:hint="eastAsia" w:ascii="宋体" w:hAnsi="宋体" w:cs="宋体"/>
          <w:spacing w:val="5"/>
          <w:sz w:val="24"/>
          <w:szCs w:val="24"/>
          <w:u w:val="single"/>
        </w:rPr>
        <w:t xml:space="preserve">    </w:t>
      </w:r>
      <w:r>
        <w:rPr>
          <w:rFonts w:hint="eastAsia" w:ascii="宋体" w:hAnsi="宋体" w:cs="宋体"/>
          <w:spacing w:val="-12"/>
          <w:sz w:val="24"/>
          <w:szCs w:val="24"/>
        </w:rPr>
        <w:t xml:space="preserve">  </w:t>
      </w:r>
    </w:p>
    <w:p w14:paraId="109E4C5B">
      <w:pPr>
        <w:spacing w:line="360" w:lineRule="auto"/>
        <w:ind w:firstLine="4818" w:firstLineChars="2231"/>
        <w:rPr>
          <w:rFonts w:hint="eastAsia" w:ascii="宋体" w:hAnsi="宋体" w:cs="宋体"/>
          <w:spacing w:val="-12"/>
          <w:sz w:val="24"/>
          <w:szCs w:val="24"/>
        </w:rPr>
      </w:pPr>
      <w:r>
        <w:rPr>
          <w:rFonts w:hint="eastAsia" w:ascii="宋体" w:hAnsi="宋体" w:cs="宋体"/>
          <w:spacing w:val="-12"/>
          <w:sz w:val="24"/>
          <w:szCs w:val="24"/>
        </w:rPr>
        <w:t>邮政编码：</w:t>
      </w:r>
      <w:r>
        <w:rPr>
          <w:rFonts w:hint="eastAsia" w:ascii="宋体" w:hAnsi="宋体" w:cs="宋体"/>
          <w:spacing w:val="5"/>
          <w:sz w:val="24"/>
          <w:szCs w:val="24"/>
          <w:u w:val="single"/>
        </w:rPr>
        <w:t xml:space="preserve">            </w:t>
      </w:r>
      <w:r>
        <w:rPr>
          <w:rFonts w:ascii="宋体" w:hAnsi="宋体" w:cs="宋体"/>
          <w:spacing w:val="5"/>
          <w:sz w:val="24"/>
          <w:szCs w:val="24"/>
          <w:u w:val="single"/>
        </w:rPr>
        <w:t xml:space="preserve">      </w:t>
      </w:r>
      <w:r>
        <w:rPr>
          <w:rFonts w:hint="eastAsia" w:ascii="宋体" w:hAnsi="宋体" w:cs="宋体"/>
          <w:spacing w:val="5"/>
          <w:sz w:val="24"/>
          <w:szCs w:val="24"/>
          <w:u w:val="single"/>
        </w:rPr>
        <w:t xml:space="preserve">    </w:t>
      </w:r>
      <w:r>
        <w:rPr>
          <w:rFonts w:hint="eastAsia" w:ascii="宋体" w:hAnsi="宋体" w:cs="宋体"/>
          <w:spacing w:val="-12"/>
          <w:sz w:val="24"/>
          <w:szCs w:val="24"/>
        </w:rPr>
        <w:t xml:space="preserve"> </w:t>
      </w:r>
    </w:p>
    <w:p w14:paraId="3D514981">
      <w:pPr>
        <w:spacing w:line="360" w:lineRule="auto"/>
        <w:ind w:firstLine="4818" w:firstLineChars="2231"/>
        <w:rPr>
          <w:rFonts w:hint="eastAsia" w:ascii="宋体" w:hAnsi="宋体" w:cs="宋体"/>
          <w:spacing w:val="-12"/>
          <w:sz w:val="24"/>
          <w:szCs w:val="24"/>
        </w:rPr>
      </w:pPr>
      <w:r>
        <w:rPr>
          <w:rFonts w:hint="eastAsia" w:ascii="宋体" w:hAnsi="宋体" w:cs="宋体"/>
          <w:spacing w:val="-12"/>
          <w:sz w:val="24"/>
          <w:szCs w:val="24"/>
        </w:rPr>
        <w:t>电   话：</w:t>
      </w:r>
      <w:r>
        <w:rPr>
          <w:rFonts w:hint="eastAsia" w:ascii="宋体" w:hAnsi="宋体" w:cs="宋体"/>
          <w:spacing w:val="5"/>
          <w:sz w:val="24"/>
          <w:szCs w:val="24"/>
          <w:u w:val="single"/>
        </w:rPr>
        <w:t xml:space="preserve">            </w:t>
      </w:r>
      <w:r>
        <w:rPr>
          <w:rFonts w:ascii="宋体" w:hAnsi="宋体" w:cs="宋体"/>
          <w:spacing w:val="5"/>
          <w:sz w:val="24"/>
          <w:szCs w:val="24"/>
          <w:u w:val="single"/>
        </w:rPr>
        <w:t xml:space="preserve">       </w:t>
      </w:r>
      <w:r>
        <w:rPr>
          <w:rFonts w:hint="eastAsia" w:ascii="宋体" w:hAnsi="宋体" w:cs="宋体"/>
          <w:spacing w:val="5"/>
          <w:sz w:val="24"/>
          <w:szCs w:val="24"/>
          <w:u w:val="single"/>
        </w:rPr>
        <w:t xml:space="preserve">    </w:t>
      </w:r>
      <w:r>
        <w:rPr>
          <w:rFonts w:hint="eastAsia" w:ascii="宋体" w:hAnsi="宋体" w:cs="宋体"/>
          <w:spacing w:val="-12"/>
          <w:sz w:val="24"/>
          <w:szCs w:val="24"/>
        </w:rPr>
        <w:t xml:space="preserve"> </w:t>
      </w:r>
    </w:p>
    <w:p w14:paraId="58A829E4">
      <w:pPr>
        <w:spacing w:line="360" w:lineRule="auto"/>
        <w:ind w:firstLine="4818" w:firstLineChars="2231"/>
        <w:rPr>
          <w:rFonts w:hint="eastAsia" w:ascii="宋体" w:hAnsi="宋体" w:cs="宋体"/>
          <w:spacing w:val="-12"/>
          <w:sz w:val="24"/>
          <w:szCs w:val="24"/>
        </w:rPr>
      </w:pPr>
      <w:r>
        <w:rPr>
          <w:rFonts w:hint="eastAsia" w:ascii="宋体" w:hAnsi="宋体" w:cs="宋体"/>
          <w:spacing w:val="-12"/>
          <w:sz w:val="24"/>
          <w:szCs w:val="24"/>
        </w:rPr>
        <w:t>传   真：</w:t>
      </w:r>
      <w:r>
        <w:rPr>
          <w:rFonts w:hint="eastAsia" w:ascii="宋体" w:hAnsi="宋体" w:cs="宋体"/>
          <w:spacing w:val="5"/>
          <w:sz w:val="24"/>
          <w:szCs w:val="24"/>
          <w:u w:val="single"/>
        </w:rPr>
        <w:t xml:space="preserve">            </w:t>
      </w:r>
      <w:r>
        <w:rPr>
          <w:rFonts w:ascii="宋体" w:hAnsi="宋体" w:cs="宋体"/>
          <w:spacing w:val="5"/>
          <w:sz w:val="24"/>
          <w:szCs w:val="24"/>
          <w:u w:val="single"/>
        </w:rPr>
        <w:t xml:space="preserve">       </w:t>
      </w:r>
      <w:r>
        <w:rPr>
          <w:rFonts w:hint="eastAsia" w:ascii="宋体" w:hAnsi="宋体" w:cs="宋体"/>
          <w:spacing w:val="5"/>
          <w:sz w:val="24"/>
          <w:szCs w:val="24"/>
          <w:u w:val="single"/>
        </w:rPr>
        <w:t xml:space="preserve">    </w:t>
      </w:r>
      <w:r>
        <w:rPr>
          <w:rFonts w:hint="eastAsia" w:ascii="宋体" w:hAnsi="宋体" w:cs="宋体"/>
          <w:spacing w:val="-12"/>
          <w:sz w:val="24"/>
          <w:szCs w:val="24"/>
        </w:rPr>
        <w:t xml:space="preserve">                               </w:t>
      </w:r>
    </w:p>
    <w:p w14:paraId="697BF883">
      <w:pPr>
        <w:tabs>
          <w:tab w:val="left" w:pos="6579"/>
        </w:tabs>
        <w:spacing w:before="79" w:line="219" w:lineRule="auto"/>
        <w:ind w:left="5849"/>
        <w:rPr>
          <w:rFonts w:hint="eastAsia" w:ascii="宋体" w:hAnsi="宋体" w:cs="宋体"/>
          <w:sz w:val="20"/>
          <w:szCs w:val="20"/>
        </w:rPr>
      </w:pPr>
      <w:r>
        <w:rPr>
          <w:rFonts w:hint="eastAsia" w:ascii="宋体" w:hAnsi="宋体" w:cs="宋体"/>
          <w:sz w:val="24"/>
          <w:szCs w:val="24"/>
          <w:u w:val="single"/>
        </w:rPr>
        <w:tab/>
      </w:r>
      <w:r>
        <w:rPr>
          <w:rFonts w:hint="eastAsia" w:ascii="宋体" w:hAnsi="宋体" w:cs="宋体"/>
          <w:spacing w:val="-99"/>
          <w:sz w:val="24"/>
          <w:szCs w:val="24"/>
        </w:rPr>
        <w:t xml:space="preserve"> </w:t>
      </w:r>
      <w:r>
        <w:rPr>
          <w:rFonts w:hint="eastAsia" w:ascii="宋体" w:hAnsi="宋体" w:cs="宋体"/>
          <w:spacing w:val="-9"/>
          <w:sz w:val="24"/>
          <w:szCs w:val="24"/>
        </w:rPr>
        <w:t>年</w:t>
      </w:r>
      <w:r>
        <w:rPr>
          <w:rFonts w:hint="eastAsia" w:ascii="宋体" w:hAnsi="宋体" w:cs="宋体"/>
          <w:spacing w:val="2"/>
          <w:sz w:val="24"/>
          <w:szCs w:val="24"/>
          <w:u w:val="single"/>
        </w:rPr>
        <w:t xml:space="preserve">    </w:t>
      </w:r>
      <w:r>
        <w:rPr>
          <w:rFonts w:hint="eastAsia" w:ascii="宋体" w:hAnsi="宋体" w:cs="宋体"/>
          <w:spacing w:val="-9"/>
          <w:sz w:val="24"/>
          <w:szCs w:val="24"/>
        </w:rPr>
        <w:t>月</w:t>
      </w:r>
      <w:r>
        <w:rPr>
          <w:rFonts w:hint="eastAsia" w:ascii="宋体" w:hAnsi="宋体" w:cs="宋体"/>
          <w:spacing w:val="6"/>
          <w:sz w:val="24"/>
          <w:szCs w:val="24"/>
          <w:u w:val="single"/>
        </w:rPr>
        <w:t xml:space="preserve">    </w:t>
      </w:r>
      <w:r>
        <w:rPr>
          <w:rFonts w:hint="eastAsia" w:ascii="宋体" w:hAnsi="宋体" w:cs="宋体"/>
          <w:spacing w:val="-9"/>
          <w:position w:val="2"/>
          <w:sz w:val="20"/>
          <w:szCs w:val="20"/>
        </w:rPr>
        <w:t>日</w:t>
      </w:r>
    </w:p>
    <w:p w14:paraId="10E48BA8">
      <w:pPr>
        <w:spacing w:line="227" w:lineRule="auto"/>
        <w:rPr>
          <w:rFonts w:hint="eastAsia" w:ascii="宋体" w:hAnsi="宋体" w:cs="宋体"/>
          <w:sz w:val="24"/>
          <w:szCs w:val="24"/>
        </w:rPr>
        <w:sectPr>
          <w:footerReference r:id="rId5" w:type="default"/>
          <w:pgSz w:w="11910" w:h="16840"/>
          <w:pgMar w:top="1361" w:right="1417" w:bottom="1361" w:left="1417" w:header="850" w:footer="850" w:gutter="0"/>
          <w:pgNumType w:fmt="decimal" w:start="1"/>
          <w:cols w:space="720" w:num="1"/>
        </w:sectPr>
      </w:pPr>
    </w:p>
    <w:p w14:paraId="4474F5D2">
      <w:pPr>
        <w:spacing w:before="96" w:line="219" w:lineRule="auto"/>
        <w:rPr>
          <w:rFonts w:hint="eastAsia" w:ascii="宋体" w:hAnsi="宋体" w:cs="宋体"/>
          <w:b/>
          <w:bCs w:val="0"/>
          <w:sz w:val="24"/>
          <w:szCs w:val="24"/>
        </w:rPr>
      </w:pPr>
      <w:r>
        <w:rPr>
          <w:rFonts w:hint="eastAsia" w:ascii="宋体" w:hAnsi="宋体" w:cs="宋体"/>
          <w:b/>
          <w:bCs w:val="0"/>
          <w:spacing w:val="6"/>
          <w:sz w:val="24"/>
          <w:szCs w:val="24"/>
        </w:rPr>
        <w:t>附件八</w:t>
      </w:r>
      <w:r>
        <w:rPr>
          <w:rFonts w:hint="eastAsia" w:ascii="宋体" w:hAnsi="宋体" w:cs="宋体"/>
          <w:b/>
          <w:bCs w:val="0"/>
          <w:spacing w:val="34"/>
          <w:sz w:val="24"/>
          <w:szCs w:val="24"/>
        </w:rPr>
        <w:t xml:space="preserve">  </w:t>
      </w:r>
      <w:r>
        <w:rPr>
          <w:rFonts w:hint="eastAsia" w:ascii="宋体" w:hAnsi="宋体" w:cs="宋体"/>
          <w:b/>
          <w:bCs w:val="0"/>
          <w:spacing w:val="6"/>
          <w:sz w:val="24"/>
          <w:szCs w:val="24"/>
        </w:rPr>
        <w:t>预付款担保格式</w:t>
      </w:r>
    </w:p>
    <w:p w14:paraId="3B8E9D5D">
      <w:pPr>
        <w:spacing w:after="120" w:line="292" w:lineRule="auto"/>
        <w:rPr>
          <w:rFonts w:hint="eastAsia" w:ascii="宋体" w:hAnsi="宋体" w:cs="宋体"/>
          <w:kern w:val="0"/>
          <w:sz w:val="20"/>
          <w:szCs w:val="20"/>
        </w:rPr>
      </w:pPr>
    </w:p>
    <w:p w14:paraId="4D06FFA4">
      <w:pPr>
        <w:spacing w:after="120" w:line="293" w:lineRule="auto"/>
        <w:rPr>
          <w:rFonts w:hint="eastAsia" w:ascii="宋体" w:hAnsi="宋体" w:cs="宋体"/>
          <w:kern w:val="0"/>
          <w:sz w:val="20"/>
          <w:szCs w:val="20"/>
        </w:rPr>
      </w:pPr>
    </w:p>
    <w:p w14:paraId="2FC62499">
      <w:pPr>
        <w:spacing w:before="78" w:line="219" w:lineRule="auto"/>
        <w:jc w:val="center"/>
        <w:rPr>
          <w:rFonts w:hint="eastAsia" w:ascii="宋体" w:hAnsi="宋体" w:cs="宋体"/>
          <w:sz w:val="24"/>
          <w:szCs w:val="24"/>
        </w:rPr>
      </w:pPr>
      <w:r>
        <w:rPr>
          <w:rFonts w:hint="eastAsia" w:ascii="宋体" w:hAnsi="宋体" w:cs="宋体"/>
          <w:spacing w:val="-9"/>
          <w:sz w:val="24"/>
          <w:szCs w:val="24"/>
        </w:rPr>
        <w:t>预</w:t>
      </w:r>
      <w:r>
        <w:rPr>
          <w:rFonts w:hint="eastAsia" w:ascii="宋体" w:hAnsi="宋体" w:cs="宋体"/>
          <w:spacing w:val="21"/>
          <w:sz w:val="24"/>
          <w:szCs w:val="24"/>
        </w:rPr>
        <w:t xml:space="preserve"> </w:t>
      </w:r>
      <w:r>
        <w:rPr>
          <w:rFonts w:hint="eastAsia" w:ascii="宋体" w:hAnsi="宋体" w:cs="宋体"/>
          <w:spacing w:val="-9"/>
          <w:sz w:val="24"/>
          <w:szCs w:val="24"/>
        </w:rPr>
        <w:t>付</w:t>
      </w:r>
      <w:r>
        <w:rPr>
          <w:rFonts w:hint="eastAsia" w:ascii="宋体" w:hAnsi="宋体" w:cs="宋体"/>
          <w:spacing w:val="21"/>
          <w:sz w:val="24"/>
          <w:szCs w:val="24"/>
        </w:rPr>
        <w:t xml:space="preserve"> </w:t>
      </w:r>
      <w:r>
        <w:rPr>
          <w:rFonts w:hint="eastAsia" w:ascii="宋体" w:hAnsi="宋体" w:cs="宋体"/>
          <w:spacing w:val="-9"/>
          <w:sz w:val="24"/>
          <w:szCs w:val="24"/>
        </w:rPr>
        <w:t>款</w:t>
      </w:r>
      <w:r>
        <w:rPr>
          <w:rFonts w:hint="eastAsia" w:ascii="宋体" w:hAnsi="宋体" w:cs="宋体"/>
          <w:spacing w:val="20"/>
          <w:sz w:val="24"/>
          <w:szCs w:val="24"/>
        </w:rPr>
        <w:t xml:space="preserve"> </w:t>
      </w:r>
      <w:r>
        <w:rPr>
          <w:rFonts w:hint="eastAsia" w:ascii="宋体" w:hAnsi="宋体" w:cs="宋体"/>
          <w:spacing w:val="-9"/>
          <w:sz w:val="24"/>
          <w:szCs w:val="24"/>
        </w:rPr>
        <w:t>担</w:t>
      </w:r>
      <w:r>
        <w:rPr>
          <w:rFonts w:hint="eastAsia" w:ascii="宋体" w:hAnsi="宋体" w:cs="宋体"/>
          <w:spacing w:val="20"/>
          <w:sz w:val="24"/>
          <w:szCs w:val="24"/>
        </w:rPr>
        <w:t xml:space="preserve"> </w:t>
      </w:r>
      <w:r>
        <w:rPr>
          <w:rFonts w:hint="eastAsia" w:ascii="宋体" w:hAnsi="宋体" w:cs="宋体"/>
          <w:spacing w:val="-9"/>
          <w:sz w:val="24"/>
          <w:szCs w:val="24"/>
        </w:rPr>
        <w:t>保</w:t>
      </w:r>
    </w:p>
    <w:p w14:paraId="0B6FE761">
      <w:pPr>
        <w:spacing w:after="120" w:line="277" w:lineRule="auto"/>
        <w:rPr>
          <w:rFonts w:hint="eastAsia" w:ascii="宋体" w:hAnsi="宋体" w:cs="宋体"/>
          <w:kern w:val="0"/>
          <w:sz w:val="20"/>
          <w:szCs w:val="20"/>
        </w:rPr>
      </w:pPr>
    </w:p>
    <w:p w14:paraId="262C38B2">
      <w:pPr>
        <w:spacing w:after="120" w:line="277" w:lineRule="auto"/>
        <w:rPr>
          <w:rFonts w:hint="eastAsia" w:ascii="宋体" w:hAnsi="宋体" w:cs="宋体"/>
          <w:kern w:val="0"/>
          <w:sz w:val="20"/>
          <w:szCs w:val="20"/>
        </w:rPr>
      </w:pPr>
    </w:p>
    <w:p w14:paraId="6CD4EA76">
      <w:pPr>
        <w:tabs>
          <w:tab w:val="left" w:pos="2278"/>
        </w:tabs>
        <w:spacing w:before="78" w:line="220" w:lineRule="auto"/>
        <w:rPr>
          <w:rFonts w:hint="eastAsia" w:ascii="宋体" w:hAnsi="宋体" w:cs="宋体"/>
          <w:sz w:val="24"/>
          <w:szCs w:val="24"/>
        </w:rPr>
      </w:pPr>
      <w:r>
        <w:rPr>
          <w:rFonts w:hint="eastAsia" w:ascii="宋体" w:hAnsi="宋体" w:cs="宋体"/>
          <w:sz w:val="24"/>
          <w:szCs w:val="24"/>
          <w:u w:val="single"/>
        </w:rPr>
        <w:tab/>
      </w:r>
      <w:r>
        <w:rPr>
          <w:rFonts w:hint="eastAsia" w:ascii="宋体" w:hAnsi="宋体" w:cs="宋体"/>
          <w:spacing w:val="-14"/>
          <w:sz w:val="24"/>
          <w:szCs w:val="24"/>
        </w:rPr>
        <w:t xml:space="preserve"> </w:t>
      </w:r>
      <w:r>
        <w:rPr>
          <w:rFonts w:hint="eastAsia" w:ascii="宋体" w:hAnsi="宋体" w:cs="宋体"/>
          <w:spacing w:val="14"/>
          <w:sz w:val="24"/>
          <w:szCs w:val="24"/>
        </w:rPr>
        <w:t>(发包人名称):</w:t>
      </w:r>
    </w:p>
    <w:p w14:paraId="7EAA40E5">
      <w:pPr>
        <w:spacing w:after="120" w:line="286" w:lineRule="auto"/>
        <w:rPr>
          <w:rFonts w:hint="eastAsia" w:ascii="宋体" w:hAnsi="宋体" w:cs="宋体"/>
          <w:kern w:val="0"/>
          <w:sz w:val="20"/>
          <w:szCs w:val="20"/>
        </w:rPr>
      </w:pPr>
    </w:p>
    <w:p w14:paraId="4ECFA927">
      <w:pPr>
        <w:spacing w:line="360" w:lineRule="auto"/>
        <w:ind w:firstLine="528" w:firstLineChars="200"/>
        <w:rPr>
          <w:rFonts w:hint="eastAsia" w:ascii="宋体" w:hAnsi="宋体" w:cs="宋体"/>
          <w:sz w:val="24"/>
          <w:szCs w:val="24"/>
        </w:rPr>
      </w:pPr>
      <w:r>
        <w:rPr>
          <w:rFonts w:hint="eastAsia" w:ascii="宋体" w:hAnsi="宋体" w:cs="宋体"/>
          <w:spacing w:val="12"/>
          <w:sz w:val="24"/>
          <w:szCs w:val="24"/>
        </w:rPr>
        <w:t>根据</w:t>
      </w:r>
      <w:r>
        <w:rPr>
          <w:rFonts w:hint="eastAsia" w:ascii="宋体" w:hAnsi="宋体" w:cs="宋体"/>
          <w:spacing w:val="17"/>
          <w:sz w:val="24"/>
          <w:szCs w:val="24"/>
          <w:u w:val="single"/>
        </w:rPr>
        <w:t xml:space="preserve">       </w:t>
      </w:r>
      <w:r>
        <w:rPr>
          <w:rFonts w:hint="eastAsia" w:ascii="宋体" w:hAnsi="宋体" w:cs="宋体"/>
          <w:spacing w:val="-27"/>
          <w:sz w:val="24"/>
          <w:szCs w:val="24"/>
        </w:rPr>
        <w:t xml:space="preserve"> </w:t>
      </w:r>
      <w:r>
        <w:rPr>
          <w:rFonts w:hint="eastAsia" w:ascii="宋体" w:hAnsi="宋体" w:cs="宋体"/>
          <w:spacing w:val="12"/>
          <w:sz w:val="24"/>
          <w:szCs w:val="24"/>
        </w:rPr>
        <w:t>(承包人名称)(以下称“承包人”)与</w:t>
      </w:r>
      <w:r>
        <w:rPr>
          <w:rFonts w:hint="eastAsia" w:ascii="宋体" w:hAnsi="宋体" w:cs="宋体"/>
          <w:spacing w:val="20"/>
          <w:sz w:val="24"/>
          <w:szCs w:val="24"/>
          <w:u w:val="single"/>
        </w:rPr>
        <w:t xml:space="preserve">     </w:t>
      </w:r>
      <w:r>
        <w:rPr>
          <w:rFonts w:hint="eastAsia" w:ascii="宋体" w:hAnsi="宋体" w:cs="宋体"/>
          <w:spacing w:val="-20"/>
          <w:sz w:val="24"/>
          <w:szCs w:val="24"/>
        </w:rPr>
        <w:t xml:space="preserve"> </w:t>
      </w:r>
      <w:r>
        <w:rPr>
          <w:rFonts w:hint="eastAsia" w:ascii="宋体" w:hAnsi="宋体" w:cs="宋体"/>
          <w:spacing w:val="12"/>
          <w:sz w:val="24"/>
          <w:szCs w:val="24"/>
        </w:rPr>
        <w:t>(发包人名称)(以</w:t>
      </w:r>
      <w:r>
        <w:rPr>
          <w:rFonts w:hint="eastAsia" w:ascii="宋体" w:hAnsi="宋体" w:cs="宋体"/>
          <w:sz w:val="24"/>
          <w:szCs w:val="24"/>
        </w:rPr>
        <w:t xml:space="preserve"> </w:t>
      </w:r>
      <w:r>
        <w:rPr>
          <w:rFonts w:hint="eastAsia" w:ascii="宋体" w:hAnsi="宋体" w:cs="宋体"/>
          <w:spacing w:val="-2"/>
          <w:sz w:val="24"/>
          <w:szCs w:val="24"/>
        </w:rPr>
        <w:t>下简称“发包人”)于</w:t>
      </w:r>
      <w:r>
        <w:rPr>
          <w:rFonts w:hint="eastAsia" w:ascii="宋体" w:hAnsi="宋体" w:cs="宋体"/>
          <w:spacing w:val="-2"/>
          <w:sz w:val="24"/>
          <w:szCs w:val="24"/>
          <w:u w:val="single"/>
        </w:rPr>
        <w:t xml:space="preserve">      </w:t>
      </w:r>
      <w:r>
        <w:rPr>
          <w:rFonts w:hint="eastAsia" w:ascii="宋体" w:hAnsi="宋体" w:cs="宋体"/>
          <w:spacing w:val="-110"/>
          <w:sz w:val="24"/>
          <w:szCs w:val="24"/>
        </w:rPr>
        <w:t xml:space="preserve"> </w:t>
      </w:r>
      <w:r>
        <w:rPr>
          <w:rFonts w:hint="eastAsia" w:ascii="宋体" w:hAnsi="宋体" w:cs="宋体"/>
          <w:spacing w:val="-2"/>
          <w:sz w:val="24"/>
          <w:szCs w:val="24"/>
        </w:rPr>
        <w:t>年</w:t>
      </w:r>
      <w:r>
        <w:rPr>
          <w:rFonts w:hint="eastAsia" w:ascii="宋体" w:hAnsi="宋体" w:cs="宋体"/>
          <w:spacing w:val="-2"/>
          <w:sz w:val="24"/>
          <w:szCs w:val="24"/>
          <w:u w:val="single"/>
        </w:rPr>
        <w:t xml:space="preserve">    </w:t>
      </w:r>
      <w:r>
        <w:rPr>
          <w:rFonts w:hint="eastAsia" w:ascii="宋体" w:hAnsi="宋体" w:cs="宋体"/>
          <w:spacing w:val="-2"/>
          <w:sz w:val="24"/>
          <w:szCs w:val="24"/>
        </w:rPr>
        <w:t>月</w:t>
      </w:r>
      <w:r>
        <w:rPr>
          <w:rFonts w:hint="eastAsia" w:ascii="宋体" w:hAnsi="宋体" w:cs="宋体"/>
          <w:spacing w:val="-2"/>
          <w:sz w:val="24"/>
          <w:szCs w:val="24"/>
          <w:u w:val="single"/>
        </w:rPr>
        <w:t xml:space="preserve">     </w:t>
      </w:r>
      <w:r>
        <w:rPr>
          <w:rFonts w:hint="eastAsia" w:ascii="宋体" w:hAnsi="宋体" w:cs="宋体"/>
          <w:spacing w:val="-2"/>
          <w:sz w:val="24"/>
          <w:szCs w:val="24"/>
        </w:rPr>
        <w:t>日签订的</w:t>
      </w:r>
      <w:r>
        <w:rPr>
          <w:rFonts w:hint="eastAsia" w:ascii="宋体" w:hAnsi="宋体" w:cs="宋体"/>
          <w:spacing w:val="-2"/>
          <w:sz w:val="24"/>
          <w:szCs w:val="24"/>
          <w:u w:val="single"/>
        </w:rPr>
        <w:t xml:space="preserve">        </w:t>
      </w:r>
      <w:r>
        <w:rPr>
          <w:rFonts w:hint="eastAsia" w:ascii="宋体" w:hAnsi="宋体" w:cs="宋体"/>
          <w:spacing w:val="-2"/>
          <w:sz w:val="24"/>
          <w:szCs w:val="24"/>
        </w:rPr>
        <w:t xml:space="preserve"> (项目名称)</w:t>
      </w:r>
      <w:r>
        <w:rPr>
          <w:rFonts w:hint="eastAsia" w:ascii="宋体" w:hAnsi="宋体" w:cs="宋体"/>
          <w:spacing w:val="-103"/>
          <w:sz w:val="24"/>
          <w:szCs w:val="24"/>
        </w:rPr>
        <w:t xml:space="preserve"> </w:t>
      </w:r>
      <w:r>
        <w:rPr>
          <w:rFonts w:hint="eastAsia" w:ascii="宋体" w:hAnsi="宋体" w:cs="宋体"/>
          <w:spacing w:val="17"/>
          <w:sz w:val="24"/>
          <w:szCs w:val="24"/>
          <w:u w:val="single"/>
        </w:rPr>
        <w:t xml:space="preserve">    </w:t>
      </w:r>
      <w:r>
        <w:rPr>
          <w:rFonts w:hint="eastAsia" w:ascii="宋体" w:hAnsi="宋体" w:cs="宋体"/>
          <w:spacing w:val="-119"/>
          <w:sz w:val="24"/>
          <w:szCs w:val="24"/>
        </w:rPr>
        <w:t xml:space="preserve"> </w:t>
      </w:r>
      <w:r>
        <w:rPr>
          <w:rFonts w:hint="eastAsia" w:ascii="宋体" w:hAnsi="宋体" w:cs="宋体"/>
          <w:spacing w:val="-2"/>
          <w:position w:val="3"/>
          <w:sz w:val="24"/>
          <w:szCs w:val="24"/>
        </w:rPr>
        <w:t>施工</w:t>
      </w:r>
      <w:r>
        <w:rPr>
          <w:rFonts w:hint="eastAsia" w:ascii="宋体" w:hAnsi="宋体" w:cs="宋体"/>
          <w:position w:val="3"/>
          <w:sz w:val="24"/>
          <w:szCs w:val="24"/>
        </w:rPr>
        <w:t xml:space="preserve"> </w:t>
      </w:r>
      <w:r>
        <w:rPr>
          <w:rFonts w:hint="eastAsia" w:ascii="宋体" w:hAnsi="宋体" w:cs="宋体"/>
          <w:spacing w:val="-2"/>
          <w:sz w:val="24"/>
          <w:szCs w:val="24"/>
        </w:rPr>
        <w:t>承包合同，承包人按约定的金额向发包人提交一份预付款担保，即有权得到</w:t>
      </w:r>
      <w:r>
        <w:rPr>
          <w:rFonts w:hint="eastAsia" w:ascii="宋体" w:hAnsi="宋体" w:cs="宋体"/>
          <w:spacing w:val="-3"/>
          <w:sz w:val="24"/>
          <w:szCs w:val="24"/>
        </w:rPr>
        <w:t>发包人支</w:t>
      </w:r>
      <w:r>
        <w:rPr>
          <w:rFonts w:hint="eastAsia" w:ascii="宋体" w:hAnsi="宋体" w:cs="宋体"/>
          <w:spacing w:val="-1"/>
          <w:sz w:val="24"/>
          <w:szCs w:val="24"/>
        </w:rPr>
        <w:t>付相等金额的预付款。我方愿意就你方提供给</w:t>
      </w:r>
      <w:r>
        <w:rPr>
          <w:rFonts w:hint="eastAsia" w:ascii="宋体" w:hAnsi="宋体" w:cs="宋体"/>
          <w:spacing w:val="-2"/>
          <w:sz w:val="24"/>
          <w:szCs w:val="24"/>
        </w:rPr>
        <w:t>承包人的预付款提供担保。</w:t>
      </w:r>
    </w:p>
    <w:p w14:paraId="1CE1786D">
      <w:pPr>
        <w:numPr>
          <w:ilvl w:val="0"/>
          <w:numId w:val="16"/>
        </w:numPr>
        <w:spacing w:line="360" w:lineRule="auto"/>
        <w:ind w:firstLine="488" w:firstLineChars="200"/>
        <w:rPr>
          <w:rFonts w:hint="eastAsia" w:ascii="宋体" w:hAnsi="宋体" w:cs="宋体"/>
          <w:spacing w:val="2"/>
          <w:sz w:val="24"/>
          <w:szCs w:val="24"/>
        </w:rPr>
      </w:pPr>
      <w:r>
        <w:rPr>
          <w:rFonts w:hint="eastAsia" w:ascii="宋体" w:hAnsi="宋体" w:cs="宋体"/>
          <w:spacing w:val="2"/>
          <w:sz w:val="24"/>
          <w:szCs w:val="24"/>
        </w:rPr>
        <w:t>担保金额人民币(大写)</w:t>
      </w:r>
      <w:r>
        <w:rPr>
          <w:rFonts w:hint="eastAsia" w:ascii="宋体" w:hAnsi="宋体" w:cs="宋体"/>
          <w:spacing w:val="-69"/>
          <w:sz w:val="24"/>
          <w:szCs w:val="24"/>
        </w:rPr>
        <w:t xml:space="preserve"> </w:t>
      </w:r>
      <w:r>
        <w:rPr>
          <w:rFonts w:hint="eastAsia" w:ascii="宋体" w:hAnsi="宋体" w:cs="宋体"/>
          <w:spacing w:val="1"/>
          <w:sz w:val="24"/>
          <w:szCs w:val="24"/>
          <w:u w:val="single"/>
        </w:rPr>
        <w:t xml:space="preserve">      </w:t>
      </w:r>
      <w:r>
        <w:rPr>
          <w:rFonts w:hint="eastAsia" w:ascii="宋体" w:hAnsi="宋体" w:cs="宋体"/>
          <w:spacing w:val="-106"/>
          <w:sz w:val="24"/>
          <w:szCs w:val="24"/>
        </w:rPr>
        <w:t xml:space="preserve"> </w:t>
      </w:r>
      <w:r>
        <w:rPr>
          <w:rFonts w:hint="eastAsia" w:ascii="宋体" w:hAnsi="宋体" w:cs="宋体"/>
          <w:spacing w:val="2"/>
          <w:sz w:val="24"/>
          <w:szCs w:val="24"/>
        </w:rPr>
        <w:t>元 (</w:t>
      </w:r>
      <w:r>
        <w:rPr>
          <w:rFonts w:hint="eastAsia" w:ascii="宋体" w:hAnsi="宋体" w:cs="宋体"/>
          <w:spacing w:val="-54"/>
          <w:sz w:val="24"/>
          <w:szCs w:val="24"/>
        </w:rPr>
        <w:t xml:space="preserve"> </w:t>
      </w:r>
      <w:r>
        <w:rPr>
          <w:rFonts w:hint="eastAsia" w:ascii="宋体" w:hAnsi="宋体" w:cs="宋体"/>
          <w:spacing w:val="2"/>
          <w:sz w:val="24"/>
          <w:szCs w:val="24"/>
        </w:rPr>
        <w:t>¥</w:t>
      </w:r>
      <w:r>
        <w:rPr>
          <w:rFonts w:hint="eastAsia" w:ascii="宋体" w:hAnsi="宋体" w:cs="宋体"/>
          <w:sz w:val="24"/>
          <w:szCs w:val="24"/>
          <w:u w:val="single"/>
        </w:rPr>
        <w:t xml:space="preserve">      </w:t>
      </w:r>
      <w:r>
        <w:rPr>
          <w:rFonts w:hint="eastAsia" w:ascii="宋体" w:hAnsi="宋体" w:cs="宋体"/>
          <w:spacing w:val="2"/>
          <w:sz w:val="24"/>
          <w:szCs w:val="24"/>
        </w:rPr>
        <w:t>)。</w:t>
      </w:r>
    </w:p>
    <w:p w14:paraId="12531B21">
      <w:pPr>
        <w:numPr>
          <w:ilvl w:val="0"/>
          <w:numId w:val="16"/>
        </w:numPr>
        <w:spacing w:line="360" w:lineRule="auto"/>
        <w:ind w:firstLine="480" w:firstLineChars="200"/>
        <w:rPr>
          <w:rFonts w:hint="eastAsia"/>
          <w:sz w:val="24"/>
          <w:szCs w:val="28"/>
        </w:rPr>
      </w:pPr>
      <w:r>
        <w:rPr>
          <w:rFonts w:hint="eastAsia"/>
          <w:sz w:val="24"/>
          <w:szCs w:val="28"/>
        </w:rPr>
        <w:t>担保有效期自预付款支付给承包人起生效，至发包人签发的进度付款证书说明已完全扣清止。</w:t>
      </w:r>
    </w:p>
    <w:p w14:paraId="22B0A380">
      <w:pPr>
        <w:spacing w:line="360" w:lineRule="auto"/>
        <w:ind w:right="1" w:firstLine="472" w:firstLineChars="200"/>
        <w:rPr>
          <w:rFonts w:hint="eastAsia" w:ascii="宋体" w:hAnsi="宋体" w:cs="宋体"/>
          <w:spacing w:val="-3"/>
          <w:sz w:val="24"/>
          <w:szCs w:val="24"/>
        </w:rPr>
      </w:pPr>
      <w:r>
        <w:rPr>
          <w:rFonts w:hint="eastAsia" w:ascii="宋体" w:hAnsi="宋体" w:cs="宋体"/>
          <w:spacing w:val="-2"/>
          <w:sz w:val="24"/>
          <w:szCs w:val="24"/>
        </w:rPr>
        <w:t>3.在本保函有效期内，因承包人违反合同约定的义务而要</w:t>
      </w:r>
      <w:r>
        <w:rPr>
          <w:rFonts w:hint="eastAsia" w:ascii="宋体" w:hAnsi="宋体" w:cs="宋体"/>
          <w:spacing w:val="-3"/>
          <w:sz w:val="24"/>
          <w:szCs w:val="24"/>
        </w:rPr>
        <w:t>求收回预付款时，我方</w:t>
      </w:r>
      <w:r>
        <w:rPr>
          <w:rFonts w:hint="eastAsia" w:ascii="宋体" w:hAnsi="宋体" w:cs="宋体"/>
          <w:sz w:val="24"/>
          <w:szCs w:val="24"/>
        </w:rPr>
        <w:t xml:space="preserve"> </w:t>
      </w:r>
      <w:r>
        <w:rPr>
          <w:rFonts w:hint="eastAsia" w:ascii="宋体" w:hAnsi="宋体" w:cs="宋体"/>
          <w:spacing w:val="1"/>
          <w:sz w:val="24"/>
          <w:szCs w:val="24"/>
        </w:rPr>
        <w:t>在收到你方的书面通知后，在7天内无条件支付，无须你方出具证</w:t>
      </w:r>
      <w:r>
        <w:rPr>
          <w:rFonts w:hint="eastAsia" w:ascii="宋体" w:hAnsi="宋体" w:cs="宋体"/>
          <w:sz w:val="24"/>
          <w:szCs w:val="24"/>
        </w:rPr>
        <w:t xml:space="preserve">明或陈述理由。但 </w:t>
      </w:r>
      <w:r>
        <w:rPr>
          <w:rFonts w:hint="eastAsia" w:ascii="宋体" w:hAnsi="宋体" w:cs="宋体"/>
          <w:spacing w:val="-2"/>
          <w:sz w:val="24"/>
          <w:szCs w:val="24"/>
        </w:rPr>
        <w:t>本保函的担保金额，在任何时候不应超过预付款</w:t>
      </w:r>
      <w:r>
        <w:rPr>
          <w:rFonts w:hint="eastAsia" w:ascii="宋体" w:hAnsi="宋体" w:cs="宋体"/>
          <w:spacing w:val="-3"/>
          <w:sz w:val="24"/>
          <w:szCs w:val="24"/>
        </w:rPr>
        <w:t>金额减去发包人按合同约定在向承包人签发的进度付款证书中扣除的金额。</w:t>
      </w:r>
    </w:p>
    <w:p w14:paraId="21FF6915">
      <w:pPr>
        <w:spacing w:line="360" w:lineRule="auto"/>
        <w:ind w:right="1" w:firstLine="496" w:firstLineChars="200"/>
        <w:rPr>
          <w:rFonts w:hint="eastAsia" w:ascii="宋体" w:hAnsi="宋体" w:cs="宋体"/>
          <w:sz w:val="24"/>
          <w:szCs w:val="24"/>
        </w:rPr>
      </w:pPr>
      <w:r>
        <w:rPr>
          <w:rFonts w:hint="eastAsia" w:ascii="宋体" w:hAnsi="宋体" w:cs="宋体"/>
          <w:spacing w:val="4"/>
          <w:position w:val="17"/>
          <w:sz w:val="24"/>
          <w:szCs w:val="24"/>
        </w:rPr>
        <w:t>4.发包人和承包人按合同条款第15条变更合同时，我方承担本保函规</w:t>
      </w:r>
      <w:r>
        <w:rPr>
          <w:rFonts w:hint="eastAsia" w:ascii="宋体" w:hAnsi="宋体" w:cs="宋体"/>
          <w:spacing w:val="3"/>
          <w:position w:val="17"/>
          <w:sz w:val="24"/>
          <w:szCs w:val="24"/>
        </w:rPr>
        <w:t>定的义务</w:t>
      </w:r>
    </w:p>
    <w:p w14:paraId="26EFC8D1">
      <w:pPr>
        <w:spacing w:line="360" w:lineRule="auto"/>
        <w:rPr>
          <w:rFonts w:hint="eastAsia" w:ascii="宋体" w:hAnsi="宋体" w:cs="宋体"/>
        </w:rPr>
      </w:pPr>
      <w:r>
        <w:rPr>
          <w:rFonts w:hint="eastAsia" w:ascii="宋体" w:hAnsi="宋体" w:cs="宋体"/>
          <w:spacing w:val="-11"/>
          <w:sz w:val="24"/>
          <w:szCs w:val="24"/>
        </w:rPr>
        <w:t>不变。</w:t>
      </w:r>
    </w:p>
    <w:p w14:paraId="47BF0DFC">
      <w:pPr>
        <w:spacing w:after="120" w:line="279" w:lineRule="auto"/>
        <w:rPr>
          <w:rFonts w:hint="eastAsia" w:ascii="宋体" w:hAnsi="宋体" w:cs="宋体"/>
          <w:kern w:val="0"/>
          <w:sz w:val="20"/>
          <w:szCs w:val="20"/>
        </w:rPr>
      </w:pPr>
    </w:p>
    <w:p w14:paraId="5B060FBD">
      <w:pPr>
        <w:spacing w:line="360" w:lineRule="auto"/>
        <w:ind w:firstLine="4294" w:firstLineChars="1900"/>
        <w:rPr>
          <w:rFonts w:ascii="宋体" w:hAnsi="宋体" w:cs="宋体"/>
          <w:sz w:val="24"/>
          <w:szCs w:val="24"/>
        </w:rPr>
      </w:pPr>
      <w:r>
        <w:rPr>
          <w:rFonts w:hint="eastAsia" w:ascii="宋体" w:hAnsi="宋体" w:cs="宋体"/>
          <w:spacing w:val="-7"/>
          <w:sz w:val="24"/>
          <w:szCs w:val="24"/>
        </w:rPr>
        <w:t>担</w:t>
      </w:r>
      <w:r>
        <w:rPr>
          <w:rFonts w:hint="eastAsia" w:ascii="宋体" w:hAnsi="宋体" w:cs="宋体"/>
          <w:spacing w:val="-20"/>
          <w:sz w:val="24"/>
          <w:szCs w:val="24"/>
        </w:rPr>
        <w:t xml:space="preserve"> </w:t>
      </w:r>
      <w:r>
        <w:rPr>
          <w:rFonts w:hint="eastAsia" w:ascii="宋体" w:hAnsi="宋体" w:cs="宋体"/>
          <w:spacing w:val="-7"/>
          <w:sz w:val="24"/>
          <w:szCs w:val="24"/>
        </w:rPr>
        <w:t>保 人</w:t>
      </w:r>
      <w:r>
        <w:rPr>
          <w:rFonts w:hint="eastAsia" w:ascii="宋体" w:hAnsi="宋体" w:cs="宋体"/>
          <w:spacing w:val="-32"/>
          <w:sz w:val="24"/>
          <w:szCs w:val="24"/>
        </w:rPr>
        <w:t xml:space="preserve"> </w:t>
      </w:r>
      <w:r>
        <w:rPr>
          <w:rFonts w:hint="eastAsia" w:ascii="宋体" w:hAnsi="宋体" w:cs="宋体"/>
          <w:spacing w:val="-7"/>
          <w:sz w:val="24"/>
          <w:szCs w:val="24"/>
        </w:rPr>
        <w:t>：</w:t>
      </w:r>
      <w:r>
        <w:rPr>
          <w:rFonts w:hint="eastAsia" w:ascii="宋体" w:hAnsi="宋体" w:cs="宋体"/>
          <w:spacing w:val="2"/>
          <w:sz w:val="24"/>
          <w:szCs w:val="24"/>
          <w:u w:val="single"/>
        </w:rPr>
        <w:t xml:space="preserve">                </w:t>
      </w:r>
      <w:r>
        <w:rPr>
          <w:rFonts w:hint="eastAsia" w:ascii="宋体" w:hAnsi="宋体" w:cs="宋体"/>
          <w:spacing w:val="4"/>
          <w:sz w:val="24"/>
          <w:szCs w:val="24"/>
        </w:rPr>
        <w:t xml:space="preserve"> </w:t>
      </w:r>
      <w:r>
        <w:rPr>
          <w:rFonts w:hint="eastAsia" w:ascii="宋体" w:hAnsi="宋体" w:cs="宋体"/>
          <w:spacing w:val="-7"/>
          <w:sz w:val="24"/>
          <w:szCs w:val="24"/>
        </w:rPr>
        <w:t>(盖单位章)</w:t>
      </w:r>
      <w:r>
        <w:rPr>
          <w:rFonts w:hint="eastAsia" w:ascii="宋体" w:hAnsi="宋体" w:cs="宋体"/>
          <w:sz w:val="24"/>
          <w:szCs w:val="24"/>
        </w:rPr>
        <w:t xml:space="preserve">  </w:t>
      </w:r>
    </w:p>
    <w:p w14:paraId="2C8A1207">
      <w:pPr>
        <w:spacing w:line="360" w:lineRule="auto"/>
        <w:ind w:firstLine="4276" w:firstLineChars="1944"/>
        <w:rPr>
          <w:rFonts w:ascii="宋体" w:hAnsi="宋体" w:cs="宋体"/>
          <w:sz w:val="24"/>
          <w:szCs w:val="24"/>
        </w:rPr>
      </w:pPr>
      <w:r>
        <w:rPr>
          <w:rFonts w:hint="eastAsia" w:ascii="宋体" w:hAnsi="宋体" w:cs="宋体"/>
          <w:spacing w:val="-10"/>
          <w:sz w:val="24"/>
          <w:szCs w:val="24"/>
        </w:rPr>
        <w:t>法定代表人或其委托代理人：</w:t>
      </w:r>
      <w:r>
        <w:rPr>
          <w:rFonts w:hint="eastAsia" w:ascii="宋体" w:hAnsi="宋体" w:cs="宋体"/>
          <w:spacing w:val="41"/>
          <w:sz w:val="24"/>
          <w:szCs w:val="24"/>
        </w:rPr>
        <w:t xml:space="preserve"> </w:t>
      </w:r>
      <w:r>
        <w:rPr>
          <w:rFonts w:hint="eastAsia" w:ascii="宋体" w:hAnsi="宋体" w:cs="宋体"/>
          <w:spacing w:val="10"/>
          <w:sz w:val="24"/>
          <w:szCs w:val="24"/>
          <w:u w:val="single"/>
        </w:rPr>
        <w:t xml:space="preserve">    </w:t>
      </w:r>
      <w:r>
        <w:rPr>
          <w:rFonts w:hint="eastAsia" w:ascii="宋体" w:hAnsi="宋体" w:cs="宋体"/>
          <w:spacing w:val="-10"/>
          <w:sz w:val="24"/>
          <w:szCs w:val="24"/>
        </w:rPr>
        <w:t xml:space="preserve"> (签字)</w:t>
      </w:r>
    </w:p>
    <w:p w14:paraId="261501CB">
      <w:pPr>
        <w:spacing w:line="360" w:lineRule="auto"/>
        <w:ind w:firstLine="4250" w:firstLineChars="1968"/>
        <w:rPr>
          <w:rFonts w:hint="eastAsia" w:ascii="宋体" w:hAnsi="宋体" w:cs="宋体"/>
          <w:sz w:val="24"/>
          <w:szCs w:val="24"/>
        </w:rPr>
      </w:pPr>
      <w:r>
        <w:rPr>
          <w:rFonts w:hint="eastAsia" w:ascii="宋体" w:hAnsi="宋体" w:cs="宋体"/>
          <w:spacing w:val="-12"/>
          <w:sz w:val="24"/>
          <w:szCs w:val="24"/>
        </w:rPr>
        <w:t>地   址：</w:t>
      </w:r>
      <w:r>
        <w:rPr>
          <w:rFonts w:hint="eastAsia" w:ascii="宋体" w:hAnsi="宋体" w:cs="宋体"/>
          <w:spacing w:val="5"/>
          <w:sz w:val="24"/>
          <w:szCs w:val="24"/>
          <w:u w:val="single"/>
        </w:rPr>
        <w:t xml:space="preserve">            </w:t>
      </w:r>
      <w:r>
        <w:rPr>
          <w:rFonts w:ascii="宋体" w:hAnsi="宋体" w:cs="宋体"/>
          <w:spacing w:val="5"/>
          <w:sz w:val="24"/>
          <w:szCs w:val="24"/>
          <w:u w:val="single"/>
        </w:rPr>
        <w:t xml:space="preserve">       </w:t>
      </w:r>
      <w:r>
        <w:rPr>
          <w:rFonts w:hint="eastAsia" w:ascii="宋体" w:hAnsi="宋体" w:cs="宋体"/>
          <w:spacing w:val="5"/>
          <w:sz w:val="24"/>
          <w:szCs w:val="24"/>
          <w:u w:val="single"/>
        </w:rPr>
        <w:t xml:space="preserve">    </w:t>
      </w:r>
      <w:r>
        <w:rPr>
          <w:rFonts w:hint="eastAsia" w:ascii="宋体" w:hAnsi="宋体" w:cs="宋体"/>
          <w:spacing w:val="-12"/>
          <w:sz w:val="24"/>
          <w:szCs w:val="24"/>
        </w:rPr>
        <w:t xml:space="preserve">  </w:t>
      </w:r>
    </w:p>
    <w:p w14:paraId="521D8FFB">
      <w:pPr>
        <w:spacing w:line="360" w:lineRule="auto"/>
        <w:ind w:firstLine="4250" w:firstLineChars="1968"/>
        <w:rPr>
          <w:rFonts w:hint="eastAsia" w:ascii="宋体" w:hAnsi="宋体" w:cs="宋体"/>
          <w:spacing w:val="-12"/>
          <w:sz w:val="24"/>
          <w:szCs w:val="24"/>
        </w:rPr>
      </w:pPr>
      <w:r>
        <w:rPr>
          <w:rFonts w:hint="eastAsia" w:ascii="宋体" w:hAnsi="宋体" w:cs="宋体"/>
          <w:spacing w:val="-12"/>
          <w:sz w:val="24"/>
          <w:szCs w:val="24"/>
        </w:rPr>
        <w:t>邮政编码：</w:t>
      </w:r>
      <w:r>
        <w:rPr>
          <w:rFonts w:hint="eastAsia" w:ascii="宋体" w:hAnsi="宋体" w:cs="宋体"/>
          <w:spacing w:val="5"/>
          <w:sz w:val="24"/>
          <w:szCs w:val="24"/>
          <w:u w:val="single"/>
        </w:rPr>
        <w:t xml:space="preserve">            </w:t>
      </w:r>
      <w:r>
        <w:rPr>
          <w:rFonts w:ascii="宋体" w:hAnsi="宋体" w:cs="宋体"/>
          <w:spacing w:val="5"/>
          <w:sz w:val="24"/>
          <w:szCs w:val="24"/>
          <w:u w:val="single"/>
        </w:rPr>
        <w:t xml:space="preserve">      </w:t>
      </w:r>
      <w:r>
        <w:rPr>
          <w:rFonts w:hint="eastAsia" w:ascii="宋体" w:hAnsi="宋体" w:cs="宋体"/>
          <w:spacing w:val="5"/>
          <w:sz w:val="24"/>
          <w:szCs w:val="24"/>
          <w:u w:val="single"/>
        </w:rPr>
        <w:t xml:space="preserve">    </w:t>
      </w:r>
      <w:r>
        <w:rPr>
          <w:rFonts w:hint="eastAsia" w:ascii="宋体" w:hAnsi="宋体" w:cs="宋体"/>
          <w:spacing w:val="-12"/>
          <w:sz w:val="24"/>
          <w:szCs w:val="24"/>
        </w:rPr>
        <w:t xml:space="preserve">                            </w:t>
      </w:r>
      <w:r>
        <w:rPr>
          <w:rFonts w:hint="eastAsia" w:cs="宋体"/>
          <w:spacing w:val="-12"/>
          <w:sz w:val="24"/>
          <w:szCs w:val="24"/>
          <w:lang w:val="en-US" w:eastAsia="zh-CN"/>
        </w:rPr>
        <w:t xml:space="preserve">                          </w:t>
      </w:r>
      <w:r>
        <w:rPr>
          <w:rFonts w:hint="eastAsia" w:ascii="宋体" w:hAnsi="宋体" w:cs="宋体"/>
          <w:spacing w:val="-12"/>
          <w:sz w:val="24"/>
          <w:szCs w:val="24"/>
        </w:rPr>
        <w:t xml:space="preserve"> 电   话：</w:t>
      </w:r>
      <w:r>
        <w:rPr>
          <w:rFonts w:hint="eastAsia" w:ascii="宋体" w:hAnsi="宋体" w:cs="宋体"/>
          <w:spacing w:val="5"/>
          <w:sz w:val="24"/>
          <w:szCs w:val="24"/>
          <w:u w:val="single"/>
        </w:rPr>
        <w:t xml:space="preserve">            </w:t>
      </w:r>
      <w:r>
        <w:rPr>
          <w:rFonts w:ascii="宋体" w:hAnsi="宋体" w:cs="宋体"/>
          <w:spacing w:val="5"/>
          <w:sz w:val="24"/>
          <w:szCs w:val="24"/>
          <w:u w:val="single"/>
        </w:rPr>
        <w:t xml:space="preserve">       </w:t>
      </w:r>
      <w:r>
        <w:rPr>
          <w:rFonts w:hint="eastAsia" w:ascii="宋体" w:hAnsi="宋体" w:cs="宋体"/>
          <w:spacing w:val="5"/>
          <w:sz w:val="24"/>
          <w:szCs w:val="24"/>
          <w:u w:val="single"/>
        </w:rPr>
        <w:t xml:space="preserve">    </w:t>
      </w:r>
      <w:r>
        <w:rPr>
          <w:rFonts w:hint="eastAsia" w:ascii="宋体" w:hAnsi="宋体" w:cs="宋体"/>
          <w:spacing w:val="-12"/>
          <w:sz w:val="24"/>
          <w:szCs w:val="24"/>
        </w:rPr>
        <w:t xml:space="preserve">         </w:t>
      </w:r>
    </w:p>
    <w:p w14:paraId="71DE79D5">
      <w:pPr>
        <w:tabs>
          <w:tab w:val="left" w:pos="9369"/>
        </w:tabs>
        <w:spacing w:line="360" w:lineRule="auto"/>
        <w:ind w:right="263" w:firstLine="4320" w:firstLineChars="2000"/>
        <w:rPr>
          <w:rFonts w:hint="eastAsia" w:ascii="宋体" w:hAnsi="宋体" w:cs="宋体"/>
        </w:rPr>
      </w:pPr>
      <w:r>
        <w:rPr>
          <w:rFonts w:hint="eastAsia" w:ascii="宋体" w:hAnsi="宋体" w:cs="宋体"/>
          <w:spacing w:val="-12"/>
          <w:sz w:val="24"/>
          <w:szCs w:val="24"/>
        </w:rPr>
        <w:t>传   真：</w:t>
      </w:r>
      <w:r>
        <w:rPr>
          <w:rFonts w:hint="eastAsia" w:ascii="宋体" w:hAnsi="宋体" w:cs="宋体"/>
          <w:spacing w:val="5"/>
          <w:sz w:val="24"/>
          <w:szCs w:val="24"/>
          <w:u w:val="single"/>
        </w:rPr>
        <w:t xml:space="preserve">            </w:t>
      </w:r>
      <w:r>
        <w:rPr>
          <w:rFonts w:ascii="宋体" w:hAnsi="宋体" w:cs="宋体"/>
          <w:spacing w:val="5"/>
          <w:sz w:val="24"/>
          <w:szCs w:val="24"/>
          <w:u w:val="single"/>
        </w:rPr>
        <w:t xml:space="preserve">       </w:t>
      </w:r>
      <w:r>
        <w:rPr>
          <w:rFonts w:hint="eastAsia" w:ascii="宋体" w:hAnsi="宋体" w:cs="宋体"/>
          <w:spacing w:val="5"/>
          <w:sz w:val="24"/>
          <w:szCs w:val="24"/>
          <w:u w:val="single"/>
        </w:rPr>
        <w:t xml:space="preserve">    </w:t>
      </w:r>
      <w:r>
        <w:rPr>
          <w:rFonts w:hint="eastAsia" w:ascii="宋体" w:hAnsi="宋体" w:cs="宋体"/>
          <w:sz w:val="24"/>
          <w:szCs w:val="24"/>
          <w:u w:val="single"/>
        </w:rPr>
        <w:t xml:space="preserve"> </w:t>
      </w:r>
    </w:p>
    <w:p w14:paraId="3E85277B">
      <w:pPr>
        <w:tabs>
          <w:tab w:val="left" w:pos="6579"/>
        </w:tabs>
        <w:spacing w:before="79" w:line="219" w:lineRule="auto"/>
        <w:ind w:left="5849"/>
        <w:rPr>
          <w:rFonts w:hint="eastAsia" w:ascii="宋体" w:hAnsi="宋体" w:cs="宋体"/>
          <w:sz w:val="20"/>
          <w:szCs w:val="20"/>
        </w:rPr>
      </w:pPr>
      <w:r>
        <w:rPr>
          <w:rFonts w:hint="eastAsia" w:ascii="宋体" w:hAnsi="宋体" w:cs="宋体"/>
          <w:sz w:val="24"/>
          <w:szCs w:val="24"/>
          <w:u w:val="single"/>
        </w:rPr>
        <w:tab/>
      </w:r>
      <w:r>
        <w:rPr>
          <w:rFonts w:hint="eastAsia" w:ascii="宋体" w:hAnsi="宋体" w:cs="宋体"/>
          <w:spacing w:val="-99"/>
          <w:sz w:val="24"/>
          <w:szCs w:val="24"/>
        </w:rPr>
        <w:t xml:space="preserve"> </w:t>
      </w:r>
      <w:r>
        <w:rPr>
          <w:rFonts w:hint="eastAsia" w:ascii="宋体" w:hAnsi="宋体" w:cs="宋体"/>
          <w:spacing w:val="-9"/>
          <w:sz w:val="24"/>
          <w:szCs w:val="24"/>
        </w:rPr>
        <w:t>年</w:t>
      </w:r>
      <w:r>
        <w:rPr>
          <w:rFonts w:hint="eastAsia" w:ascii="宋体" w:hAnsi="宋体" w:cs="宋体"/>
          <w:spacing w:val="2"/>
          <w:sz w:val="24"/>
          <w:szCs w:val="24"/>
          <w:u w:val="single"/>
        </w:rPr>
        <w:t xml:space="preserve">    </w:t>
      </w:r>
      <w:r>
        <w:rPr>
          <w:rFonts w:hint="eastAsia" w:ascii="宋体" w:hAnsi="宋体" w:cs="宋体"/>
          <w:spacing w:val="-9"/>
          <w:sz w:val="24"/>
          <w:szCs w:val="24"/>
        </w:rPr>
        <w:t>月</w:t>
      </w:r>
      <w:r>
        <w:rPr>
          <w:rFonts w:hint="eastAsia" w:ascii="宋体" w:hAnsi="宋体" w:cs="宋体"/>
          <w:spacing w:val="6"/>
          <w:sz w:val="24"/>
          <w:szCs w:val="24"/>
          <w:u w:val="single"/>
        </w:rPr>
        <w:t xml:space="preserve">    </w:t>
      </w:r>
      <w:r>
        <w:rPr>
          <w:rFonts w:hint="eastAsia" w:ascii="宋体" w:hAnsi="宋体" w:cs="宋体"/>
          <w:spacing w:val="-9"/>
          <w:position w:val="2"/>
          <w:sz w:val="20"/>
          <w:szCs w:val="20"/>
        </w:rPr>
        <w:t>日</w:t>
      </w:r>
    </w:p>
    <w:p w14:paraId="443EA19A">
      <w:pPr>
        <w:spacing w:line="219" w:lineRule="auto"/>
        <w:rPr>
          <w:rFonts w:hint="eastAsia" w:ascii="宋体" w:hAnsi="宋体" w:cs="宋体"/>
          <w:sz w:val="20"/>
          <w:szCs w:val="20"/>
        </w:rPr>
        <w:sectPr>
          <w:footerReference r:id="rId6" w:type="default"/>
          <w:pgSz w:w="11910" w:h="16840"/>
          <w:pgMar w:top="1361" w:right="1417" w:bottom="1361" w:left="1417" w:header="850" w:footer="850" w:gutter="0"/>
          <w:pgNumType w:fmt="decimal"/>
          <w:cols w:space="720" w:num="1"/>
        </w:sectPr>
      </w:pPr>
    </w:p>
    <w:p w14:paraId="370538FA">
      <w:pPr>
        <w:spacing w:before="106" w:line="219" w:lineRule="auto"/>
        <w:rPr>
          <w:rFonts w:hint="eastAsia" w:ascii="宋体" w:hAnsi="宋体" w:cs="宋体"/>
          <w:b/>
          <w:bCs w:val="0"/>
          <w:sz w:val="23"/>
          <w:szCs w:val="23"/>
        </w:rPr>
      </w:pPr>
      <w:r>
        <w:rPr>
          <w:rFonts w:hint="eastAsia" w:ascii="宋体" w:hAnsi="宋体" w:cs="宋体"/>
          <w:b/>
          <w:bCs w:val="0"/>
          <w:spacing w:val="15"/>
          <w:sz w:val="23"/>
          <w:szCs w:val="23"/>
        </w:rPr>
        <w:t>附件九</w:t>
      </w:r>
      <w:r>
        <w:rPr>
          <w:rFonts w:hint="eastAsia" w:ascii="宋体" w:hAnsi="宋体" w:cs="宋体"/>
          <w:b/>
          <w:bCs w:val="0"/>
          <w:spacing w:val="26"/>
          <w:sz w:val="23"/>
          <w:szCs w:val="23"/>
        </w:rPr>
        <w:t xml:space="preserve">  </w:t>
      </w:r>
      <w:r>
        <w:rPr>
          <w:rFonts w:hint="eastAsia" w:ascii="宋体" w:hAnsi="宋体" w:cs="宋体"/>
          <w:b/>
          <w:bCs w:val="0"/>
          <w:spacing w:val="15"/>
          <w:sz w:val="23"/>
          <w:szCs w:val="23"/>
        </w:rPr>
        <w:t>工程资金监管协议格式</w:t>
      </w:r>
    </w:p>
    <w:p w14:paraId="6A1AB983">
      <w:pPr>
        <w:wordWrap/>
        <w:spacing w:before="197" w:line="470" w:lineRule="exact"/>
        <w:ind w:right="9"/>
        <w:jc w:val="left"/>
        <w:rPr>
          <w:rFonts w:hint="eastAsia" w:ascii="宋体" w:hAnsi="宋体" w:cs="宋体"/>
          <w:sz w:val="23"/>
          <w:szCs w:val="23"/>
        </w:rPr>
      </w:pPr>
      <w:r>
        <w:rPr>
          <w:rFonts w:hint="eastAsia" w:ascii="宋体" w:hAnsi="宋体" w:cs="宋体"/>
          <w:spacing w:val="14"/>
          <w:position w:val="18"/>
          <w:sz w:val="23"/>
          <w:szCs w:val="23"/>
        </w:rPr>
        <w:t>(发包人与承包人签订合同协议书时应与发包人制订的</w:t>
      </w:r>
      <w:r>
        <w:rPr>
          <w:rFonts w:hint="eastAsia" w:ascii="宋体" w:hAnsi="宋体" w:cs="宋体"/>
          <w:spacing w:val="13"/>
          <w:position w:val="18"/>
          <w:sz w:val="23"/>
          <w:szCs w:val="23"/>
        </w:rPr>
        <w:t>银行签署工程资金监管</w:t>
      </w:r>
    </w:p>
    <w:p w14:paraId="56E9E758">
      <w:pPr>
        <w:wordWrap/>
        <w:spacing w:line="218" w:lineRule="auto"/>
        <w:ind w:right="2"/>
        <w:jc w:val="left"/>
        <w:rPr>
          <w:rFonts w:hint="eastAsia" w:ascii="宋体" w:hAnsi="宋体" w:cs="宋体"/>
          <w:sz w:val="23"/>
          <w:szCs w:val="23"/>
        </w:rPr>
      </w:pPr>
      <w:r>
        <w:rPr>
          <w:rFonts w:hint="eastAsia" w:ascii="宋体" w:hAnsi="宋体" w:cs="宋体"/>
          <w:spacing w:val="11"/>
          <w:sz w:val="23"/>
          <w:szCs w:val="23"/>
        </w:rPr>
        <w:t>协议，工程资金监管协议内容在保证本项目资金有效监</w:t>
      </w:r>
      <w:r>
        <w:rPr>
          <w:rFonts w:hint="eastAsia" w:ascii="宋体" w:hAnsi="宋体" w:cs="宋体"/>
          <w:spacing w:val="10"/>
          <w:sz w:val="23"/>
          <w:szCs w:val="23"/>
        </w:rPr>
        <w:t>管的前提下由三方共同商定)</w:t>
      </w:r>
    </w:p>
    <w:p w14:paraId="22E3C484">
      <w:pPr>
        <w:keepNext w:val="0"/>
        <w:keepLines w:val="0"/>
        <w:pageBreakBefore w:val="0"/>
        <w:widowControl w:val="0"/>
        <w:kinsoku/>
        <w:wordWrap w:val="0"/>
        <w:overflowPunct/>
        <w:topLinePunct/>
        <w:autoSpaceDE/>
        <w:autoSpaceDN/>
        <w:bidi w:val="0"/>
        <w:adjustRightInd/>
        <w:snapToGrid/>
        <w:spacing w:after="120" w:line="351" w:lineRule="auto"/>
        <w:ind w:left="0"/>
        <w:textAlignment w:val="auto"/>
        <w:rPr>
          <w:rFonts w:hint="eastAsia" w:ascii="宋体" w:hAnsi="宋体" w:cs="宋体"/>
          <w:kern w:val="0"/>
          <w:sz w:val="20"/>
          <w:szCs w:val="20"/>
        </w:rPr>
      </w:pPr>
    </w:p>
    <w:p w14:paraId="0CD51AE1">
      <w:pPr>
        <w:keepNext w:val="0"/>
        <w:keepLines w:val="0"/>
        <w:pageBreakBefore w:val="0"/>
        <w:widowControl w:val="0"/>
        <w:kinsoku/>
        <w:wordWrap w:val="0"/>
        <w:overflowPunct/>
        <w:topLinePunct/>
        <w:autoSpaceDE/>
        <w:autoSpaceDN/>
        <w:bidi w:val="0"/>
        <w:adjustRightInd/>
        <w:snapToGrid/>
        <w:spacing w:before="75" w:line="219" w:lineRule="auto"/>
        <w:ind w:left="0"/>
        <w:jc w:val="center"/>
        <w:textAlignment w:val="auto"/>
        <w:rPr>
          <w:rFonts w:hint="eastAsia" w:ascii="宋体" w:hAnsi="宋体" w:cs="宋体"/>
          <w:sz w:val="23"/>
          <w:szCs w:val="23"/>
        </w:rPr>
      </w:pPr>
      <w:r>
        <w:rPr>
          <w:rFonts w:hint="eastAsia" w:ascii="宋体" w:hAnsi="宋体" w:cs="宋体"/>
          <w:spacing w:val="11"/>
          <w:sz w:val="23"/>
          <w:szCs w:val="23"/>
        </w:rPr>
        <w:t>工程资金监管协议</w:t>
      </w:r>
    </w:p>
    <w:p w14:paraId="774E2542">
      <w:pPr>
        <w:spacing w:after="120" w:line="359" w:lineRule="auto"/>
        <w:rPr>
          <w:rFonts w:hint="eastAsia" w:ascii="宋体" w:hAnsi="宋体" w:cs="宋体"/>
          <w:kern w:val="0"/>
          <w:sz w:val="20"/>
          <w:szCs w:val="20"/>
        </w:rPr>
      </w:pPr>
    </w:p>
    <w:p w14:paraId="739AD82A">
      <w:pPr>
        <w:spacing w:line="360" w:lineRule="auto"/>
        <w:ind w:left="820"/>
        <w:rPr>
          <w:rFonts w:hint="eastAsia" w:ascii="宋体" w:hAnsi="宋体" w:cs="宋体"/>
          <w:sz w:val="23"/>
          <w:szCs w:val="23"/>
        </w:rPr>
      </w:pPr>
      <w:r>
        <w:rPr>
          <w:rFonts w:hint="eastAsia" w:ascii="宋体" w:hAnsi="宋体" w:cs="宋体"/>
          <w:spacing w:val="3"/>
          <w:sz w:val="23"/>
          <w:szCs w:val="23"/>
        </w:rPr>
        <w:t>发 包 人</w:t>
      </w:r>
      <w:r>
        <w:rPr>
          <w:rFonts w:hint="eastAsia" w:ascii="宋体" w:hAnsi="宋体" w:cs="宋体"/>
          <w:spacing w:val="-14"/>
          <w:sz w:val="23"/>
          <w:szCs w:val="23"/>
        </w:rPr>
        <w:t xml:space="preserve"> </w:t>
      </w:r>
      <w:r>
        <w:rPr>
          <w:rFonts w:hint="eastAsia" w:ascii="宋体" w:hAnsi="宋体" w:cs="宋体"/>
          <w:spacing w:val="3"/>
          <w:sz w:val="23"/>
          <w:szCs w:val="23"/>
        </w:rPr>
        <w:t>：</w:t>
      </w:r>
      <w:r>
        <w:rPr>
          <w:rFonts w:hint="eastAsia" w:ascii="宋体" w:hAnsi="宋体" w:cs="宋体"/>
          <w:sz w:val="23"/>
          <w:szCs w:val="23"/>
          <w:u w:val="single"/>
        </w:rPr>
        <w:t xml:space="preserve">               </w:t>
      </w:r>
      <w:r>
        <w:rPr>
          <w:rFonts w:hint="eastAsia" w:ascii="宋体" w:hAnsi="宋体" w:cs="宋体"/>
          <w:spacing w:val="-10"/>
          <w:sz w:val="23"/>
          <w:szCs w:val="23"/>
        </w:rPr>
        <w:t xml:space="preserve"> </w:t>
      </w:r>
      <w:r>
        <w:rPr>
          <w:rFonts w:hint="eastAsia" w:ascii="宋体" w:hAnsi="宋体" w:cs="宋体"/>
          <w:spacing w:val="3"/>
          <w:sz w:val="23"/>
          <w:szCs w:val="23"/>
        </w:rPr>
        <w:t>(以下简称“甲方”)</w:t>
      </w:r>
    </w:p>
    <w:p w14:paraId="1843C698">
      <w:pPr>
        <w:spacing w:line="360" w:lineRule="auto"/>
        <w:ind w:left="830"/>
        <w:rPr>
          <w:rFonts w:hint="eastAsia" w:ascii="宋体" w:hAnsi="宋体" w:cs="宋体"/>
          <w:sz w:val="23"/>
          <w:szCs w:val="23"/>
        </w:rPr>
      </w:pPr>
      <w:r>
        <w:rPr>
          <w:rFonts w:hint="eastAsia" w:ascii="宋体" w:hAnsi="宋体" w:cs="宋体"/>
          <w:spacing w:val="4"/>
          <w:sz w:val="23"/>
          <w:szCs w:val="23"/>
        </w:rPr>
        <w:t>承 包 人</w:t>
      </w:r>
      <w:r>
        <w:rPr>
          <w:rFonts w:hint="eastAsia" w:ascii="宋体" w:hAnsi="宋体" w:cs="宋体"/>
          <w:spacing w:val="-20"/>
          <w:sz w:val="23"/>
          <w:szCs w:val="23"/>
        </w:rPr>
        <w:t xml:space="preserve"> </w:t>
      </w:r>
      <w:r>
        <w:rPr>
          <w:rFonts w:hint="eastAsia" w:ascii="宋体" w:hAnsi="宋体" w:cs="宋体"/>
          <w:spacing w:val="4"/>
          <w:sz w:val="23"/>
          <w:szCs w:val="23"/>
        </w:rPr>
        <w:t>：</w:t>
      </w:r>
      <w:r>
        <w:rPr>
          <w:rFonts w:hint="eastAsia" w:ascii="宋体" w:hAnsi="宋体" w:cs="宋体"/>
          <w:spacing w:val="1"/>
          <w:sz w:val="23"/>
          <w:szCs w:val="23"/>
          <w:u w:val="single"/>
        </w:rPr>
        <w:t xml:space="preserve">               </w:t>
      </w:r>
      <w:r>
        <w:rPr>
          <w:rFonts w:hint="eastAsia" w:ascii="宋体" w:hAnsi="宋体" w:cs="宋体"/>
          <w:spacing w:val="-25"/>
          <w:sz w:val="23"/>
          <w:szCs w:val="23"/>
        </w:rPr>
        <w:t xml:space="preserve"> </w:t>
      </w:r>
      <w:r>
        <w:rPr>
          <w:rFonts w:hint="eastAsia" w:ascii="宋体" w:hAnsi="宋体" w:cs="宋体"/>
          <w:spacing w:val="4"/>
          <w:sz w:val="23"/>
          <w:szCs w:val="23"/>
        </w:rPr>
        <w:t>(以下简称“乙方”)</w:t>
      </w:r>
    </w:p>
    <w:p w14:paraId="687EE197">
      <w:pPr>
        <w:spacing w:line="360" w:lineRule="auto"/>
        <w:ind w:left="830"/>
        <w:rPr>
          <w:rFonts w:hint="eastAsia" w:ascii="宋体" w:hAnsi="宋体" w:cs="宋体"/>
          <w:sz w:val="23"/>
          <w:szCs w:val="23"/>
        </w:rPr>
      </w:pPr>
      <w:r>
        <w:rPr>
          <w:rFonts w:hint="eastAsia" w:ascii="宋体" w:hAnsi="宋体" w:cs="宋体"/>
          <w:sz w:val="23"/>
          <w:szCs w:val="23"/>
        </w:rPr>
        <w:t xml:space="preserve">经办银行： </w:t>
      </w:r>
      <w:r>
        <w:rPr>
          <w:rFonts w:hint="eastAsia" w:ascii="宋体" w:hAnsi="宋体" w:cs="宋体"/>
          <w:sz w:val="23"/>
          <w:szCs w:val="23"/>
          <w:u w:val="single"/>
        </w:rPr>
        <w:t xml:space="preserve">               </w:t>
      </w:r>
      <w:r>
        <w:rPr>
          <w:rFonts w:hint="eastAsia" w:ascii="宋体" w:hAnsi="宋体" w:cs="宋体"/>
          <w:sz w:val="23"/>
          <w:szCs w:val="23"/>
        </w:rPr>
        <w:t xml:space="preserve"> (以下简称“丙方”)</w:t>
      </w:r>
    </w:p>
    <w:p w14:paraId="5EA6325F">
      <w:pPr>
        <w:spacing w:line="360" w:lineRule="auto"/>
        <w:ind w:firstLine="480" w:firstLineChars="200"/>
        <w:rPr>
          <w:rFonts w:hint="eastAsia" w:ascii="宋体" w:hAnsi="宋体" w:cs="宋体"/>
          <w:sz w:val="24"/>
          <w:szCs w:val="24"/>
        </w:rPr>
      </w:pPr>
      <w:r>
        <w:rPr>
          <w:rFonts w:hint="eastAsia" w:ascii="宋体" w:hAnsi="宋体" w:cs="宋体"/>
          <w:sz w:val="24"/>
          <w:szCs w:val="24"/>
        </w:rPr>
        <w:t>为了促进          (项目名称)的顺利实施，管好用好建设资金，确保工程资金 专款专用，同时为承包人提供便捷有效的银行业务服务，根据      (项目名称)合同条款有关规定，经甲、乙、丙三方协商，达成协议如下：</w:t>
      </w:r>
    </w:p>
    <w:p w14:paraId="729F2EBE">
      <w:pPr>
        <w:spacing w:line="360" w:lineRule="auto"/>
        <w:ind w:firstLine="480" w:firstLineChars="200"/>
        <w:rPr>
          <w:rFonts w:hint="eastAsia" w:ascii="宋体" w:hAnsi="宋体" w:cs="宋体"/>
          <w:sz w:val="24"/>
          <w:szCs w:val="24"/>
        </w:rPr>
      </w:pPr>
      <w:r>
        <w:rPr>
          <w:rFonts w:hint="eastAsia" w:ascii="宋体" w:hAnsi="宋体" w:cs="宋体"/>
          <w:sz w:val="24"/>
          <w:szCs w:val="24"/>
        </w:rPr>
        <w:t>1.资金管理的内容</w:t>
      </w:r>
    </w:p>
    <w:p w14:paraId="2818FB06">
      <w:pPr>
        <w:spacing w:line="360" w:lineRule="auto"/>
        <w:ind w:firstLine="480" w:firstLineChars="200"/>
        <w:rPr>
          <w:rFonts w:hint="eastAsia" w:ascii="宋体" w:hAnsi="宋体" w:cs="宋体"/>
          <w:sz w:val="24"/>
          <w:szCs w:val="24"/>
        </w:rPr>
      </w:pPr>
      <w:r>
        <w:rPr>
          <w:rFonts w:hint="eastAsia" w:ascii="宋体" w:hAnsi="宋体" w:cs="宋体"/>
          <w:sz w:val="24"/>
          <w:szCs w:val="24"/>
        </w:rPr>
        <w:t>(1)乙方为完成</w:t>
      </w:r>
      <w:r>
        <w:rPr>
          <w:rFonts w:hint="eastAsia" w:ascii="宋体" w:hAnsi="宋体" w:cs="宋体"/>
          <w:sz w:val="24"/>
          <w:szCs w:val="24"/>
          <w:u w:val="single"/>
        </w:rPr>
        <w:t xml:space="preserve">       </w:t>
      </w:r>
      <w:r>
        <w:rPr>
          <w:rFonts w:hint="eastAsia" w:ascii="宋体" w:hAnsi="宋体" w:cs="宋体"/>
          <w:sz w:val="24"/>
          <w:szCs w:val="24"/>
        </w:rPr>
        <w:t xml:space="preserve"> (项目名称)工程成立的项目经理部在丙方开设基本结算户；</w:t>
      </w:r>
    </w:p>
    <w:p w14:paraId="6C1FD746">
      <w:pPr>
        <w:spacing w:line="360" w:lineRule="auto"/>
        <w:ind w:firstLine="480" w:firstLineChars="200"/>
        <w:rPr>
          <w:rFonts w:hint="eastAsia" w:ascii="宋体" w:hAnsi="宋体" w:cs="宋体"/>
          <w:sz w:val="24"/>
          <w:szCs w:val="24"/>
        </w:rPr>
      </w:pPr>
      <w:r>
        <w:rPr>
          <w:rFonts w:hint="eastAsia" w:ascii="宋体" w:hAnsi="宋体" w:cs="宋体"/>
          <w:sz w:val="24"/>
          <w:szCs w:val="24"/>
        </w:rPr>
        <w:t>(2)甲方应将按合同规定将工程款(质量保证金除外)汇入乙方在丙方开设的账户；</w:t>
      </w:r>
    </w:p>
    <w:p w14:paraId="02D2713D">
      <w:pPr>
        <w:spacing w:line="360" w:lineRule="auto"/>
        <w:ind w:firstLine="480" w:firstLineChars="200"/>
        <w:rPr>
          <w:rFonts w:hint="eastAsia" w:ascii="宋体" w:hAnsi="宋体" w:cs="宋体"/>
          <w:sz w:val="24"/>
          <w:szCs w:val="24"/>
        </w:rPr>
      </w:pPr>
      <w:r>
        <w:rPr>
          <w:rFonts w:hint="eastAsia" w:ascii="宋体" w:hAnsi="宋体" w:cs="宋体"/>
          <w:sz w:val="24"/>
          <w:szCs w:val="24"/>
        </w:rPr>
        <w:t>(3)乙方应将流动资金及甲方所拨付资金专项用于</w:t>
      </w:r>
      <w:r>
        <w:rPr>
          <w:rFonts w:hint="eastAsia" w:ascii="宋体" w:hAnsi="宋体" w:cs="宋体"/>
          <w:sz w:val="24"/>
          <w:szCs w:val="24"/>
          <w:u w:val="single"/>
        </w:rPr>
        <w:t xml:space="preserve">       </w:t>
      </w:r>
      <w:r>
        <w:rPr>
          <w:rFonts w:hint="eastAsia" w:ascii="宋体" w:hAnsi="宋体" w:cs="宋体"/>
          <w:sz w:val="24"/>
          <w:szCs w:val="24"/>
        </w:rPr>
        <w:t xml:space="preserve"> (项目名称); </w:t>
      </w:r>
    </w:p>
    <w:p w14:paraId="2A98828F">
      <w:pPr>
        <w:spacing w:line="360" w:lineRule="auto"/>
        <w:ind w:firstLine="480" w:firstLineChars="200"/>
        <w:rPr>
          <w:rFonts w:hint="eastAsia" w:ascii="宋体" w:hAnsi="宋体" w:cs="宋体"/>
          <w:sz w:val="24"/>
          <w:szCs w:val="24"/>
        </w:rPr>
      </w:pPr>
      <w:r>
        <w:rPr>
          <w:rFonts w:hint="eastAsia" w:ascii="宋体" w:hAnsi="宋体" w:cs="宋体"/>
          <w:sz w:val="24"/>
          <w:szCs w:val="24"/>
        </w:rPr>
        <w:t>(4)丙方应为乙方提供便捷有效的银行业务服务，并接受甲方委托对乙方在丙方开设的基本结算户资金使用情况进行监督。</w:t>
      </w:r>
    </w:p>
    <w:p w14:paraId="44C2C45B">
      <w:pPr>
        <w:spacing w:line="360" w:lineRule="auto"/>
        <w:ind w:firstLine="480" w:firstLineChars="200"/>
        <w:rPr>
          <w:rFonts w:hint="eastAsia" w:ascii="宋体" w:hAnsi="宋体" w:cs="宋体"/>
          <w:sz w:val="24"/>
          <w:szCs w:val="24"/>
        </w:rPr>
      </w:pPr>
      <w:r>
        <w:rPr>
          <w:rFonts w:hint="eastAsia" w:ascii="宋体" w:hAnsi="宋体" w:cs="宋体"/>
          <w:sz w:val="24"/>
          <w:szCs w:val="24"/>
        </w:rPr>
        <w:t>2.甲方的权责</w:t>
      </w:r>
    </w:p>
    <w:p w14:paraId="5CEBE17F">
      <w:pPr>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 (1)按照</w:t>
      </w:r>
      <w:r>
        <w:rPr>
          <w:rFonts w:hint="eastAsia" w:ascii="宋体" w:hAnsi="宋体" w:cs="宋体"/>
          <w:sz w:val="24"/>
          <w:szCs w:val="24"/>
          <w:u w:val="single"/>
        </w:rPr>
        <w:t xml:space="preserve">        (</w:t>
      </w:r>
      <w:r>
        <w:rPr>
          <w:rFonts w:hint="eastAsia" w:ascii="宋体" w:hAnsi="宋体" w:cs="宋体"/>
          <w:sz w:val="24"/>
          <w:szCs w:val="24"/>
        </w:rPr>
        <w:t>项目名称)合同有关条款规定的时间和方式，向乙方支付工程款；</w:t>
      </w:r>
    </w:p>
    <w:p w14:paraId="68AE42FC">
      <w:pPr>
        <w:spacing w:line="360" w:lineRule="auto"/>
        <w:ind w:firstLine="480" w:firstLineChars="200"/>
        <w:rPr>
          <w:rFonts w:hint="eastAsia" w:ascii="宋体" w:hAnsi="宋体" w:cs="宋体"/>
          <w:sz w:val="24"/>
          <w:szCs w:val="24"/>
        </w:rPr>
      </w:pPr>
      <w:r>
        <w:rPr>
          <w:rFonts w:hint="eastAsia" w:ascii="宋体" w:hAnsi="宋体" w:cs="宋体"/>
          <w:sz w:val="24"/>
          <w:szCs w:val="24"/>
        </w:rPr>
        <w:t>(2)在发现乙方将本项目资金挪用、转移时，甲方有权中止工程支付，直至乙方改正为止；</w:t>
      </w:r>
    </w:p>
    <w:p w14:paraId="2BEE9F0F">
      <w:pPr>
        <w:spacing w:line="360" w:lineRule="auto"/>
        <w:ind w:firstLine="480" w:firstLineChars="200"/>
        <w:rPr>
          <w:rFonts w:hint="eastAsia" w:ascii="宋体" w:hAnsi="宋体" w:cs="宋体"/>
          <w:sz w:val="24"/>
          <w:szCs w:val="24"/>
        </w:rPr>
      </w:pPr>
      <w:r>
        <w:rPr>
          <w:rFonts w:hint="eastAsia" w:ascii="宋体" w:hAnsi="宋体" w:cs="宋体"/>
          <w:sz w:val="24"/>
          <w:szCs w:val="24"/>
        </w:rPr>
        <w:t>(3)不定期审查丙方对乙方的资金使用监督情况，如丙方不能履行其责任，甲方有权随时终止本协议；</w:t>
      </w:r>
    </w:p>
    <w:p w14:paraId="3388A605">
      <w:pPr>
        <w:spacing w:line="360" w:lineRule="auto"/>
        <w:ind w:firstLine="480" w:firstLineChars="200"/>
        <w:rPr>
          <w:rFonts w:hint="eastAsia" w:ascii="宋体" w:hAnsi="宋体" w:cs="宋体"/>
          <w:sz w:val="24"/>
          <w:szCs w:val="24"/>
        </w:rPr>
      </w:pPr>
      <w:r>
        <w:rPr>
          <w:rFonts w:hint="eastAsia" w:ascii="宋体" w:hAnsi="宋体" w:cs="宋体"/>
          <w:sz w:val="24"/>
          <w:szCs w:val="24"/>
        </w:rPr>
        <w:t>(4)在乙、丙双方发生争议时，甲方应负责协调、解决。</w:t>
      </w:r>
    </w:p>
    <w:p w14:paraId="0ED35C47">
      <w:pPr>
        <w:spacing w:line="360" w:lineRule="auto"/>
        <w:ind w:firstLine="480" w:firstLineChars="200"/>
        <w:rPr>
          <w:rFonts w:hint="eastAsia" w:ascii="宋体" w:hAnsi="宋体" w:cs="宋体"/>
          <w:sz w:val="24"/>
          <w:szCs w:val="24"/>
        </w:rPr>
      </w:pPr>
      <w:r>
        <w:rPr>
          <w:rFonts w:hint="eastAsia" w:ascii="宋体" w:hAnsi="宋体" w:cs="宋体"/>
          <w:sz w:val="24"/>
          <w:szCs w:val="24"/>
        </w:rPr>
        <w:t>3.乙方的权责</w:t>
      </w:r>
    </w:p>
    <w:p w14:paraId="35E88C2E">
      <w:pPr>
        <w:spacing w:line="360" w:lineRule="auto"/>
        <w:ind w:firstLine="480" w:firstLineChars="200"/>
        <w:rPr>
          <w:rFonts w:hint="eastAsia" w:ascii="宋体" w:hAnsi="宋体" w:cs="宋体"/>
          <w:sz w:val="24"/>
          <w:szCs w:val="24"/>
        </w:rPr>
      </w:pPr>
      <w:r>
        <w:rPr>
          <w:rFonts w:hint="eastAsia" w:ascii="宋体" w:hAnsi="宋体" w:cs="宋体"/>
          <w:sz w:val="24"/>
          <w:szCs w:val="24"/>
        </w:rPr>
        <w:t>(1)项目经理部成立以后，乙方应尽快在丙方开设基本结算户；</w:t>
      </w:r>
    </w:p>
    <w:p w14:paraId="7F26DFF3">
      <w:pPr>
        <w:spacing w:line="360" w:lineRule="auto"/>
        <w:ind w:firstLine="480" w:firstLineChars="200"/>
        <w:rPr>
          <w:rFonts w:hint="eastAsia" w:ascii="宋体" w:hAnsi="宋体" w:cs="宋体"/>
          <w:sz w:val="24"/>
          <w:szCs w:val="24"/>
        </w:rPr>
      </w:pPr>
      <w:r>
        <w:rPr>
          <w:rFonts w:hint="eastAsia" w:ascii="宋体" w:hAnsi="宋体" w:cs="宋体"/>
          <w:sz w:val="24"/>
          <w:szCs w:val="24"/>
        </w:rPr>
        <w:t>(2)确保本项目资金专款专用，不发生挪用、转移资金的现象；保证不通过权益转让、抵押、担保承担债务等任何其他方式使用基本结算户的资金；</w:t>
      </w:r>
    </w:p>
    <w:p w14:paraId="44566A5E">
      <w:pPr>
        <w:spacing w:line="360" w:lineRule="auto"/>
        <w:ind w:firstLine="480" w:firstLineChars="200"/>
        <w:rPr>
          <w:rFonts w:hint="eastAsia" w:ascii="宋体" w:hAnsi="宋体" w:cs="宋体"/>
          <w:sz w:val="24"/>
          <w:szCs w:val="24"/>
        </w:rPr>
      </w:pPr>
      <w:r>
        <w:rPr>
          <w:rFonts w:hint="eastAsia" w:ascii="宋体" w:hAnsi="宋体" w:cs="宋体"/>
          <w:sz w:val="24"/>
          <w:szCs w:val="24"/>
        </w:rPr>
        <w:t>(3)办理材料、设备等采购业务金额在</w:t>
      </w:r>
      <w:r>
        <w:rPr>
          <w:rFonts w:hint="eastAsia" w:ascii="宋体" w:hAnsi="宋体" w:cs="宋体"/>
          <w:sz w:val="24"/>
          <w:szCs w:val="24"/>
          <w:u w:val="single"/>
        </w:rPr>
        <w:t xml:space="preserve">      </w:t>
      </w:r>
      <w:r>
        <w:rPr>
          <w:rFonts w:hint="eastAsia" w:ascii="宋体" w:hAnsi="宋体" w:cs="宋体"/>
          <w:sz w:val="24"/>
          <w:szCs w:val="24"/>
        </w:rPr>
        <w:t>万元以上的，应出示购货合同、协 议和发票；在办理总额超过</w:t>
      </w:r>
      <w:r>
        <w:rPr>
          <w:rFonts w:hint="eastAsia" w:ascii="宋体" w:hAnsi="宋体" w:cs="宋体"/>
          <w:sz w:val="24"/>
          <w:szCs w:val="24"/>
          <w:u w:val="single"/>
        </w:rPr>
        <w:t xml:space="preserve">      </w:t>
      </w:r>
      <w:r>
        <w:rPr>
          <w:rFonts w:hint="eastAsia" w:ascii="宋体" w:hAnsi="宋体" w:cs="宋体"/>
          <w:sz w:val="24"/>
          <w:szCs w:val="24"/>
        </w:rPr>
        <w:t>万元以上的采购业务时，应将合同、协议和发票复 印件送丙方备案；购买应急材料、设备时可先办理支付手续，但事后必须补备有关资料；</w:t>
      </w:r>
    </w:p>
    <w:p w14:paraId="24C80ECC">
      <w:pPr>
        <w:spacing w:line="360" w:lineRule="auto"/>
        <w:ind w:firstLine="480" w:firstLineChars="200"/>
        <w:rPr>
          <w:rFonts w:hint="eastAsia" w:ascii="宋体" w:hAnsi="宋体" w:cs="宋体"/>
          <w:sz w:val="24"/>
          <w:szCs w:val="24"/>
        </w:rPr>
      </w:pPr>
      <w:r>
        <w:rPr>
          <w:rFonts w:hint="eastAsia" w:ascii="宋体" w:hAnsi="宋体" w:cs="宋体"/>
          <w:sz w:val="24"/>
          <w:szCs w:val="24"/>
        </w:rPr>
        <w:t>(4)用银行转账支票办理支付款项时，必须将转账支票送交丙方，由丙方负责办理支票转付手续；</w:t>
      </w:r>
    </w:p>
    <w:p w14:paraId="6C1C1070">
      <w:pPr>
        <w:spacing w:line="360" w:lineRule="auto"/>
        <w:ind w:firstLine="480" w:firstLineChars="200"/>
        <w:rPr>
          <w:rFonts w:hint="eastAsia" w:ascii="宋体" w:hAnsi="宋体" w:cs="宋体"/>
          <w:sz w:val="24"/>
          <w:szCs w:val="24"/>
        </w:rPr>
      </w:pPr>
      <w:r>
        <w:rPr>
          <w:rFonts w:hint="eastAsia" w:ascii="宋体" w:hAnsi="宋体" w:cs="宋体"/>
          <w:sz w:val="24"/>
          <w:szCs w:val="24"/>
        </w:rPr>
        <w:t>(5)向分包单位支付工程进度款时，应附甲方批准分包的文件；</w:t>
      </w:r>
    </w:p>
    <w:p w14:paraId="6C7EC628">
      <w:pPr>
        <w:spacing w:line="360" w:lineRule="auto"/>
        <w:ind w:firstLine="480" w:firstLineChars="200"/>
        <w:rPr>
          <w:rFonts w:hint="eastAsia" w:ascii="宋体" w:hAnsi="宋体" w:cs="宋体"/>
          <w:sz w:val="24"/>
          <w:szCs w:val="24"/>
        </w:rPr>
      </w:pPr>
      <w:r>
        <w:rPr>
          <w:rFonts w:hint="eastAsia" w:ascii="宋体" w:hAnsi="宋体" w:cs="宋体"/>
          <w:sz w:val="24"/>
          <w:szCs w:val="24"/>
        </w:rPr>
        <w:t>(6)向上级单位缴纳管理费、机械设备及周转材料租赁摊销费等款项时，应附上级单位出具的转账通知等有关资料，以确保资金专款专用。</w:t>
      </w:r>
    </w:p>
    <w:p w14:paraId="3F36038E">
      <w:pPr>
        <w:spacing w:line="360" w:lineRule="auto"/>
        <w:ind w:firstLine="480" w:firstLineChars="200"/>
        <w:rPr>
          <w:rFonts w:hint="eastAsia" w:ascii="宋体" w:hAnsi="宋体" w:cs="宋体"/>
          <w:sz w:val="24"/>
          <w:szCs w:val="24"/>
        </w:rPr>
      </w:pPr>
      <w:r>
        <w:rPr>
          <w:rFonts w:hint="eastAsia" w:ascii="宋体" w:hAnsi="宋体" w:cs="宋体"/>
          <w:sz w:val="24"/>
          <w:szCs w:val="24"/>
        </w:rPr>
        <w:t>4.丙方的权责</w:t>
      </w:r>
    </w:p>
    <w:p w14:paraId="5B1AF579">
      <w:pPr>
        <w:spacing w:line="360" w:lineRule="auto"/>
        <w:ind w:firstLine="480" w:firstLineChars="200"/>
        <w:rPr>
          <w:rFonts w:hint="eastAsia" w:ascii="宋体" w:hAnsi="宋体" w:cs="宋体"/>
          <w:sz w:val="24"/>
          <w:szCs w:val="24"/>
        </w:rPr>
      </w:pPr>
      <w:r>
        <w:rPr>
          <w:rFonts w:hint="eastAsia" w:ascii="宋体" w:hAnsi="宋体" w:cs="宋体"/>
          <w:sz w:val="24"/>
          <w:szCs w:val="24"/>
        </w:rPr>
        <w:t>(1)成立</w:t>
      </w:r>
      <w:r>
        <w:rPr>
          <w:rFonts w:hint="eastAsia" w:ascii="宋体" w:hAnsi="宋体" w:cs="宋体"/>
          <w:sz w:val="24"/>
          <w:szCs w:val="24"/>
          <w:u w:val="single"/>
        </w:rPr>
        <w:t xml:space="preserve">       </w:t>
      </w:r>
      <w:r>
        <w:rPr>
          <w:rFonts w:hint="eastAsia" w:ascii="宋体" w:hAnsi="宋体" w:cs="宋体"/>
          <w:sz w:val="24"/>
          <w:szCs w:val="24"/>
        </w:rPr>
        <w:t>(项目名称)工程资金管理服务小组，明确业务流程，提高工作效率，杜绝“压票”现象；</w:t>
      </w:r>
    </w:p>
    <w:p w14:paraId="204205B0">
      <w:pPr>
        <w:spacing w:line="360" w:lineRule="auto"/>
        <w:ind w:firstLine="480" w:firstLineChars="200"/>
        <w:rPr>
          <w:rFonts w:hint="eastAsia" w:ascii="宋体" w:hAnsi="宋体" w:cs="宋体"/>
          <w:sz w:val="24"/>
          <w:szCs w:val="24"/>
        </w:rPr>
      </w:pPr>
      <w:r>
        <w:rPr>
          <w:rFonts w:hint="eastAsia" w:ascii="宋体" w:hAnsi="宋体" w:cs="宋体"/>
          <w:sz w:val="24"/>
          <w:szCs w:val="24"/>
        </w:rPr>
        <w:t>(2)根据乙方提供的购货合同、协议和发票，检查其所购材料、设备是否用于(项目名称)工程建设，对本标段以外的购货款项，有权拒绝办理，并及时报告甲方；</w:t>
      </w:r>
    </w:p>
    <w:p w14:paraId="60825B3A">
      <w:pPr>
        <w:spacing w:line="360" w:lineRule="auto"/>
        <w:ind w:firstLine="480" w:firstLineChars="200"/>
        <w:rPr>
          <w:rFonts w:hint="eastAsia" w:ascii="宋体" w:hAnsi="宋体" w:cs="宋体"/>
          <w:sz w:val="24"/>
          <w:szCs w:val="24"/>
        </w:rPr>
      </w:pPr>
      <w:r>
        <w:rPr>
          <w:rFonts w:hint="eastAsia" w:ascii="宋体" w:hAnsi="宋体" w:cs="宋体"/>
          <w:sz w:val="24"/>
          <w:szCs w:val="24"/>
        </w:rPr>
        <w:t>(3)根据乙方与分包单位签订的合同及支付文件，检查其支付款项是否符合有关条件，向分包单位以外单位的支付有权拒绝办理，并及时报告甲方；</w:t>
      </w:r>
    </w:p>
    <w:p w14:paraId="0B5B0C53">
      <w:pPr>
        <w:spacing w:line="360" w:lineRule="auto"/>
        <w:ind w:firstLine="480" w:firstLineChars="200"/>
        <w:rPr>
          <w:rFonts w:hint="eastAsia" w:ascii="宋体" w:hAnsi="宋体" w:cs="宋体"/>
          <w:sz w:val="24"/>
          <w:szCs w:val="24"/>
        </w:rPr>
      </w:pPr>
      <w:r>
        <w:rPr>
          <w:rFonts w:hint="eastAsia" w:ascii="宋体" w:hAnsi="宋体" w:cs="宋体"/>
          <w:sz w:val="24"/>
          <w:szCs w:val="24"/>
        </w:rPr>
        <w:t>(4)根据乙方提供的上级单位出具的转账通知等有关资料，办理管理费、机械 设备及周转材料租赁摊销费等款项的支付；对超出转账通知等有关资料以外的支付，有权拒绝办理，并及时转告甲方；</w:t>
      </w:r>
    </w:p>
    <w:p w14:paraId="24F7AB0C">
      <w:pPr>
        <w:spacing w:line="360" w:lineRule="auto"/>
        <w:ind w:firstLine="480" w:firstLineChars="200"/>
        <w:rPr>
          <w:rFonts w:hint="eastAsia" w:ascii="宋体" w:hAnsi="宋体" w:cs="宋体"/>
          <w:sz w:val="24"/>
          <w:szCs w:val="24"/>
        </w:rPr>
      </w:pPr>
      <w:r>
        <w:rPr>
          <w:rFonts w:hint="eastAsia" w:ascii="宋体" w:hAnsi="宋体" w:cs="宋体"/>
          <w:sz w:val="24"/>
          <w:szCs w:val="24"/>
        </w:rPr>
        <w:t>(5)定期将乙方前一个周期的支付情况，整理后书面报送甲方；乙方复印备案的材料一并送甲方。</w:t>
      </w:r>
    </w:p>
    <w:p w14:paraId="1CA5663D">
      <w:pPr>
        <w:spacing w:line="360" w:lineRule="auto"/>
        <w:ind w:firstLine="480" w:firstLineChars="200"/>
        <w:rPr>
          <w:rFonts w:hint="eastAsia" w:ascii="宋体" w:hAnsi="宋体" w:cs="宋体"/>
          <w:sz w:val="24"/>
          <w:szCs w:val="24"/>
        </w:rPr>
      </w:pPr>
      <w:r>
        <w:rPr>
          <w:rFonts w:hint="eastAsia" w:ascii="宋体" w:hAnsi="宋体" w:cs="宋体"/>
          <w:sz w:val="24"/>
          <w:szCs w:val="24"/>
        </w:rPr>
        <w:t>5.甲、乙、丙三方都应履行保密责任，不得将其他两方的业务情况透露给三方以外的其他单位或个人。</w:t>
      </w:r>
    </w:p>
    <w:p w14:paraId="1CC34857">
      <w:pPr>
        <w:spacing w:line="360" w:lineRule="auto"/>
        <w:ind w:firstLine="480" w:firstLineChars="200"/>
        <w:rPr>
          <w:rFonts w:hint="eastAsia" w:ascii="宋体" w:hAnsi="宋体" w:cs="宋体"/>
          <w:sz w:val="24"/>
          <w:szCs w:val="24"/>
        </w:rPr>
      </w:pPr>
      <w:r>
        <w:rPr>
          <w:rFonts w:hint="eastAsia" w:ascii="宋体" w:hAnsi="宋体" w:cs="宋体"/>
          <w:sz w:val="24"/>
          <w:szCs w:val="24"/>
        </w:rPr>
        <w:t>6.本协议有效期自乙方在丙方开户起，至工程交工验收甲方向乙方颁发交工验收证书后结束。</w:t>
      </w:r>
    </w:p>
    <w:p w14:paraId="0948CC7B">
      <w:pPr>
        <w:spacing w:line="360" w:lineRule="auto"/>
        <w:ind w:firstLine="480" w:firstLineChars="200"/>
        <w:rPr>
          <w:rFonts w:hint="eastAsia" w:ascii="宋体" w:hAnsi="宋体" w:cs="宋体"/>
          <w:sz w:val="24"/>
          <w:szCs w:val="24"/>
        </w:rPr>
      </w:pPr>
      <w:r>
        <w:rPr>
          <w:rFonts w:hint="eastAsia" w:ascii="宋体" w:hAnsi="宋体" w:cs="宋体"/>
          <w:sz w:val="24"/>
          <w:szCs w:val="24"/>
        </w:rPr>
        <w:t>7.本协议未尽事宜，由甲方牵头，三方协商解决。</w:t>
      </w:r>
    </w:p>
    <w:p w14:paraId="74FBCA19">
      <w:pPr>
        <w:spacing w:line="360" w:lineRule="auto"/>
        <w:ind w:firstLine="480" w:firstLineChars="200"/>
        <w:rPr>
          <w:rFonts w:hint="eastAsia" w:ascii="宋体" w:hAnsi="宋体" w:cs="宋体"/>
          <w:sz w:val="24"/>
          <w:szCs w:val="24"/>
        </w:rPr>
      </w:pPr>
      <w:r>
        <w:rPr>
          <w:rFonts w:hint="eastAsia" w:ascii="宋体" w:hAnsi="宋体" w:cs="宋体"/>
          <w:sz w:val="24"/>
          <w:szCs w:val="24"/>
        </w:rPr>
        <w:t>8.本协议正本三份、副本</w:t>
      </w:r>
      <w:r>
        <w:rPr>
          <w:rFonts w:hint="eastAsia" w:ascii="宋体" w:hAnsi="宋体" w:cs="宋体"/>
          <w:sz w:val="24"/>
          <w:szCs w:val="24"/>
          <w:u w:val="single"/>
        </w:rPr>
        <w:t xml:space="preserve">     </w:t>
      </w:r>
      <w:r>
        <w:rPr>
          <w:rFonts w:hint="eastAsia" w:ascii="宋体" w:hAnsi="宋体" w:cs="宋体"/>
          <w:sz w:val="24"/>
          <w:szCs w:val="24"/>
        </w:rPr>
        <w:t>份。合同三方各执正本一份、副本</w:t>
      </w:r>
      <w:r>
        <w:rPr>
          <w:rFonts w:hint="eastAsia" w:ascii="宋体" w:hAnsi="宋体" w:cs="宋体"/>
          <w:sz w:val="24"/>
          <w:szCs w:val="24"/>
          <w:u w:val="single"/>
        </w:rPr>
        <w:t xml:space="preserve">      </w:t>
      </w:r>
      <w:r>
        <w:rPr>
          <w:rFonts w:hint="eastAsia" w:ascii="宋体" w:hAnsi="宋体" w:cs="宋体"/>
          <w:sz w:val="24"/>
          <w:szCs w:val="24"/>
        </w:rPr>
        <w:t>份，当正本与副本内容不一致时，以正本为准。</w:t>
      </w:r>
    </w:p>
    <w:p w14:paraId="21B967A6">
      <w:pPr>
        <w:spacing w:before="97" w:line="360" w:lineRule="auto"/>
        <w:ind w:left="643" w:firstLine="3000" w:firstLineChars="1500"/>
        <w:rPr>
          <w:rFonts w:hint="eastAsia" w:ascii="宋体" w:hAnsi="宋体" w:cs="宋体"/>
          <w:spacing w:val="-20"/>
          <w:sz w:val="24"/>
          <w:szCs w:val="24"/>
        </w:rPr>
      </w:pPr>
    </w:p>
    <w:p w14:paraId="60A53BB8">
      <w:pPr>
        <w:spacing w:before="97" w:line="360" w:lineRule="auto"/>
        <w:ind w:left="643" w:firstLine="3000" w:firstLineChars="1500"/>
        <w:rPr>
          <w:rFonts w:hint="eastAsia" w:ascii="宋体" w:hAnsi="宋体" w:cs="宋体"/>
          <w:sz w:val="24"/>
          <w:szCs w:val="24"/>
        </w:rPr>
      </w:pPr>
      <w:r>
        <w:rPr>
          <w:rFonts w:hint="eastAsia" w:ascii="宋体" w:hAnsi="宋体" w:cs="宋体"/>
          <w:spacing w:val="-20"/>
          <w:sz w:val="24"/>
          <w:szCs w:val="24"/>
        </w:rPr>
        <w:t xml:space="preserve">发包人： </w:t>
      </w:r>
      <w:r>
        <w:rPr>
          <w:rFonts w:hint="eastAsia" w:ascii="宋体" w:hAnsi="宋体" w:cs="宋体"/>
          <w:spacing w:val="2"/>
          <w:sz w:val="24"/>
          <w:szCs w:val="24"/>
          <w:u w:val="single"/>
        </w:rPr>
        <w:t xml:space="preserve">                   </w:t>
      </w:r>
      <w:r>
        <w:rPr>
          <w:rFonts w:hint="eastAsia" w:cs="宋体"/>
          <w:spacing w:val="2"/>
          <w:sz w:val="24"/>
          <w:szCs w:val="24"/>
          <w:u w:val="single"/>
          <w:lang w:val="en-US" w:eastAsia="zh-CN"/>
        </w:rPr>
        <w:t xml:space="preserve">  </w:t>
      </w:r>
      <w:r>
        <w:rPr>
          <w:rFonts w:hint="eastAsia" w:ascii="宋体" w:hAnsi="宋体" w:cs="宋体"/>
          <w:spacing w:val="2"/>
          <w:sz w:val="24"/>
          <w:szCs w:val="24"/>
          <w:u w:val="single"/>
        </w:rPr>
        <w:t xml:space="preserve">  </w:t>
      </w:r>
      <w:r>
        <w:rPr>
          <w:rFonts w:hint="eastAsia" w:ascii="宋体" w:hAnsi="宋体" w:cs="宋体"/>
          <w:spacing w:val="-20"/>
          <w:sz w:val="24"/>
          <w:szCs w:val="24"/>
        </w:rPr>
        <w:t xml:space="preserve"> (盖单位章)</w:t>
      </w:r>
    </w:p>
    <w:p w14:paraId="15E06835">
      <w:pPr>
        <w:spacing w:line="360" w:lineRule="auto"/>
        <w:ind w:left="643" w:firstLine="3060" w:firstLineChars="1500"/>
        <w:rPr>
          <w:rFonts w:hint="eastAsia" w:ascii="宋体" w:hAnsi="宋体" w:cs="宋体"/>
          <w:sz w:val="24"/>
          <w:szCs w:val="24"/>
        </w:rPr>
      </w:pPr>
      <w:r>
        <w:rPr>
          <w:rFonts w:hint="eastAsia" w:ascii="宋体" w:hAnsi="宋体" w:cs="宋体"/>
          <w:spacing w:val="-18"/>
          <w:sz w:val="24"/>
          <w:szCs w:val="24"/>
        </w:rPr>
        <w:t>法定人或代表其委托代理人：</w:t>
      </w:r>
      <w:r>
        <w:rPr>
          <w:rFonts w:hint="eastAsia" w:ascii="宋体" w:hAnsi="宋体" w:cs="宋体"/>
          <w:spacing w:val="37"/>
          <w:sz w:val="24"/>
          <w:szCs w:val="24"/>
        </w:rPr>
        <w:t xml:space="preserve"> </w:t>
      </w:r>
      <w:r>
        <w:rPr>
          <w:rFonts w:hint="eastAsia" w:ascii="宋体" w:hAnsi="宋体" w:cs="宋体"/>
          <w:spacing w:val="16"/>
          <w:sz w:val="24"/>
          <w:szCs w:val="24"/>
          <w:u w:val="single"/>
        </w:rPr>
        <w:t xml:space="preserve">       </w:t>
      </w:r>
      <w:r>
        <w:rPr>
          <w:rFonts w:hint="eastAsia" w:ascii="宋体" w:hAnsi="宋体" w:cs="宋体"/>
          <w:spacing w:val="-18"/>
          <w:sz w:val="24"/>
          <w:szCs w:val="24"/>
        </w:rPr>
        <w:t xml:space="preserve"> (签字)</w:t>
      </w:r>
    </w:p>
    <w:p w14:paraId="237C13F1">
      <w:pPr>
        <w:tabs>
          <w:tab w:val="left" w:pos="6579"/>
        </w:tabs>
        <w:spacing w:before="79" w:line="219" w:lineRule="auto"/>
        <w:ind w:left="5849"/>
        <w:rPr>
          <w:rFonts w:hint="eastAsia" w:ascii="宋体" w:hAnsi="宋体" w:cs="宋体"/>
          <w:sz w:val="20"/>
          <w:szCs w:val="20"/>
        </w:rPr>
      </w:pPr>
      <w:r>
        <w:rPr>
          <w:rFonts w:hint="eastAsia" w:ascii="宋体" w:hAnsi="宋体" w:cs="宋体"/>
          <w:sz w:val="24"/>
          <w:szCs w:val="24"/>
          <w:u w:val="single"/>
        </w:rPr>
        <w:tab/>
      </w:r>
      <w:r>
        <w:rPr>
          <w:rFonts w:hint="eastAsia" w:ascii="宋体" w:hAnsi="宋体" w:cs="宋体"/>
          <w:spacing w:val="-99"/>
          <w:sz w:val="24"/>
          <w:szCs w:val="24"/>
        </w:rPr>
        <w:t xml:space="preserve"> </w:t>
      </w:r>
      <w:r>
        <w:rPr>
          <w:rFonts w:hint="eastAsia" w:ascii="宋体" w:hAnsi="宋体" w:cs="宋体"/>
          <w:spacing w:val="-9"/>
          <w:sz w:val="24"/>
          <w:szCs w:val="24"/>
        </w:rPr>
        <w:t>年</w:t>
      </w:r>
      <w:r>
        <w:rPr>
          <w:rFonts w:hint="eastAsia" w:ascii="宋体" w:hAnsi="宋体" w:cs="宋体"/>
          <w:spacing w:val="2"/>
          <w:sz w:val="24"/>
          <w:szCs w:val="24"/>
          <w:u w:val="single"/>
        </w:rPr>
        <w:t xml:space="preserve">    </w:t>
      </w:r>
      <w:r>
        <w:rPr>
          <w:rFonts w:hint="eastAsia" w:ascii="宋体" w:hAnsi="宋体" w:cs="宋体"/>
          <w:spacing w:val="-9"/>
          <w:sz w:val="24"/>
          <w:szCs w:val="24"/>
        </w:rPr>
        <w:t>月</w:t>
      </w:r>
      <w:r>
        <w:rPr>
          <w:rFonts w:hint="eastAsia" w:ascii="宋体" w:hAnsi="宋体" w:cs="宋体"/>
          <w:spacing w:val="6"/>
          <w:sz w:val="24"/>
          <w:szCs w:val="24"/>
          <w:u w:val="single"/>
        </w:rPr>
        <w:t xml:space="preserve">    </w:t>
      </w:r>
      <w:r>
        <w:rPr>
          <w:rFonts w:hint="eastAsia" w:ascii="宋体" w:hAnsi="宋体" w:cs="宋体"/>
          <w:spacing w:val="-9"/>
          <w:position w:val="2"/>
          <w:sz w:val="20"/>
          <w:szCs w:val="20"/>
        </w:rPr>
        <w:t>日</w:t>
      </w:r>
    </w:p>
    <w:p w14:paraId="4ED568D2">
      <w:pPr>
        <w:spacing w:after="120" w:line="360" w:lineRule="auto"/>
        <w:rPr>
          <w:rFonts w:hint="eastAsia" w:ascii="宋体" w:hAnsi="宋体" w:cs="宋体"/>
          <w:kern w:val="0"/>
          <w:sz w:val="24"/>
          <w:szCs w:val="24"/>
        </w:rPr>
      </w:pPr>
    </w:p>
    <w:p w14:paraId="0FD48B66">
      <w:pPr>
        <w:spacing w:before="81" w:line="360" w:lineRule="auto"/>
        <w:ind w:left="643" w:firstLine="3000" w:firstLineChars="1500"/>
        <w:rPr>
          <w:rFonts w:hint="eastAsia" w:ascii="宋体" w:hAnsi="宋体" w:cs="宋体"/>
          <w:sz w:val="24"/>
          <w:szCs w:val="24"/>
        </w:rPr>
      </w:pPr>
      <w:r>
        <w:rPr>
          <w:rFonts w:hint="eastAsia" w:ascii="宋体" w:hAnsi="宋体" w:cs="宋体"/>
          <w:spacing w:val="-20"/>
          <w:sz w:val="24"/>
          <w:szCs w:val="24"/>
        </w:rPr>
        <w:t xml:space="preserve">承包人： </w:t>
      </w:r>
      <w:r>
        <w:rPr>
          <w:rFonts w:hint="eastAsia" w:ascii="宋体" w:hAnsi="宋体" w:cs="宋体"/>
          <w:spacing w:val="2"/>
          <w:sz w:val="24"/>
          <w:szCs w:val="24"/>
          <w:u w:val="single"/>
        </w:rPr>
        <w:t xml:space="preserve">                     </w:t>
      </w:r>
      <w:r>
        <w:rPr>
          <w:rFonts w:hint="eastAsia" w:ascii="宋体" w:hAnsi="宋体" w:cs="宋体"/>
          <w:spacing w:val="-20"/>
          <w:sz w:val="24"/>
          <w:szCs w:val="24"/>
        </w:rPr>
        <w:t xml:space="preserve"> (盖单位章)</w:t>
      </w:r>
    </w:p>
    <w:p w14:paraId="0B29EDBB">
      <w:pPr>
        <w:spacing w:before="1" w:line="360" w:lineRule="auto"/>
        <w:ind w:left="643" w:firstLine="3060" w:firstLineChars="1500"/>
        <w:rPr>
          <w:rFonts w:hint="eastAsia" w:ascii="宋体" w:hAnsi="宋体" w:cs="宋体"/>
          <w:sz w:val="24"/>
          <w:szCs w:val="24"/>
        </w:rPr>
      </w:pPr>
      <w:r>
        <w:rPr>
          <w:rFonts w:hint="eastAsia" w:ascii="宋体" w:hAnsi="宋体" w:cs="宋体"/>
          <w:spacing w:val="-18"/>
          <w:sz w:val="24"/>
          <w:szCs w:val="24"/>
        </w:rPr>
        <w:t>法定人或代表其委托代理人：</w:t>
      </w:r>
      <w:r>
        <w:rPr>
          <w:rFonts w:hint="eastAsia" w:ascii="宋体" w:hAnsi="宋体" w:cs="宋体"/>
          <w:spacing w:val="37"/>
          <w:sz w:val="24"/>
          <w:szCs w:val="24"/>
        </w:rPr>
        <w:t xml:space="preserve"> </w:t>
      </w:r>
      <w:r>
        <w:rPr>
          <w:rFonts w:hint="eastAsia" w:ascii="宋体" w:hAnsi="宋体" w:cs="宋体"/>
          <w:spacing w:val="16"/>
          <w:sz w:val="24"/>
          <w:szCs w:val="24"/>
          <w:u w:val="single"/>
        </w:rPr>
        <w:t xml:space="preserve">       </w:t>
      </w:r>
      <w:r>
        <w:rPr>
          <w:rFonts w:hint="eastAsia" w:ascii="宋体" w:hAnsi="宋体" w:cs="宋体"/>
          <w:spacing w:val="-18"/>
          <w:sz w:val="24"/>
          <w:szCs w:val="24"/>
        </w:rPr>
        <w:t xml:space="preserve"> (签字)</w:t>
      </w:r>
    </w:p>
    <w:p w14:paraId="30F55544">
      <w:pPr>
        <w:tabs>
          <w:tab w:val="left" w:pos="6579"/>
        </w:tabs>
        <w:spacing w:before="79" w:line="219" w:lineRule="auto"/>
        <w:ind w:left="5849"/>
        <w:rPr>
          <w:rFonts w:hint="eastAsia" w:ascii="宋体" w:hAnsi="宋体" w:cs="宋体"/>
          <w:sz w:val="20"/>
          <w:szCs w:val="20"/>
        </w:rPr>
      </w:pPr>
      <w:r>
        <w:rPr>
          <w:rFonts w:hint="eastAsia" w:ascii="宋体" w:hAnsi="宋体" w:cs="宋体"/>
          <w:sz w:val="24"/>
          <w:szCs w:val="24"/>
          <w:u w:val="single"/>
        </w:rPr>
        <w:tab/>
      </w:r>
      <w:r>
        <w:rPr>
          <w:rFonts w:hint="eastAsia" w:ascii="宋体" w:hAnsi="宋体" w:cs="宋体"/>
          <w:spacing w:val="-99"/>
          <w:sz w:val="24"/>
          <w:szCs w:val="24"/>
        </w:rPr>
        <w:t xml:space="preserve"> </w:t>
      </w:r>
      <w:r>
        <w:rPr>
          <w:rFonts w:hint="eastAsia" w:ascii="宋体" w:hAnsi="宋体" w:cs="宋体"/>
          <w:spacing w:val="-9"/>
          <w:sz w:val="24"/>
          <w:szCs w:val="24"/>
        </w:rPr>
        <w:t>年</w:t>
      </w:r>
      <w:r>
        <w:rPr>
          <w:rFonts w:hint="eastAsia" w:ascii="宋体" w:hAnsi="宋体" w:cs="宋体"/>
          <w:spacing w:val="2"/>
          <w:sz w:val="24"/>
          <w:szCs w:val="24"/>
          <w:u w:val="single"/>
        </w:rPr>
        <w:t xml:space="preserve">    </w:t>
      </w:r>
      <w:r>
        <w:rPr>
          <w:rFonts w:hint="eastAsia" w:ascii="宋体" w:hAnsi="宋体" w:cs="宋体"/>
          <w:spacing w:val="-9"/>
          <w:sz w:val="24"/>
          <w:szCs w:val="24"/>
        </w:rPr>
        <w:t>月</w:t>
      </w:r>
      <w:r>
        <w:rPr>
          <w:rFonts w:hint="eastAsia" w:ascii="宋体" w:hAnsi="宋体" w:cs="宋体"/>
          <w:spacing w:val="6"/>
          <w:sz w:val="24"/>
          <w:szCs w:val="24"/>
          <w:u w:val="single"/>
        </w:rPr>
        <w:t xml:space="preserve">    </w:t>
      </w:r>
      <w:r>
        <w:rPr>
          <w:rFonts w:hint="eastAsia" w:ascii="宋体" w:hAnsi="宋体" w:cs="宋体"/>
          <w:spacing w:val="-9"/>
          <w:position w:val="2"/>
          <w:sz w:val="20"/>
          <w:szCs w:val="20"/>
        </w:rPr>
        <w:t>日</w:t>
      </w:r>
    </w:p>
    <w:p w14:paraId="35F85E3D">
      <w:pPr>
        <w:spacing w:after="120" w:line="360" w:lineRule="auto"/>
        <w:rPr>
          <w:rFonts w:hint="eastAsia" w:ascii="宋体" w:hAnsi="宋体" w:cs="宋体"/>
          <w:kern w:val="0"/>
          <w:sz w:val="24"/>
          <w:szCs w:val="24"/>
        </w:rPr>
      </w:pPr>
      <w:r>
        <w:rPr>
          <w:rFonts w:hint="eastAsia" w:ascii="宋体" w:hAnsi="宋体" w:cs="宋体"/>
          <w:kern w:val="0"/>
          <w:sz w:val="24"/>
          <w:szCs w:val="24"/>
        </w:rPr>
        <w:t xml:space="preserve">     </w:t>
      </w:r>
    </w:p>
    <w:p w14:paraId="11D6252B">
      <w:pPr>
        <w:spacing w:after="120" w:line="360" w:lineRule="auto"/>
        <w:rPr>
          <w:rFonts w:hint="eastAsia" w:ascii="宋体" w:hAnsi="宋体" w:cs="宋体"/>
          <w:kern w:val="0"/>
          <w:sz w:val="24"/>
          <w:szCs w:val="24"/>
        </w:rPr>
      </w:pPr>
    </w:p>
    <w:p w14:paraId="3C9BA68B">
      <w:pPr>
        <w:spacing w:before="82" w:line="360" w:lineRule="auto"/>
        <w:ind w:left="643" w:firstLine="2996" w:firstLineChars="1400"/>
        <w:rPr>
          <w:rFonts w:hint="eastAsia" w:ascii="宋体" w:hAnsi="宋体" w:cs="宋体"/>
          <w:sz w:val="24"/>
          <w:szCs w:val="24"/>
        </w:rPr>
      </w:pPr>
      <w:r>
        <w:rPr>
          <w:rFonts w:hint="eastAsia" w:ascii="宋体" w:hAnsi="宋体" w:cs="宋体"/>
          <w:spacing w:val="-13"/>
          <w:sz w:val="24"/>
          <w:szCs w:val="24"/>
        </w:rPr>
        <w:t xml:space="preserve">经办银行： </w:t>
      </w:r>
      <w:r>
        <w:rPr>
          <w:rFonts w:hint="eastAsia" w:ascii="宋体" w:hAnsi="宋体" w:cs="宋体"/>
          <w:spacing w:val="-13"/>
          <w:sz w:val="24"/>
          <w:szCs w:val="24"/>
          <w:u w:val="single"/>
        </w:rPr>
        <w:t xml:space="preserve">                </w:t>
      </w:r>
      <w:r>
        <w:rPr>
          <w:rFonts w:hint="eastAsia" w:ascii="宋体" w:hAnsi="宋体" w:cs="宋体"/>
          <w:spacing w:val="-14"/>
          <w:sz w:val="24"/>
          <w:szCs w:val="24"/>
          <w:u w:val="single"/>
        </w:rPr>
        <w:t xml:space="preserve">    </w:t>
      </w:r>
      <w:r>
        <w:rPr>
          <w:rFonts w:hint="eastAsia" w:cs="宋体"/>
          <w:spacing w:val="-14"/>
          <w:sz w:val="24"/>
          <w:szCs w:val="24"/>
          <w:u w:val="single"/>
          <w:lang w:val="en-US" w:eastAsia="zh-CN"/>
        </w:rPr>
        <w:t xml:space="preserve">   </w:t>
      </w:r>
      <w:r>
        <w:rPr>
          <w:rFonts w:hint="eastAsia" w:ascii="宋体" w:hAnsi="宋体" w:cs="宋体"/>
          <w:spacing w:val="-14"/>
          <w:sz w:val="24"/>
          <w:szCs w:val="24"/>
          <w:u w:val="single"/>
        </w:rPr>
        <w:t xml:space="preserve"> </w:t>
      </w:r>
      <w:r>
        <w:rPr>
          <w:rFonts w:hint="eastAsia" w:ascii="宋体" w:hAnsi="宋体" w:cs="宋体"/>
          <w:spacing w:val="5"/>
          <w:sz w:val="24"/>
          <w:szCs w:val="24"/>
        </w:rPr>
        <w:t xml:space="preserve"> </w:t>
      </w:r>
      <w:r>
        <w:rPr>
          <w:rFonts w:hint="eastAsia" w:ascii="宋体" w:hAnsi="宋体" w:cs="宋体"/>
          <w:spacing w:val="-14"/>
          <w:sz w:val="24"/>
          <w:szCs w:val="24"/>
        </w:rPr>
        <w:t>(盖单位章)</w:t>
      </w:r>
    </w:p>
    <w:p w14:paraId="3F964148">
      <w:pPr>
        <w:spacing w:before="174" w:line="360" w:lineRule="auto"/>
        <w:ind w:left="643" w:firstLine="3060" w:firstLineChars="1500"/>
        <w:rPr>
          <w:rFonts w:hint="eastAsia" w:ascii="宋体" w:hAnsi="宋体" w:cs="宋体"/>
          <w:sz w:val="24"/>
          <w:szCs w:val="24"/>
        </w:rPr>
      </w:pPr>
      <w:r>
        <w:rPr>
          <w:rFonts w:hint="eastAsia" w:ascii="宋体" w:hAnsi="宋体" w:cs="宋体"/>
          <w:spacing w:val="-18"/>
          <w:sz w:val="24"/>
          <w:szCs w:val="24"/>
        </w:rPr>
        <w:t>法定人或代表其委托代理人：</w:t>
      </w:r>
      <w:r>
        <w:rPr>
          <w:rFonts w:hint="eastAsia" w:ascii="宋体" w:hAnsi="宋体" w:cs="宋体"/>
          <w:spacing w:val="37"/>
          <w:sz w:val="24"/>
          <w:szCs w:val="24"/>
        </w:rPr>
        <w:t xml:space="preserve"> </w:t>
      </w:r>
      <w:r>
        <w:rPr>
          <w:rFonts w:hint="eastAsia" w:ascii="宋体" w:hAnsi="宋体" w:cs="宋体"/>
          <w:spacing w:val="16"/>
          <w:sz w:val="24"/>
          <w:szCs w:val="24"/>
          <w:u w:val="single"/>
        </w:rPr>
        <w:t xml:space="preserve">       </w:t>
      </w:r>
      <w:r>
        <w:rPr>
          <w:rFonts w:hint="eastAsia" w:ascii="宋体" w:hAnsi="宋体" w:cs="宋体"/>
          <w:spacing w:val="-18"/>
          <w:sz w:val="24"/>
          <w:szCs w:val="24"/>
        </w:rPr>
        <w:t xml:space="preserve"> (签字)</w:t>
      </w:r>
    </w:p>
    <w:p w14:paraId="1C9D25DB">
      <w:pPr>
        <w:tabs>
          <w:tab w:val="left" w:pos="6579"/>
        </w:tabs>
        <w:spacing w:before="79" w:line="219" w:lineRule="auto"/>
        <w:ind w:left="5849"/>
        <w:rPr>
          <w:rFonts w:hint="eastAsia" w:ascii="宋体" w:hAnsi="宋体" w:cs="宋体"/>
          <w:sz w:val="20"/>
          <w:szCs w:val="20"/>
        </w:rPr>
      </w:pPr>
      <w:r>
        <w:rPr>
          <w:rFonts w:hint="eastAsia" w:ascii="宋体" w:hAnsi="宋体" w:cs="宋体"/>
          <w:sz w:val="24"/>
          <w:szCs w:val="24"/>
          <w:u w:val="single"/>
        </w:rPr>
        <w:tab/>
      </w:r>
      <w:r>
        <w:rPr>
          <w:rFonts w:hint="eastAsia" w:ascii="宋体" w:hAnsi="宋体" w:cs="宋体"/>
          <w:spacing w:val="-99"/>
          <w:sz w:val="24"/>
          <w:szCs w:val="24"/>
        </w:rPr>
        <w:t xml:space="preserve"> </w:t>
      </w:r>
      <w:r>
        <w:rPr>
          <w:rFonts w:hint="eastAsia" w:ascii="宋体" w:hAnsi="宋体" w:cs="宋体"/>
          <w:spacing w:val="-9"/>
          <w:sz w:val="24"/>
          <w:szCs w:val="24"/>
        </w:rPr>
        <w:t>年</w:t>
      </w:r>
      <w:r>
        <w:rPr>
          <w:rFonts w:hint="eastAsia" w:ascii="宋体" w:hAnsi="宋体" w:cs="宋体"/>
          <w:spacing w:val="2"/>
          <w:sz w:val="24"/>
          <w:szCs w:val="24"/>
          <w:u w:val="single"/>
        </w:rPr>
        <w:t xml:space="preserve">    </w:t>
      </w:r>
      <w:r>
        <w:rPr>
          <w:rFonts w:hint="eastAsia" w:ascii="宋体" w:hAnsi="宋体" w:cs="宋体"/>
          <w:spacing w:val="-9"/>
          <w:sz w:val="24"/>
          <w:szCs w:val="24"/>
        </w:rPr>
        <w:t>月</w:t>
      </w:r>
      <w:r>
        <w:rPr>
          <w:rFonts w:hint="eastAsia" w:ascii="宋体" w:hAnsi="宋体" w:cs="宋体"/>
          <w:spacing w:val="6"/>
          <w:sz w:val="24"/>
          <w:szCs w:val="24"/>
          <w:u w:val="single"/>
        </w:rPr>
        <w:t xml:space="preserve">    </w:t>
      </w:r>
      <w:r>
        <w:rPr>
          <w:rFonts w:hint="eastAsia" w:ascii="宋体" w:hAnsi="宋体" w:cs="宋体"/>
          <w:spacing w:val="-9"/>
          <w:position w:val="2"/>
          <w:sz w:val="20"/>
          <w:szCs w:val="20"/>
        </w:rPr>
        <w:t>日</w:t>
      </w:r>
    </w:p>
    <w:p w14:paraId="448A216A">
      <w:pPr>
        <w:spacing w:line="360" w:lineRule="auto"/>
        <w:rPr>
          <w:rFonts w:ascii="宋体" w:hAnsi="宋体"/>
          <w:sz w:val="24"/>
          <w:szCs w:val="24"/>
        </w:rPr>
      </w:pPr>
    </w:p>
    <w:p w14:paraId="0AFF9727">
      <w:pPr>
        <w:spacing w:line="360" w:lineRule="auto"/>
        <w:rPr>
          <w:rFonts w:hint="eastAsia" w:ascii="宋体" w:hAnsi="宋体" w:eastAsia="宋体" w:cs="宋体"/>
          <w:color w:val="000000"/>
          <w:sz w:val="21"/>
          <w:szCs w:val="21"/>
          <w:highlight w:val="none"/>
        </w:rPr>
      </w:pPr>
    </w:p>
    <w:p w14:paraId="4ED9B726">
      <w:pPr>
        <w:spacing w:line="360" w:lineRule="auto"/>
        <w:rPr>
          <w:rFonts w:hint="eastAsia" w:ascii="宋体" w:hAnsi="宋体" w:eastAsia="宋体" w:cs="宋体"/>
          <w:color w:val="000000"/>
          <w:sz w:val="21"/>
          <w:szCs w:val="21"/>
          <w:highlight w:val="none"/>
        </w:rPr>
      </w:pPr>
    </w:p>
    <w:p w14:paraId="0F1EC911">
      <w:pPr>
        <w:spacing w:line="360" w:lineRule="auto"/>
        <w:rPr>
          <w:rFonts w:hint="eastAsia" w:ascii="宋体" w:hAnsi="宋体" w:eastAsia="宋体" w:cs="宋体"/>
          <w:color w:val="000000"/>
          <w:sz w:val="21"/>
          <w:szCs w:val="21"/>
          <w:highlight w:val="none"/>
        </w:rPr>
      </w:pPr>
    </w:p>
    <w:p w14:paraId="0D18CCC7">
      <w:pPr>
        <w:spacing w:line="360" w:lineRule="auto"/>
        <w:rPr>
          <w:rFonts w:hint="eastAsia" w:ascii="宋体" w:hAnsi="宋体" w:eastAsia="宋体" w:cs="宋体"/>
          <w:color w:val="000000"/>
          <w:sz w:val="21"/>
          <w:szCs w:val="21"/>
          <w:highlight w:val="none"/>
        </w:rPr>
      </w:pPr>
    </w:p>
    <w:p w14:paraId="7269EBF5">
      <w:pPr>
        <w:spacing w:line="360" w:lineRule="auto"/>
        <w:rPr>
          <w:rFonts w:hint="eastAsia" w:ascii="宋体" w:hAnsi="宋体" w:eastAsia="宋体" w:cs="宋体"/>
          <w:color w:val="000000"/>
          <w:sz w:val="21"/>
          <w:szCs w:val="21"/>
          <w:highlight w:val="none"/>
        </w:rPr>
      </w:pPr>
    </w:p>
    <w:p w14:paraId="10E23733">
      <w:pPr>
        <w:spacing w:line="360" w:lineRule="auto"/>
        <w:rPr>
          <w:rFonts w:hint="eastAsia" w:ascii="宋体" w:hAnsi="宋体" w:eastAsia="宋体" w:cs="宋体"/>
          <w:color w:val="000000"/>
          <w:sz w:val="21"/>
          <w:szCs w:val="21"/>
          <w:highlight w:val="none"/>
        </w:rPr>
      </w:pPr>
    </w:p>
    <w:p w14:paraId="40801CAA">
      <w:pPr>
        <w:bidi w:val="0"/>
        <w:rPr>
          <w:rFonts w:hint="eastAsia"/>
          <w:lang w:val="en-US" w:eastAsia="zh-CN"/>
        </w:rPr>
      </w:pPr>
      <w:bookmarkStart w:id="1702" w:name="_Toc23967"/>
    </w:p>
    <w:p w14:paraId="0222CB32">
      <w:pPr>
        <w:bidi w:val="0"/>
        <w:rPr>
          <w:rFonts w:hint="eastAsia"/>
          <w:lang w:val="en-US" w:eastAsia="zh-CN"/>
        </w:rPr>
      </w:pPr>
    </w:p>
    <w:p w14:paraId="0364FFBB">
      <w:pPr>
        <w:bidi w:val="0"/>
        <w:rPr>
          <w:rFonts w:hint="eastAsia"/>
          <w:lang w:val="en-US" w:eastAsia="zh-CN"/>
        </w:rPr>
      </w:pPr>
    </w:p>
    <w:p w14:paraId="32704B9C">
      <w:pPr>
        <w:bidi w:val="0"/>
        <w:rPr>
          <w:rFonts w:hint="eastAsia"/>
          <w:lang w:val="en-US" w:eastAsia="zh-CN"/>
        </w:rPr>
      </w:pPr>
    </w:p>
    <w:p w14:paraId="703046E7">
      <w:pPr>
        <w:pStyle w:val="20"/>
        <w:numPr>
          <w:ilvl w:val="0"/>
          <w:numId w:val="0"/>
        </w:numPr>
        <w:spacing w:before="312" w:beforeLines="100" w:after="312" w:afterLines="100" w:line="600" w:lineRule="exact"/>
        <w:jc w:val="center"/>
        <w:outlineLvl w:val="0"/>
        <w:rPr>
          <w:rFonts w:hint="default"/>
          <w:highlight w:val="none"/>
          <w:lang w:val="en-US"/>
        </w:rPr>
      </w:pPr>
      <w:r>
        <w:rPr>
          <w:rFonts w:hint="eastAsia" w:hAnsi="Courier New" w:cs="Courier New"/>
          <w:b/>
          <w:bCs/>
          <w:color w:val="auto"/>
          <w:sz w:val="32"/>
          <w:szCs w:val="32"/>
          <w:highlight w:val="none"/>
          <w:lang w:val="en-US" w:eastAsia="zh-CN"/>
        </w:rPr>
        <w:br w:type="page"/>
      </w:r>
      <w:bookmarkStart w:id="1703" w:name="_Toc5567"/>
      <w:bookmarkStart w:id="1704" w:name="_Toc10500"/>
      <w:r>
        <w:rPr>
          <w:rFonts w:hint="eastAsia" w:hAnsi="Courier New" w:cs="Courier New"/>
          <w:b/>
          <w:bCs/>
          <w:color w:val="auto"/>
          <w:sz w:val="32"/>
          <w:szCs w:val="32"/>
          <w:highlight w:val="none"/>
          <w:lang w:val="en-US" w:eastAsia="zh-CN"/>
        </w:rPr>
        <w:t>第五章 控制价编制依据</w:t>
      </w:r>
      <w:bookmarkEnd w:id="1703"/>
      <w:bookmarkEnd w:id="1704"/>
    </w:p>
    <w:p w14:paraId="5FD66D2D">
      <w:pPr>
        <w:pStyle w:val="171"/>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jc w:val="left"/>
        <w:textAlignment w:val="auto"/>
        <w:rPr>
          <w:b/>
          <w:sz w:val="24"/>
          <w:szCs w:val="24"/>
        </w:rPr>
      </w:pPr>
      <w:r>
        <w:rPr>
          <w:rFonts w:hint="eastAsia"/>
          <w:b/>
          <w:sz w:val="24"/>
          <w:szCs w:val="24"/>
          <w:lang w:val="en-US" w:eastAsia="zh-CN"/>
        </w:rPr>
        <w:t>一、</w:t>
      </w:r>
      <w:r>
        <w:rPr>
          <w:rFonts w:hint="eastAsia"/>
          <w:b/>
          <w:sz w:val="24"/>
          <w:szCs w:val="24"/>
        </w:rPr>
        <w:t>编制依据</w:t>
      </w:r>
    </w:p>
    <w:p w14:paraId="0824E79A">
      <w:pPr>
        <w:keepNext w:val="0"/>
        <w:keepLines w:val="0"/>
        <w:pageBreakBefore w:val="0"/>
        <w:widowControl w:val="0"/>
        <w:kinsoku/>
        <w:wordWrap w:val="0"/>
        <w:overflowPunct/>
        <w:topLinePunct/>
        <w:autoSpaceDE/>
        <w:autoSpaceDN/>
        <w:bidi w:val="0"/>
        <w:adjustRightInd/>
        <w:snapToGrid/>
        <w:spacing w:line="360" w:lineRule="auto"/>
        <w:ind w:firstLine="480" w:firstLineChars="200"/>
        <w:jc w:val="left"/>
        <w:textAlignment w:val="auto"/>
        <w:rPr>
          <w:sz w:val="24"/>
          <w:szCs w:val="24"/>
        </w:rPr>
      </w:pPr>
      <w:r>
        <w:rPr>
          <w:sz w:val="24"/>
          <w:szCs w:val="24"/>
        </w:rPr>
        <w:t>1</w:t>
      </w:r>
      <w:r>
        <w:rPr>
          <w:rFonts w:hint="eastAsia"/>
          <w:sz w:val="24"/>
          <w:szCs w:val="24"/>
        </w:rPr>
        <w:t>、《施工图设计》及业主方提供的相关资料。</w:t>
      </w:r>
    </w:p>
    <w:p w14:paraId="35CFBCE1">
      <w:pPr>
        <w:keepNext w:val="0"/>
        <w:keepLines w:val="0"/>
        <w:pageBreakBefore w:val="0"/>
        <w:widowControl w:val="0"/>
        <w:kinsoku/>
        <w:wordWrap w:val="0"/>
        <w:overflowPunct/>
        <w:topLinePunct/>
        <w:autoSpaceDE/>
        <w:autoSpaceDN/>
        <w:bidi w:val="0"/>
        <w:adjustRightInd/>
        <w:snapToGrid/>
        <w:spacing w:line="360" w:lineRule="auto"/>
        <w:ind w:firstLine="480" w:firstLineChars="200"/>
        <w:jc w:val="left"/>
        <w:textAlignment w:val="auto"/>
        <w:rPr>
          <w:rFonts w:hint="eastAsia"/>
          <w:sz w:val="24"/>
          <w:szCs w:val="24"/>
        </w:rPr>
      </w:pPr>
      <w:r>
        <w:rPr>
          <w:rFonts w:hint="eastAsia"/>
          <w:sz w:val="24"/>
          <w:szCs w:val="24"/>
          <w:lang w:val="en-US" w:eastAsia="zh-CN"/>
        </w:rPr>
        <w:t>2</w:t>
      </w:r>
      <w:r>
        <w:rPr>
          <w:rFonts w:hint="eastAsia"/>
          <w:sz w:val="24"/>
          <w:szCs w:val="24"/>
        </w:rPr>
        <w:t>、《河南省普通公路养护工程预算编制办法》；</w:t>
      </w:r>
    </w:p>
    <w:p w14:paraId="4D2CB3CA">
      <w:pPr>
        <w:keepNext w:val="0"/>
        <w:keepLines w:val="0"/>
        <w:pageBreakBefore w:val="0"/>
        <w:widowControl w:val="0"/>
        <w:kinsoku/>
        <w:wordWrap w:val="0"/>
        <w:overflowPunct/>
        <w:topLinePunct/>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3、《河南省普通公路养护工程预算定额》</w:t>
      </w:r>
    </w:p>
    <w:p w14:paraId="67CD9896">
      <w:pPr>
        <w:keepNext w:val="0"/>
        <w:keepLines w:val="0"/>
        <w:pageBreakBefore w:val="0"/>
        <w:widowControl w:val="0"/>
        <w:kinsoku/>
        <w:wordWrap w:val="0"/>
        <w:overflowPunct/>
        <w:topLinePunct/>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4、《河南省普通公路养护工程机械台班费用定额》；</w:t>
      </w:r>
    </w:p>
    <w:p w14:paraId="0CC7CE64">
      <w:pPr>
        <w:keepNext w:val="0"/>
        <w:keepLines w:val="0"/>
        <w:pageBreakBefore w:val="0"/>
        <w:widowControl w:val="0"/>
        <w:kinsoku/>
        <w:wordWrap w:val="0"/>
        <w:overflowPunct/>
        <w:topLinePunct/>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5、《河南省普通公路日常养护预算指标》；</w:t>
      </w:r>
    </w:p>
    <w:p w14:paraId="1DEB4D78">
      <w:pPr>
        <w:keepNext w:val="0"/>
        <w:keepLines w:val="0"/>
        <w:pageBreakBefore w:val="0"/>
        <w:widowControl w:val="0"/>
        <w:kinsoku/>
        <w:wordWrap w:val="0"/>
        <w:overflowPunct/>
        <w:topLinePunct/>
        <w:autoSpaceDE/>
        <w:autoSpaceDN/>
        <w:bidi w:val="0"/>
        <w:adjustRightInd/>
        <w:snapToGrid/>
        <w:spacing w:line="360" w:lineRule="auto"/>
        <w:ind w:firstLine="480" w:firstLineChars="200"/>
        <w:jc w:val="left"/>
        <w:textAlignment w:val="auto"/>
        <w:rPr>
          <w:rFonts w:hint="eastAsia"/>
          <w:sz w:val="24"/>
          <w:szCs w:val="24"/>
        </w:rPr>
      </w:pPr>
      <w:r>
        <w:rPr>
          <w:rFonts w:hint="eastAsia"/>
          <w:sz w:val="24"/>
          <w:szCs w:val="24"/>
          <w:lang w:val="en-US" w:eastAsia="zh-CN"/>
        </w:rPr>
        <w:t>6</w:t>
      </w:r>
      <w:r>
        <w:rPr>
          <w:rFonts w:hint="eastAsia"/>
          <w:sz w:val="24"/>
          <w:szCs w:val="24"/>
        </w:rPr>
        <w:t>、</w:t>
      </w:r>
      <w:r>
        <w:rPr>
          <w:rFonts w:hint="eastAsia"/>
          <w:sz w:val="24"/>
          <w:szCs w:val="24"/>
          <w:lang w:eastAsia="zh-CN"/>
        </w:rPr>
        <w:t>《</w:t>
      </w:r>
      <w:r>
        <w:rPr>
          <w:rFonts w:hint="eastAsia"/>
          <w:sz w:val="24"/>
          <w:szCs w:val="24"/>
        </w:rPr>
        <w:t>公路工程预算定额》（JTG/T 3832—2018）；</w:t>
      </w:r>
    </w:p>
    <w:p w14:paraId="02EA53B4">
      <w:pPr>
        <w:keepNext w:val="0"/>
        <w:keepLines w:val="0"/>
        <w:pageBreakBefore w:val="0"/>
        <w:widowControl w:val="0"/>
        <w:kinsoku/>
        <w:wordWrap w:val="0"/>
        <w:overflowPunct/>
        <w:topLinePunct/>
        <w:autoSpaceDE/>
        <w:autoSpaceDN/>
        <w:bidi w:val="0"/>
        <w:adjustRightInd/>
        <w:snapToGrid/>
        <w:spacing w:line="360" w:lineRule="auto"/>
        <w:ind w:firstLine="480" w:firstLineChars="200"/>
        <w:jc w:val="left"/>
        <w:textAlignment w:val="auto"/>
        <w:rPr>
          <w:rFonts w:hint="eastAsia"/>
          <w:sz w:val="24"/>
          <w:szCs w:val="24"/>
        </w:rPr>
      </w:pPr>
      <w:r>
        <w:rPr>
          <w:rFonts w:hint="eastAsia"/>
          <w:sz w:val="24"/>
          <w:szCs w:val="24"/>
          <w:lang w:val="en-US" w:eastAsia="zh-CN"/>
        </w:rPr>
        <w:t>7</w:t>
      </w:r>
      <w:r>
        <w:rPr>
          <w:rFonts w:hint="eastAsia"/>
          <w:sz w:val="24"/>
          <w:szCs w:val="24"/>
        </w:rPr>
        <w:t>、《公路工程机械台班费用定额》（JTG/T 3833—2018）。</w:t>
      </w:r>
    </w:p>
    <w:p w14:paraId="720041E1">
      <w:pPr>
        <w:keepNext w:val="0"/>
        <w:keepLines w:val="0"/>
        <w:pageBreakBefore w:val="0"/>
        <w:widowControl w:val="0"/>
        <w:kinsoku/>
        <w:wordWrap w:val="0"/>
        <w:overflowPunct/>
        <w:topLinePunct/>
        <w:autoSpaceDE/>
        <w:autoSpaceDN/>
        <w:bidi w:val="0"/>
        <w:adjustRightInd/>
        <w:snapToGrid/>
        <w:spacing w:line="360" w:lineRule="auto"/>
        <w:ind w:firstLine="480" w:firstLineChars="200"/>
        <w:jc w:val="left"/>
        <w:textAlignment w:val="auto"/>
        <w:rPr>
          <w:rFonts w:hint="eastAsia"/>
          <w:sz w:val="24"/>
          <w:szCs w:val="24"/>
          <w:lang w:val="zh-CN"/>
        </w:rPr>
      </w:pPr>
      <w:r>
        <w:rPr>
          <w:rFonts w:hint="eastAsia"/>
          <w:sz w:val="24"/>
          <w:szCs w:val="24"/>
          <w:lang w:val="en-US" w:eastAsia="zh-CN"/>
        </w:rPr>
        <w:t>8</w:t>
      </w:r>
      <w:r>
        <w:rPr>
          <w:rFonts w:hint="eastAsia"/>
          <w:sz w:val="24"/>
          <w:szCs w:val="24"/>
        </w:rPr>
        <w:t>、河南省交通厅关于发布《河南省普通公路养护工程预算编制办法》、《河南省普通公路养护工程预算定额》、《河南省普通公路养护工程机械台班费用定额》及《河南省普通公路日常养护预算编制办法》、《河南省普通公路日常养护预算指标（定额）》的通知（豫交文【2021】76号）；</w:t>
      </w:r>
      <w:r>
        <w:rPr>
          <w:rFonts w:hint="eastAsia"/>
          <w:sz w:val="24"/>
          <w:szCs w:val="24"/>
          <w:lang w:val="zh-CN"/>
        </w:rPr>
        <w:t xml:space="preserve"> </w:t>
      </w:r>
    </w:p>
    <w:p w14:paraId="0FD518E2">
      <w:pPr>
        <w:keepNext w:val="0"/>
        <w:keepLines w:val="0"/>
        <w:pageBreakBefore w:val="0"/>
        <w:widowControl w:val="0"/>
        <w:kinsoku/>
        <w:wordWrap w:val="0"/>
        <w:overflowPunct/>
        <w:topLinePunct/>
        <w:autoSpaceDE/>
        <w:autoSpaceDN/>
        <w:bidi w:val="0"/>
        <w:adjustRightInd/>
        <w:snapToGrid/>
        <w:spacing w:line="360" w:lineRule="auto"/>
        <w:ind w:firstLine="480" w:firstLineChars="200"/>
        <w:jc w:val="left"/>
        <w:textAlignment w:val="auto"/>
        <w:rPr>
          <w:rFonts w:hint="eastAsia"/>
          <w:sz w:val="24"/>
          <w:szCs w:val="24"/>
        </w:rPr>
      </w:pPr>
      <w:r>
        <w:rPr>
          <w:rFonts w:hint="eastAsia"/>
          <w:sz w:val="24"/>
          <w:szCs w:val="24"/>
          <w:lang w:val="en-US" w:eastAsia="zh-CN"/>
        </w:rPr>
        <w:t>9</w:t>
      </w:r>
      <w:r>
        <w:rPr>
          <w:rFonts w:hint="eastAsia"/>
          <w:sz w:val="24"/>
          <w:szCs w:val="24"/>
        </w:rPr>
        <w:t>、财政部、税务总局关于调整增值税税率的通知财税〔2018〕32号文件。</w:t>
      </w:r>
    </w:p>
    <w:p w14:paraId="434C745A">
      <w:pPr>
        <w:keepNext w:val="0"/>
        <w:keepLines w:val="0"/>
        <w:pageBreakBefore w:val="0"/>
        <w:widowControl w:val="0"/>
        <w:kinsoku/>
        <w:wordWrap w:val="0"/>
        <w:overflowPunct/>
        <w:topLinePunct/>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10、其他有关文件的规定。</w:t>
      </w:r>
    </w:p>
    <w:p w14:paraId="4BC659D0">
      <w:pPr>
        <w:keepNext w:val="0"/>
        <w:keepLines w:val="0"/>
        <w:pageBreakBefore w:val="0"/>
        <w:widowControl w:val="0"/>
        <w:kinsoku/>
        <w:wordWrap w:val="0"/>
        <w:overflowPunct/>
        <w:topLinePunct/>
        <w:autoSpaceDE/>
        <w:autoSpaceDN/>
        <w:bidi w:val="0"/>
        <w:adjustRightInd/>
        <w:snapToGrid/>
        <w:spacing w:line="360" w:lineRule="auto"/>
        <w:jc w:val="left"/>
        <w:textAlignment w:val="auto"/>
        <w:rPr>
          <w:rFonts w:hint="eastAsia"/>
          <w:b/>
          <w:sz w:val="24"/>
          <w:szCs w:val="24"/>
        </w:rPr>
      </w:pPr>
      <w:r>
        <w:rPr>
          <w:rFonts w:hint="eastAsia"/>
          <w:b/>
          <w:sz w:val="24"/>
          <w:szCs w:val="24"/>
        </w:rPr>
        <w:t>二、</w:t>
      </w:r>
      <w:r>
        <w:rPr>
          <w:rFonts w:hint="eastAsia"/>
          <w:b/>
          <w:sz w:val="24"/>
          <w:szCs w:val="24"/>
          <w:lang w:val="en-US" w:eastAsia="zh-CN"/>
        </w:rPr>
        <w:t>取费标准</w:t>
      </w:r>
    </w:p>
    <w:p w14:paraId="10BFE211">
      <w:pPr>
        <w:keepNext w:val="0"/>
        <w:keepLines w:val="0"/>
        <w:pageBreakBefore w:val="0"/>
        <w:widowControl w:val="0"/>
        <w:kinsoku/>
        <w:wordWrap w:val="0"/>
        <w:overflowPunct/>
        <w:topLinePunct/>
        <w:autoSpaceDE/>
        <w:autoSpaceDN/>
        <w:bidi w:val="0"/>
        <w:adjustRightInd/>
        <w:snapToGrid w:val="0"/>
        <w:spacing w:line="360" w:lineRule="auto"/>
        <w:ind w:firstLine="480" w:firstLineChars="200"/>
        <w:jc w:val="left"/>
        <w:textAlignment w:val="auto"/>
        <w:rPr>
          <w:rFonts w:hint="eastAsia"/>
          <w:sz w:val="24"/>
          <w:szCs w:val="24"/>
        </w:rPr>
      </w:pPr>
      <w:r>
        <w:rPr>
          <w:sz w:val="24"/>
          <w:szCs w:val="24"/>
        </w:rPr>
        <w:t>1</w:t>
      </w:r>
      <w:r>
        <w:rPr>
          <w:rFonts w:hint="eastAsia"/>
          <w:sz w:val="24"/>
          <w:szCs w:val="24"/>
        </w:rPr>
        <w:t>、人工、机械工费：依据河南省交通运输厅文件“豫交文【2019】27</w:t>
      </w:r>
      <w:r>
        <w:rPr>
          <w:rFonts w:hint="eastAsia"/>
          <w:sz w:val="24"/>
          <w:szCs w:val="24"/>
          <w:lang w:val="en-US" w:eastAsia="zh-CN"/>
        </w:rPr>
        <w:t>4</w:t>
      </w:r>
      <w:r>
        <w:rPr>
          <w:rFonts w:hint="eastAsia"/>
          <w:sz w:val="24"/>
          <w:szCs w:val="24"/>
        </w:rPr>
        <w:t>号文件”人工费单价为108.85元/工日。</w:t>
      </w:r>
    </w:p>
    <w:p w14:paraId="571B489E">
      <w:pPr>
        <w:keepNext w:val="0"/>
        <w:keepLines w:val="0"/>
        <w:pageBreakBefore w:val="0"/>
        <w:widowControl w:val="0"/>
        <w:kinsoku/>
        <w:wordWrap w:val="0"/>
        <w:overflowPunct/>
        <w:topLinePunct/>
        <w:autoSpaceDE/>
        <w:autoSpaceDN/>
        <w:bidi w:val="0"/>
        <w:adjustRightInd/>
        <w:snapToGrid w:val="0"/>
        <w:spacing w:line="360" w:lineRule="auto"/>
        <w:ind w:firstLine="480" w:firstLineChars="200"/>
        <w:jc w:val="left"/>
        <w:textAlignment w:val="auto"/>
        <w:rPr>
          <w:rFonts w:hint="eastAsia"/>
          <w:sz w:val="24"/>
          <w:szCs w:val="24"/>
        </w:rPr>
      </w:pPr>
      <w:r>
        <w:rPr>
          <w:rFonts w:hint="eastAsia"/>
          <w:sz w:val="24"/>
          <w:szCs w:val="24"/>
          <w:lang w:val="zh-CN"/>
        </w:rPr>
        <w:t>2、材料</w:t>
      </w:r>
      <w:r>
        <w:rPr>
          <w:rFonts w:hint="eastAsia"/>
          <w:sz w:val="24"/>
          <w:szCs w:val="24"/>
          <w:lang w:val="en-US" w:eastAsia="zh-CN"/>
        </w:rPr>
        <w:t>价格参照《三门峡工程标准造价信息》</w:t>
      </w:r>
      <w:r>
        <w:rPr>
          <w:rFonts w:hint="eastAsia"/>
          <w:sz w:val="24"/>
          <w:szCs w:val="24"/>
          <w:lang w:val="zh-CN"/>
        </w:rPr>
        <w:t>2025年第3期及《河南省交通材料价格调查系统》同期发布的材料单价。</w:t>
      </w:r>
    </w:p>
    <w:p w14:paraId="6C77C1B7">
      <w:pPr>
        <w:keepNext w:val="0"/>
        <w:keepLines w:val="0"/>
        <w:pageBreakBefore w:val="0"/>
        <w:widowControl w:val="0"/>
        <w:kinsoku/>
        <w:wordWrap w:val="0"/>
        <w:overflowPunct/>
        <w:topLinePunct/>
        <w:autoSpaceDE/>
        <w:autoSpaceDN/>
        <w:bidi w:val="0"/>
        <w:adjustRightInd/>
        <w:snapToGrid/>
        <w:spacing w:line="360" w:lineRule="auto"/>
        <w:jc w:val="left"/>
        <w:textAlignment w:val="auto"/>
        <w:rPr>
          <w:rFonts w:hint="eastAsia" w:ascii="宋体" w:hAnsi="宋体" w:eastAsia="宋体" w:cs="宋体"/>
          <w:b/>
          <w:sz w:val="24"/>
          <w:szCs w:val="24"/>
        </w:rPr>
      </w:pPr>
      <w:r>
        <w:rPr>
          <w:rFonts w:hint="eastAsia" w:ascii="宋体" w:hAnsi="宋体" w:eastAsia="宋体" w:cs="宋体"/>
          <w:b/>
          <w:sz w:val="24"/>
          <w:szCs w:val="24"/>
        </w:rPr>
        <w:t>三、编制范围</w:t>
      </w:r>
    </w:p>
    <w:p w14:paraId="6F5313BB">
      <w:pPr>
        <w:keepNext w:val="0"/>
        <w:keepLines w:val="0"/>
        <w:pageBreakBefore w:val="0"/>
        <w:widowControl w:val="0"/>
        <w:kinsoku/>
        <w:wordWrap w:val="0"/>
        <w:overflowPunct/>
        <w:topLinePunct/>
        <w:autoSpaceDE/>
        <w:autoSpaceDN/>
        <w:bidi w:val="0"/>
        <w:adjustRightInd/>
        <w:snapToGrid/>
        <w:spacing w:line="360" w:lineRule="auto"/>
        <w:ind w:firstLine="240" w:firstLineChars="100"/>
        <w:jc w:val="left"/>
        <w:textAlignment w:val="auto"/>
        <w:rPr>
          <w:sz w:val="24"/>
          <w:szCs w:val="24"/>
        </w:rPr>
      </w:pPr>
      <w:r>
        <w:rPr>
          <w:rFonts w:hint="eastAsia"/>
          <w:sz w:val="24"/>
          <w:szCs w:val="24"/>
        </w:rPr>
        <w:t>《施工图设计》中的全部内容。</w:t>
      </w:r>
    </w:p>
    <w:p w14:paraId="4BCB079E">
      <w:pPr>
        <w:pStyle w:val="20"/>
        <w:numPr>
          <w:ilvl w:val="0"/>
          <w:numId w:val="0"/>
        </w:numPr>
        <w:spacing w:before="312" w:beforeLines="100" w:after="312" w:afterLines="100" w:line="600" w:lineRule="exact"/>
        <w:jc w:val="center"/>
        <w:outlineLvl w:val="0"/>
        <w:rPr>
          <w:rFonts w:hint="default" w:hAnsi="Courier New" w:cs="Courier New"/>
          <w:b/>
          <w:bCs/>
          <w:color w:val="auto"/>
          <w:sz w:val="32"/>
          <w:szCs w:val="32"/>
          <w:highlight w:val="none"/>
          <w:lang w:val="en-US" w:eastAsia="zh-CN"/>
        </w:rPr>
      </w:pPr>
      <w:bookmarkStart w:id="1705" w:name="_Toc17544"/>
      <w:bookmarkStart w:id="1706" w:name="_Toc12390"/>
      <w:r>
        <w:rPr>
          <w:rFonts w:hint="eastAsia" w:hAnsi="Courier New" w:cs="Courier New"/>
          <w:b/>
          <w:bCs/>
          <w:color w:val="auto"/>
          <w:sz w:val="32"/>
          <w:szCs w:val="32"/>
          <w:highlight w:val="none"/>
          <w:lang w:val="en-US" w:eastAsia="zh-CN"/>
        </w:rPr>
        <w:br w:type="page"/>
      </w:r>
      <w:r>
        <w:rPr>
          <w:rFonts w:hint="eastAsia" w:hAnsi="Courier New" w:cs="Courier New"/>
          <w:b/>
          <w:bCs/>
          <w:color w:val="auto"/>
          <w:sz w:val="32"/>
          <w:szCs w:val="32"/>
          <w:highlight w:val="none"/>
          <w:lang w:val="en-US" w:eastAsia="zh-CN"/>
        </w:rPr>
        <w:t>第六章 工程量清单（另附）</w:t>
      </w:r>
      <w:bookmarkEnd w:id="1705"/>
      <w:bookmarkEnd w:id="1706"/>
    </w:p>
    <w:p w14:paraId="1C8ED672">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b/>
          <w:bCs/>
          <w:sz w:val="24"/>
          <w:szCs w:val="24"/>
        </w:rPr>
      </w:pPr>
      <w:r>
        <w:rPr>
          <w:rFonts w:hint="eastAsia" w:ascii="宋体" w:hAnsi="宋体" w:eastAsia="宋体" w:cs="宋体"/>
          <w:b/>
          <w:bCs/>
          <w:sz w:val="24"/>
          <w:szCs w:val="24"/>
        </w:rPr>
        <w:t>1.工程量清单说明</w:t>
      </w:r>
    </w:p>
    <w:p w14:paraId="570A1AAC">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1.1本工程量清单是根据招标文件中包括的有合同约束力的工程量清单计量规则、图纸以及有关工程量清单的国家标准、行业标准、合同条款中约定的其他规则编制。约定计量规则中没有的子目，其工程量按照有合同约束力的图纸所标示尺寸的理论净量计算。计量采用中华人民共和国法定计量单位。</w:t>
      </w:r>
    </w:p>
    <w:p w14:paraId="76485FBF">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1.2本工程量清单应与招标文件中的投标人须知、通用合同条款、专用合同条款、工程量清单计量规则、技术规范及图纸等一起阅读和理解。</w:t>
      </w:r>
    </w:p>
    <w:p w14:paraId="7F563900">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1.3本工程量清单中所列工程数量是估算的或设计的预计数量，仅作为投标报价的共同基础，不能作为最终结算与支付的依据。实际支付应按实际完成的工程量，由承包人按工程量清单计量规则规定的计量方法，以监理人认可的尺寸、断面计量,按本工程量清单的单价和总额价计算支付金额:或根据具体情况,按合同条款的规定，按监理人确定的单价或总额价计算支付额。</w:t>
      </w:r>
    </w:p>
    <w:p w14:paraId="5B7B4C27">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1.4工程量清单各章是按“工程量清单计量规则”、“技术规范”的相应章次编号的，因此，工程量清单中各章的工程子目的范围与计量等应与“工程量清单计量规则”“技术规范”相应章节的范围、计量与支付条款结合起来理解或解释。</w:t>
      </w:r>
    </w:p>
    <w:p w14:paraId="07AEC228">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1.5对作业和材料的一般说明或规定，未重复写入工程量清单内，在给工程量清单各子目标价前，应参阅“技术规范”的有关内容。</w:t>
      </w:r>
    </w:p>
    <w:p w14:paraId="357CB98B">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1.6工程量清单中所列工程量的变动，丝毫不会降低或影响合同条款的效力,也不免除承包人按规定的标准进行施工和修复缺陷的责任。</w:t>
      </w:r>
    </w:p>
    <w:p w14:paraId="160AC4B0">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1.7图纸中所列的工程数量表及数量汇总表仅是提供资料，不是工程量清单的外延。当图纸与工程量清单所列数量不一致时，以工程量清单所列数量作为报价的依据。</w:t>
      </w:r>
    </w:p>
    <w:p w14:paraId="72BFF42C">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b/>
          <w:bCs/>
          <w:sz w:val="24"/>
          <w:szCs w:val="24"/>
        </w:rPr>
      </w:pPr>
      <w:r>
        <w:rPr>
          <w:rFonts w:hint="eastAsia" w:ascii="宋体" w:hAnsi="宋体" w:eastAsia="宋体" w:cs="宋体"/>
          <w:b/>
          <w:bCs/>
          <w:sz w:val="24"/>
          <w:szCs w:val="24"/>
        </w:rPr>
        <w:t>2．投标报价说明</w:t>
      </w:r>
    </w:p>
    <w:p w14:paraId="257407C2">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2.1 工程量清单中的每一子目须填入单价或价格，且只允许有一个报价。</w:t>
      </w:r>
    </w:p>
    <w:p w14:paraId="0D26B044">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2.2 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6E3CF0E5">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2.3 工程量清单中投标人没有填入单价或价格的子目，其费用视为己分摊在工程量清单中其他相关子目的单价或价格之中。承包人必须按监理人指令完成工程量清单中未填入单价或价格的子目，但不能得到结算与支付。</w:t>
      </w:r>
    </w:p>
    <w:p w14:paraId="1439ED0C">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2.4 符合合同条款规定的全部费用应认为已被计入有标价的工程量清单所列各子目之中，未列子目不予计量的工作，其费用应视为已分摊在本合同工程的有关子目的单价或总额价之中。</w:t>
      </w:r>
    </w:p>
    <w:p w14:paraId="7FF13A82">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2.5承包人用于本合同工程的各类装备的提供、运输、维护、拆卸、拼装等支付的费用，已包括在工程量清单的单价与总额价之中。</w:t>
      </w:r>
    </w:p>
    <w:p w14:paraId="54E0F33A">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2.6 工程量清单中各项金额均以人民币（元）结算。</w:t>
      </w:r>
    </w:p>
    <w:p w14:paraId="608453CA">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2.8 暂列金额（不含计日工总额）的数量及拟用子目的说明：</w:t>
      </w:r>
      <w:r>
        <w:rPr>
          <w:rFonts w:hint="eastAsia" w:ascii="宋体" w:hAnsi="宋体" w:eastAsia="宋体" w:cs="宋体"/>
          <w:sz w:val="24"/>
          <w:szCs w:val="24"/>
          <w:u w:val="single"/>
        </w:rPr>
        <w:t xml:space="preserve">       /        </w:t>
      </w:r>
      <w:r>
        <w:rPr>
          <w:rFonts w:hint="eastAsia" w:ascii="宋体" w:hAnsi="宋体" w:eastAsia="宋体" w:cs="宋体"/>
          <w:sz w:val="24"/>
          <w:szCs w:val="24"/>
        </w:rPr>
        <w:t>。</w:t>
      </w:r>
    </w:p>
    <w:p w14:paraId="4D7272E8">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2.9 暂估价的数量及拟用子目的说明：</w:t>
      </w:r>
      <w:r>
        <w:rPr>
          <w:rFonts w:hint="eastAsia" w:ascii="宋体" w:hAnsi="宋体" w:eastAsia="宋体" w:cs="宋体"/>
          <w:sz w:val="24"/>
          <w:szCs w:val="24"/>
          <w:u w:val="single"/>
        </w:rPr>
        <w:t xml:space="preserve">          /        </w:t>
      </w:r>
      <w:r>
        <w:rPr>
          <w:rFonts w:hint="eastAsia" w:ascii="宋体" w:hAnsi="宋体" w:eastAsia="宋体" w:cs="宋体"/>
          <w:sz w:val="24"/>
          <w:szCs w:val="24"/>
        </w:rPr>
        <w:t>。</w:t>
      </w:r>
    </w:p>
    <w:p w14:paraId="3359C135">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、其他说明：</w:t>
      </w:r>
    </w:p>
    <w:p w14:paraId="49706911">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保险费：包含建筑工程一切险和第三者责任险，暂按评审结论9884.78元计列。</w:t>
      </w:r>
    </w:p>
    <w:p w14:paraId="31CB14D9">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安全生产费：按招标控制价的1.5%计列。</w:t>
      </w:r>
    </w:p>
    <w:p w14:paraId="0F65B2FD">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工程量清单电子版作为附件从三门峡市公共资源交易中心网站点击下载。</w:t>
      </w:r>
    </w:p>
    <w:p w14:paraId="64EF12B9">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lang w:val="en-US" w:eastAsia="zh-CN"/>
        </w:rPr>
      </w:pPr>
    </w:p>
    <w:p w14:paraId="6570EFB3">
      <w:pPr>
        <w:pStyle w:val="20"/>
        <w:numPr>
          <w:ilvl w:val="0"/>
          <w:numId w:val="0"/>
        </w:numPr>
        <w:spacing w:before="312" w:beforeLines="100" w:after="312" w:afterLines="100" w:line="600" w:lineRule="exact"/>
        <w:jc w:val="center"/>
        <w:outlineLvl w:val="0"/>
        <w:rPr>
          <w:rFonts w:hint="default" w:hAnsi="Courier New" w:cs="Courier New"/>
          <w:b/>
          <w:bCs/>
          <w:color w:val="auto"/>
          <w:sz w:val="32"/>
          <w:szCs w:val="32"/>
          <w:highlight w:val="yellow"/>
          <w:lang w:val="en-US" w:eastAsia="zh-CN"/>
        </w:rPr>
      </w:pPr>
      <w:bookmarkStart w:id="1707" w:name="_Toc16567"/>
      <w:r>
        <w:rPr>
          <w:rFonts w:hint="eastAsia" w:hAnsi="Courier New" w:cs="Courier New"/>
          <w:b/>
          <w:bCs/>
          <w:color w:val="auto"/>
          <w:sz w:val="32"/>
          <w:szCs w:val="32"/>
          <w:highlight w:val="none"/>
          <w:lang w:val="en-US" w:eastAsia="zh-CN"/>
        </w:rPr>
        <w:br w:type="page"/>
      </w:r>
      <w:bookmarkStart w:id="1708" w:name="_Toc3791"/>
      <w:r>
        <w:rPr>
          <w:rFonts w:hint="eastAsia" w:hAnsi="Courier New" w:cs="Courier New"/>
          <w:b/>
          <w:bCs/>
          <w:color w:val="auto"/>
          <w:sz w:val="32"/>
          <w:szCs w:val="32"/>
          <w:highlight w:val="none"/>
          <w:lang w:val="en-US" w:eastAsia="zh-CN"/>
        </w:rPr>
        <w:t>第七章 图纸（另附）</w:t>
      </w:r>
      <w:bookmarkEnd w:id="1708"/>
    </w:p>
    <w:p w14:paraId="46C9E852">
      <w:pPr>
        <w:pStyle w:val="20"/>
        <w:numPr>
          <w:ilvl w:val="0"/>
          <w:numId w:val="0"/>
        </w:numPr>
        <w:spacing w:before="312" w:beforeLines="100" w:after="312" w:afterLines="100" w:line="600" w:lineRule="exact"/>
        <w:jc w:val="center"/>
        <w:outlineLvl w:val="0"/>
        <w:rPr>
          <w:rFonts w:hint="eastAsia" w:hAnsi="Courier New" w:cs="Courier New"/>
          <w:b/>
          <w:bCs/>
          <w:color w:val="auto"/>
          <w:sz w:val="32"/>
          <w:szCs w:val="32"/>
          <w:highlight w:val="none"/>
          <w:lang w:val="en-US" w:eastAsia="zh-CN"/>
        </w:rPr>
      </w:pPr>
      <w:r>
        <w:rPr>
          <w:rFonts w:hint="eastAsia" w:hAnsi="Courier New" w:cs="Courier New"/>
          <w:b/>
          <w:bCs/>
          <w:color w:val="auto"/>
          <w:sz w:val="32"/>
          <w:szCs w:val="32"/>
          <w:highlight w:val="none"/>
          <w:lang w:val="en-US" w:eastAsia="zh-CN"/>
        </w:rPr>
        <w:br w:type="page"/>
      </w:r>
      <w:bookmarkStart w:id="1709" w:name="_Toc21298"/>
      <w:r>
        <w:rPr>
          <w:rFonts w:hint="eastAsia" w:hAnsi="Courier New" w:cs="Courier New"/>
          <w:b/>
          <w:bCs/>
          <w:color w:val="auto"/>
          <w:sz w:val="32"/>
          <w:szCs w:val="32"/>
          <w:highlight w:val="none"/>
          <w:lang w:val="en-US" w:eastAsia="zh-CN"/>
        </w:rPr>
        <w:t>第八章 技术标准和要求</w:t>
      </w:r>
      <w:bookmarkEnd w:id="1707"/>
      <w:bookmarkEnd w:id="1709"/>
    </w:p>
    <w:bookmarkEnd w:id="1702"/>
    <w:p w14:paraId="492110EA">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b/>
          <w:bCs/>
          <w:sz w:val="24"/>
          <w:szCs w:val="24"/>
          <w:lang w:val="zh-CN"/>
        </w:rPr>
      </w:pPr>
      <w:r>
        <w:rPr>
          <w:rFonts w:hint="eastAsia" w:ascii="宋体" w:hAnsi="宋体" w:eastAsia="宋体" w:cs="宋体"/>
          <w:b/>
          <w:bCs/>
          <w:sz w:val="24"/>
          <w:szCs w:val="24"/>
          <w:lang w:val="zh-CN"/>
        </w:rPr>
        <w:t>一、适用范围</w:t>
      </w:r>
    </w:p>
    <w:p w14:paraId="655801E0">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规范及技术要求的详细内容均己注明于施工图和有关文件之中。该规范仅适用于本工程施工。</w:t>
      </w:r>
    </w:p>
    <w:p w14:paraId="43D3AA27">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b/>
          <w:bCs/>
          <w:sz w:val="24"/>
          <w:szCs w:val="24"/>
          <w:lang w:val="zh-CN"/>
        </w:rPr>
      </w:pPr>
      <w:r>
        <w:rPr>
          <w:rFonts w:hint="eastAsia" w:ascii="宋体" w:hAnsi="宋体" w:eastAsia="宋体" w:cs="宋体"/>
          <w:b/>
          <w:bCs/>
          <w:sz w:val="24"/>
          <w:szCs w:val="24"/>
          <w:lang w:val="zh-CN"/>
        </w:rPr>
        <w:t>二、实施的有关标准与法规</w:t>
      </w:r>
    </w:p>
    <w:p w14:paraId="5257A1BD">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1、规范中指定的标准或规范为工程实施中实际采用的标准和规范，成交人提出采用的其它标准及规范，如能保证其达到与本规范所规定的标准及规范相同的质量或更高的质量，经项目总监事先审阅和书面批准即可采用。</w:t>
      </w:r>
    </w:p>
    <w:p w14:paraId="3C1A8BDA">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2、本规范与图纸中明显地未提到的任何细节，或在涉及任何条款的细节说明中有明显的遗漏，都应被认为指的是采用令人满意的习惯作法。本工程实施中所采用的设备和工艺应在各方面符合引用的标准规范。本工程实施中采用图纸中指定的及以其它现行的工程技术、施工验收标准及规范。所采用的规范和标准如出现标准不一致的情况，以标准高的为准。</w:t>
      </w:r>
    </w:p>
    <w:p w14:paraId="040D14E7">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以上技术规范标准与新技术规范标准不一致时，以新技术规范标准为准。</w:t>
      </w:r>
    </w:p>
    <w:p w14:paraId="0D8F8584">
      <w:pPr>
        <w:keepNext w:val="0"/>
        <w:keepLines w:val="0"/>
        <w:pageBreakBefore w:val="0"/>
        <w:widowControl w:val="0"/>
        <w:kinsoku/>
        <w:wordWrap/>
        <w:overflowPunct/>
        <w:topLinePunct w:val="0"/>
        <w:autoSpaceDE/>
        <w:autoSpaceDN/>
        <w:bidi w:val="0"/>
        <w:adjustRightInd/>
        <w:snapToGrid/>
        <w:spacing w:after="0" w:line="520" w:lineRule="exact"/>
        <w:ind w:firstLine="367" w:firstLineChars="175"/>
        <w:textAlignment w:val="auto"/>
        <w:rPr>
          <w:rFonts w:hint="eastAsia" w:ascii="宋体" w:hAnsi="宋体" w:eastAsia="宋体" w:cs="宋体"/>
          <w:sz w:val="21"/>
          <w:szCs w:val="21"/>
          <w:lang w:val="zh-CN"/>
        </w:rPr>
      </w:pPr>
    </w:p>
    <w:p w14:paraId="270EE6AE">
      <w:pPr>
        <w:spacing w:line="480" w:lineRule="exact"/>
        <w:rPr>
          <w:rFonts w:hint="eastAsia"/>
          <w:color w:val="auto"/>
          <w:highlight w:val="none"/>
        </w:rPr>
      </w:pPr>
    </w:p>
    <w:p w14:paraId="641F40E4">
      <w:pPr>
        <w:bidi w:val="0"/>
        <w:rPr>
          <w:rFonts w:hint="eastAsia"/>
          <w:lang w:val="en-US" w:eastAsia="zh-CN"/>
        </w:rPr>
      </w:pPr>
      <w:bookmarkStart w:id="1710" w:name="_Toc3615"/>
    </w:p>
    <w:p w14:paraId="474DEC39">
      <w:pPr>
        <w:bidi w:val="0"/>
        <w:rPr>
          <w:rFonts w:hint="eastAsia"/>
          <w:lang w:val="en-US" w:eastAsia="zh-CN"/>
        </w:rPr>
      </w:pPr>
    </w:p>
    <w:p w14:paraId="03A83832">
      <w:pPr>
        <w:bidi w:val="0"/>
        <w:rPr>
          <w:rFonts w:hint="eastAsia"/>
          <w:lang w:val="en-US" w:eastAsia="zh-CN"/>
        </w:rPr>
      </w:pPr>
    </w:p>
    <w:p w14:paraId="00A53710">
      <w:pPr>
        <w:bidi w:val="0"/>
        <w:rPr>
          <w:rFonts w:hint="eastAsia"/>
          <w:lang w:val="en-US" w:eastAsia="zh-CN"/>
        </w:rPr>
      </w:pPr>
    </w:p>
    <w:p w14:paraId="233D2100">
      <w:pPr>
        <w:bidi w:val="0"/>
        <w:rPr>
          <w:rFonts w:hint="eastAsia"/>
          <w:lang w:val="en-US" w:eastAsia="zh-CN"/>
        </w:rPr>
      </w:pPr>
    </w:p>
    <w:p w14:paraId="4B14F01B">
      <w:pPr>
        <w:bidi w:val="0"/>
        <w:rPr>
          <w:rFonts w:hint="eastAsia"/>
          <w:lang w:val="en-US" w:eastAsia="zh-CN"/>
        </w:rPr>
      </w:pPr>
    </w:p>
    <w:p w14:paraId="5C42F90F">
      <w:pPr>
        <w:pStyle w:val="20"/>
        <w:numPr>
          <w:ilvl w:val="0"/>
          <w:numId w:val="0"/>
        </w:numPr>
        <w:spacing w:before="312" w:beforeLines="100" w:after="312" w:afterLines="100" w:line="600" w:lineRule="exact"/>
        <w:jc w:val="center"/>
        <w:outlineLvl w:val="0"/>
        <w:rPr>
          <w:rFonts w:hint="eastAsia"/>
          <w:b/>
          <w:color w:val="auto"/>
          <w:sz w:val="52"/>
          <w:szCs w:val="52"/>
          <w:highlight w:val="none"/>
          <w:lang w:val="en-US" w:eastAsia="zh-CN"/>
        </w:rPr>
      </w:pPr>
      <w:r>
        <w:rPr>
          <w:rFonts w:hint="eastAsia" w:ascii="宋体" w:hAnsi="Courier New" w:eastAsia="宋体" w:cs="Courier New"/>
          <w:b/>
          <w:bCs/>
          <w:color w:val="auto"/>
          <w:sz w:val="32"/>
          <w:szCs w:val="32"/>
          <w:highlight w:val="none"/>
          <w:lang w:val="en-US" w:eastAsia="zh-CN"/>
        </w:rPr>
        <w:br w:type="page"/>
      </w:r>
      <w:bookmarkStart w:id="1711" w:name="_Toc28498"/>
      <w:bookmarkStart w:id="1712" w:name="_Toc31202"/>
      <w:r>
        <w:rPr>
          <w:rFonts w:hint="eastAsia" w:ascii="宋体" w:hAnsi="Courier New" w:eastAsia="宋体" w:cs="Courier New"/>
          <w:b/>
          <w:bCs/>
          <w:color w:val="auto"/>
          <w:sz w:val="32"/>
          <w:szCs w:val="32"/>
          <w:highlight w:val="none"/>
          <w:lang w:val="en-US" w:eastAsia="zh-CN"/>
        </w:rPr>
        <w:t xml:space="preserve">第九章 </w:t>
      </w:r>
      <w:r>
        <w:rPr>
          <w:rFonts w:hint="eastAsia" w:ascii="宋体" w:hAnsi="Courier New" w:eastAsia="宋体" w:cs="Courier New"/>
          <w:b/>
          <w:bCs/>
          <w:color w:val="auto"/>
          <w:sz w:val="32"/>
          <w:szCs w:val="32"/>
          <w:highlight w:val="none"/>
          <w:lang w:eastAsia="zh-CN"/>
        </w:rPr>
        <w:t>响应文件</w:t>
      </w:r>
      <w:r>
        <w:rPr>
          <w:rFonts w:hint="eastAsia" w:hAnsi="Courier New" w:cs="Courier New"/>
          <w:b/>
          <w:bCs/>
          <w:color w:val="auto"/>
          <w:sz w:val="32"/>
          <w:szCs w:val="32"/>
          <w:highlight w:val="none"/>
        </w:rPr>
        <w:t>格式</w:t>
      </w:r>
      <w:bookmarkEnd w:id="586"/>
      <w:bookmarkEnd w:id="1710"/>
      <w:bookmarkEnd w:id="1711"/>
      <w:bookmarkEnd w:id="1712"/>
      <w:r>
        <w:rPr>
          <w:rFonts w:hint="eastAsia"/>
          <w:b/>
          <w:color w:val="auto"/>
          <w:sz w:val="52"/>
          <w:szCs w:val="52"/>
          <w:highlight w:val="none"/>
          <w:lang w:val="en-US" w:eastAsia="zh-CN"/>
        </w:rPr>
        <w:t xml:space="preserve"> </w:t>
      </w:r>
    </w:p>
    <w:p w14:paraId="5F6989CC">
      <w:pPr>
        <w:pStyle w:val="20"/>
        <w:numPr>
          <w:ilvl w:val="0"/>
          <w:numId w:val="0"/>
        </w:numPr>
        <w:spacing w:before="312" w:beforeLines="100" w:after="312" w:afterLines="100" w:line="600" w:lineRule="exact"/>
        <w:ind w:firstLine="1320" w:firstLineChars="300"/>
        <w:jc w:val="both"/>
        <w:rPr>
          <w:rFonts w:hint="eastAsia"/>
          <w:b/>
          <w:color w:val="auto"/>
          <w:sz w:val="44"/>
          <w:szCs w:val="44"/>
          <w:highlight w:val="none"/>
          <w:u w:val="single"/>
        </w:rPr>
      </w:pPr>
    </w:p>
    <w:p w14:paraId="39D63A6C">
      <w:pPr>
        <w:pStyle w:val="20"/>
        <w:numPr>
          <w:ilvl w:val="0"/>
          <w:numId w:val="0"/>
        </w:numPr>
        <w:spacing w:before="312" w:beforeLines="100" w:after="312" w:afterLines="100" w:line="600" w:lineRule="exact"/>
        <w:ind w:firstLine="2640" w:firstLineChars="600"/>
        <w:jc w:val="both"/>
        <w:rPr>
          <w:rFonts w:hint="eastAsia"/>
          <w:b/>
          <w:color w:val="auto"/>
          <w:sz w:val="44"/>
          <w:szCs w:val="44"/>
          <w:highlight w:val="none"/>
        </w:rPr>
      </w:pPr>
      <w:r>
        <w:rPr>
          <w:rFonts w:hint="eastAsia"/>
          <w:b/>
          <w:color w:val="auto"/>
          <w:sz w:val="44"/>
          <w:szCs w:val="44"/>
          <w:highlight w:val="none"/>
          <w:u w:val="single"/>
          <w:lang w:val="en-US" w:eastAsia="zh-CN"/>
        </w:rPr>
        <w:t xml:space="preserve"> </w:t>
      </w:r>
      <w:r>
        <w:rPr>
          <w:rFonts w:hint="eastAsia"/>
          <w:b/>
          <w:color w:val="auto"/>
          <w:sz w:val="44"/>
          <w:szCs w:val="44"/>
          <w:highlight w:val="none"/>
          <w:u w:val="single"/>
        </w:rPr>
        <w:t xml:space="preserve">      </w:t>
      </w:r>
      <w:r>
        <w:rPr>
          <w:rFonts w:hint="eastAsia"/>
          <w:b/>
          <w:color w:val="auto"/>
          <w:sz w:val="44"/>
          <w:szCs w:val="44"/>
          <w:highlight w:val="none"/>
          <w:u w:val="single"/>
          <w:lang w:val="en-US" w:eastAsia="zh-CN"/>
        </w:rPr>
        <w:t xml:space="preserve"> </w:t>
      </w:r>
      <w:r>
        <w:rPr>
          <w:rFonts w:hint="eastAsia"/>
          <w:b/>
          <w:color w:val="auto"/>
          <w:sz w:val="44"/>
          <w:szCs w:val="44"/>
          <w:highlight w:val="none"/>
          <w:u w:val="single"/>
        </w:rPr>
        <w:t xml:space="preserve">  </w:t>
      </w:r>
      <w:r>
        <w:rPr>
          <w:rFonts w:hint="eastAsia"/>
          <w:b/>
          <w:color w:val="auto"/>
          <w:sz w:val="44"/>
          <w:szCs w:val="44"/>
          <w:highlight w:val="none"/>
          <w:u w:val="single"/>
          <w:lang w:val="en-US" w:eastAsia="zh-CN"/>
        </w:rPr>
        <w:t xml:space="preserve"> </w:t>
      </w:r>
      <w:r>
        <w:rPr>
          <w:rFonts w:hint="eastAsia"/>
          <w:b/>
          <w:color w:val="auto"/>
          <w:sz w:val="44"/>
          <w:szCs w:val="44"/>
          <w:highlight w:val="none"/>
          <w:u w:val="single"/>
        </w:rPr>
        <w:t xml:space="preserve">    </w:t>
      </w:r>
      <w:r>
        <w:rPr>
          <w:rFonts w:hint="eastAsia"/>
          <w:b/>
          <w:color w:val="auto"/>
          <w:sz w:val="44"/>
          <w:szCs w:val="44"/>
          <w:highlight w:val="none"/>
        </w:rPr>
        <w:t>项目</w:t>
      </w:r>
    </w:p>
    <w:p w14:paraId="20F09052">
      <w:pPr>
        <w:pStyle w:val="20"/>
        <w:spacing w:before="312" w:beforeLines="100" w:after="312" w:afterLines="100" w:line="600" w:lineRule="exact"/>
        <w:jc w:val="center"/>
        <w:rPr>
          <w:rFonts w:hint="eastAsia"/>
          <w:b/>
          <w:bCs/>
          <w:color w:val="auto"/>
          <w:sz w:val="32"/>
          <w:highlight w:val="none"/>
          <w:u w:val="single"/>
        </w:rPr>
      </w:pPr>
    </w:p>
    <w:p w14:paraId="02E3CEF6">
      <w:pPr>
        <w:pStyle w:val="20"/>
        <w:spacing w:before="312" w:beforeLines="100" w:after="312" w:afterLines="100"/>
        <w:jc w:val="center"/>
        <w:rPr>
          <w:rFonts w:hint="eastAsia"/>
          <w:b/>
          <w:bCs/>
          <w:color w:val="auto"/>
          <w:sz w:val="84"/>
          <w:szCs w:val="84"/>
          <w:highlight w:val="none"/>
        </w:rPr>
      </w:pPr>
      <w:r>
        <w:rPr>
          <w:rFonts w:hint="eastAsia"/>
          <w:b/>
          <w:bCs/>
          <w:color w:val="auto"/>
          <w:sz w:val="84"/>
          <w:szCs w:val="84"/>
          <w:highlight w:val="none"/>
        </w:rPr>
        <w:t>响应文件</w:t>
      </w:r>
    </w:p>
    <w:p w14:paraId="12CC339A">
      <w:pPr>
        <w:bidi w:val="0"/>
        <w:ind w:firstLine="3360" w:firstLineChars="1200"/>
        <w:jc w:val="both"/>
        <w:rPr>
          <w:rFonts w:hint="default"/>
          <w:b/>
          <w:bCs/>
          <w:sz w:val="28"/>
          <w:szCs w:val="22"/>
          <w:lang w:val="en-US" w:eastAsia="zh-CN"/>
        </w:rPr>
      </w:pPr>
      <w:r>
        <w:rPr>
          <w:rFonts w:hint="eastAsia"/>
          <w:b/>
          <w:bCs/>
          <w:sz w:val="28"/>
          <w:szCs w:val="22"/>
          <w:lang w:val="en-US" w:eastAsia="zh-CN"/>
        </w:rPr>
        <w:t>项目编号：</w:t>
      </w:r>
    </w:p>
    <w:p w14:paraId="28D39C77">
      <w:pPr>
        <w:pStyle w:val="20"/>
        <w:spacing w:before="312" w:beforeLines="100" w:after="312" w:afterLines="100" w:line="600" w:lineRule="exact"/>
        <w:jc w:val="center"/>
        <w:rPr>
          <w:rFonts w:hint="eastAsia"/>
          <w:bCs/>
          <w:color w:val="auto"/>
          <w:sz w:val="32"/>
          <w:highlight w:val="none"/>
          <w:lang w:val="en-US" w:eastAsia="zh-CN"/>
        </w:rPr>
      </w:pPr>
    </w:p>
    <w:p w14:paraId="79C1465E">
      <w:pPr>
        <w:pStyle w:val="20"/>
        <w:spacing w:before="312" w:beforeLines="100" w:after="312" w:afterLines="100" w:line="600" w:lineRule="exact"/>
        <w:jc w:val="center"/>
        <w:rPr>
          <w:rFonts w:hint="eastAsia"/>
          <w:b/>
          <w:bCs/>
          <w:color w:val="auto"/>
          <w:sz w:val="32"/>
          <w:highlight w:val="none"/>
          <w:u w:val="single"/>
        </w:rPr>
      </w:pPr>
    </w:p>
    <w:p w14:paraId="40F19EE1">
      <w:pPr>
        <w:pStyle w:val="20"/>
        <w:spacing w:before="312" w:beforeLines="100" w:after="312" w:afterLines="100" w:line="600" w:lineRule="exact"/>
        <w:jc w:val="both"/>
        <w:rPr>
          <w:rFonts w:hint="eastAsia"/>
          <w:b/>
          <w:bCs/>
          <w:color w:val="auto"/>
          <w:sz w:val="32"/>
          <w:highlight w:val="none"/>
          <w:u w:val="single"/>
        </w:rPr>
      </w:pPr>
    </w:p>
    <w:p w14:paraId="2A3266A3">
      <w:pPr>
        <w:pStyle w:val="20"/>
        <w:spacing w:before="312" w:beforeLines="100" w:after="312" w:afterLines="100" w:line="600" w:lineRule="exact"/>
        <w:jc w:val="both"/>
        <w:rPr>
          <w:rFonts w:hint="eastAsia"/>
          <w:b/>
          <w:bCs/>
          <w:color w:val="auto"/>
          <w:sz w:val="32"/>
          <w:highlight w:val="none"/>
          <w:u w:val="single"/>
        </w:rPr>
      </w:pPr>
    </w:p>
    <w:p w14:paraId="005326F0">
      <w:pPr>
        <w:pStyle w:val="20"/>
        <w:keepNext w:val="0"/>
        <w:keepLines w:val="0"/>
        <w:pageBreakBefore w:val="0"/>
        <w:widowControl w:val="0"/>
        <w:kinsoku/>
        <w:wordWrap w:val="0"/>
        <w:overflowPunct/>
        <w:topLinePunct/>
        <w:autoSpaceDE/>
        <w:autoSpaceDN/>
        <w:bidi w:val="0"/>
        <w:adjustRightInd/>
        <w:snapToGrid/>
        <w:spacing w:before="312" w:beforeLines="100" w:after="312" w:afterLines="100" w:line="600" w:lineRule="exact"/>
        <w:ind w:left="720" w:leftChars="300" w:firstLine="0" w:firstLineChars="0"/>
        <w:jc w:val="both"/>
        <w:textAlignment w:val="auto"/>
        <w:rPr>
          <w:rFonts w:hint="eastAsia"/>
          <w:b/>
          <w:bCs/>
          <w:color w:val="auto"/>
          <w:sz w:val="32"/>
          <w:highlight w:val="none"/>
          <w:u w:val="single"/>
        </w:rPr>
      </w:pPr>
      <w:r>
        <w:rPr>
          <w:rFonts w:hint="eastAsia"/>
          <w:b/>
          <w:bCs/>
          <w:color w:val="auto"/>
          <w:sz w:val="32"/>
          <w:highlight w:val="none"/>
        </w:rPr>
        <w:t>供 应 商：</w:t>
      </w:r>
      <w:r>
        <w:rPr>
          <w:rFonts w:hint="eastAsia"/>
          <w:b/>
          <w:bCs/>
          <w:color w:val="auto"/>
          <w:sz w:val="32"/>
          <w:highlight w:val="none"/>
          <w:u w:val="single"/>
        </w:rPr>
        <w:t xml:space="preserve">                     </w:t>
      </w:r>
      <w:r>
        <w:rPr>
          <w:rFonts w:hint="eastAsia"/>
          <w:b/>
          <w:bCs/>
          <w:color w:val="auto"/>
          <w:sz w:val="32"/>
          <w:highlight w:val="none"/>
        </w:rPr>
        <w:t>（盖单位章）</w:t>
      </w:r>
    </w:p>
    <w:p w14:paraId="485908BB">
      <w:pPr>
        <w:pStyle w:val="20"/>
        <w:keepNext w:val="0"/>
        <w:keepLines w:val="0"/>
        <w:pageBreakBefore w:val="0"/>
        <w:widowControl w:val="0"/>
        <w:kinsoku/>
        <w:wordWrap w:val="0"/>
        <w:overflowPunct/>
        <w:topLinePunct/>
        <w:autoSpaceDE/>
        <w:autoSpaceDN/>
        <w:bidi w:val="0"/>
        <w:adjustRightInd/>
        <w:snapToGrid/>
        <w:spacing w:before="312" w:beforeLines="100" w:after="312" w:afterLines="100" w:line="600" w:lineRule="exact"/>
        <w:ind w:left="720" w:leftChars="300" w:firstLine="0" w:firstLineChars="0"/>
        <w:jc w:val="both"/>
        <w:textAlignment w:val="auto"/>
        <w:rPr>
          <w:rFonts w:hint="eastAsia"/>
          <w:b/>
          <w:bCs/>
          <w:color w:val="auto"/>
          <w:sz w:val="30"/>
          <w:szCs w:val="30"/>
          <w:highlight w:val="none"/>
        </w:rPr>
      </w:pPr>
      <w:r>
        <w:rPr>
          <w:rFonts w:hint="eastAsia"/>
          <w:b/>
          <w:bCs/>
          <w:color w:val="auto"/>
          <w:sz w:val="30"/>
          <w:szCs w:val="30"/>
          <w:highlight w:val="none"/>
        </w:rPr>
        <w:t>法定代表人：</w:t>
      </w:r>
      <w:r>
        <w:rPr>
          <w:rFonts w:hint="eastAsia"/>
          <w:b/>
          <w:bCs/>
          <w:color w:val="auto"/>
          <w:sz w:val="30"/>
          <w:szCs w:val="30"/>
          <w:highlight w:val="none"/>
          <w:u w:val="single"/>
        </w:rPr>
        <w:t xml:space="preserve">    </w:t>
      </w:r>
      <w:r>
        <w:rPr>
          <w:rFonts w:hint="eastAsia"/>
          <w:b/>
          <w:bCs/>
          <w:color w:val="auto"/>
          <w:sz w:val="30"/>
          <w:szCs w:val="30"/>
          <w:highlight w:val="none"/>
          <w:u w:val="single"/>
          <w:lang w:val="en-US" w:eastAsia="zh-CN"/>
        </w:rPr>
        <w:t xml:space="preserve">        </w:t>
      </w:r>
      <w:r>
        <w:rPr>
          <w:rFonts w:hint="eastAsia"/>
          <w:b/>
          <w:bCs/>
          <w:color w:val="auto"/>
          <w:sz w:val="30"/>
          <w:szCs w:val="30"/>
          <w:highlight w:val="none"/>
          <w:u w:val="single"/>
        </w:rPr>
        <w:t xml:space="preserve">          </w:t>
      </w:r>
      <w:r>
        <w:rPr>
          <w:rFonts w:hint="eastAsia"/>
          <w:b/>
          <w:bCs/>
          <w:color w:val="auto"/>
          <w:sz w:val="30"/>
          <w:szCs w:val="30"/>
          <w:highlight w:val="none"/>
        </w:rPr>
        <w:t>（</w:t>
      </w:r>
      <w:r>
        <w:rPr>
          <w:rFonts w:hint="eastAsia"/>
          <w:b/>
          <w:bCs/>
          <w:color w:val="auto"/>
          <w:sz w:val="30"/>
          <w:szCs w:val="30"/>
          <w:highlight w:val="none"/>
          <w:lang w:val="en-US" w:eastAsia="zh-CN"/>
        </w:rPr>
        <w:t>电子</w:t>
      </w:r>
      <w:r>
        <w:rPr>
          <w:rFonts w:hint="eastAsia"/>
          <w:b/>
          <w:bCs/>
          <w:color w:val="auto"/>
          <w:sz w:val="30"/>
          <w:szCs w:val="30"/>
          <w:highlight w:val="none"/>
          <w:lang w:val="en-US" w:eastAsia="zh-CN"/>
        </w:rPr>
        <w:t>签章</w:t>
      </w:r>
      <w:r>
        <w:rPr>
          <w:rFonts w:hint="eastAsia"/>
          <w:b/>
          <w:bCs/>
          <w:color w:val="auto"/>
          <w:sz w:val="30"/>
          <w:szCs w:val="30"/>
          <w:highlight w:val="none"/>
        </w:rPr>
        <w:t>）</w:t>
      </w:r>
    </w:p>
    <w:p w14:paraId="60EBCB0C">
      <w:pPr>
        <w:pStyle w:val="23"/>
        <w:keepNext w:val="0"/>
        <w:keepLines w:val="0"/>
        <w:pageBreakBefore w:val="0"/>
        <w:widowControl w:val="0"/>
        <w:kinsoku/>
        <w:wordWrap w:val="0"/>
        <w:overflowPunct/>
        <w:topLinePunct/>
        <w:autoSpaceDE/>
        <w:autoSpaceDN/>
        <w:bidi w:val="0"/>
        <w:adjustRightInd/>
        <w:snapToGrid/>
        <w:spacing w:line="500" w:lineRule="exact"/>
        <w:ind w:left="720" w:leftChars="300" w:firstLine="0" w:firstLineChars="0"/>
        <w:jc w:val="both"/>
        <w:textAlignment w:val="auto"/>
        <w:rPr>
          <w:rFonts w:hint="eastAsia"/>
          <w:b/>
          <w:bCs/>
          <w:color w:val="auto"/>
          <w:sz w:val="30"/>
          <w:szCs w:val="30"/>
          <w:highlight w:val="none"/>
        </w:rPr>
      </w:pPr>
      <w:r>
        <w:rPr>
          <w:rFonts w:hint="eastAsia"/>
          <w:b/>
          <w:bCs/>
          <w:color w:val="auto"/>
          <w:sz w:val="30"/>
          <w:szCs w:val="30"/>
          <w:highlight w:val="none"/>
        </w:rPr>
        <w:t>日      期：       年    月    日</w:t>
      </w:r>
    </w:p>
    <w:p w14:paraId="3AE3792E">
      <w:pPr>
        <w:pStyle w:val="23"/>
        <w:spacing w:line="500" w:lineRule="exact"/>
        <w:ind w:left="0" w:leftChars="0" w:firstLine="2121" w:firstLineChars="707"/>
        <w:rPr>
          <w:rFonts w:hint="eastAsia"/>
          <w:b/>
          <w:bCs/>
          <w:color w:val="auto"/>
          <w:sz w:val="30"/>
          <w:szCs w:val="30"/>
          <w:highlight w:val="none"/>
        </w:rPr>
      </w:pPr>
    </w:p>
    <w:p w14:paraId="0ACA0F4D">
      <w:pPr>
        <w:pStyle w:val="23"/>
        <w:spacing w:line="500" w:lineRule="exact"/>
        <w:ind w:left="0" w:leftChars="0" w:firstLine="1979" w:firstLineChars="707"/>
        <w:rPr>
          <w:bCs/>
          <w:color w:val="auto"/>
          <w:sz w:val="28"/>
          <w:szCs w:val="28"/>
          <w:highlight w:val="none"/>
        </w:rPr>
      </w:pPr>
    </w:p>
    <w:p w14:paraId="645FD473">
      <w:pPr>
        <w:keepNext w:val="0"/>
        <w:keepLines w:val="0"/>
        <w:pageBreakBefore w:val="0"/>
        <w:widowControl w:val="0"/>
        <w:kinsoku/>
        <w:wordWrap w:val="0"/>
        <w:overflowPunct/>
        <w:topLinePunct/>
        <w:autoSpaceDE/>
        <w:autoSpaceDN/>
        <w:bidi w:val="0"/>
        <w:adjustRightInd/>
        <w:snapToGrid/>
        <w:spacing w:before="313" w:beforeLines="100"/>
        <w:jc w:val="center"/>
        <w:textAlignment w:val="auto"/>
        <w:rPr>
          <w:rFonts w:hint="eastAsia"/>
          <w:b/>
          <w:sz w:val="36"/>
          <w:szCs w:val="36"/>
          <w:highlight w:val="none"/>
        </w:rPr>
      </w:pPr>
      <w:r>
        <w:rPr>
          <w:bCs/>
          <w:color w:val="auto"/>
          <w:sz w:val="28"/>
          <w:szCs w:val="28"/>
          <w:highlight w:val="none"/>
        </w:rPr>
        <w:br w:type="page"/>
      </w:r>
      <w:bookmarkStart w:id="1713" w:name="_Toc2421"/>
      <w:r>
        <w:rPr>
          <w:rFonts w:hint="eastAsia"/>
          <w:b/>
          <w:sz w:val="36"/>
          <w:szCs w:val="36"/>
          <w:highlight w:val="none"/>
        </w:rPr>
        <w:t>目</w:t>
      </w:r>
      <w:r>
        <w:rPr>
          <w:rFonts w:hint="eastAsia"/>
          <w:b/>
          <w:sz w:val="36"/>
          <w:szCs w:val="36"/>
          <w:highlight w:val="none"/>
          <w:lang w:val="en-US" w:eastAsia="zh-CN"/>
        </w:rPr>
        <w:t xml:space="preserve"> </w:t>
      </w:r>
      <w:r>
        <w:rPr>
          <w:rFonts w:hint="eastAsia"/>
          <w:b/>
          <w:sz w:val="36"/>
          <w:szCs w:val="36"/>
          <w:highlight w:val="none"/>
        </w:rPr>
        <w:t>录</w:t>
      </w:r>
    </w:p>
    <w:p w14:paraId="47B155FD">
      <w:pPr>
        <w:pStyle w:val="22"/>
        <w:keepNext w:val="0"/>
        <w:keepLines w:val="0"/>
        <w:pageBreakBefore w:val="0"/>
        <w:widowControl w:val="0"/>
        <w:kinsoku/>
        <w:overflowPunct/>
        <w:bidi w:val="0"/>
        <w:snapToGrid/>
        <w:spacing w:line="360" w:lineRule="auto"/>
        <w:textAlignment w:val="auto"/>
        <w:rPr>
          <w:rFonts w:hint="eastAsia"/>
          <w:sz w:val="24"/>
          <w:szCs w:val="24"/>
          <w:highlight w:val="none"/>
          <w:lang w:eastAsia="zh-CN"/>
        </w:rPr>
      </w:pPr>
    </w:p>
    <w:p w14:paraId="18CBA44F">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80" w:firstLineChars="200"/>
        <w:textAlignment w:val="auto"/>
        <w:rPr>
          <w:rFonts w:hint="eastAsia"/>
          <w:sz w:val="24"/>
          <w:szCs w:val="24"/>
        </w:rPr>
      </w:pPr>
      <w:r>
        <w:rPr>
          <w:rFonts w:hint="eastAsia"/>
          <w:sz w:val="24"/>
          <w:szCs w:val="24"/>
        </w:rPr>
        <w:t>一、响应函及响应函附录</w:t>
      </w:r>
    </w:p>
    <w:p w14:paraId="7C985BAE">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80" w:firstLineChars="200"/>
        <w:textAlignment w:val="auto"/>
        <w:rPr>
          <w:rFonts w:hint="eastAsia"/>
          <w:sz w:val="24"/>
          <w:szCs w:val="24"/>
        </w:rPr>
      </w:pPr>
      <w:r>
        <w:rPr>
          <w:rFonts w:hint="eastAsia"/>
          <w:sz w:val="24"/>
          <w:szCs w:val="24"/>
        </w:rPr>
        <w:t>二、法定代表人身份证明及授权委托书</w:t>
      </w:r>
    </w:p>
    <w:p w14:paraId="5CDE9294">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80" w:firstLineChars="200"/>
        <w:textAlignment w:val="auto"/>
        <w:rPr>
          <w:rFonts w:hint="eastAsia"/>
          <w:sz w:val="24"/>
          <w:szCs w:val="24"/>
        </w:rPr>
      </w:pPr>
      <w:r>
        <w:rPr>
          <w:rFonts w:hint="eastAsia"/>
          <w:sz w:val="24"/>
          <w:szCs w:val="24"/>
        </w:rPr>
        <w:t>三、响应承诺函</w:t>
      </w:r>
    </w:p>
    <w:p w14:paraId="732DC79A">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80" w:firstLineChars="200"/>
        <w:textAlignment w:val="auto"/>
        <w:rPr>
          <w:rFonts w:hint="eastAsia"/>
          <w:sz w:val="24"/>
          <w:szCs w:val="24"/>
        </w:rPr>
      </w:pPr>
      <w:r>
        <w:rPr>
          <w:rFonts w:hint="eastAsia"/>
          <w:sz w:val="24"/>
          <w:szCs w:val="24"/>
        </w:rPr>
        <w:t>四、供应商资格证明文件</w:t>
      </w:r>
    </w:p>
    <w:p w14:paraId="7FE0E8F6">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80" w:firstLineChars="200"/>
        <w:textAlignment w:val="auto"/>
        <w:rPr>
          <w:rFonts w:hint="eastAsia"/>
          <w:sz w:val="24"/>
          <w:szCs w:val="24"/>
        </w:rPr>
      </w:pPr>
      <w:r>
        <w:rPr>
          <w:rFonts w:hint="eastAsia"/>
          <w:sz w:val="24"/>
          <w:szCs w:val="24"/>
        </w:rPr>
        <w:t>五、已标价工程量清单</w:t>
      </w:r>
    </w:p>
    <w:p w14:paraId="0CAE9B25">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80" w:firstLineChars="200"/>
        <w:textAlignment w:val="auto"/>
        <w:rPr>
          <w:rFonts w:hint="eastAsia"/>
          <w:sz w:val="24"/>
          <w:szCs w:val="24"/>
        </w:rPr>
      </w:pPr>
      <w:r>
        <w:rPr>
          <w:rFonts w:hint="eastAsia"/>
          <w:sz w:val="24"/>
          <w:szCs w:val="24"/>
        </w:rPr>
        <w:t>六、施工组织设计</w:t>
      </w:r>
    </w:p>
    <w:p w14:paraId="34F466F3">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80" w:firstLineChars="200"/>
        <w:textAlignment w:val="auto"/>
        <w:rPr>
          <w:rFonts w:hint="eastAsia"/>
          <w:sz w:val="24"/>
          <w:szCs w:val="24"/>
        </w:rPr>
      </w:pPr>
      <w:r>
        <w:rPr>
          <w:rFonts w:hint="eastAsia"/>
          <w:sz w:val="24"/>
          <w:szCs w:val="24"/>
        </w:rPr>
        <w:t>七、项目管理机构</w:t>
      </w:r>
    </w:p>
    <w:p w14:paraId="415FE0AB">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80" w:firstLineChars="200"/>
        <w:textAlignment w:val="auto"/>
        <w:rPr>
          <w:rFonts w:hint="eastAsia"/>
          <w:sz w:val="24"/>
          <w:szCs w:val="24"/>
        </w:rPr>
      </w:pPr>
      <w:r>
        <w:rPr>
          <w:rFonts w:hint="eastAsia"/>
          <w:sz w:val="24"/>
          <w:szCs w:val="24"/>
        </w:rPr>
        <w:t>八、供应商基本情况资料</w:t>
      </w:r>
    </w:p>
    <w:p w14:paraId="118A87F7">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80" w:firstLineChars="200"/>
        <w:textAlignment w:val="auto"/>
        <w:rPr>
          <w:rFonts w:hint="eastAsia"/>
          <w:sz w:val="24"/>
          <w:szCs w:val="24"/>
        </w:rPr>
      </w:pPr>
      <w:r>
        <w:rPr>
          <w:rFonts w:hint="eastAsia"/>
          <w:sz w:val="24"/>
          <w:szCs w:val="24"/>
        </w:rPr>
        <w:t>九、商务标证明文件</w:t>
      </w:r>
    </w:p>
    <w:p w14:paraId="5928F131">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80" w:firstLineChars="200"/>
        <w:textAlignment w:val="auto"/>
        <w:rPr>
          <w:rFonts w:hint="eastAsia"/>
          <w:sz w:val="24"/>
          <w:szCs w:val="24"/>
        </w:rPr>
      </w:pPr>
      <w:r>
        <w:rPr>
          <w:rFonts w:hint="eastAsia"/>
          <w:sz w:val="24"/>
          <w:szCs w:val="24"/>
        </w:rPr>
        <w:t>十、中小企业证明</w:t>
      </w:r>
    </w:p>
    <w:p w14:paraId="69F0D875">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80" w:firstLineChars="200"/>
        <w:textAlignment w:val="auto"/>
        <w:rPr>
          <w:rFonts w:hint="eastAsia"/>
          <w:sz w:val="24"/>
          <w:szCs w:val="24"/>
        </w:rPr>
      </w:pPr>
      <w:r>
        <w:rPr>
          <w:rFonts w:hint="eastAsia"/>
          <w:sz w:val="24"/>
          <w:szCs w:val="24"/>
        </w:rPr>
        <w:t>十一、其他资料</w:t>
      </w:r>
    </w:p>
    <w:p w14:paraId="3F3DB752">
      <w:pPr>
        <w:pStyle w:val="3"/>
        <w:numPr>
          <w:ilvl w:val="0"/>
          <w:numId w:val="17"/>
        </w:numPr>
        <w:bidi w:val="0"/>
        <w:rPr>
          <w:rFonts w:hint="eastAsia" w:hAnsi="宋体"/>
          <w:b w:val="0"/>
          <w:color w:val="auto"/>
          <w:szCs w:val="28"/>
          <w:highlight w:val="none"/>
        </w:rPr>
      </w:pPr>
      <w:r>
        <w:rPr>
          <w:bCs w:val="0"/>
          <w:color w:val="auto"/>
          <w:szCs w:val="28"/>
          <w:highlight w:val="none"/>
        </w:rPr>
        <w:br w:type="page"/>
      </w:r>
      <w:bookmarkEnd w:id="1713"/>
      <w:bookmarkStart w:id="1714" w:name="_Toc20046"/>
      <w:bookmarkStart w:id="1715" w:name="_Toc12087"/>
      <w:r>
        <w:rPr>
          <w:rFonts w:hint="eastAsia"/>
          <w:lang w:val="en-US" w:eastAsia="zh-CN"/>
        </w:rPr>
        <w:t>响应函</w:t>
      </w:r>
      <w:r>
        <w:rPr>
          <w:rFonts w:hint="eastAsia"/>
          <w:lang w:val="zh-CN" w:eastAsia="zh-CN"/>
        </w:rPr>
        <w:t>及</w:t>
      </w:r>
      <w:r>
        <w:rPr>
          <w:rFonts w:hint="eastAsia"/>
          <w:lang w:val="en-US" w:eastAsia="zh-CN"/>
        </w:rPr>
        <w:t>响应函</w:t>
      </w:r>
      <w:r>
        <w:rPr>
          <w:rFonts w:hint="eastAsia"/>
          <w:lang w:val="zh-CN" w:eastAsia="zh-CN"/>
        </w:rPr>
        <w:t>附录</w:t>
      </w:r>
      <w:bookmarkEnd w:id="1714"/>
      <w:bookmarkEnd w:id="1715"/>
    </w:p>
    <w:p w14:paraId="49AF4012">
      <w:pPr>
        <w:pStyle w:val="4"/>
        <w:numPr>
          <w:ilvl w:val="0"/>
          <w:numId w:val="18"/>
        </w:numPr>
        <w:bidi w:val="0"/>
        <w:jc w:val="center"/>
        <w:rPr>
          <w:rFonts w:hint="eastAsia"/>
          <w:lang w:val="en-US" w:eastAsia="zh-CN"/>
        </w:rPr>
      </w:pPr>
      <w:r>
        <w:rPr>
          <w:rFonts w:hint="eastAsia"/>
          <w:lang w:val="en-US" w:eastAsia="zh-CN"/>
        </w:rPr>
        <w:t>响应函</w:t>
      </w:r>
    </w:p>
    <w:p w14:paraId="53F0AD04">
      <w:pPr>
        <w:numPr>
          <w:ilvl w:val="0"/>
          <w:numId w:val="0"/>
        </w:numPr>
        <w:rPr>
          <w:rFonts w:hint="eastAsia"/>
        </w:rPr>
      </w:pPr>
    </w:p>
    <w:p w14:paraId="001CAB2C">
      <w:pPr>
        <w:keepNext w:val="0"/>
        <w:keepLines w:val="0"/>
        <w:pageBreakBefore w:val="0"/>
        <w:kinsoku/>
        <w:wordWrap w:val="0"/>
        <w:overflowPunct/>
        <w:topLinePunct/>
        <w:autoSpaceDE/>
        <w:autoSpaceDN/>
        <w:bidi w:val="0"/>
        <w:adjustRightInd/>
        <w:snapToGrid/>
        <w:spacing w:line="360" w:lineRule="auto"/>
        <w:textAlignment w:val="auto"/>
        <w:rPr>
          <w:rFonts w:hint="eastAsia" w:ascii="宋体" w:hAnsi="宋体"/>
          <w:color w:val="000000"/>
          <w:sz w:val="24"/>
          <w:szCs w:val="24"/>
          <w:highlight w:val="none"/>
        </w:rPr>
      </w:pPr>
      <w:r>
        <w:rPr>
          <w:rFonts w:hint="eastAsia" w:ascii="宋体" w:hAnsi="宋体"/>
          <w:color w:val="000000"/>
          <w:sz w:val="24"/>
          <w:szCs w:val="24"/>
          <w:highlight w:val="none"/>
        </w:rPr>
        <w:t>致：</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hint="eastAsia" w:ascii="宋体" w:hAnsi="宋体"/>
          <w:color w:val="000000"/>
          <w:sz w:val="24"/>
          <w:szCs w:val="24"/>
          <w:highlight w:val="none"/>
          <w:u w:val="single"/>
        </w:rPr>
        <w:t>（采购人）</w:t>
      </w:r>
    </w:p>
    <w:p w14:paraId="67618B78">
      <w:pPr>
        <w:keepNext w:val="0"/>
        <w:keepLines w:val="0"/>
        <w:pageBreakBefore w:val="0"/>
        <w:widowControl/>
        <w:kinsoku/>
        <w:wordWrap w:val="0"/>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lang w:val="en-US" w:eastAsia="zh-CN"/>
        </w:rPr>
        <w:t>1.</w:t>
      </w:r>
      <w:r>
        <w:rPr>
          <w:rFonts w:hint="eastAsia" w:ascii="宋体" w:hAnsi="宋体"/>
          <w:sz w:val="24"/>
          <w:szCs w:val="24"/>
        </w:rPr>
        <w:t>我方已仔细研究了</w:t>
      </w:r>
      <w:r>
        <w:rPr>
          <w:rFonts w:hint="eastAsia" w:ascii="宋体" w:hAnsi="宋体"/>
          <w:sz w:val="24"/>
          <w:szCs w:val="24"/>
          <w:u w:val="single"/>
        </w:rPr>
        <w:t xml:space="preserve">     （项目名称）</w:t>
      </w:r>
      <w:r>
        <w:rPr>
          <w:rFonts w:hint="eastAsia" w:ascii="宋体" w:hAnsi="宋体"/>
          <w:sz w:val="24"/>
          <w:szCs w:val="24"/>
        </w:rPr>
        <w:t xml:space="preserve"> 竞争性磋商文件的全部内容，愿以人民币</w:t>
      </w:r>
      <w:r>
        <w:rPr>
          <w:rFonts w:hint="eastAsia" w:ascii="宋体" w:hAnsi="宋体"/>
          <w:sz w:val="24"/>
          <w:szCs w:val="24"/>
          <w:u w:val="single"/>
        </w:rPr>
        <w:t>（大写）</w:t>
      </w:r>
      <w:r>
        <w:rPr>
          <w:rFonts w:hint="eastAsia" w:ascii="宋体" w:hAnsi="宋体"/>
          <w:sz w:val="24"/>
          <w:szCs w:val="24"/>
          <w:u w:val="single"/>
          <w:lang w:val="en-US" w:eastAsia="zh-CN"/>
        </w:rPr>
        <w:t xml:space="preserve">    </w:t>
      </w:r>
      <w:r>
        <w:rPr>
          <w:rFonts w:hint="eastAsia" w:ascii="宋体" w:hAnsi="宋体"/>
          <w:sz w:val="24"/>
          <w:szCs w:val="24"/>
          <w:u w:val="single"/>
        </w:rPr>
        <w:t xml:space="preserve">（¥ </w:t>
      </w:r>
      <w:r>
        <w:rPr>
          <w:rFonts w:hint="eastAsia" w:ascii="宋体" w:hAnsi="宋体"/>
          <w:sz w:val="24"/>
          <w:szCs w:val="24"/>
          <w:u w:val="single"/>
          <w:lang w:val="en-US" w:eastAsia="zh-CN"/>
        </w:rPr>
        <w:t xml:space="preserve">       元</w:t>
      </w:r>
      <w:r>
        <w:rPr>
          <w:rFonts w:hint="eastAsia" w:ascii="宋体" w:hAnsi="宋体"/>
          <w:sz w:val="24"/>
          <w:szCs w:val="24"/>
          <w:u w:val="single"/>
        </w:rPr>
        <w:t>）</w:t>
      </w:r>
      <w:r>
        <w:rPr>
          <w:rFonts w:hint="eastAsia" w:ascii="宋体" w:hAnsi="宋体"/>
          <w:sz w:val="24"/>
          <w:szCs w:val="24"/>
        </w:rPr>
        <w:t>的</w:t>
      </w:r>
      <w:r>
        <w:rPr>
          <w:rFonts w:hint="eastAsia" w:ascii="宋体" w:hAnsi="宋体"/>
          <w:sz w:val="24"/>
          <w:szCs w:val="24"/>
          <w:lang w:eastAsia="zh-CN"/>
        </w:rPr>
        <w:t>响应总报价</w:t>
      </w:r>
      <w:r>
        <w:rPr>
          <w:rFonts w:hint="eastAsia" w:ascii="宋体" w:hAnsi="宋体"/>
          <w:sz w:val="24"/>
          <w:szCs w:val="24"/>
        </w:rPr>
        <w:t>，</w:t>
      </w:r>
      <w:r>
        <w:rPr>
          <w:rFonts w:hint="eastAsia" w:ascii="宋体" w:hAnsi="宋体"/>
          <w:color w:val="000000"/>
          <w:spacing w:val="-3"/>
          <w:sz w:val="24"/>
          <w:szCs w:val="24"/>
        </w:rPr>
        <w:t>按合同约定实施和完成承包工程，修补工程中的任何缺陷</w:t>
      </w:r>
      <w:r>
        <w:rPr>
          <w:rFonts w:hint="eastAsia" w:ascii="宋体" w:hAnsi="宋体" w:eastAsia="宋体" w:cs="宋体"/>
          <w:color w:val="000000"/>
          <w:sz w:val="24"/>
          <w:szCs w:val="24"/>
          <w:highlight w:val="none"/>
        </w:rPr>
        <w:t>。</w:t>
      </w:r>
    </w:p>
    <w:p w14:paraId="62670919">
      <w:pPr>
        <w:keepNext w:val="0"/>
        <w:keepLines w:val="0"/>
        <w:pageBreakBefore w:val="0"/>
        <w:widowControl/>
        <w:kinsoku/>
        <w:wordWrap w:val="0"/>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如果我方</w:t>
      </w:r>
      <w:r>
        <w:rPr>
          <w:rFonts w:hint="eastAsia" w:ascii="宋体" w:hAnsi="宋体" w:eastAsia="宋体" w:cs="宋体"/>
          <w:color w:val="000000"/>
          <w:sz w:val="24"/>
          <w:szCs w:val="24"/>
          <w:highlight w:val="none"/>
          <w:lang w:eastAsia="zh-CN"/>
        </w:rPr>
        <w:t>成交</w:t>
      </w:r>
      <w:r>
        <w:rPr>
          <w:rFonts w:hint="eastAsia" w:ascii="宋体" w:hAnsi="宋体" w:eastAsia="宋体" w:cs="宋体"/>
          <w:color w:val="000000"/>
          <w:sz w:val="24"/>
          <w:szCs w:val="24"/>
          <w:highlight w:val="none"/>
        </w:rPr>
        <w:t>，我方将按</w:t>
      </w:r>
      <w:r>
        <w:rPr>
          <w:rFonts w:hint="eastAsia" w:ascii="宋体" w:hAnsi="宋体" w:eastAsia="宋体" w:cs="宋体"/>
          <w:color w:val="000000"/>
          <w:sz w:val="24"/>
          <w:szCs w:val="24"/>
          <w:highlight w:val="none"/>
          <w:lang w:eastAsia="zh-CN"/>
        </w:rPr>
        <w:t>竞争性磋商文件</w:t>
      </w:r>
      <w:r>
        <w:rPr>
          <w:rFonts w:hint="eastAsia" w:ascii="宋体" w:hAnsi="宋体" w:eastAsia="宋体" w:cs="宋体"/>
          <w:color w:val="000000"/>
          <w:sz w:val="24"/>
          <w:szCs w:val="24"/>
          <w:highlight w:val="none"/>
        </w:rPr>
        <w:t>的规定签订并严格履行合同中的责任和义务，在签订合同时不向你方提出附加条件，在合同约定的期限内完成合同规定的全部内容。</w:t>
      </w:r>
    </w:p>
    <w:p w14:paraId="2EF6E6F7">
      <w:pPr>
        <w:keepNext w:val="0"/>
        <w:keepLines w:val="0"/>
        <w:pageBreakBefore w:val="0"/>
        <w:widowControl/>
        <w:kinsoku/>
        <w:wordWrap w:val="0"/>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我方已详细审查全部</w:t>
      </w:r>
      <w:r>
        <w:rPr>
          <w:rFonts w:hint="eastAsia" w:ascii="宋体" w:hAnsi="宋体" w:eastAsia="宋体" w:cs="宋体"/>
          <w:color w:val="000000"/>
          <w:sz w:val="24"/>
          <w:szCs w:val="24"/>
          <w:highlight w:val="none"/>
          <w:lang w:eastAsia="zh-CN"/>
        </w:rPr>
        <w:t>竞争性磋商文件</w:t>
      </w:r>
      <w:r>
        <w:rPr>
          <w:rFonts w:hint="eastAsia" w:ascii="宋体" w:hAnsi="宋体" w:eastAsia="宋体" w:cs="宋体"/>
          <w:color w:val="000000"/>
          <w:sz w:val="24"/>
          <w:szCs w:val="24"/>
          <w:highlight w:val="none"/>
        </w:rPr>
        <w:t>，包括修改文件以及全部参考资料和有关附件。我方完全理解并同意放弃对这方面有不明及误解的权力。</w:t>
      </w:r>
    </w:p>
    <w:p w14:paraId="3703A8C1">
      <w:pPr>
        <w:keepNext w:val="0"/>
        <w:keepLines w:val="0"/>
        <w:pageBreakBefore w:val="0"/>
        <w:widowControl/>
        <w:kinsoku/>
        <w:wordWrap w:val="0"/>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lang w:eastAsia="zh-CN"/>
        </w:rPr>
        <w:t>磋商</w:t>
      </w:r>
      <w:r>
        <w:rPr>
          <w:rFonts w:hint="eastAsia" w:ascii="宋体" w:hAnsi="宋体" w:eastAsia="宋体" w:cs="宋体"/>
          <w:color w:val="000000"/>
          <w:sz w:val="24"/>
          <w:szCs w:val="24"/>
          <w:highlight w:val="none"/>
        </w:rPr>
        <w:t>有效期为提交</w:t>
      </w:r>
      <w:r>
        <w:rPr>
          <w:rFonts w:hint="eastAsia" w:ascii="宋体" w:hAnsi="宋体" w:eastAsia="宋体" w:cs="宋体"/>
          <w:color w:val="000000"/>
          <w:sz w:val="24"/>
          <w:szCs w:val="24"/>
          <w:highlight w:val="none"/>
          <w:lang w:eastAsia="zh-CN"/>
        </w:rPr>
        <w:t>首次响应</w:t>
      </w:r>
      <w:r>
        <w:rPr>
          <w:rFonts w:hint="eastAsia" w:ascii="宋体" w:hAnsi="宋体" w:eastAsia="宋体" w:cs="宋体"/>
          <w:color w:val="000000"/>
          <w:sz w:val="24"/>
          <w:szCs w:val="24"/>
          <w:highlight w:val="none"/>
        </w:rPr>
        <w:t xml:space="preserve">文件的截止之日起 </w:t>
      </w:r>
      <w:r>
        <w:rPr>
          <w:rFonts w:hint="eastAsia" w:ascii="宋体" w:hAnsi="宋体" w:eastAsia="宋体" w:cs="宋体"/>
          <w:color w:val="000000"/>
          <w:sz w:val="24"/>
          <w:szCs w:val="24"/>
          <w:highlight w:val="none"/>
          <w:lang w:val="en-US" w:eastAsia="zh-CN"/>
        </w:rPr>
        <w:t>60</w:t>
      </w:r>
      <w:r>
        <w:rPr>
          <w:rFonts w:hint="eastAsia" w:ascii="宋体" w:hAnsi="宋体" w:eastAsia="宋体" w:cs="宋体"/>
          <w:color w:val="000000"/>
          <w:sz w:val="24"/>
          <w:szCs w:val="24"/>
          <w:highlight w:val="none"/>
        </w:rPr>
        <w:t>日历天。</w:t>
      </w:r>
    </w:p>
    <w:p w14:paraId="34110535">
      <w:pPr>
        <w:keepNext w:val="0"/>
        <w:keepLines w:val="0"/>
        <w:pageBreakBefore w:val="0"/>
        <w:widowControl/>
        <w:kinsoku/>
        <w:wordWrap w:val="0"/>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我方在此声明，所递交的</w:t>
      </w:r>
      <w:r>
        <w:rPr>
          <w:rFonts w:hint="eastAsia" w:ascii="宋体" w:hAnsi="宋体" w:eastAsia="宋体" w:cs="宋体"/>
          <w:color w:val="000000"/>
          <w:sz w:val="24"/>
          <w:szCs w:val="24"/>
          <w:highlight w:val="none"/>
          <w:lang w:eastAsia="zh-CN"/>
        </w:rPr>
        <w:t>响应文件</w:t>
      </w:r>
      <w:r>
        <w:rPr>
          <w:rFonts w:hint="eastAsia" w:ascii="宋体" w:hAnsi="宋体" w:eastAsia="宋体" w:cs="宋体"/>
          <w:color w:val="000000"/>
          <w:sz w:val="24"/>
          <w:szCs w:val="24"/>
          <w:highlight w:val="none"/>
        </w:rPr>
        <w:t>及有关资料内容完整、真实和准确，且不存在第</w:t>
      </w:r>
      <w:r>
        <w:rPr>
          <w:rFonts w:hint="eastAsia" w:ascii="宋体" w:hAnsi="宋体" w:eastAsia="宋体" w:cs="宋体"/>
          <w:color w:val="000000"/>
          <w:sz w:val="24"/>
          <w:szCs w:val="24"/>
          <w:highlight w:val="none"/>
          <w:lang w:eastAsia="zh-CN"/>
        </w:rPr>
        <w:t>二</w:t>
      </w:r>
      <w:r>
        <w:rPr>
          <w:rFonts w:hint="eastAsia" w:ascii="宋体" w:hAnsi="宋体" w:eastAsia="宋体" w:cs="宋体"/>
          <w:color w:val="000000"/>
          <w:sz w:val="24"/>
          <w:szCs w:val="24"/>
          <w:highlight w:val="none"/>
        </w:rPr>
        <w:t>章“</w:t>
      </w:r>
      <w:r>
        <w:rPr>
          <w:rFonts w:hint="eastAsia" w:ascii="宋体" w:hAnsi="宋体" w:eastAsia="宋体" w:cs="宋体"/>
          <w:color w:val="000000"/>
          <w:sz w:val="24"/>
          <w:szCs w:val="24"/>
          <w:highlight w:val="none"/>
          <w:lang w:eastAsia="zh-CN"/>
        </w:rPr>
        <w:t>供应商</w:t>
      </w:r>
      <w:r>
        <w:rPr>
          <w:rFonts w:hint="eastAsia" w:ascii="宋体" w:hAnsi="宋体" w:eastAsia="宋体" w:cs="宋体"/>
          <w:color w:val="000000"/>
          <w:sz w:val="24"/>
          <w:szCs w:val="24"/>
          <w:highlight w:val="none"/>
        </w:rPr>
        <w:t xml:space="preserve">须知”第 </w:t>
      </w:r>
      <w:r>
        <w:rPr>
          <w:rFonts w:hint="eastAsia" w:ascii="宋体" w:hAnsi="宋体" w:eastAsia="宋体" w:cs="宋体"/>
          <w:color w:val="000000"/>
          <w:sz w:val="24"/>
          <w:szCs w:val="24"/>
          <w:highlight w:val="none"/>
          <w:lang w:val="en-US" w:eastAsia="zh-CN"/>
        </w:rPr>
        <w:t>1.4.3</w:t>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lang w:eastAsia="zh-CN"/>
        </w:rPr>
        <w:t>项</w:t>
      </w:r>
      <w:r>
        <w:rPr>
          <w:rFonts w:hint="eastAsia" w:ascii="宋体" w:hAnsi="宋体" w:eastAsia="宋体" w:cs="宋体"/>
          <w:color w:val="000000"/>
          <w:sz w:val="24"/>
          <w:szCs w:val="24"/>
          <w:highlight w:val="none"/>
        </w:rPr>
        <w:t>规定的情形。</w:t>
      </w:r>
    </w:p>
    <w:p w14:paraId="296D4752">
      <w:pPr>
        <w:keepNext w:val="0"/>
        <w:keepLines w:val="0"/>
        <w:pageBreakBefore w:val="0"/>
        <w:widowControl/>
        <w:kinsoku/>
        <w:wordWrap w:val="0"/>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我方同意提供按照贵方可能要求的与其</w:t>
      </w:r>
      <w:r>
        <w:rPr>
          <w:rFonts w:hint="eastAsia" w:ascii="宋体" w:hAnsi="宋体" w:eastAsia="宋体" w:cs="宋体"/>
          <w:color w:val="000000"/>
          <w:sz w:val="24"/>
          <w:szCs w:val="24"/>
          <w:highlight w:val="none"/>
          <w:lang w:eastAsia="zh-CN"/>
        </w:rPr>
        <w:t>磋商</w:t>
      </w:r>
      <w:r>
        <w:rPr>
          <w:rFonts w:hint="eastAsia" w:ascii="宋体" w:hAnsi="宋体" w:eastAsia="宋体" w:cs="宋体"/>
          <w:color w:val="000000"/>
          <w:sz w:val="24"/>
          <w:szCs w:val="24"/>
          <w:highlight w:val="none"/>
        </w:rPr>
        <w:t>有关的一切数据或资料，完全理解贵方不一定接受最低价的</w:t>
      </w:r>
      <w:r>
        <w:rPr>
          <w:rFonts w:hint="eastAsia" w:ascii="宋体" w:hAnsi="宋体" w:eastAsia="宋体" w:cs="宋体"/>
          <w:color w:val="000000"/>
          <w:sz w:val="24"/>
          <w:szCs w:val="24"/>
          <w:highlight w:val="none"/>
          <w:lang w:eastAsia="zh-CN"/>
        </w:rPr>
        <w:t>响应</w:t>
      </w:r>
      <w:r>
        <w:rPr>
          <w:rFonts w:hint="eastAsia" w:ascii="宋体" w:hAnsi="宋体" w:eastAsia="宋体" w:cs="宋体"/>
          <w:color w:val="000000"/>
          <w:sz w:val="24"/>
          <w:szCs w:val="24"/>
          <w:highlight w:val="none"/>
        </w:rPr>
        <w:t>。</w:t>
      </w:r>
    </w:p>
    <w:p w14:paraId="0565526A">
      <w:pPr>
        <w:keepNext w:val="0"/>
        <w:keepLines w:val="0"/>
        <w:pageBreakBefore w:val="0"/>
        <w:kinsoku/>
        <w:wordWrap w:val="0"/>
        <w:overflowPunct/>
        <w:topLinePunct/>
        <w:autoSpaceDE/>
        <w:autoSpaceDN/>
        <w:bidi w:val="0"/>
        <w:adjustRightInd/>
        <w:snapToGrid/>
        <w:spacing w:line="360" w:lineRule="auto"/>
        <w:textAlignment w:val="auto"/>
        <w:rPr>
          <w:rFonts w:hint="eastAsia" w:ascii="宋体" w:hAnsi="宋体"/>
          <w:color w:val="000000"/>
          <w:sz w:val="24"/>
          <w:szCs w:val="24"/>
          <w:highlight w:val="none"/>
        </w:rPr>
      </w:pPr>
    </w:p>
    <w:p w14:paraId="296CCDF2">
      <w:pPr>
        <w:keepNext w:val="0"/>
        <w:keepLines w:val="0"/>
        <w:pageBreakBefore w:val="0"/>
        <w:kinsoku/>
        <w:wordWrap w:val="0"/>
        <w:overflowPunct/>
        <w:topLinePunct/>
        <w:autoSpaceDE/>
        <w:autoSpaceDN/>
        <w:bidi w:val="0"/>
        <w:adjustRightInd/>
        <w:snapToGrid/>
        <w:spacing w:line="360" w:lineRule="auto"/>
        <w:textAlignment w:val="auto"/>
        <w:rPr>
          <w:rFonts w:hint="eastAsia"/>
          <w:color w:val="auto"/>
          <w:sz w:val="24"/>
          <w:szCs w:val="24"/>
          <w:highlight w:val="none"/>
        </w:rPr>
      </w:pPr>
    </w:p>
    <w:p w14:paraId="1D35463A">
      <w:pPr>
        <w:keepNext w:val="0"/>
        <w:keepLines w:val="0"/>
        <w:pageBreakBefore w:val="0"/>
        <w:kinsoku/>
        <w:wordWrap w:val="0"/>
        <w:overflowPunct/>
        <w:topLinePunct/>
        <w:autoSpaceDE/>
        <w:autoSpaceDN/>
        <w:bidi w:val="0"/>
        <w:adjustRightInd/>
        <w:snapToGrid/>
        <w:spacing w:line="360" w:lineRule="auto"/>
        <w:textAlignment w:val="auto"/>
        <w:rPr>
          <w:rFonts w:hint="eastAsia"/>
          <w:color w:val="auto"/>
          <w:sz w:val="24"/>
          <w:szCs w:val="24"/>
          <w:highlight w:val="none"/>
        </w:rPr>
      </w:pPr>
    </w:p>
    <w:p w14:paraId="54CBE298">
      <w:pPr>
        <w:keepNext w:val="0"/>
        <w:keepLines w:val="0"/>
        <w:pageBreakBefore w:val="0"/>
        <w:kinsoku/>
        <w:wordWrap w:val="0"/>
        <w:overflowPunct/>
        <w:topLinePunct/>
        <w:autoSpaceDE/>
        <w:autoSpaceDN/>
        <w:bidi w:val="0"/>
        <w:adjustRightInd/>
        <w:snapToGrid/>
        <w:spacing w:line="360" w:lineRule="auto"/>
        <w:textAlignment w:val="auto"/>
        <w:rPr>
          <w:rFonts w:hint="eastAsia"/>
          <w:color w:val="auto"/>
          <w:sz w:val="24"/>
          <w:szCs w:val="24"/>
          <w:highlight w:val="none"/>
        </w:rPr>
      </w:pPr>
    </w:p>
    <w:p w14:paraId="28AF086E">
      <w:pPr>
        <w:keepNext w:val="0"/>
        <w:keepLines w:val="0"/>
        <w:pageBreakBefore w:val="0"/>
        <w:kinsoku/>
        <w:wordWrap w:val="0"/>
        <w:overflowPunct/>
        <w:topLinePunct/>
        <w:autoSpaceDE/>
        <w:autoSpaceDN/>
        <w:bidi w:val="0"/>
        <w:adjustRightInd/>
        <w:snapToGrid/>
        <w:spacing w:line="360" w:lineRule="auto"/>
        <w:textAlignment w:val="auto"/>
        <w:rPr>
          <w:rFonts w:hint="eastAsia" w:ascii="宋体" w:hAnsi="宋体"/>
          <w:color w:val="auto"/>
          <w:sz w:val="36"/>
          <w:szCs w:val="36"/>
          <w:highlight w:val="none"/>
        </w:rPr>
      </w:pPr>
      <w:r>
        <w:rPr>
          <w:rFonts w:hint="eastAsia" w:ascii="宋体" w:hAnsi="宋体"/>
          <w:color w:val="000000"/>
          <w:sz w:val="24"/>
          <w:szCs w:val="24"/>
          <w:highlight w:val="none"/>
        </w:rPr>
        <w:t xml:space="preserve">   </w:t>
      </w:r>
      <w:r>
        <w:rPr>
          <w:rFonts w:hint="eastAsia" w:ascii="宋体" w:hAnsi="宋体"/>
          <w:color w:val="000000"/>
          <w:sz w:val="24"/>
          <w:szCs w:val="24"/>
          <w:highlight w:val="none"/>
          <w:lang w:val="en-US" w:eastAsia="zh-CN"/>
        </w:rPr>
        <w:t xml:space="preserve">                          </w:t>
      </w:r>
      <w:r>
        <w:rPr>
          <w:rFonts w:hint="eastAsia" w:ascii="宋体" w:hAnsi="宋体"/>
          <w:color w:val="000000"/>
          <w:sz w:val="24"/>
          <w:szCs w:val="24"/>
          <w:highlight w:val="none"/>
        </w:rPr>
        <w:t xml:space="preserve"> </w:t>
      </w:r>
      <w:r>
        <w:rPr>
          <w:rFonts w:hint="eastAsia" w:ascii="宋体" w:hAnsi="宋体"/>
          <w:color w:val="000000"/>
          <w:sz w:val="24"/>
          <w:szCs w:val="24"/>
          <w:highlight w:val="none"/>
          <w:lang w:eastAsia="zh-CN"/>
        </w:rPr>
        <w:t>供</w:t>
      </w:r>
      <w:r>
        <w:rPr>
          <w:rFonts w:hint="eastAsia"/>
          <w:color w:val="000000"/>
          <w:sz w:val="24"/>
          <w:szCs w:val="24"/>
          <w:highlight w:val="none"/>
          <w:lang w:eastAsia="zh-CN"/>
        </w:rPr>
        <w:t>应商</w:t>
      </w:r>
      <w:r>
        <w:rPr>
          <w:rFonts w:hint="eastAsia" w:ascii="宋体" w:hAnsi="宋体"/>
          <w:color w:val="000000"/>
          <w:sz w:val="24"/>
          <w:szCs w:val="24"/>
          <w:highlight w:val="none"/>
        </w:rPr>
        <w:t>：</w:t>
      </w:r>
      <w:r>
        <w:rPr>
          <w:rFonts w:hint="eastAsia" w:ascii="宋体" w:hAnsi="宋体"/>
          <w:color w:val="000000"/>
          <w:sz w:val="24"/>
          <w:szCs w:val="24"/>
          <w:highlight w:val="none"/>
          <w:u w:val="single"/>
          <w:lang w:val="en-US" w:eastAsia="zh-CN"/>
        </w:rPr>
        <w:t xml:space="preserve">                              </w:t>
      </w:r>
      <w:r>
        <w:rPr>
          <w:rFonts w:hint="eastAsia" w:ascii="宋体" w:hAnsi="宋体"/>
          <w:color w:val="000000"/>
          <w:sz w:val="24"/>
          <w:szCs w:val="24"/>
          <w:highlight w:val="none"/>
        </w:rPr>
        <w:t>（</w:t>
      </w:r>
      <w:r>
        <w:rPr>
          <w:rFonts w:hint="eastAsia" w:ascii="宋体" w:hAnsi="宋体"/>
          <w:color w:val="000000"/>
          <w:sz w:val="24"/>
          <w:szCs w:val="24"/>
          <w:highlight w:val="none"/>
          <w:lang w:eastAsia="zh-CN"/>
        </w:rPr>
        <w:t>盖章</w:t>
      </w:r>
      <w:r>
        <w:rPr>
          <w:rFonts w:hint="eastAsia" w:ascii="宋体" w:hAnsi="宋体"/>
          <w:color w:val="000000"/>
          <w:sz w:val="24"/>
          <w:szCs w:val="24"/>
          <w:highlight w:val="none"/>
        </w:rPr>
        <w:t>）</w:t>
      </w:r>
    </w:p>
    <w:p w14:paraId="030C6F7B">
      <w:pPr>
        <w:keepNext w:val="0"/>
        <w:keepLines w:val="0"/>
        <w:pageBreakBefore w:val="0"/>
        <w:kinsoku/>
        <w:wordWrap w:val="0"/>
        <w:overflowPunct/>
        <w:topLinePunct/>
        <w:autoSpaceDE/>
        <w:autoSpaceDN/>
        <w:bidi w:val="0"/>
        <w:adjustRightInd/>
        <w:snapToGrid/>
        <w:spacing w:line="360" w:lineRule="auto"/>
        <w:ind w:firstLine="3600" w:firstLineChars="1500"/>
        <w:textAlignment w:val="auto"/>
        <w:rPr>
          <w:rFonts w:hint="eastAsia" w:ascii="宋体" w:hAnsi="宋体" w:eastAsia="宋体"/>
          <w:color w:val="000000"/>
          <w:sz w:val="24"/>
          <w:szCs w:val="24"/>
          <w:highlight w:val="none"/>
          <w:lang w:val="en-US" w:eastAsia="zh-CN"/>
        </w:rPr>
      </w:pPr>
      <w:r>
        <w:rPr>
          <w:rFonts w:hint="eastAsia" w:ascii="宋体" w:hAnsi="宋体"/>
          <w:color w:val="000000"/>
          <w:sz w:val="24"/>
          <w:szCs w:val="24"/>
          <w:highlight w:val="none"/>
          <w:lang w:val="en-US" w:eastAsia="zh-CN"/>
        </w:rPr>
        <w:t>法定代表人</w:t>
      </w:r>
      <w:r>
        <w:rPr>
          <w:rFonts w:hint="eastAsia" w:ascii="宋体" w:hAnsi="宋体"/>
          <w:color w:val="000000"/>
          <w:sz w:val="24"/>
          <w:szCs w:val="24"/>
          <w:highlight w:val="none"/>
        </w:rPr>
        <w:t>：</w:t>
      </w:r>
      <w:r>
        <w:rPr>
          <w:rFonts w:hint="eastAsia" w:ascii="宋体" w:hAnsi="宋体"/>
          <w:color w:val="000000"/>
          <w:sz w:val="24"/>
          <w:szCs w:val="24"/>
          <w:highlight w:val="none"/>
          <w:u w:val="single"/>
          <w:lang w:val="en-US" w:eastAsia="zh-CN"/>
        </w:rPr>
        <w:t xml:space="preserve">                      </w:t>
      </w:r>
      <w:r>
        <w:rPr>
          <w:rFonts w:hint="eastAsia" w:ascii="宋体" w:hAnsi="宋体"/>
          <w:color w:val="000000"/>
          <w:sz w:val="24"/>
          <w:szCs w:val="24"/>
          <w:highlight w:val="none"/>
        </w:rPr>
        <w:t>（</w:t>
      </w:r>
      <w:r>
        <w:rPr>
          <w:rFonts w:hint="eastAsia" w:ascii="宋体" w:hAnsi="宋体"/>
          <w:color w:val="000000"/>
          <w:sz w:val="24"/>
          <w:szCs w:val="24"/>
          <w:highlight w:val="none"/>
          <w:lang w:val="en-US" w:eastAsia="zh-CN"/>
        </w:rPr>
        <w:t>电子签章</w:t>
      </w:r>
      <w:r>
        <w:rPr>
          <w:rFonts w:hint="eastAsia" w:ascii="宋体" w:hAnsi="宋体"/>
          <w:color w:val="000000"/>
          <w:sz w:val="24"/>
          <w:szCs w:val="24"/>
          <w:highlight w:val="none"/>
        </w:rPr>
        <w:t>）</w:t>
      </w:r>
    </w:p>
    <w:p w14:paraId="5B68A858">
      <w:pPr>
        <w:keepNext w:val="0"/>
        <w:keepLines w:val="0"/>
        <w:pageBreakBefore w:val="0"/>
        <w:kinsoku/>
        <w:wordWrap w:val="0"/>
        <w:overflowPunct/>
        <w:topLinePunct/>
        <w:autoSpaceDE/>
        <w:autoSpaceDN/>
        <w:bidi w:val="0"/>
        <w:adjustRightInd/>
        <w:snapToGrid/>
        <w:spacing w:line="360" w:lineRule="auto"/>
        <w:ind w:firstLine="3600" w:firstLineChars="1500"/>
        <w:textAlignment w:val="auto"/>
        <w:rPr>
          <w:rFonts w:hint="eastAsia" w:ascii="宋体" w:hAnsi="宋体" w:eastAsia="宋体"/>
          <w:color w:val="000000"/>
          <w:sz w:val="24"/>
          <w:szCs w:val="24"/>
          <w:highlight w:val="none"/>
          <w:lang w:val="en-US" w:eastAsia="zh-CN"/>
        </w:rPr>
      </w:pPr>
      <w:r>
        <w:rPr>
          <w:rFonts w:hint="eastAsia" w:ascii="宋体" w:hAnsi="宋体"/>
          <w:color w:val="000000"/>
          <w:sz w:val="24"/>
          <w:szCs w:val="24"/>
          <w:highlight w:val="none"/>
        </w:rPr>
        <w:t>日</w:t>
      </w:r>
      <w:r>
        <w:rPr>
          <w:rFonts w:hint="eastAsia" w:ascii="宋体" w:hAnsi="宋体"/>
          <w:color w:val="000000"/>
          <w:sz w:val="24"/>
          <w:szCs w:val="24"/>
          <w:highlight w:val="none"/>
          <w:lang w:val="en-US" w:eastAsia="zh-CN"/>
        </w:rPr>
        <w:t xml:space="preserve">   </w:t>
      </w:r>
      <w:r>
        <w:rPr>
          <w:rFonts w:hint="eastAsia" w:ascii="宋体" w:hAnsi="宋体"/>
          <w:color w:val="000000"/>
          <w:sz w:val="24"/>
          <w:szCs w:val="24"/>
          <w:highlight w:val="none"/>
        </w:rPr>
        <w:t>期：</w:t>
      </w:r>
      <w:r>
        <w:rPr>
          <w:rFonts w:hint="eastAsia" w:ascii="宋体" w:hAnsi="宋体"/>
          <w:color w:val="000000"/>
          <w:sz w:val="24"/>
          <w:szCs w:val="24"/>
          <w:highlight w:val="none"/>
          <w:lang w:val="en-US" w:eastAsia="zh-CN"/>
        </w:rPr>
        <w:t xml:space="preserve">     年   月    日</w:t>
      </w:r>
    </w:p>
    <w:p w14:paraId="7B0FE23C">
      <w:pPr>
        <w:pStyle w:val="91"/>
        <w:rPr>
          <w:rFonts w:hint="eastAsia"/>
          <w:sz w:val="24"/>
          <w:szCs w:val="24"/>
          <w:highlight w:val="none"/>
        </w:rPr>
        <w:sectPr>
          <w:headerReference r:id="rId8" w:type="first"/>
          <w:footerReference r:id="rId10" w:type="first"/>
          <w:headerReference r:id="rId7" w:type="default"/>
          <w:footerReference r:id="rId9" w:type="default"/>
          <w:pgSz w:w="11907" w:h="16840"/>
          <w:pgMar w:top="1400" w:right="1418" w:bottom="1089" w:left="1418" w:header="850" w:footer="850" w:gutter="0"/>
          <w:paperSrc/>
          <w:pgBorders>
            <w:top w:val="none" w:sz="0" w:space="0"/>
            <w:left w:val="none" w:sz="0" w:space="0"/>
            <w:bottom w:val="none" w:sz="0" w:space="0"/>
            <w:right w:val="none" w:sz="0" w:space="0"/>
          </w:pgBorders>
          <w:pgNumType w:fmt="decimal"/>
          <w:cols w:space="720" w:num="1"/>
          <w:rtlGutter w:val="0"/>
          <w:docGrid w:type="linesAndChars" w:linePitch="312" w:charSpace="0"/>
        </w:sectPr>
      </w:pPr>
    </w:p>
    <w:p w14:paraId="517F825D">
      <w:pPr>
        <w:pStyle w:val="4"/>
        <w:numPr>
          <w:ilvl w:val="0"/>
          <w:numId w:val="19"/>
        </w:numPr>
        <w:bidi w:val="0"/>
        <w:jc w:val="center"/>
        <w:rPr>
          <w:rFonts w:hint="eastAsia"/>
          <w:lang w:val="zh-CN" w:eastAsia="zh-CN"/>
        </w:rPr>
      </w:pPr>
      <w:bookmarkStart w:id="1716" w:name="_Toc21386"/>
      <w:bookmarkStart w:id="1717" w:name="_Toc21652"/>
      <w:r>
        <w:rPr>
          <w:rFonts w:hint="eastAsia"/>
          <w:lang w:val="en-US" w:eastAsia="zh-CN"/>
        </w:rPr>
        <w:t>响应函</w:t>
      </w:r>
      <w:r>
        <w:rPr>
          <w:rFonts w:hint="eastAsia"/>
        </w:rPr>
        <w:t>附录</w:t>
      </w:r>
      <w:bookmarkEnd w:id="1716"/>
      <w:r>
        <w:rPr>
          <w:rFonts w:hint="eastAsia"/>
          <w:lang w:eastAsia="zh-CN"/>
        </w:rPr>
        <w:t>（</w:t>
      </w:r>
      <w:r>
        <w:rPr>
          <w:rFonts w:hint="eastAsia"/>
          <w:lang w:val="en-US" w:eastAsia="zh-CN"/>
        </w:rPr>
        <w:t>第一轮报价</w:t>
      </w:r>
      <w:r>
        <w:rPr>
          <w:rFonts w:hint="eastAsia"/>
          <w:lang w:eastAsia="zh-CN"/>
        </w:rPr>
        <w:t>）</w:t>
      </w:r>
    </w:p>
    <w:p w14:paraId="094A7B83">
      <w:pPr>
        <w:rPr>
          <w:rFonts w:hint="eastAsia"/>
          <w:lang w:val="zh-CN" w:eastAsia="zh-CN"/>
        </w:rPr>
      </w:pPr>
    </w:p>
    <w:tbl>
      <w:tblPr>
        <w:tblStyle w:val="48"/>
        <w:tblW w:w="8459" w:type="dxa"/>
        <w:tblInd w:w="227" w:type="dxa"/>
        <w:tblLayout w:type="fixed"/>
        <w:tblCellMar>
          <w:top w:w="0" w:type="dxa"/>
          <w:left w:w="108" w:type="dxa"/>
          <w:bottom w:w="0" w:type="dxa"/>
          <w:right w:w="108" w:type="dxa"/>
        </w:tblCellMar>
      </w:tblPr>
      <w:tblGrid>
        <w:gridCol w:w="1789"/>
        <w:gridCol w:w="2386"/>
        <w:gridCol w:w="1719"/>
        <w:gridCol w:w="2565"/>
      </w:tblGrid>
      <w:tr w14:paraId="1058D70E">
        <w:tblPrEx>
          <w:tblCellMar>
            <w:top w:w="0" w:type="dxa"/>
            <w:left w:w="108" w:type="dxa"/>
            <w:bottom w:w="0" w:type="dxa"/>
            <w:right w:w="108" w:type="dxa"/>
          </w:tblCellMar>
        </w:tblPrEx>
        <w:trPr>
          <w:trHeight w:val="850" w:hRule="atLeast"/>
        </w:trPr>
        <w:tc>
          <w:tcPr>
            <w:tcW w:w="1789" w:type="dxa"/>
            <w:tcBorders>
              <w:top w:val="single" w:color="000000" w:sz="6" w:space="0"/>
              <w:left w:val="single" w:color="000000" w:sz="6" w:space="0"/>
              <w:bottom w:val="single" w:color="000000" w:sz="6" w:space="0"/>
              <w:right w:val="single" w:color="auto" w:sz="4" w:space="0"/>
            </w:tcBorders>
            <w:noWrap w:val="0"/>
            <w:tcMar>
              <w:top w:w="0" w:type="dxa"/>
              <w:left w:w="0" w:type="dxa"/>
              <w:bottom w:w="0" w:type="dxa"/>
              <w:right w:w="0" w:type="dxa"/>
            </w:tcMar>
            <w:vAlign w:val="center"/>
          </w:tcPr>
          <w:p w14:paraId="100E1E1F">
            <w:pPr>
              <w:spacing w:before="100" w:beforeAutospacing="1" w:line="271" w:lineRule="auto"/>
              <w:jc w:val="center"/>
              <w:rPr>
                <w:rFonts w:ascii="宋体" w:hAnsi="宋体"/>
                <w:sz w:val="24"/>
                <w:szCs w:val="24"/>
              </w:rPr>
            </w:pPr>
            <w:r>
              <w:rPr>
                <w:rFonts w:hint="eastAsia" w:ascii="宋体" w:hAnsi="宋体"/>
                <w:sz w:val="24"/>
                <w:szCs w:val="24"/>
              </w:rPr>
              <w:t>项目名称</w:t>
            </w:r>
          </w:p>
        </w:tc>
        <w:tc>
          <w:tcPr>
            <w:tcW w:w="6670" w:type="dxa"/>
            <w:gridSpan w:val="3"/>
            <w:tcBorders>
              <w:top w:val="single" w:color="000000" w:sz="6" w:space="0"/>
              <w:left w:val="nil"/>
              <w:bottom w:val="single" w:color="000000" w:sz="6" w:space="0"/>
              <w:right w:val="single" w:color="000000" w:sz="6" w:space="0"/>
            </w:tcBorders>
            <w:noWrap w:val="0"/>
            <w:tcMar>
              <w:top w:w="0" w:type="dxa"/>
              <w:left w:w="0" w:type="dxa"/>
              <w:bottom w:w="0" w:type="dxa"/>
              <w:right w:w="0" w:type="dxa"/>
            </w:tcMar>
            <w:vAlign w:val="center"/>
          </w:tcPr>
          <w:p w14:paraId="4409EFF7">
            <w:pPr>
              <w:spacing w:before="100" w:beforeAutospacing="1" w:line="271" w:lineRule="auto"/>
              <w:ind w:firstLine="240" w:firstLineChars="100"/>
              <w:rPr>
                <w:rFonts w:ascii="宋体" w:hAnsi="宋体"/>
                <w:sz w:val="24"/>
                <w:szCs w:val="24"/>
              </w:rPr>
            </w:pPr>
            <w:r>
              <w:rPr>
                <w:rFonts w:hint="eastAsia" w:ascii="宋体" w:hAnsi="宋体"/>
                <w:sz w:val="24"/>
                <w:szCs w:val="24"/>
              </w:rPr>
              <w:t xml:space="preserve">                                   　</w:t>
            </w:r>
          </w:p>
        </w:tc>
      </w:tr>
      <w:tr w14:paraId="2EF2F0EA">
        <w:tblPrEx>
          <w:tblCellMar>
            <w:top w:w="0" w:type="dxa"/>
            <w:left w:w="108" w:type="dxa"/>
            <w:bottom w:w="0" w:type="dxa"/>
            <w:right w:w="108" w:type="dxa"/>
          </w:tblCellMar>
        </w:tblPrEx>
        <w:trPr>
          <w:trHeight w:val="850" w:hRule="atLeast"/>
        </w:trPr>
        <w:tc>
          <w:tcPr>
            <w:tcW w:w="1789" w:type="dxa"/>
            <w:tcBorders>
              <w:top w:val="single" w:color="000000" w:sz="6" w:space="0"/>
              <w:left w:val="single" w:color="000000" w:sz="6" w:space="0"/>
              <w:bottom w:val="single" w:color="000000" w:sz="6" w:space="0"/>
              <w:right w:val="single" w:color="auto" w:sz="4" w:space="0"/>
            </w:tcBorders>
            <w:noWrap w:val="0"/>
            <w:tcMar>
              <w:top w:w="0" w:type="dxa"/>
              <w:left w:w="0" w:type="dxa"/>
              <w:bottom w:w="0" w:type="dxa"/>
              <w:right w:w="0" w:type="dxa"/>
            </w:tcMar>
            <w:vAlign w:val="center"/>
          </w:tcPr>
          <w:p w14:paraId="2E42C72E">
            <w:pPr>
              <w:spacing w:before="100" w:beforeAutospacing="1" w:line="271" w:lineRule="auto"/>
              <w:jc w:val="center"/>
              <w:rPr>
                <w:rFonts w:ascii="宋体" w:hAnsi="宋体"/>
                <w:sz w:val="24"/>
                <w:szCs w:val="24"/>
              </w:rPr>
            </w:pPr>
            <w:r>
              <w:rPr>
                <w:rFonts w:hint="eastAsia" w:ascii="宋体" w:hAnsi="宋体"/>
                <w:sz w:val="24"/>
                <w:szCs w:val="24"/>
              </w:rPr>
              <w:t>磋商响应人</w:t>
            </w:r>
          </w:p>
        </w:tc>
        <w:tc>
          <w:tcPr>
            <w:tcW w:w="6670" w:type="dxa"/>
            <w:gridSpan w:val="3"/>
            <w:tcBorders>
              <w:top w:val="single" w:color="000000" w:sz="6" w:space="0"/>
              <w:left w:val="nil"/>
              <w:bottom w:val="single" w:color="000000" w:sz="6" w:space="0"/>
              <w:right w:val="single" w:color="000000" w:sz="6" w:space="0"/>
            </w:tcBorders>
            <w:noWrap w:val="0"/>
            <w:tcMar>
              <w:top w:w="0" w:type="dxa"/>
              <w:left w:w="0" w:type="dxa"/>
              <w:bottom w:w="0" w:type="dxa"/>
              <w:right w:w="0" w:type="dxa"/>
            </w:tcMar>
            <w:vAlign w:val="center"/>
          </w:tcPr>
          <w:p w14:paraId="36628FD8">
            <w:pPr>
              <w:spacing w:before="100" w:beforeAutospacing="1" w:line="271" w:lineRule="auto"/>
              <w:jc w:val="center"/>
              <w:rPr>
                <w:rFonts w:ascii="宋体" w:hAnsi="宋体"/>
                <w:sz w:val="24"/>
                <w:szCs w:val="24"/>
              </w:rPr>
            </w:pPr>
          </w:p>
        </w:tc>
      </w:tr>
      <w:tr w14:paraId="0F69B1CB">
        <w:tblPrEx>
          <w:tblCellMar>
            <w:top w:w="0" w:type="dxa"/>
            <w:left w:w="108" w:type="dxa"/>
            <w:bottom w:w="0" w:type="dxa"/>
            <w:right w:w="108" w:type="dxa"/>
          </w:tblCellMar>
        </w:tblPrEx>
        <w:trPr>
          <w:trHeight w:val="850" w:hRule="atLeast"/>
        </w:trPr>
        <w:tc>
          <w:tcPr>
            <w:tcW w:w="178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104749D1">
            <w:pPr>
              <w:spacing w:before="100" w:beforeAutospacing="1" w:line="320" w:lineRule="exact"/>
              <w:jc w:val="center"/>
              <w:rPr>
                <w:rFonts w:hint="eastAsia" w:ascii="宋体" w:hAnsi="宋体" w:eastAsia="宋体"/>
                <w:sz w:val="24"/>
                <w:szCs w:val="24"/>
                <w:lang w:eastAsia="zh-CN"/>
              </w:rPr>
            </w:pPr>
            <w:r>
              <w:rPr>
                <w:rFonts w:hint="eastAsia" w:ascii="宋体" w:hAnsi="宋体"/>
                <w:sz w:val="24"/>
                <w:szCs w:val="24"/>
              </w:rPr>
              <w:t>拟派</w:t>
            </w:r>
            <w:r>
              <w:rPr>
                <w:rFonts w:hint="eastAsia" w:ascii="宋体" w:hAnsi="宋体"/>
                <w:sz w:val="24"/>
                <w:szCs w:val="24"/>
                <w:lang w:eastAsia="zh-CN"/>
              </w:rPr>
              <w:t>项目经理</w:t>
            </w:r>
          </w:p>
        </w:tc>
        <w:tc>
          <w:tcPr>
            <w:tcW w:w="2386" w:type="dxa"/>
            <w:tcBorders>
              <w:top w:val="single" w:color="000000" w:sz="6" w:space="0"/>
              <w:left w:val="nil"/>
              <w:bottom w:val="single" w:color="000000" w:sz="6" w:space="0"/>
              <w:right w:val="single" w:color="auto" w:sz="4" w:space="0"/>
            </w:tcBorders>
            <w:noWrap w:val="0"/>
            <w:tcMar>
              <w:top w:w="0" w:type="dxa"/>
              <w:left w:w="0" w:type="dxa"/>
              <w:bottom w:w="0" w:type="dxa"/>
              <w:right w:w="0" w:type="dxa"/>
            </w:tcMar>
            <w:vAlign w:val="center"/>
          </w:tcPr>
          <w:p w14:paraId="39F82C76">
            <w:pPr>
              <w:spacing w:before="100" w:beforeAutospacing="1" w:line="271" w:lineRule="auto"/>
              <w:jc w:val="center"/>
              <w:rPr>
                <w:rFonts w:ascii="宋体" w:hAnsi="宋体"/>
                <w:sz w:val="24"/>
                <w:szCs w:val="24"/>
              </w:rPr>
            </w:pPr>
          </w:p>
        </w:tc>
        <w:tc>
          <w:tcPr>
            <w:tcW w:w="1719" w:type="dxa"/>
            <w:tcBorders>
              <w:top w:val="single" w:color="000000" w:sz="6" w:space="0"/>
              <w:left w:val="single" w:color="auto" w:sz="4" w:space="0"/>
              <w:bottom w:val="single" w:color="000000" w:sz="6" w:space="0"/>
              <w:right w:val="single" w:color="auto" w:sz="4" w:space="0"/>
            </w:tcBorders>
            <w:noWrap w:val="0"/>
            <w:tcMar>
              <w:top w:w="0" w:type="dxa"/>
              <w:left w:w="0" w:type="dxa"/>
              <w:bottom w:w="0" w:type="dxa"/>
              <w:right w:w="0" w:type="dxa"/>
            </w:tcMar>
            <w:vAlign w:val="center"/>
          </w:tcPr>
          <w:p w14:paraId="2A16609C">
            <w:pPr>
              <w:spacing w:before="100" w:beforeAutospacing="1" w:line="271" w:lineRule="auto"/>
              <w:jc w:val="center"/>
              <w:rPr>
                <w:rFonts w:ascii="宋体" w:hAnsi="宋体"/>
                <w:sz w:val="24"/>
                <w:szCs w:val="24"/>
              </w:rPr>
            </w:pPr>
            <w:r>
              <w:rPr>
                <w:rFonts w:hint="eastAsia" w:ascii="宋体" w:hAnsi="宋体"/>
                <w:sz w:val="24"/>
                <w:szCs w:val="24"/>
              </w:rPr>
              <w:t>证书编号</w:t>
            </w:r>
          </w:p>
        </w:tc>
        <w:tc>
          <w:tcPr>
            <w:tcW w:w="2565" w:type="dxa"/>
            <w:tcBorders>
              <w:top w:val="single" w:color="000000" w:sz="6" w:space="0"/>
              <w:left w:val="single" w:color="auto" w:sz="4" w:space="0"/>
              <w:bottom w:val="single" w:color="000000" w:sz="6" w:space="0"/>
              <w:right w:val="single" w:color="000000" w:sz="6" w:space="0"/>
            </w:tcBorders>
            <w:noWrap w:val="0"/>
            <w:tcMar>
              <w:top w:w="0" w:type="dxa"/>
              <w:left w:w="0" w:type="dxa"/>
              <w:bottom w:w="0" w:type="dxa"/>
              <w:right w:w="0" w:type="dxa"/>
            </w:tcMar>
            <w:vAlign w:val="center"/>
          </w:tcPr>
          <w:p w14:paraId="538A7498">
            <w:pPr>
              <w:spacing w:before="100" w:beforeAutospacing="1" w:line="271" w:lineRule="auto"/>
              <w:jc w:val="center"/>
              <w:rPr>
                <w:rFonts w:ascii="宋体" w:hAnsi="宋体"/>
                <w:sz w:val="24"/>
                <w:szCs w:val="24"/>
              </w:rPr>
            </w:pPr>
          </w:p>
        </w:tc>
      </w:tr>
      <w:tr w14:paraId="05C32042">
        <w:tblPrEx>
          <w:tblCellMar>
            <w:top w:w="0" w:type="dxa"/>
            <w:left w:w="108" w:type="dxa"/>
            <w:bottom w:w="0" w:type="dxa"/>
            <w:right w:w="108" w:type="dxa"/>
          </w:tblCellMar>
        </w:tblPrEx>
        <w:trPr>
          <w:trHeight w:val="850" w:hRule="atLeast"/>
        </w:trPr>
        <w:tc>
          <w:tcPr>
            <w:tcW w:w="178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4C6F0DD7">
            <w:pPr>
              <w:spacing w:before="100" w:beforeAutospacing="1" w:line="320" w:lineRule="exact"/>
              <w:jc w:val="center"/>
              <w:rPr>
                <w:rFonts w:hint="default" w:ascii="宋体" w:hAnsi="宋体" w:eastAsia="宋体"/>
                <w:sz w:val="24"/>
                <w:szCs w:val="24"/>
                <w:lang w:val="en-US" w:eastAsia="zh-CN"/>
              </w:rPr>
            </w:pPr>
            <w:r>
              <w:rPr>
                <w:rFonts w:hint="eastAsia" w:ascii="宋体" w:hAnsi="宋体"/>
                <w:sz w:val="24"/>
                <w:szCs w:val="24"/>
                <w:lang w:val="en-US" w:eastAsia="zh-CN"/>
              </w:rPr>
              <w:t>项目总工</w:t>
            </w:r>
          </w:p>
        </w:tc>
        <w:tc>
          <w:tcPr>
            <w:tcW w:w="2386" w:type="dxa"/>
            <w:tcBorders>
              <w:top w:val="single" w:color="000000" w:sz="6" w:space="0"/>
              <w:left w:val="nil"/>
              <w:bottom w:val="single" w:color="000000" w:sz="6" w:space="0"/>
              <w:right w:val="single" w:color="auto" w:sz="4" w:space="0"/>
            </w:tcBorders>
            <w:noWrap w:val="0"/>
            <w:tcMar>
              <w:top w:w="0" w:type="dxa"/>
              <w:left w:w="0" w:type="dxa"/>
              <w:bottom w:w="0" w:type="dxa"/>
              <w:right w:w="0" w:type="dxa"/>
            </w:tcMar>
            <w:vAlign w:val="center"/>
          </w:tcPr>
          <w:p w14:paraId="2F2A5236">
            <w:pPr>
              <w:spacing w:before="100" w:beforeAutospacing="1" w:line="271" w:lineRule="auto"/>
              <w:jc w:val="center"/>
              <w:rPr>
                <w:rFonts w:ascii="宋体" w:hAnsi="宋体"/>
                <w:sz w:val="24"/>
                <w:szCs w:val="24"/>
              </w:rPr>
            </w:pPr>
          </w:p>
        </w:tc>
        <w:tc>
          <w:tcPr>
            <w:tcW w:w="1719" w:type="dxa"/>
            <w:tcBorders>
              <w:top w:val="single" w:color="000000" w:sz="6" w:space="0"/>
              <w:left w:val="single" w:color="auto" w:sz="4" w:space="0"/>
              <w:bottom w:val="single" w:color="000000" w:sz="6" w:space="0"/>
              <w:right w:val="single" w:color="auto" w:sz="4" w:space="0"/>
            </w:tcBorders>
            <w:noWrap w:val="0"/>
            <w:tcMar>
              <w:top w:w="0" w:type="dxa"/>
              <w:left w:w="0" w:type="dxa"/>
              <w:bottom w:w="0" w:type="dxa"/>
              <w:right w:w="0" w:type="dxa"/>
            </w:tcMar>
            <w:vAlign w:val="center"/>
          </w:tcPr>
          <w:p w14:paraId="090122C4">
            <w:pPr>
              <w:spacing w:before="100" w:beforeAutospacing="1" w:line="271" w:lineRule="auto"/>
              <w:jc w:val="center"/>
              <w:rPr>
                <w:rFonts w:hint="eastAsia" w:ascii="宋体" w:hAnsi="宋体" w:eastAsia="宋体"/>
                <w:sz w:val="24"/>
                <w:szCs w:val="24"/>
                <w:lang w:val="en-US" w:eastAsia="zh-CN"/>
              </w:rPr>
            </w:pPr>
            <w:r>
              <w:rPr>
                <w:rFonts w:hint="eastAsia" w:ascii="宋体" w:hAnsi="宋体"/>
                <w:sz w:val="24"/>
                <w:szCs w:val="24"/>
                <w:lang w:val="en-US" w:eastAsia="zh-CN"/>
              </w:rPr>
              <w:t>职称</w:t>
            </w:r>
          </w:p>
        </w:tc>
        <w:tc>
          <w:tcPr>
            <w:tcW w:w="2565" w:type="dxa"/>
            <w:tcBorders>
              <w:top w:val="single" w:color="000000" w:sz="6" w:space="0"/>
              <w:left w:val="single" w:color="auto" w:sz="4" w:space="0"/>
              <w:bottom w:val="single" w:color="000000" w:sz="6" w:space="0"/>
              <w:right w:val="single" w:color="000000" w:sz="6" w:space="0"/>
            </w:tcBorders>
            <w:noWrap w:val="0"/>
            <w:tcMar>
              <w:top w:w="0" w:type="dxa"/>
              <w:left w:w="0" w:type="dxa"/>
              <w:bottom w:w="0" w:type="dxa"/>
              <w:right w:w="0" w:type="dxa"/>
            </w:tcMar>
            <w:vAlign w:val="center"/>
          </w:tcPr>
          <w:p w14:paraId="7C697EDB">
            <w:pPr>
              <w:spacing w:before="100" w:beforeAutospacing="1" w:line="271" w:lineRule="auto"/>
              <w:jc w:val="center"/>
              <w:rPr>
                <w:rFonts w:ascii="宋体" w:hAnsi="宋体"/>
                <w:sz w:val="24"/>
                <w:szCs w:val="24"/>
              </w:rPr>
            </w:pPr>
          </w:p>
        </w:tc>
      </w:tr>
      <w:tr w14:paraId="6118FF94">
        <w:tblPrEx>
          <w:tblCellMar>
            <w:top w:w="0" w:type="dxa"/>
            <w:left w:w="108" w:type="dxa"/>
            <w:bottom w:w="0" w:type="dxa"/>
            <w:right w:w="108" w:type="dxa"/>
          </w:tblCellMar>
        </w:tblPrEx>
        <w:trPr>
          <w:trHeight w:val="1507" w:hRule="atLeast"/>
        </w:trPr>
        <w:tc>
          <w:tcPr>
            <w:tcW w:w="178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4864FC00">
            <w:pPr>
              <w:spacing w:before="100" w:beforeAutospacing="1" w:line="271" w:lineRule="auto"/>
              <w:ind w:left="19" w:hanging="19" w:hangingChars="8"/>
              <w:jc w:val="center"/>
              <w:rPr>
                <w:rFonts w:ascii="宋体" w:hAnsi="宋体"/>
                <w:sz w:val="24"/>
                <w:szCs w:val="24"/>
              </w:rPr>
            </w:pPr>
            <w:r>
              <w:rPr>
                <w:rFonts w:hint="eastAsia" w:ascii="宋体" w:hAnsi="宋体"/>
                <w:sz w:val="24"/>
                <w:szCs w:val="24"/>
                <w:lang w:eastAsia="zh-CN"/>
              </w:rPr>
              <w:t>响应总报价</w:t>
            </w:r>
            <w:r>
              <w:rPr>
                <w:rFonts w:hint="eastAsia" w:ascii="宋体" w:hAnsi="宋体"/>
                <w:sz w:val="24"/>
                <w:szCs w:val="24"/>
              </w:rPr>
              <w:t>（元）</w:t>
            </w:r>
          </w:p>
        </w:tc>
        <w:tc>
          <w:tcPr>
            <w:tcW w:w="6670" w:type="dxa"/>
            <w:gridSpan w:val="3"/>
            <w:tcBorders>
              <w:top w:val="single" w:color="000000" w:sz="6" w:space="0"/>
              <w:left w:val="nil"/>
              <w:bottom w:val="single" w:color="000000" w:sz="6" w:space="0"/>
              <w:right w:val="single" w:color="000000" w:sz="6" w:space="0"/>
            </w:tcBorders>
            <w:noWrap w:val="0"/>
            <w:tcMar>
              <w:top w:w="0" w:type="dxa"/>
              <w:left w:w="0" w:type="dxa"/>
              <w:bottom w:w="0" w:type="dxa"/>
              <w:right w:w="0" w:type="dxa"/>
            </w:tcMar>
            <w:vAlign w:val="center"/>
          </w:tcPr>
          <w:p w14:paraId="2F515B27">
            <w:pPr>
              <w:ind w:firstLine="249" w:firstLineChars="104"/>
              <w:rPr>
                <w:rFonts w:ascii="宋体" w:hAnsi="宋体"/>
                <w:sz w:val="24"/>
                <w:szCs w:val="24"/>
              </w:rPr>
            </w:pPr>
            <w:r>
              <w:rPr>
                <w:rFonts w:hint="eastAsia" w:ascii="宋体" w:hAnsi="宋体"/>
                <w:sz w:val="24"/>
                <w:szCs w:val="24"/>
              </w:rPr>
              <w:t>大写：</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hint="eastAsia" w:ascii="宋体" w:hAnsi="宋体"/>
                <w:sz w:val="24"/>
                <w:szCs w:val="24"/>
                <w:u w:val="single"/>
              </w:rPr>
              <w:t xml:space="preserve">   </w:t>
            </w:r>
            <w:r>
              <w:rPr>
                <w:rFonts w:hint="eastAsia" w:ascii="宋体" w:hAnsi="宋体"/>
                <w:sz w:val="24"/>
                <w:szCs w:val="24"/>
              </w:rPr>
              <w:t xml:space="preserve">          </w:t>
            </w:r>
          </w:p>
          <w:p w14:paraId="465787D8">
            <w:pPr>
              <w:spacing w:before="100" w:beforeAutospacing="1" w:line="271" w:lineRule="auto"/>
              <w:ind w:firstLine="249" w:firstLineChars="104"/>
              <w:rPr>
                <w:rFonts w:ascii="宋体" w:hAnsi="宋体"/>
                <w:sz w:val="24"/>
                <w:szCs w:val="24"/>
              </w:rPr>
            </w:pPr>
            <w:r>
              <w:rPr>
                <w:rFonts w:hint="eastAsia" w:ascii="宋体" w:hAnsi="宋体"/>
                <w:sz w:val="24"/>
                <w:szCs w:val="24"/>
                <w:lang w:val="en-US" w:eastAsia="zh-CN"/>
              </w:rPr>
              <w:t>小写：</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hint="eastAsia" w:ascii="宋体" w:hAnsi="宋体"/>
                <w:sz w:val="24"/>
                <w:szCs w:val="24"/>
                <w:u w:val="single"/>
              </w:rPr>
              <w:t xml:space="preserve">   </w:t>
            </w:r>
            <w:r>
              <w:rPr>
                <w:rFonts w:hint="eastAsia" w:ascii="宋体" w:hAnsi="宋体"/>
                <w:sz w:val="24"/>
                <w:szCs w:val="24"/>
              </w:rPr>
              <w:t>元</w:t>
            </w:r>
          </w:p>
        </w:tc>
      </w:tr>
      <w:tr w14:paraId="2D501342">
        <w:tblPrEx>
          <w:tblCellMar>
            <w:top w:w="0" w:type="dxa"/>
            <w:left w:w="108" w:type="dxa"/>
            <w:bottom w:w="0" w:type="dxa"/>
            <w:right w:w="108" w:type="dxa"/>
          </w:tblCellMar>
        </w:tblPrEx>
        <w:trPr>
          <w:trHeight w:val="850" w:hRule="atLeast"/>
        </w:trPr>
        <w:tc>
          <w:tcPr>
            <w:tcW w:w="178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4F2501D3">
            <w:pPr>
              <w:spacing w:before="100" w:beforeAutospacing="1" w:line="271" w:lineRule="auto"/>
              <w:jc w:val="center"/>
              <w:rPr>
                <w:rFonts w:ascii="宋体" w:hAnsi="宋体"/>
                <w:sz w:val="24"/>
                <w:szCs w:val="24"/>
              </w:rPr>
            </w:pPr>
            <w:r>
              <w:rPr>
                <w:rFonts w:hint="eastAsia" w:ascii="宋体" w:hAnsi="宋体"/>
                <w:sz w:val="24"/>
                <w:szCs w:val="24"/>
              </w:rPr>
              <w:t xml:space="preserve">质量 </w:t>
            </w:r>
          </w:p>
        </w:tc>
        <w:tc>
          <w:tcPr>
            <w:tcW w:w="6670" w:type="dxa"/>
            <w:gridSpan w:val="3"/>
            <w:tcBorders>
              <w:top w:val="single" w:color="000000" w:sz="6" w:space="0"/>
              <w:left w:val="nil"/>
              <w:bottom w:val="single" w:color="000000" w:sz="6" w:space="0"/>
              <w:right w:val="single" w:color="000000" w:sz="6" w:space="0"/>
            </w:tcBorders>
            <w:noWrap w:val="0"/>
            <w:tcMar>
              <w:top w:w="0" w:type="dxa"/>
              <w:left w:w="0" w:type="dxa"/>
              <w:bottom w:w="0" w:type="dxa"/>
              <w:right w:w="0" w:type="dxa"/>
            </w:tcMar>
            <w:vAlign w:val="center"/>
          </w:tcPr>
          <w:p w14:paraId="1D38E43F">
            <w:pPr>
              <w:pStyle w:val="43"/>
              <w:shd w:val="clear" w:color="auto" w:fill="FFFFFF"/>
              <w:spacing w:after="0" w:afterAutospacing="0" w:line="500" w:lineRule="exact"/>
              <w:jc w:val="center"/>
              <w:rPr>
                <w:rFonts w:hint="eastAsia" w:eastAsia="宋体" w:cs="Times New Roman"/>
                <w:kern w:val="2"/>
                <w:lang w:eastAsia="zh-CN"/>
              </w:rPr>
            </w:pPr>
          </w:p>
        </w:tc>
      </w:tr>
      <w:tr w14:paraId="4C76808C">
        <w:tblPrEx>
          <w:tblCellMar>
            <w:top w:w="0" w:type="dxa"/>
            <w:left w:w="108" w:type="dxa"/>
            <w:bottom w:w="0" w:type="dxa"/>
            <w:right w:w="108" w:type="dxa"/>
          </w:tblCellMar>
        </w:tblPrEx>
        <w:trPr>
          <w:trHeight w:val="850" w:hRule="atLeast"/>
        </w:trPr>
        <w:tc>
          <w:tcPr>
            <w:tcW w:w="178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361313B0">
            <w:pPr>
              <w:spacing w:before="100" w:beforeAutospacing="1" w:line="271" w:lineRule="auto"/>
              <w:jc w:val="center"/>
              <w:rPr>
                <w:rFonts w:ascii="宋体" w:hAnsi="宋体"/>
                <w:sz w:val="24"/>
                <w:szCs w:val="24"/>
              </w:rPr>
            </w:pPr>
            <w:r>
              <w:rPr>
                <w:rFonts w:hint="eastAsia" w:ascii="宋体" w:hAnsi="宋体"/>
                <w:sz w:val="24"/>
                <w:szCs w:val="24"/>
              </w:rPr>
              <w:t xml:space="preserve">工期 </w:t>
            </w:r>
          </w:p>
        </w:tc>
        <w:tc>
          <w:tcPr>
            <w:tcW w:w="6670" w:type="dxa"/>
            <w:gridSpan w:val="3"/>
            <w:tcBorders>
              <w:top w:val="single" w:color="000000" w:sz="6" w:space="0"/>
              <w:left w:val="nil"/>
              <w:bottom w:val="single" w:color="000000" w:sz="6" w:space="0"/>
              <w:right w:val="single" w:color="000000" w:sz="6" w:space="0"/>
            </w:tcBorders>
            <w:noWrap w:val="0"/>
            <w:tcMar>
              <w:top w:w="0" w:type="dxa"/>
              <w:left w:w="0" w:type="dxa"/>
              <w:bottom w:w="0" w:type="dxa"/>
              <w:right w:w="0" w:type="dxa"/>
            </w:tcMar>
            <w:vAlign w:val="center"/>
          </w:tcPr>
          <w:p w14:paraId="00622453">
            <w:pPr>
              <w:spacing w:before="100" w:beforeAutospacing="1" w:after="200" w:line="320" w:lineRule="exact"/>
              <w:ind w:firstLine="24" w:firstLineChars="10"/>
              <w:rPr>
                <w:rFonts w:ascii="宋体" w:hAnsi="宋体"/>
                <w:sz w:val="24"/>
                <w:szCs w:val="24"/>
              </w:rPr>
            </w:pPr>
          </w:p>
        </w:tc>
      </w:tr>
      <w:tr w14:paraId="6ADD6A05">
        <w:tblPrEx>
          <w:tblCellMar>
            <w:top w:w="0" w:type="dxa"/>
            <w:left w:w="108" w:type="dxa"/>
            <w:bottom w:w="0" w:type="dxa"/>
            <w:right w:w="108" w:type="dxa"/>
          </w:tblCellMar>
        </w:tblPrEx>
        <w:trPr>
          <w:trHeight w:val="850" w:hRule="atLeast"/>
        </w:trPr>
        <w:tc>
          <w:tcPr>
            <w:tcW w:w="178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5E8362F1">
            <w:pPr>
              <w:spacing w:before="100" w:beforeAutospacing="1" w:line="271" w:lineRule="auto"/>
              <w:ind w:left="-36" w:leftChars="-15"/>
              <w:jc w:val="center"/>
              <w:rPr>
                <w:rFonts w:ascii="宋体" w:hAnsi="宋体"/>
                <w:sz w:val="24"/>
                <w:szCs w:val="24"/>
              </w:rPr>
            </w:pPr>
            <w:r>
              <w:rPr>
                <w:rFonts w:hint="eastAsia" w:ascii="宋体" w:hAnsi="宋体"/>
                <w:sz w:val="24"/>
                <w:szCs w:val="24"/>
              </w:rPr>
              <w:t>磋商有效期</w:t>
            </w:r>
          </w:p>
        </w:tc>
        <w:tc>
          <w:tcPr>
            <w:tcW w:w="6670" w:type="dxa"/>
            <w:gridSpan w:val="3"/>
            <w:tcBorders>
              <w:top w:val="single" w:color="000000" w:sz="6" w:space="0"/>
              <w:left w:val="nil"/>
              <w:bottom w:val="single" w:color="000000" w:sz="6" w:space="0"/>
              <w:right w:val="single" w:color="000000" w:sz="6" w:space="0"/>
            </w:tcBorders>
            <w:noWrap w:val="0"/>
            <w:tcMar>
              <w:top w:w="0" w:type="dxa"/>
              <w:left w:w="0" w:type="dxa"/>
              <w:bottom w:w="0" w:type="dxa"/>
              <w:right w:w="0" w:type="dxa"/>
            </w:tcMar>
            <w:vAlign w:val="center"/>
          </w:tcPr>
          <w:p w14:paraId="110A6EF7">
            <w:pPr>
              <w:spacing w:before="100" w:beforeAutospacing="1" w:after="200" w:line="320" w:lineRule="exact"/>
              <w:rPr>
                <w:rFonts w:ascii="宋体" w:hAnsi="宋体"/>
                <w:sz w:val="24"/>
                <w:szCs w:val="24"/>
              </w:rPr>
            </w:pPr>
          </w:p>
        </w:tc>
      </w:tr>
      <w:tr w14:paraId="0BA8EB1D">
        <w:tblPrEx>
          <w:tblCellMar>
            <w:top w:w="0" w:type="dxa"/>
            <w:left w:w="108" w:type="dxa"/>
            <w:bottom w:w="0" w:type="dxa"/>
            <w:right w:w="108" w:type="dxa"/>
          </w:tblCellMar>
        </w:tblPrEx>
        <w:trPr>
          <w:trHeight w:val="850" w:hRule="atLeast"/>
        </w:trPr>
        <w:tc>
          <w:tcPr>
            <w:tcW w:w="178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70B7CF0E">
            <w:pPr>
              <w:spacing w:before="100" w:beforeAutospacing="1" w:line="271" w:lineRule="auto"/>
              <w:jc w:val="center"/>
              <w:rPr>
                <w:rFonts w:ascii="宋体" w:hAnsi="宋体"/>
                <w:color w:val="FF0000"/>
                <w:sz w:val="24"/>
                <w:szCs w:val="24"/>
              </w:rPr>
            </w:pPr>
            <w:r>
              <w:rPr>
                <w:rFonts w:hint="eastAsia" w:ascii="宋体" w:hAnsi="宋体"/>
                <w:sz w:val="24"/>
                <w:szCs w:val="24"/>
              </w:rPr>
              <w:t>备注</w:t>
            </w:r>
          </w:p>
        </w:tc>
        <w:tc>
          <w:tcPr>
            <w:tcW w:w="6670" w:type="dxa"/>
            <w:gridSpan w:val="3"/>
            <w:tcBorders>
              <w:top w:val="single" w:color="000000" w:sz="6" w:space="0"/>
              <w:left w:val="nil"/>
              <w:bottom w:val="single" w:color="000000" w:sz="6" w:space="0"/>
              <w:right w:val="single" w:color="000000" w:sz="6" w:space="0"/>
            </w:tcBorders>
            <w:noWrap w:val="0"/>
            <w:tcMar>
              <w:top w:w="0" w:type="dxa"/>
              <w:left w:w="0" w:type="dxa"/>
              <w:bottom w:w="0" w:type="dxa"/>
              <w:right w:w="0" w:type="dxa"/>
            </w:tcMar>
            <w:vAlign w:val="center"/>
          </w:tcPr>
          <w:p w14:paraId="4E4DA4BE">
            <w:pPr>
              <w:spacing w:before="100" w:beforeAutospacing="1" w:line="271" w:lineRule="auto"/>
              <w:jc w:val="center"/>
              <w:rPr>
                <w:rFonts w:ascii="宋体" w:hAnsi="宋体"/>
                <w:sz w:val="24"/>
                <w:szCs w:val="24"/>
              </w:rPr>
            </w:pPr>
          </w:p>
        </w:tc>
      </w:tr>
    </w:tbl>
    <w:p w14:paraId="7C240283">
      <w:pPr>
        <w:rPr>
          <w:rFonts w:hint="eastAsia" w:ascii="宋体" w:hAnsi="宋体"/>
          <w:b/>
          <w:bCs/>
          <w:color w:val="auto"/>
          <w:szCs w:val="21"/>
          <w:highlight w:val="none"/>
          <w:lang w:eastAsia="zh-CN"/>
        </w:rPr>
      </w:pPr>
    </w:p>
    <w:p w14:paraId="5D03D1C8">
      <w:pPr>
        <w:rPr>
          <w:rFonts w:hint="eastAsia" w:ascii="宋体" w:hAnsi="宋体"/>
          <w:b/>
          <w:bCs/>
          <w:color w:val="auto"/>
          <w:szCs w:val="21"/>
          <w:highlight w:val="none"/>
          <w:lang w:eastAsia="zh-CN"/>
        </w:rPr>
      </w:pPr>
    </w:p>
    <w:p w14:paraId="50E1D3CE">
      <w:pPr>
        <w:ind w:firstLine="2880" w:firstLineChars="1200"/>
        <w:jc w:val="right"/>
        <w:rPr>
          <w:rFonts w:hint="eastAsia" w:ascii="宋体" w:hAnsi="宋体"/>
          <w:color w:val="auto"/>
          <w:szCs w:val="21"/>
          <w:highlight w:val="none"/>
          <w:lang w:eastAsia="zh-CN"/>
        </w:rPr>
      </w:pPr>
    </w:p>
    <w:p w14:paraId="489C507A">
      <w:pPr>
        <w:ind w:firstLine="2880" w:firstLineChars="1200"/>
        <w:jc w:val="right"/>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eastAsia="zh-CN"/>
        </w:rPr>
        <w:t>供应商</w:t>
      </w:r>
      <w:r>
        <w:rPr>
          <w:rFonts w:hint="eastAsia" w:ascii="宋体" w:hAnsi="宋体"/>
          <w:color w:val="auto"/>
          <w:sz w:val="24"/>
          <w:szCs w:val="24"/>
          <w:highlight w:val="none"/>
        </w:rPr>
        <w:t>：</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（盖章）</w:t>
      </w:r>
    </w:p>
    <w:p w14:paraId="6C95A096">
      <w:pPr>
        <w:jc w:val="right"/>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 xml:space="preserve">     </w:t>
      </w:r>
    </w:p>
    <w:p w14:paraId="127DF8C9">
      <w:pPr>
        <w:ind w:firstLine="2880" w:firstLineChars="1200"/>
        <w:jc w:val="right"/>
        <w:rPr>
          <w:rFonts w:hint="eastAsia" w:ascii="宋体" w:hAnsi="宋体"/>
          <w:color w:val="auto"/>
          <w:sz w:val="24"/>
          <w:szCs w:val="24"/>
          <w:highlight w:val="none"/>
        </w:rPr>
      </w:pPr>
      <w:r>
        <w:rPr>
          <w:rFonts w:hint="eastAsia" w:ascii="宋体" w:hAnsi="宋体"/>
          <w:color w:val="auto"/>
          <w:sz w:val="24"/>
          <w:szCs w:val="24"/>
          <w:highlight w:val="none"/>
        </w:rPr>
        <w:t>法定代表人：</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电子签章</w:t>
      </w:r>
      <w:r>
        <w:rPr>
          <w:rFonts w:hint="eastAsia" w:ascii="宋体" w:hAnsi="宋体"/>
          <w:color w:val="auto"/>
          <w:sz w:val="24"/>
          <w:szCs w:val="24"/>
          <w:highlight w:val="none"/>
        </w:rPr>
        <w:t>）</w:t>
      </w:r>
    </w:p>
    <w:p w14:paraId="66673AAE">
      <w:pPr>
        <w:jc w:val="right"/>
        <w:rPr>
          <w:rFonts w:hint="eastAsia" w:ascii="宋体" w:hAnsi="宋体"/>
          <w:color w:val="auto"/>
          <w:sz w:val="24"/>
          <w:szCs w:val="24"/>
          <w:highlight w:val="none"/>
        </w:rPr>
      </w:pPr>
    </w:p>
    <w:p w14:paraId="49A3AAEC">
      <w:pPr>
        <w:tabs>
          <w:tab w:val="left" w:pos="5380"/>
          <w:tab w:val="left" w:pos="6520"/>
          <w:tab w:val="left" w:pos="7680"/>
        </w:tabs>
        <w:autoSpaceDE w:val="0"/>
        <w:autoSpaceDN w:val="0"/>
        <w:adjustRightInd w:val="0"/>
        <w:ind w:right="-20" w:firstLine="4320" w:firstLineChars="1800"/>
        <w:jc w:val="righ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u w:val="single"/>
        </w:rPr>
        <w:t xml:space="preserve">     </w:t>
      </w:r>
      <w:r>
        <w:rPr>
          <w:rFonts w:hint="eastAsia" w:ascii="宋体" w:hAnsi="宋体" w:cs="宋体"/>
          <w:color w:val="auto"/>
          <w:spacing w:val="43"/>
          <w:kern w:val="0"/>
          <w:sz w:val="24"/>
          <w:szCs w:val="24"/>
          <w:highlight w:val="none"/>
          <w:u w:val="single"/>
        </w:rPr>
        <w:t xml:space="preserve"> </w:t>
      </w:r>
      <w:r>
        <w:rPr>
          <w:rFonts w:hint="eastAsia" w:ascii="宋体" w:hAnsi="宋体" w:cs="宋体"/>
          <w:color w:val="auto"/>
          <w:kern w:val="0"/>
          <w:sz w:val="24"/>
          <w:szCs w:val="24"/>
          <w:highlight w:val="none"/>
        </w:rPr>
        <w:t>年</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月</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日</w:t>
      </w:r>
    </w:p>
    <w:p w14:paraId="663CA081">
      <w:pPr>
        <w:pStyle w:val="3"/>
        <w:numPr>
          <w:ilvl w:val="0"/>
          <w:numId w:val="17"/>
        </w:numPr>
        <w:bidi w:val="0"/>
        <w:rPr>
          <w:rFonts w:hint="eastAsia" w:ascii="宋体" w:hAnsi="宋体" w:eastAsia="宋体" w:cs="Times New Roman"/>
          <w:bCs w:val="0"/>
          <w:color w:val="auto"/>
          <w:szCs w:val="24"/>
          <w:highlight w:val="none"/>
          <w:lang w:val="zh-CN" w:eastAsia="zh-CN"/>
        </w:rPr>
      </w:pPr>
      <w:r>
        <w:rPr>
          <w:rFonts w:hint="eastAsia" w:ascii="宋体" w:hAnsi="宋体" w:eastAsia="宋体" w:cs="Times New Roman"/>
          <w:bCs w:val="0"/>
          <w:color w:val="auto"/>
          <w:szCs w:val="32"/>
          <w:highlight w:val="none"/>
          <w:lang w:val="zh-CN" w:eastAsia="zh-CN"/>
        </w:rPr>
        <w:br w:type="page"/>
      </w:r>
      <w:bookmarkStart w:id="1718" w:name="_Toc31217"/>
      <w:bookmarkStart w:id="1719" w:name="_Toc18489"/>
      <w:r>
        <w:rPr>
          <w:rFonts w:hint="eastAsia"/>
          <w:lang w:val="zh-CN" w:eastAsia="zh-CN"/>
        </w:rPr>
        <w:t>法定代表人身份证明</w:t>
      </w:r>
      <w:bookmarkEnd w:id="1717"/>
      <w:bookmarkEnd w:id="1718"/>
      <w:bookmarkEnd w:id="1719"/>
      <w:r>
        <w:rPr>
          <w:rFonts w:hint="eastAsia"/>
          <w:lang w:val="en-US" w:eastAsia="zh-CN"/>
        </w:rPr>
        <w:t>及授权委托书</w:t>
      </w:r>
    </w:p>
    <w:p w14:paraId="43A2014E">
      <w:pPr>
        <w:rPr>
          <w:rFonts w:hint="eastAsia"/>
          <w:lang w:val="zh-CN" w:eastAsia="zh-CN"/>
        </w:rPr>
      </w:pPr>
    </w:p>
    <w:p w14:paraId="772CA41E">
      <w:pPr>
        <w:pStyle w:val="4"/>
        <w:numPr>
          <w:ilvl w:val="0"/>
          <w:numId w:val="20"/>
        </w:numPr>
        <w:bidi w:val="0"/>
        <w:ind w:left="0" w:leftChars="0" w:firstLine="420" w:firstLineChars="0"/>
        <w:jc w:val="center"/>
        <w:rPr>
          <w:rFonts w:hint="eastAsia"/>
        </w:rPr>
      </w:pPr>
      <w:r>
        <w:rPr>
          <w:rFonts w:hint="eastAsia"/>
          <w:lang w:val="zh-CN" w:eastAsia="zh-CN"/>
        </w:rPr>
        <w:t>法定代表人身份证明</w:t>
      </w:r>
    </w:p>
    <w:p w14:paraId="320ABEA0">
      <w:pPr>
        <w:keepNext w:val="0"/>
        <w:keepLines w:val="0"/>
        <w:pageBreakBefore w:val="0"/>
        <w:widowControl w:val="0"/>
        <w:kinsoku/>
        <w:wordWrap/>
        <w:overflowPunct/>
        <w:topLinePunct w:val="0"/>
        <w:autoSpaceDE w:val="0"/>
        <w:autoSpaceDN w:val="0"/>
        <w:bidi w:val="0"/>
        <w:adjustRightInd w:val="0"/>
        <w:snapToGrid/>
        <w:spacing w:line="480" w:lineRule="auto"/>
        <w:textAlignment w:val="auto"/>
        <w:outlineLvl w:val="9"/>
        <w:rPr>
          <w:rFonts w:hint="eastAsia" w:ascii="宋体" w:hAnsi="宋体" w:eastAsia="宋体" w:cs="宋体"/>
          <w:color w:val="auto"/>
          <w:kern w:val="0"/>
          <w:sz w:val="24"/>
          <w:szCs w:val="24"/>
          <w:highlight w:val="none"/>
          <w:u w:val="single"/>
        </w:rPr>
      </w:pPr>
      <w:r>
        <w:rPr>
          <w:rFonts w:hint="eastAsia"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p>
    <w:p w14:paraId="5BEBC9E9">
      <w:pPr>
        <w:keepNext w:val="0"/>
        <w:keepLines w:val="0"/>
        <w:pageBreakBefore w:val="0"/>
        <w:widowControl w:val="0"/>
        <w:kinsoku/>
        <w:wordWrap/>
        <w:overflowPunct/>
        <w:topLinePunct w:val="0"/>
        <w:autoSpaceDE w:val="0"/>
        <w:autoSpaceDN w:val="0"/>
        <w:bidi w:val="0"/>
        <w:adjustRightInd w:val="0"/>
        <w:snapToGrid/>
        <w:spacing w:line="480" w:lineRule="auto"/>
        <w:textAlignment w:val="auto"/>
        <w:outlineLvl w:val="9"/>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姓名：</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性别：</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年龄：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职务：</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p>
    <w:p w14:paraId="40FF61E2">
      <w:pPr>
        <w:keepNext w:val="0"/>
        <w:keepLines w:val="0"/>
        <w:pageBreakBefore w:val="0"/>
        <w:widowControl w:val="0"/>
        <w:kinsoku/>
        <w:wordWrap/>
        <w:overflowPunct/>
        <w:topLinePunct w:val="0"/>
        <w:autoSpaceDE w:val="0"/>
        <w:autoSpaceDN w:val="0"/>
        <w:bidi w:val="0"/>
        <w:adjustRightInd w:val="0"/>
        <w:snapToGrid/>
        <w:spacing w:line="480" w:lineRule="auto"/>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系</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r>
        <w:rPr>
          <w:rFonts w:hint="eastAsia"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名称）的法定代表人。</w:t>
      </w:r>
    </w:p>
    <w:p w14:paraId="4194356A">
      <w:pPr>
        <w:keepNext w:val="0"/>
        <w:keepLines w:val="0"/>
        <w:pageBreakBefore w:val="0"/>
        <w:widowControl w:val="0"/>
        <w:kinsoku/>
        <w:wordWrap/>
        <w:overflowPunct/>
        <w:topLinePunct w:val="0"/>
        <w:autoSpaceDE w:val="0"/>
        <w:autoSpaceDN w:val="0"/>
        <w:bidi w:val="0"/>
        <w:adjustRightInd w:val="0"/>
        <w:snapToGrid/>
        <w:spacing w:line="480" w:lineRule="auto"/>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特此证明。</w:t>
      </w:r>
    </w:p>
    <w:p w14:paraId="343AE41A">
      <w:pPr>
        <w:keepNext w:val="0"/>
        <w:keepLines w:val="0"/>
        <w:pageBreakBefore w:val="0"/>
        <w:widowControl w:val="0"/>
        <w:kinsoku/>
        <w:wordWrap/>
        <w:overflowPunct/>
        <w:topLinePunct w:val="0"/>
        <w:autoSpaceDE w:val="0"/>
        <w:autoSpaceDN w:val="0"/>
        <w:bidi w:val="0"/>
        <w:adjustRightInd w:val="0"/>
        <w:snapToGrid/>
        <w:spacing w:line="480" w:lineRule="auto"/>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附：法定代表人身份证</w:t>
      </w:r>
      <w:r>
        <w:rPr>
          <w:rFonts w:hint="eastAsia" w:ascii="宋体" w:hAnsi="宋体" w:eastAsia="宋体" w:cs="Times New Roman"/>
          <w:color w:val="auto"/>
          <w:sz w:val="24"/>
          <w:szCs w:val="24"/>
          <w:highlight w:val="none"/>
        </w:rPr>
        <w:t>扫描件</w:t>
      </w:r>
      <w:r>
        <w:rPr>
          <w:rFonts w:hint="eastAsia" w:ascii="宋体" w:hAnsi="宋体" w:eastAsia="宋体" w:cs="宋体"/>
          <w:color w:val="auto"/>
          <w:kern w:val="0"/>
          <w:sz w:val="24"/>
          <w:szCs w:val="24"/>
          <w:highlight w:val="none"/>
        </w:rPr>
        <w:t xml:space="preserve">。 </w:t>
      </w:r>
    </w:p>
    <w:p w14:paraId="15DC09CA">
      <w:pPr>
        <w:keepNext w:val="0"/>
        <w:keepLines w:val="0"/>
        <w:pageBreakBefore w:val="0"/>
        <w:widowControl w:val="0"/>
        <w:kinsoku/>
        <w:wordWrap/>
        <w:overflowPunct/>
        <w:topLinePunct w:val="0"/>
        <w:autoSpaceDE w:val="0"/>
        <w:autoSpaceDN w:val="0"/>
        <w:bidi w:val="0"/>
        <w:adjustRightInd w:val="0"/>
        <w:snapToGrid/>
        <w:spacing w:line="480" w:lineRule="auto"/>
        <w:textAlignment w:val="auto"/>
        <w:outlineLvl w:val="9"/>
        <w:rPr>
          <w:rFonts w:hint="eastAsia" w:ascii="宋体" w:hAnsi="宋体" w:eastAsia="宋体" w:cs="宋体"/>
          <w:color w:val="auto"/>
          <w:kern w:val="0"/>
          <w:sz w:val="24"/>
          <w:szCs w:val="24"/>
          <w:highlight w:val="none"/>
        </w:rPr>
      </w:pPr>
    </w:p>
    <w:p w14:paraId="1E1127CC">
      <w:pPr>
        <w:bidi w:val="0"/>
        <w:rPr>
          <w:rFonts w:hint="eastAsia"/>
          <w:sz w:val="24"/>
          <w:szCs w:val="24"/>
        </w:rPr>
      </w:pPr>
    </w:p>
    <w:p w14:paraId="3AA14F3C">
      <w:pPr>
        <w:rPr>
          <w:rFonts w:hint="eastAsia"/>
          <w:sz w:val="24"/>
          <w:szCs w:val="24"/>
        </w:rPr>
      </w:pPr>
    </w:p>
    <w:p w14:paraId="032EA09E">
      <w:pPr>
        <w:keepNext w:val="0"/>
        <w:keepLines w:val="0"/>
        <w:pageBreakBefore w:val="0"/>
        <w:widowControl w:val="0"/>
        <w:kinsoku/>
        <w:wordWrap/>
        <w:overflowPunct/>
        <w:topLinePunct w:val="0"/>
        <w:autoSpaceDE w:val="0"/>
        <w:autoSpaceDN w:val="0"/>
        <w:bidi w:val="0"/>
        <w:adjustRightInd w:val="0"/>
        <w:snapToGrid/>
        <w:spacing w:line="480" w:lineRule="auto"/>
        <w:textAlignment w:val="auto"/>
        <w:outlineLvl w:val="9"/>
        <w:rPr>
          <w:rFonts w:hint="eastAsia" w:ascii="宋体" w:hAnsi="宋体" w:eastAsia="宋体" w:cs="宋体"/>
          <w:color w:val="auto"/>
          <w:kern w:val="0"/>
          <w:sz w:val="24"/>
          <w:szCs w:val="24"/>
          <w:highlight w:val="none"/>
        </w:rPr>
      </w:pPr>
    </w:p>
    <w:p w14:paraId="335DB404">
      <w:pPr>
        <w:keepNext w:val="0"/>
        <w:keepLines w:val="0"/>
        <w:pageBreakBefore w:val="0"/>
        <w:widowControl w:val="0"/>
        <w:kinsoku/>
        <w:wordWrap/>
        <w:overflowPunct/>
        <w:topLinePunct w:val="0"/>
        <w:autoSpaceDE w:val="0"/>
        <w:autoSpaceDN w:val="0"/>
        <w:bidi w:val="0"/>
        <w:adjustRightInd w:val="0"/>
        <w:snapToGrid/>
        <w:spacing w:line="480" w:lineRule="auto"/>
        <w:textAlignment w:val="auto"/>
        <w:outlineLvl w:val="9"/>
        <w:rPr>
          <w:rFonts w:hint="eastAsia" w:ascii="宋体" w:hAnsi="宋体" w:eastAsia="宋体" w:cs="宋体"/>
          <w:color w:val="auto"/>
          <w:kern w:val="0"/>
          <w:sz w:val="24"/>
          <w:szCs w:val="24"/>
          <w:highlight w:val="none"/>
        </w:rPr>
      </w:pPr>
    </w:p>
    <w:p w14:paraId="488D0697">
      <w:pPr>
        <w:keepNext w:val="0"/>
        <w:keepLines w:val="0"/>
        <w:pageBreakBefore w:val="0"/>
        <w:widowControl w:val="0"/>
        <w:kinsoku/>
        <w:wordWrap/>
        <w:overflowPunct/>
        <w:topLinePunct w:val="0"/>
        <w:autoSpaceDE w:val="0"/>
        <w:autoSpaceDN w:val="0"/>
        <w:bidi w:val="0"/>
        <w:adjustRightInd w:val="0"/>
        <w:snapToGrid/>
        <w:spacing w:line="480" w:lineRule="auto"/>
        <w:textAlignment w:val="auto"/>
        <w:outlineLvl w:val="9"/>
        <w:rPr>
          <w:rFonts w:hint="eastAsia" w:ascii="宋体" w:hAnsi="宋体" w:eastAsia="宋体" w:cs="宋体"/>
          <w:color w:val="auto"/>
          <w:kern w:val="0"/>
          <w:sz w:val="24"/>
          <w:szCs w:val="24"/>
          <w:highlight w:val="none"/>
        </w:rPr>
      </w:pPr>
    </w:p>
    <w:p w14:paraId="122B0A3C">
      <w:pPr>
        <w:keepNext w:val="0"/>
        <w:keepLines w:val="0"/>
        <w:pageBreakBefore w:val="0"/>
        <w:widowControl w:val="0"/>
        <w:kinsoku/>
        <w:wordWrap/>
        <w:overflowPunct/>
        <w:topLinePunct w:val="0"/>
        <w:autoSpaceDE w:val="0"/>
        <w:autoSpaceDN w:val="0"/>
        <w:bidi w:val="0"/>
        <w:adjustRightInd w:val="0"/>
        <w:snapToGrid/>
        <w:spacing w:line="480" w:lineRule="auto"/>
        <w:textAlignment w:val="auto"/>
        <w:outlineLvl w:val="9"/>
        <w:rPr>
          <w:rFonts w:hint="eastAsia" w:ascii="宋体" w:hAnsi="宋体" w:eastAsia="宋体" w:cs="宋体"/>
          <w:color w:val="auto"/>
          <w:kern w:val="0"/>
          <w:sz w:val="24"/>
          <w:szCs w:val="24"/>
          <w:highlight w:val="none"/>
        </w:rPr>
      </w:pPr>
    </w:p>
    <w:p w14:paraId="0C45F603">
      <w:pPr>
        <w:ind w:firstLine="3840" w:firstLineChars="1600"/>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eastAsia="zh-CN"/>
        </w:rPr>
        <w:t>供应商</w:t>
      </w:r>
      <w:r>
        <w:rPr>
          <w:rFonts w:hint="eastAsia" w:ascii="宋体" w:hAnsi="宋体"/>
          <w:color w:val="auto"/>
          <w:sz w:val="24"/>
          <w:szCs w:val="24"/>
          <w:highlight w:val="none"/>
        </w:rPr>
        <w:t>：</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（盖章）</w:t>
      </w:r>
    </w:p>
    <w:p w14:paraId="4AC23DFF">
      <w:pPr>
        <w:rPr>
          <w:rFonts w:hint="eastAsia" w:ascii="宋体" w:hAnsi="宋体"/>
          <w:color w:val="auto"/>
          <w:sz w:val="24"/>
          <w:szCs w:val="24"/>
          <w:highlight w:val="none"/>
        </w:rPr>
      </w:pPr>
    </w:p>
    <w:p w14:paraId="050F2C78">
      <w:pPr>
        <w:tabs>
          <w:tab w:val="left" w:pos="5380"/>
          <w:tab w:val="left" w:pos="6520"/>
          <w:tab w:val="left" w:pos="7680"/>
        </w:tabs>
        <w:autoSpaceDE w:val="0"/>
        <w:autoSpaceDN w:val="0"/>
        <w:adjustRightInd w:val="0"/>
        <w:ind w:right="-20" w:firstLine="5040" w:firstLineChars="21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u w:val="single"/>
        </w:rPr>
        <w:t xml:space="preserve">     </w:t>
      </w:r>
      <w:r>
        <w:rPr>
          <w:rFonts w:hint="eastAsia" w:ascii="宋体" w:hAnsi="宋体" w:cs="宋体"/>
          <w:color w:val="auto"/>
          <w:spacing w:val="43"/>
          <w:kern w:val="0"/>
          <w:sz w:val="24"/>
          <w:szCs w:val="24"/>
          <w:highlight w:val="none"/>
          <w:u w:val="single"/>
        </w:rPr>
        <w:t xml:space="preserve"> </w:t>
      </w:r>
      <w:r>
        <w:rPr>
          <w:rFonts w:hint="eastAsia" w:ascii="宋体" w:hAnsi="宋体" w:cs="宋体"/>
          <w:color w:val="auto"/>
          <w:kern w:val="0"/>
          <w:sz w:val="24"/>
          <w:szCs w:val="24"/>
          <w:highlight w:val="none"/>
        </w:rPr>
        <w:t>年</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月</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日</w:t>
      </w:r>
    </w:p>
    <w:p w14:paraId="269A4A2B">
      <w:pPr>
        <w:tabs>
          <w:tab w:val="left" w:pos="5340"/>
          <w:tab w:val="left" w:pos="6180"/>
          <w:tab w:val="left" w:pos="7020"/>
        </w:tabs>
        <w:autoSpaceDE w:val="0"/>
        <w:autoSpaceDN w:val="0"/>
        <w:adjustRightInd w:val="0"/>
        <w:ind w:left="4721" w:right="-20"/>
        <w:rPr>
          <w:rFonts w:hint="eastAsia" w:ascii="宋体" w:hAnsi="宋体" w:cs="宋体"/>
          <w:color w:val="auto"/>
          <w:kern w:val="0"/>
          <w:sz w:val="24"/>
          <w:szCs w:val="24"/>
          <w:highlight w:val="none"/>
        </w:rPr>
      </w:pPr>
    </w:p>
    <w:p w14:paraId="7101C9D4">
      <w:pPr>
        <w:tabs>
          <w:tab w:val="left" w:pos="5340"/>
          <w:tab w:val="left" w:pos="6180"/>
          <w:tab w:val="left" w:pos="7020"/>
        </w:tabs>
        <w:autoSpaceDE w:val="0"/>
        <w:autoSpaceDN w:val="0"/>
        <w:adjustRightInd w:val="0"/>
        <w:ind w:left="4721" w:right="-20"/>
        <w:rPr>
          <w:rFonts w:hint="eastAsia" w:ascii="宋体" w:hAnsi="宋体" w:cs="宋体"/>
          <w:color w:val="auto"/>
          <w:kern w:val="0"/>
          <w:szCs w:val="21"/>
          <w:highlight w:val="none"/>
        </w:rPr>
      </w:pPr>
    </w:p>
    <w:p w14:paraId="739F39F4">
      <w:pPr>
        <w:pStyle w:val="4"/>
        <w:numPr>
          <w:ilvl w:val="0"/>
          <w:numId w:val="20"/>
        </w:numPr>
        <w:bidi w:val="0"/>
        <w:ind w:left="0" w:leftChars="0" w:firstLine="420" w:firstLineChars="0"/>
        <w:jc w:val="center"/>
        <w:rPr>
          <w:rFonts w:hint="eastAsia" w:ascii="宋体" w:hAnsi="宋体" w:eastAsia="宋体" w:cs="Times New Roman"/>
          <w:bCs w:val="0"/>
          <w:color w:val="auto"/>
          <w:sz w:val="24"/>
          <w:szCs w:val="24"/>
          <w:highlight w:val="none"/>
          <w:lang w:val="en-US" w:eastAsia="zh-CN"/>
        </w:rPr>
      </w:pPr>
      <w:r>
        <w:rPr>
          <w:rFonts w:hint="eastAsia"/>
          <w:color w:val="auto"/>
          <w:highlight w:val="none"/>
        </w:rPr>
        <w:br w:type="page"/>
      </w:r>
      <w:bookmarkStart w:id="1720" w:name="_Toc11845"/>
      <w:bookmarkStart w:id="1721" w:name="_Toc18503"/>
      <w:bookmarkStart w:id="1722" w:name="_Toc22029"/>
      <w:bookmarkStart w:id="1723" w:name="_Toc265572092"/>
      <w:r>
        <w:rPr>
          <w:rFonts w:hint="eastAsia"/>
          <w:lang w:val="en-US" w:eastAsia="zh-CN"/>
        </w:rPr>
        <w:t>授权委托书</w:t>
      </w:r>
    </w:p>
    <w:p w14:paraId="4D1A23DD">
      <w:pPr>
        <w:wordWrap w:val="0"/>
        <w:topLinePunct/>
        <w:spacing w:line="360" w:lineRule="auto"/>
        <w:ind w:firstLine="480" w:firstLineChars="200"/>
        <w:rPr>
          <w:rFonts w:hint="eastAsia" w:ascii="宋体" w:hAnsi="宋体" w:eastAsia="宋体" w:cs="宋体"/>
          <w:color w:val="auto"/>
          <w:sz w:val="24"/>
          <w:szCs w:val="24"/>
          <w:highlight w:val="none"/>
        </w:rPr>
      </w:pPr>
    </w:p>
    <w:p w14:paraId="541C0213">
      <w:pPr>
        <w:wordWrap w:val="0"/>
        <w:topLinePunct/>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（姓名）系</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（供应商名称）的法定代表人，现委托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（姓名）为我方代理人。代理人根据授权，以我方名义签署、澄清、说明、补正、递交、撤回、修改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、签订合同和处理有关事宜，其法律后果由我方承担。</w:t>
      </w:r>
    </w:p>
    <w:p w14:paraId="772CD538">
      <w:pPr>
        <w:wordWrap w:val="0"/>
        <w:topLinePunct/>
        <w:spacing w:before="156" w:beforeLines="50"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委托期限：</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7132AB1B">
      <w:pPr>
        <w:wordWrap w:val="0"/>
        <w:topLinePunct/>
        <w:spacing w:before="312" w:beforeLines="100" w:after="312" w:afterLines="100"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代理人无转委托权。</w:t>
      </w:r>
    </w:p>
    <w:p w14:paraId="6255583A">
      <w:pPr>
        <w:wordWrap w:val="0"/>
        <w:topLinePunct/>
        <w:spacing w:after="312" w:afterLines="100"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附：委托代理人身份证</w:t>
      </w:r>
      <w:r>
        <w:rPr>
          <w:rFonts w:hint="eastAsia" w:ascii="宋体" w:hAnsi="宋体" w:eastAsia="宋体" w:cs="Times New Roman"/>
          <w:color w:val="auto"/>
          <w:sz w:val="24"/>
          <w:szCs w:val="24"/>
          <w:highlight w:val="none"/>
        </w:rPr>
        <w:t>扫描件</w:t>
      </w:r>
    </w:p>
    <w:p w14:paraId="28DC54F6">
      <w:pPr>
        <w:wordWrap w:val="0"/>
        <w:topLinePunct/>
        <w:spacing w:line="360" w:lineRule="auto"/>
        <w:rPr>
          <w:rFonts w:ascii="宋体" w:hAnsi="宋体" w:eastAsia="宋体" w:cs="宋体"/>
          <w:color w:val="auto"/>
          <w:sz w:val="22"/>
          <w:szCs w:val="20"/>
          <w:highlight w:val="none"/>
        </w:rPr>
      </w:pPr>
    </w:p>
    <w:p w14:paraId="37586F41">
      <w:pPr>
        <w:wordWrap w:val="0"/>
        <w:topLinePunct/>
        <w:spacing w:line="360" w:lineRule="auto"/>
        <w:rPr>
          <w:rFonts w:ascii="宋体" w:hAnsi="宋体" w:eastAsia="宋体" w:cs="宋体"/>
          <w:color w:val="auto"/>
          <w:sz w:val="22"/>
          <w:szCs w:val="20"/>
          <w:highlight w:val="none"/>
        </w:rPr>
      </w:pPr>
    </w:p>
    <w:p w14:paraId="3FD92602">
      <w:pPr>
        <w:wordWrap w:val="0"/>
        <w:topLinePunct/>
        <w:spacing w:line="360" w:lineRule="auto"/>
        <w:rPr>
          <w:rFonts w:ascii="宋体" w:hAnsi="宋体" w:eastAsia="宋体" w:cs="宋体"/>
          <w:color w:val="auto"/>
          <w:sz w:val="22"/>
          <w:szCs w:val="20"/>
          <w:highlight w:val="none"/>
        </w:rPr>
      </w:pPr>
    </w:p>
    <w:p w14:paraId="37023631">
      <w:pPr>
        <w:wordWrap w:val="0"/>
        <w:topLinePunct/>
        <w:spacing w:line="360" w:lineRule="auto"/>
        <w:rPr>
          <w:rFonts w:ascii="宋体" w:hAnsi="宋体" w:eastAsia="宋体" w:cs="宋体"/>
          <w:color w:val="auto"/>
          <w:sz w:val="22"/>
          <w:szCs w:val="20"/>
          <w:highlight w:val="none"/>
        </w:rPr>
      </w:pPr>
    </w:p>
    <w:p w14:paraId="3EA6E069">
      <w:pPr>
        <w:wordWrap w:val="0"/>
        <w:topLinePunct/>
        <w:spacing w:line="360" w:lineRule="auto"/>
        <w:jc w:val="righ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（盖单位章）</w:t>
      </w:r>
    </w:p>
    <w:p w14:paraId="162AEDF3">
      <w:pPr>
        <w:wordWrap w:val="0"/>
        <w:topLinePunct/>
        <w:spacing w:line="360" w:lineRule="auto"/>
        <w:jc w:val="righ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（签字或盖章）</w:t>
      </w:r>
    </w:p>
    <w:p w14:paraId="126ECC9B">
      <w:pPr>
        <w:tabs>
          <w:tab w:val="left" w:pos="5380"/>
          <w:tab w:val="left" w:pos="6520"/>
          <w:tab w:val="left" w:pos="7680"/>
        </w:tabs>
        <w:wordWrap w:val="0"/>
        <w:topLinePunct/>
        <w:autoSpaceDE w:val="0"/>
        <w:autoSpaceDN w:val="0"/>
        <w:adjustRightInd w:val="0"/>
        <w:spacing w:line="360" w:lineRule="auto"/>
        <w:ind w:right="-20" w:firstLine="1200" w:firstLineChars="500"/>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日  期：</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spacing w:val="43"/>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w:t>
      </w:r>
    </w:p>
    <w:p w14:paraId="38A64858">
      <w:pPr>
        <w:wordWrap w:val="0"/>
        <w:topLinePunct/>
        <w:spacing w:before="312" w:beforeLines="100" w:after="156" w:afterLines="50" w:line="360" w:lineRule="auto"/>
        <w:rPr>
          <w:rFonts w:ascii="宋体" w:hAnsi="宋体" w:eastAsia="宋体" w:cs="宋体"/>
          <w:color w:val="auto"/>
          <w:szCs w:val="21"/>
          <w:highlight w:val="none"/>
        </w:rPr>
      </w:pPr>
    </w:p>
    <w:p w14:paraId="282D9859">
      <w:pPr>
        <w:wordWrap w:val="0"/>
        <w:topLinePunct/>
        <w:spacing w:before="312" w:beforeLines="100" w:after="156" w:afterLines="50" w:line="360" w:lineRule="auto"/>
        <w:rPr>
          <w:rFonts w:ascii="宋体" w:hAnsi="宋体" w:eastAsia="宋体" w:cs="宋体"/>
          <w:color w:val="auto"/>
          <w:szCs w:val="21"/>
          <w:highlight w:val="none"/>
        </w:rPr>
      </w:pPr>
    </w:p>
    <w:p w14:paraId="6C5A7B79">
      <w:pPr>
        <w:wordWrap w:val="0"/>
        <w:topLinePunct/>
        <w:spacing w:before="312" w:beforeLines="100" w:after="156" w:afterLines="50" w:line="360" w:lineRule="auto"/>
        <w:rPr>
          <w:rFonts w:ascii="宋体" w:hAnsi="宋体" w:eastAsia="宋体" w:cs="宋体"/>
          <w:color w:val="auto"/>
          <w:szCs w:val="21"/>
          <w:highlight w:val="none"/>
        </w:rPr>
      </w:pPr>
    </w:p>
    <w:p w14:paraId="30DD89A4">
      <w:pPr>
        <w:spacing w:line="360" w:lineRule="auto"/>
        <w:ind w:firstLine="480"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lang w:val="en-US" w:eastAsia="zh-CN"/>
        </w:rPr>
        <w:t>说明</w:t>
      </w:r>
      <w:r>
        <w:rPr>
          <w:rFonts w:hint="eastAsia" w:ascii="宋体" w:hAnsi="宋体" w:cs="宋体"/>
          <w:b/>
          <w:bCs/>
          <w:color w:val="auto"/>
          <w:sz w:val="24"/>
          <w:szCs w:val="24"/>
          <w:highlight w:val="none"/>
        </w:rPr>
        <w:t>：如为</w:t>
      </w:r>
      <w:r>
        <w:rPr>
          <w:rFonts w:hint="eastAsia" w:ascii="宋体" w:hAnsi="宋体" w:cs="宋体"/>
          <w:b/>
          <w:bCs/>
          <w:color w:val="auto"/>
          <w:sz w:val="24"/>
          <w:szCs w:val="24"/>
          <w:highlight w:val="none"/>
          <w:lang w:eastAsia="zh-CN"/>
        </w:rPr>
        <w:t>法定代表人</w:t>
      </w:r>
      <w:r>
        <w:rPr>
          <w:rFonts w:hint="eastAsia" w:ascii="宋体" w:hAnsi="宋体" w:cs="宋体"/>
          <w:b/>
          <w:bCs/>
          <w:color w:val="auto"/>
          <w:sz w:val="24"/>
          <w:szCs w:val="24"/>
          <w:highlight w:val="none"/>
        </w:rPr>
        <w:t>参与投标，无委托代理人的，</w:t>
      </w:r>
      <w:r>
        <w:rPr>
          <w:rFonts w:hint="eastAsia" w:ascii="宋体" w:hAnsi="宋体" w:cs="宋体"/>
          <w:b/>
          <w:bCs/>
          <w:color w:val="auto"/>
          <w:sz w:val="24"/>
          <w:szCs w:val="24"/>
          <w:highlight w:val="none"/>
          <w:lang w:eastAsia="zh-CN"/>
        </w:rPr>
        <w:t>响应</w:t>
      </w:r>
      <w:r>
        <w:rPr>
          <w:rFonts w:hint="eastAsia" w:ascii="宋体" w:hAnsi="宋体" w:cs="宋体"/>
          <w:b/>
          <w:bCs/>
          <w:color w:val="auto"/>
          <w:sz w:val="24"/>
          <w:szCs w:val="24"/>
          <w:highlight w:val="none"/>
        </w:rPr>
        <w:t>文件中可以删除此授权委托书。</w:t>
      </w:r>
    </w:p>
    <w:p w14:paraId="51A936A2">
      <w:pPr>
        <w:bidi w:val="0"/>
        <w:rPr>
          <w:rFonts w:hint="eastAsia"/>
          <w:lang w:val="en-US" w:eastAsia="zh-CN"/>
        </w:rPr>
      </w:pPr>
    </w:p>
    <w:p w14:paraId="31E8194E">
      <w:pPr>
        <w:pStyle w:val="3"/>
        <w:numPr>
          <w:ilvl w:val="0"/>
          <w:numId w:val="17"/>
        </w:numPr>
        <w:bidi w:val="0"/>
        <w:rPr>
          <w:rFonts w:hint="eastAsia" w:ascii="宋体" w:hAnsi="宋体" w:eastAsia="宋体" w:cs="Times New Roman"/>
          <w:bCs w:val="0"/>
          <w:color w:val="auto"/>
          <w:sz w:val="24"/>
          <w:szCs w:val="24"/>
          <w:highlight w:val="none"/>
          <w:lang w:val="en-US" w:eastAsia="zh-CN"/>
        </w:rPr>
      </w:pPr>
      <w:r>
        <w:rPr>
          <w:rFonts w:hint="eastAsia"/>
          <w:color w:val="auto"/>
          <w:highlight w:val="none"/>
        </w:rPr>
        <w:br w:type="page"/>
      </w:r>
      <w:r>
        <w:rPr>
          <w:rFonts w:hint="eastAsia" w:ascii="宋体" w:hAnsi="宋体" w:eastAsia="宋体" w:cs="宋体"/>
          <w:bCs/>
          <w:lang w:val="zh-CN" w:eastAsia="zh-CN"/>
        </w:rPr>
        <w:t>响应承诺函</w:t>
      </w:r>
      <w:bookmarkEnd w:id="1720"/>
      <w:bookmarkEnd w:id="1721"/>
    </w:p>
    <w:p w14:paraId="53B4EAB7">
      <w:pPr>
        <w:keepNext w:val="0"/>
        <w:keepLines w:val="0"/>
        <w:pageBreakBefore w:val="0"/>
        <w:widowControl w:val="0"/>
        <w:kinsoku/>
        <w:wordWrap/>
        <w:overflowPunct/>
        <w:topLinePunct w:val="0"/>
        <w:bidi w:val="0"/>
        <w:snapToGrid/>
        <w:spacing w:line="360" w:lineRule="auto"/>
        <w:textAlignment w:val="auto"/>
        <w:rPr>
          <w:rFonts w:hint="eastAsia" w:ascii="宋体" w:hAnsi="宋体"/>
          <w:color w:val="000000"/>
          <w:sz w:val="24"/>
          <w:szCs w:val="24"/>
          <w:highlight w:val="none"/>
        </w:rPr>
      </w:pPr>
      <w:r>
        <w:rPr>
          <w:rFonts w:hint="eastAsia"/>
          <w:sz w:val="24"/>
          <w:szCs w:val="24"/>
          <w:highlight w:val="none"/>
          <w:u w:val="single"/>
          <w:lang w:val="en-US" w:eastAsia="zh-CN"/>
        </w:rPr>
        <w:t xml:space="preserve">                   </w:t>
      </w:r>
      <w:r>
        <w:rPr>
          <w:rFonts w:hint="eastAsia" w:ascii="宋体" w:hAnsi="宋体"/>
          <w:color w:val="000000"/>
          <w:sz w:val="24"/>
          <w:szCs w:val="24"/>
          <w:highlight w:val="none"/>
        </w:rPr>
        <w:t>（采购人或采购代理机构）：</w:t>
      </w:r>
    </w:p>
    <w:p w14:paraId="3528C1AA">
      <w:pPr>
        <w:pStyle w:val="22"/>
        <w:keepNext w:val="0"/>
        <w:keepLines w:val="0"/>
        <w:pageBreakBefore w:val="0"/>
        <w:widowControl w:val="0"/>
        <w:kinsoku/>
        <w:wordWrap/>
        <w:overflowPunct/>
        <w:topLinePunct w:val="0"/>
        <w:bidi w:val="0"/>
        <w:snapToGrid/>
        <w:spacing w:line="360" w:lineRule="auto"/>
        <w:ind w:firstLine="480" w:firstLineChars="200"/>
        <w:textAlignment w:val="auto"/>
        <w:rPr>
          <w:rFonts w:hint="eastAsia"/>
          <w:color w:val="000000"/>
          <w:sz w:val="24"/>
          <w:szCs w:val="24"/>
          <w:highlight w:val="none"/>
          <w:lang w:eastAsia="zh-CN"/>
        </w:rPr>
      </w:pPr>
      <w:r>
        <w:rPr>
          <w:rFonts w:hint="eastAsia"/>
          <w:color w:val="000000"/>
          <w:sz w:val="24"/>
          <w:szCs w:val="24"/>
          <w:highlight w:val="none"/>
          <w:lang w:eastAsia="zh-CN"/>
        </w:rPr>
        <w:t>我单位在此郑重承诺</w:t>
      </w:r>
      <w:r>
        <w:rPr>
          <w:rFonts w:hint="eastAsia"/>
          <w:color w:val="000000"/>
          <w:sz w:val="24"/>
          <w:szCs w:val="24"/>
          <w:highlight w:val="none"/>
          <w:lang w:val="en-US" w:eastAsia="zh-CN"/>
        </w:rPr>
        <w:t>,</w:t>
      </w:r>
      <w:r>
        <w:rPr>
          <w:rFonts w:hint="eastAsia"/>
          <w:color w:val="000000"/>
          <w:sz w:val="24"/>
          <w:szCs w:val="24"/>
          <w:highlight w:val="none"/>
          <w:lang w:eastAsia="zh-CN"/>
        </w:rPr>
        <w:t>如有以下情形之一的：</w:t>
      </w:r>
    </w:p>
    <w:p w14:paraId="699BB480">
      <w:pPr>
        <w:keepNext w:val="0"/>
        <w:keepLines w:val="0"/>
        <w:pageBreakBefore w:val="0"/>
        <w:widowControl w:val="0"/>
        <w:numPr>
          <w:ilvl w:val="0"/>
          <w:numId w:val="21"/>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cs="微软雅黑"/>
          <w:kern w:val="0"/>
          <w:sz w:val="24"/>
          <w:szCs w:val="24"/>
          <w:highlight w:val="none"/>
        </w:rPr>
      </w:pPr>
      <w:r>
        <w:rPr>
          <w:rFonts w:hint="eastAsia" w:ascii="宋体" w:hAnsi="宋体" w:cs="微软雅黑"/>
          <w:kern w:val="0"/>
          <w:sz w:val="24"/>
          <w:szCs w:val="24"/>
          <w:highlight w:val="none"/>
        </w:rPr>
        <w:t>在</w:t>
      </w:r>
      <w:r>
        <w:rPr>
          <w:rFonts w:hint="eastAsia" w:ascii="宋体" w:hAnsi="宋体" w:cs="微软雅黑"/>
          <w:kern w:val="0"/>
          <w:sz w:val="24"/>
          <w:szCs w:val="24"/>
          <w:highlight w:val="none"/>
          <w:lang w:val="en-US" w:eastAsia="zh-CN"/>
        </w:rPr>
        <w:t>竞争性磋商文件</w:t>
      </w:r>
      <w:r>
        <w:rPr>
          <w:rFonts w:hint="eastAsia" w:ascii="宋体" w:hAnsi="宋体" w:cs="微软雅黑"/>
          <w:kern w:val="0"/>
          <w:sz w:val="24"/>
          <w:szCs w:val="24"/>
          <w:highlight w:val="none"/>
        </w:rPr>
        <w:t>规定的</w:t>
      </w:r>
      <w:r>
        <w:rPr>
          <w:rFonts w:hint="eastAsia" w:ascii="宋体" w:hAnsi="宋体" w:cs="微软雅黑"/>
          <w:kern w:val="0"/>
          <w:sz w:val="24"/>
          <w:szCs w:val="24"/>
          <w:highlight w:val="none"/>
          <w:lang w:eastAsia="zh-CN"/>
        </w:rPr>
        <w:t>磋商</w:t>
      </w:r>
      <w:r>
        <w:rPr>
          <w:rFonts w:hint="eastAsia" w:ascii="宋体" w:hAnsi="宋体" w:cs="微软雅黑"/>
          <w:kern w:val="0"/>
          <w:sz w:val="24"/>
          <w:szCs w:val="24"/>
          <w:highlight w:val="none"/>
        </w:rPr>
        <w:t>有效期内撤回</w:t>
      </w:r>
      <w:r>
        <w:rPr>
          <w:rFonts w:hint="eastAsia" w:cs="微软雅黑"/>
          <w:kern w:val="0"/>
          <w:sz w:val="24"/>
          <w:szCs w:val="24"/>
          <w:highlight w:val="none"/>
          <w:lang w:eastAsia="zh-CN"/>
        </w:rPr>
        <w:t>响应文件</w:t>
      </w:r>
      <w:r>
        <w:rPr>
          <w:rFonts w:hint="eastAsia" w:ascii="宋体" w:hAnsi="宋体" w:cs="微软雅黑"/>
          <w:kern w:val="0"/>
          <w:sz w:val="24"/>
          <w:szCs w:val="24"/>
          <w:highlight w:val="none"/>
        </w:rPr>
        <w:t>；</w:t>
      </w:r>
    </w:p>
    <w:p w14:paraId="527AF15B">
      <w:pPr>
        <w:keepNext w:val="0"/>
        <w:keepLines w:val="0"/>
        <w:pageBreakBefore w:val="0"/>
        <w:widowControl w:val="0"/>
        <w:numPr>
          <w:ilvl w:val="0"/>
          <w:numId w:val="21"/>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cs="微软雅黑"/>
          <w:kern w:val="0"/>
          <w:sz w:val="24"/>
          <w:szCs w:val="24"/>
          <w:highlight w:val="none"/>
        </w:rPr>
      </w:pPr>
      <w:r>
        <w:rPr>
          <w:rFonts w:hint="eastAsia" w:ascii="宋体" w:hAnsi="宋体" w:cs="微软雅黑"/>
          <w:kern w:val="0"/>
          <w:sz w:val="24"/>
          <w:szCs w:val="24"/>
          <w:highlight w:val="none"/>
        </w:rPr>
        <w:t>在</w:t>
      </w:r>
      <w:r>
        <w:rPr>
          <w:rFonts w:hint="eastAsia" w:ascii="宋体" w:hAnsi="宋体" w:cs="微软雅黑"/>
          <w:kern w:val="0"/>
          <w:sz w:val="24"/>
          <w:szCs w:val="24"/>
          <w:highlight w:val="none"/>
          <w:lang w:eastAsia="zh-CN"/>
        </w:rPr>
        <w:t>响应文件</w:t>
      </w:r>
      <w:r>
        <w:rPr>
          <w:rFonts w:hint="eastAsia" w:ascii="宋体" w:hAnsi="宋体" w:cs="微软雅黑"/>
          <w:kern w:val="0"/>
          <w:sz w:val="24"/>
          <w:szCs w:val="24"/>
          <w:highlight w:val="none"/>
        </w:rPr>
        <w:t>中提供虚假材料；</w:t>
      </w:r>
    </w:p>
    <w:p w14:paraId="70D7B67E">
      <w:pPr>
        <w:keepNext w:val="0"/>
        <w:keepLines w:val="0"/>
        <w:pageBreakBefore w:val="0"/>
        <w:widowControl w:val="0"/>
        <w:numPr>
          <w:ilvl w:val="0"/>
          <w:numId w:val="21"/>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cs="微软雅黑"/>
          <w:kern w:val="0"/>
          <w:sz w:val="24"/>
          <w:szCs w:val="24"/>
          <w:highlight w:val="none"/>
        </w:rPr>
      </w:pPr>
      <w:r>
        <w:rPr>
          <w:rFonts w:hint="eastAsia" w:ascii="宋体" w:hAnsi="宋体" w:cs="微软雅黑"/>
          <w:kern w:val="0"/>
          <w:sz w:val="24"/>
          <w:szCs w:val="24"/>
          <w:highlight w:val="none"/>
          <w:lang w:eastAsia="zh-CN"/>
        </w:rPr>
        <w:t>成交</w:t>
      </w:r>
      <w:r>
        <w:rPr>
          <w:rFonts w:hint="eastAsia" w:ascii="宋体" w:hAnsi="宋体" w:cs="微软雅黑"/>
          <w:kern w:val="0"/>
          <w:sz w:val="24"/>
          <w:szCs w:val="24"/>
          <w:highlight w:val="none"/>
        </w:rPr>
        <w:t>后无正当理由不与采购人或者采购代理机构签订合同；</w:t>
      </w:r>
    </w:p>
    <w:p w14:paraId="6C0103A8">
      <w:pPr>
        <w:keepNext w:val="0"/>
        <w:keepLines w:val="0"/>
        <w:pageBreakBefore w:val="0"/>
        <w:widowControl w:val="0"/>
        <w:numPr>
          <w:ilvl w:val="0"/>
          <w:numId w:val="21"/>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cs="微软雅黑"/>
          <w:kern w:val="0"/>
          <w:sz w:val="24"/>
          <w:szCs w:val="24"/>
          <w:highlight w:val="none"/>
        </w:rPr>
      </w:pPr>
      <w:r>
        <w:rPr>
          <w:rFonts w:hint="eastAsia" w:ascii="宋体" w:hAnsi="宋体" w:cs="微软雅黑"/>
          <w:kern w:val="0"/>
          <w:sz w:val="24"/>
          <w:szCs w:val="24"/>
          <w:highlight w:val="none"/>
        </w:rPr>
        <w:t>将</w:t>
      </w:r>
      <w:r>
        <w:rPr>
          <w:rFonts w:hint="eastAsia" w:ascii="宋体" w:hAnsi="宋体" w:cs="微软雅黑"/>
          <w:kern w:val="0"/>
          <w:sz w:val="24"/>
          <w:szCs w:val="24"/>
          <w:highlight w:val="none"/>
          <w:lang w:eastAsia="zh-CN"/>
        </w:rPr>
        <w:t>成交</w:t>
      </w:r>
      <w:r>
        <w:rPr>
          <w:rFonts w:hint="eastAsia" w:ascii="宋体" w:hAnsi="宋体" w:cs="微软雅黑"/>
          <w:kern w:val="0"/>
          <w:sz w:val="24"/>
          <w:szCs w:val="24"/>
          <w:highlight w:val="none"/>
        </w:rPr>
        <w:t>项目转让给他人</w:t>
      </w:r>
      <w:r>
        <w:rPr>
          <w:rFonts w:hint="eastAsia" w:ascii="宋体" w:hAnsi="宋体" w:cs="微软雅黑"/>
          <w:kern w:val="0"/>
          <w:sz w:val="24"/>
          <w:szCs w:val="24"/>
          <w:highlight w:val="none"/>
          <w:lang w:eastAsia="zh-CN"/>
        </w:rPr>
        <w:t>，</w:t>
      </w:r>
      <w:r>
        <w:rPr>
          <w:rFonts w:hint="eastAsia" w:ascii="宋体" w:hAnsi="宋体" w:cs="微软雅黑"/>
          <w:kern w:val="0"/>
          <w:sz w:val="24"/>
          <w:szCs w:val="24"/>
          <w:highlight w:val="none"/>
        </w:rPr>
        <w:t>或者在</w:t>
      </w:r>
      <w:r>
        <w:rPr>
          <w:rFonts w:hint="eastAsia" w:ascii="宋体" w:hAnsi="宋体" w:cs="微软雅黑"/>
          <w:kern w:val="0"/>
          <w:sz w:val="24"/>
          <w:szCs w:val="24"/>
          <w:highlight w:val="none"/>
          <w:lang w:eastAsia="zh-CN"/>
        </w:rPr>
        <w:t>响应</w:t>
      </w:r>
      <w:r>
        <w:rPr>
          <w:rFonts w:hint="eastAsia" w:ascii="宋体" w:hAnsi="宋体" w:cs="微软雅黑"/>
          <w:kern w:val="0"/>
          <w:sz w:val="24"/>
          <w:szCs w:val="24"/>
          <w:highlight w:val="none"/>
        </w:rPr>
        <w:t>文件中未说明</w:t>
      </w:r>
      <w:r>
        <w:rPr>
          <w:rFonts w:hint="eastAsia" w:ascii="宋体" w:hAnsi="宋体" w:cs="微软雅黑"/>
          <w:kern w:val="0"/>
          <w:sz w:val="24"/>
          <w:szCs w:val="24"/>
          <w:highlight w:val="none"/>
          <w:lang w:eastAsia="zh-CN"/>
        </w:rPr>
        <w:t>，</w:t>
      </w:r>
      <w:r>
        <w:rPr>
          <w:rFonts w:hint="eastAsia" w:ascii="宋体" w:hAnsi="宋体" w:cs="微软雅黑"/>
          <w:kern w:val="0"/>
          <w:sz w:val="24"/>
          <w:szCs w:val="24"/>
          <w:highlight w:val="none"/>
        </w:rPr>
        <w:t>且未经采购人同意</w:t>
      </w:r>
      <w:r>
        <w:rPr>
          <w:rFonts w:hint="eastAsia" w:ascii="宋体" w:hAnsi="宋体" w:cs="微软雅黑"/>
          <w:kern w:val="0"/>
          <w:sz w:val="24"/>
          <w:szCs w:val="24"/>
          <w:highlight w:val="none"/>
          <w:lang w:eastAsia="zh-CN"/>
        </w:rPr>
        <w:t>，</w:t>
      </w:r>
      <w:r>
        <w:rPr>
          <w:rFonts w:hint="eastAsia" w:ascii="宋体" w:hAnsi="宋体" w:cs="微软雅黑"/>
          <w:kern w:val="0"/>
          <w:sz w:val="24"/>
          <w:szCs w:val="24"/>
          <w:highlight w:val="none"/>
        </w:rPr>
        <w:t>将</w:t>
      </w:r>
      <w:r>
        <w:rPr>
          <w:rFonts w:hint="eastAsia" w:ascii="宋体" w:hAnsi="宋体" w:cs="微软雅黑"/>
          <w:kern w:val="0"/>
          <w:sz w:val="24"/>
          <w:szCs w:val="24"/>
          <w:highlight w:val="none"/>
          <w:lang w:eastAsia="zh-CN"/>
        </w:rPr>
        <w:t>成交</w:t>
      </w:r>
      <w:r>
        <w:rPr>
          <w:rFonts w:hint="eastAsia" w:ascii="宋体" w:hAnsi="宋体" w:cs="微软雅黑"/>
          <w:kern w:val="0"/>
          <w:sz w:val="24"/>
          <w:szCs w:val="24"/>
          <w:highlight w:val="none"/>
        </w:rPr>
        <w:t>项目分包给他人的；</w:t>
      </w:r>
    </w:p>
    <w:p w14:paraId="13D6039D">
      <w:pPr>
        <w:keepNext w:val="0"/>
        <w:keepLines w:val="0"/>
        <w:pageBreakBefore w:val="0"/>
        <w:widowControl w:val="0"/>
        <w:numPr>
          <w:ilvl w:val="0"/>
          <w:numId w:val="21"/>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cs="微软雅黑"/>
          <w:kern w:val="0"/>
          <w:sz w:val="24"/>
          <w:szCs w:val="24"/>
          <w:highlight w:val="none"/>
        </w:rPr>
      </w:pPr>
      <w:r>
        <w:rPr>
          <w:rFonts w:hint="eastAsia" w:ascii="宋体" w:hAnsi="宋体" w:cs="微软雅黑"/>
          <w:kern w:val="0"/>
          <w:sz w:val="24"/>
          <w:szCs w:val="24"/>
          <w:highlight w:val="none"/>
        </w:rPr>
        <w:t>拒绝履行合同义务；</w:t>
      </w:r>
    </w:p>
    <w:p w14:paraId="3D9DC9BD">
      <w:pPr>
        <w:keepNext w:val="0"/>
        <w:keepLines w:val="0"/>
        <w:pageBreakBefore w:val="0"/>
        <w:widowControl w:val="0"/>
        <w:numPr>
          <w:ilvl w:val="0"/>
          <w:numId w:val="21"/>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cs="微软雅黑"/>
          <w:kern w:val="0"/>
          <w:sz w:val="24"/>
          <w:szCs w:val="24"/>
          <w:highlight w:val="none"/>
        </w:rPr>
      </w:pPr>
      <w:r>
        <w:rPr>
          <w:rFonts w:hint="eastAsia" w:ascii="宋体" w:hAnsi="宋体" w:cs="微软雅黑"/>
          <w:kern w:val="0"/>
          <w:sz w:val="24"/>
          <w:szCs w:val="24"/>
          <w:highlight w:val="none"/>
        </w:rPr>
        <w:t>与采购人、其他</w:t>
      </w:r>
      <w:r>
        <w:rPr>
          <w:rFonts w:hint="eastAsia" w:ascii="宋体" w:hAnsi="宋体" w:cs="微软雅黑"/>
          <w:kern w:val="0"/>
          <w:sz w:val="24"/>
          <w:szCs w:val="24"/>
          <w:highlight w:val="none"/>
          <w:lang w:eastAsia="zh-CN"/>
        </w:rPr>
        <w:t>供应商或者采购代理机构</w:t>
      </w:r>
      <w:r>
        <w:rPr>
          <w:rFonts w:hint="eastAsia" w:ascii="宋体" w:hAnsi="宋体" w:cs="微软雅黑"/>
          <w:kern w:val="0"/>
          <w:sz w:val="24"/>
          <w:szCs w:val="24"/>
          <w:highlight w:val="none"/>
        </w:rPr>
        <w:t>恶意串通；</w:t>
      </w:r>
    </w:p>
    <w:p w14:paraId="537D7BF2">
      <w:pPr>
        <w:keepNext w:val="0"/>
        <w:keepLines w:val="0"/>
        <w:pageBreakBefore w:val="0"/>
        <w:widowControl w:val="0"/>
        <w:numPr>
          <w:ilvl w:val="0"/>
          <w:numId w:val="21"/>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cs="微软雅黑"/>
          <w:kern w:val="0"/>
          <w:sz w:val="24"/>
          <w:szCs w:val="24"/>
          <w:highlight w:val="none"/>
        </w:rPr>
      </w:pPr>
      <w:r>
        <w:rPr>
          <w:rFonts w:hint="eastAsia" w:ascii="宋体" w:hAnsi="宋体" w:cs="微软雅黑"/>
          <w:kern w:val="0"/>
          <w:sz w:val="24"/>
          <w:szCs w:val="24"/>
          <w:highlight w:val="none"/>
        </w:rPr>
        <w:t>在履约过程中未按</w:t>
      </w:r>
      <w:r>
        <w:rPr>
          <w:rFonts w:hint="eastAsia" w:ascii="宋体" w:hAnsi="宋体" w:cs="微软雅黑"/>
          <w:kern w:val="0"/>
          <w:sz w:val="24"/>
          <w:szCs w:val="24"/>
          <w:highlight w:val="none"/>
          <w:lang w:val="en-US" w:eastAsia="zh-CN"/>
        </w:rPr>
        <w:t>竞争性磋商文件</w:t>
      </w:r>
      <w:r>
        <w:rPr>
          <w:rFonts w:hint="eastAsia" w:cs="微软雅黑"/>
          <w:kern w:val="0"/>
          <w:sz w:val="24"/>
          <w:szCs w:val="24"/>
          <w:highlight w:val="none"/>
          <w:lang w:val="en-US" w:eastAsia="zh-CN"/>
        </w:rPr>
        <w:t>、响应文件、</w:t>
      </w:r>
      <w:r>
        <w:rPr>
          <w:rFonts w:hint="eastAsia" w:ascii="宋体" w:hAnsi="宋体" w:cs="微软雅黑"/>
          <w:kern w:val="0"/>
          <w:sz w:val="24"/>
          <w:szCs w:val="24"/>
          <w:highlight w:val="none"/>
        </w:rPr>
        <w:t>生效的政府采购合同等约定,提供货物、工程和服务；</w:t>
      </w:r>
    </w:p>
    <w:p w14:paraId="218BB854">
      <w:pPr>
        <w:keepNext w:val="0"/>
        <w:keepLines w:val="0"/>
        <w:pageBreakBefore w:val="0"/>
        <w:widowControl w:val="0"/>
        <w:numPr>
          <w:ilvl w:val="0"/>
          <w:numId w:val="21"/>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cs="微软雅黑"/>
          <w:kern w:val="0"/>
          <w:sz w:val="24"/>
          <w:szCs w:val="24"/>
          <w:highlight w:val="none"/>
          <w:lang w:eastAsia="zh-CN"/>
        </w:rPr>
      </w:pPr>
      <w:r>
        <w:rPr>
          <w:rFonts w:hint="eastAsia" w:ascii="宋体" w:hAnsi="宋体" w:cs="微软雅黑"/>
          <w:kern w:val="0"/>
          <w:sz w:val="24"/>
          <w:szCs w:val="24"/>
          <w:highlight w:val="none"/>
          <w:lang w:eastAsia="zh-CN"/>
        </w:rPr>
        <w:t>未按</w:t>
      </w:r>
      <w:r>
        <w:rPr>
          <w:rFonts w:hint="eastAsia" w:ascii="宋体" w:hAnsi="宋体" w:cs="微软雅黑"/>
          <w:kern w:val="0"/>
          <w:sz w:val="24"/>
          <w:szCs w:val="24"/>
          <w:highlight w:val="none"/>
          <w:lang w:val="en-US" w:eastAsia="zh-CN"/>
        </w:rPr>
        <w:t>竞争性磋商文件</w:t>
      </w:r>
      <w:r>
        <w:rPr>
          <w:rFonts w:hint="eastAsia" w:ascii="宋体" w:hAnsi="宋体" w:cs="微软雅黑"/>
          <w:kern w:val="0"/>
          <w:sz w:val="24"/>
          <w:szCs w:val="24"/>
          <w:highlight w:val="none"/>
          <w:lang w:eastAsia="zh-CN"/>
        </w:rPr>
        <w:t>规定缴纳招标代理服务费；</w:t>
      </w:r>
    </w:p>
    <w:p w14:paraId="62CFD144">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200" w:right="40" w:rightChars="0"/>
        <w:jc w:val="left"/>
        <w:textAlignment w:val="auto"/>
        <w:outlineLvl w:val="9"/>
        <w:rPr>
          <w:rFonts w:hint="eastAsia" w:ascii="宋体" w:hAnsi="宋体" w:cs="微软雅黑"/>
          <w:kern w:val="0"/>
          <w:sz w:val="24"/>
          <w:szCs w:val="24"/>
          <w:highlight w:val="none"/>
          <w:lang w:eastAsia="zh-CN"/>
        </w:rPr>
      </w:pPr>
      <w:r>
        <w:rPr>
          <w:rFonts w:hint="eastAsia" w:ascii="宋体" w:hAnsi="宋体" w:cs="微软雅黑"/>
          <w:kern w:val="0"/>
          <w:sz w:val="24"/>
          <w:szCs w:val="24"/>
          <w:highlight w:val="none"/>
          <w:lang w:eastAsia="zh-CN"/>
        </w:rPr>
        <w:t>（</w:t>
      </w:r>
      <w:r>
        <w:rPr>
          <w:rFonts w:hint="eastAsia" w:ascii="宋体" w:hAnsi="宋体" w:cs="微软雅黑"/>
          <w:kern w:val="0"/>
          <w:sz w:val="24"/>
          <w:szCs w:val="24"/>
          <w:highlight w:val="none"/>
          <w:lang w:val="en-US" w:eastAsia="zh-CN"/>
        </w:rPr>
        <w:t>10</w:t>
      </w:r>
      <w:r>
        <w:rPr>
          <w:rFonts w:hint="eastAsia" w:ascii="宋体" w:hAnsi="宋体" w:cs="微软雅黑"/>
          <w:kern w:val="0"/>
          <w:sz w:val="24"/>
          <w:szCs w:val="24"/>
          <w:highlight w:val="none"/>
          <w:lang w:eastAsia="zh-CN"/>
        </w:rPr>
        <w:t>）</w:t>
      </w:r>
      <w:r>
        <w:rPr>
          <w:rFonts w:hint="eastAsia" w:ascii="宋体" w:hAnsi="宋体" w:cs="微软雅黑"/>
          <w:kern w:val="0"/>
          <w:sz w:val="24"/>
          <w:szCs w:val="24"/>
          <w:highlight w:val="none"/>
        </w:rPr>
        <w:t>存在其他违法违规行为。</w:t>
      </w:r>
    </w:p>
    <w:p w14:paraId="5BFE26AB">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right="40" w:rightChars="0" w:firstLine="480" w:firstLineChars="200"/>
        <w:jc w:val="left"/>
        <w:textAlignment w:val="auto"/>
        <w:outlineLvl w:val="9"/>
        <w:rPr>
          <w:rFonts w:hint="eastAsia"/>
          <w:color w:val="000000"/>
          <w:sz w:val="24"/>
          <w:szCs w:val="24"/>
          <w:highlight w:val="none"/>
          <w:lang w:eastAsia="zh-CN"/>
        </w:rPr>
      </w:pPr>
      <w:r>
        <w:rPr>
          <w:rFonts w:hint="eastAsia" w:ascii="宋体" w:hAnsi="宋体" w:cs="微软雅黑"/>
          <w:kern w:val="0"/>
          <w:sz w:val="24"/>
          <w:szCs w:val="24"/>
          <w:highlight w:val="none"/>
          <w:lang w:eastAsia="zh-CN"/>
        </w:rPr>
        <w:t>我单位</w:t>
      </w:r>
      <w:r>
        <w:rPr>
          <w:rFonts w:hint="eastAsia"/>
          <w:color w:val="000000"/>
          <w:sz w:val="24"/>
          <w:szCs w:val="24"/>
          <w:highlight w:val="none"/>
          <w:lang w:eastAsia="zh-CN"/>
        </w:rPr>
        <w:t>自愿接受被处以成交无效，采购金额千分之五以上千分之十以下的罚款并赔偿采购人及采购代理机构的损失</w:t>
      </w:r>
      <w:r>
        <w:rPr>
          <w:rFonts w:hint="eastAsia" w:ascii="宋体" w:hAnsi="宋体" w:cs="微软雅黑"/>
          <w:kern w:val="0"/>
          <w:sz w:val="24"/>
          <w:szCs w:val="24"/>
          <w:highlight w:val="none"/>
          <w:lang w:eastAsia="zh-CN"/>
        </w:rPr>
        <w:t>，</w:t>
      </w:r>
      <w:r>
        <w:rPr>
          <w:rFonts w:hint="eastAsia"/>
          <w:color w:val="000000"/>
          <w:sz w:val="24"/>
          <w:szCs w:val="24"/>
          <w:highlight w:val="none"/>
          <w:lang w:eastAsia="zh-CN"/>
        </w:rPr>
        <w:t>列入不良行为记录名单</w:t>
      </w:r>
      <w:r>
        <w:rPr>
          <w:rFonts w:hint="eastAsia" w:ascii="宋体" w:hAnsi="宋体" w:cs="微软雅黑"/>
          <w:kern w:val="0"/>
          <w:sz w:val="24"/>
          <w:szCs w:val="24"/>
          <w:highlight w:val="none"/>
          <w:lang w:eastAsia="zh-CN"/>
        </w:rPr>
        <w:t>，</w:t>
      </w:r>
      <w:r>
        <w:rPr>
          <w:rFonts w:hint="eastAsia"/>
          <w:color w:val="000000"/>
          <w:sz w:val="24"/>
          <w:szCs w:val="24"/>
          <w:highlight w:val="none"/>
          <w:lang w:eastAsia="zh-CN"/>
        </w:rPr>
        <w:t>在一至三年内禁止参加政府采购活动</w:t>
      </w:r>
      <w:r>
        <w:rPr>
          <w:rFonts w:hint="eastAsia" w:ascii="宋体" w:hAnsi="宋体" w:cs="微软雅黑"/>
          <w:kern w:val="0"/>
          <w:sz w:val="24"/>
          <w:szCs w:val="24"/>
          <w:highlight w:val="none"/>
          <w:lang w:eastAsia="zh-CN"/>
        </w:rPr>
        <w:t>，</w:t>
      </w:r>
      <w:r>
        <w:rPr>
          <w:rFonts w:hint="eastAsia"/>
          <w:color w:val="000000"/>
          <w:sz w:val="24"/>
          <w:szCs w:val="24"/>
          <w:highlight w:val="none"/>
          <w:lang w:eastAsia="zh-CN"/>
        </w:rPr>
        <w:t>有违法所得的</w:t>
      </w:r>
      <w:r>
        <w:rPr>
          <w:rFonts w:hint="eastAsia" w:ascii="宋体" w:hAnsi="宋体" w:cs="微软雅黑"/>
          <w:kern w:val="0"/>
          <w:sz w:val="24"/>
          <w:szCs w:val="24"/>
          <w:highlight w:val="none"/>
          <w:lang w:eastAsia="zh-CN"/>
        </w:rPr>
        <w:t>，</w:t>
      </w:r>
      <w:r>
        <w:rPr>
          <w:rFonts w:hint="eastAsia"/>
          <w:color w:val="000000"/>
          <w:sz w:val="24"/>
          <w:szCs w:val="24"/>
          <w:highlight w:val="none"/>
          <w:lang w:eastAsia="zh-CN"/>
        </w:rPr>
        <w:t>并处没收违法所得，情节严重的，由市场监督管理部门吊销营业执照；构成犯罪的，依法追究刑事责任。</w:t>
      </w:r>
    </w:p>
    <w:p w14:paraId="535024CB">
      <w:pPr>
        <w:pStyle w:val="22"/>
        <w:rPr>
          <w:rFonts w:hint="eastAsia"/>
          <w:sz w:val="24"/>
          <w:szCs w:val="24"/>
          <w:highlight w:val="none"/>
        </w:rPr>
      </w:pPr>
    </w:p>
    <w:p w14:paraId="7ACF6790">
      <w:pPr>
        <w:pStyle w:val="22"/>
        <w:rPr>
          <w:rFonts w:hint="eastAsia"/>
          <w:sz w:val="24"/>
          <w:szCs w:val="32"/>
          <w:highlight w:val="none"/>
          <w:lang w:eastAsia="zh-CN"/>
        </w:rPr>
      </w:pPr>
    </w:p>
    <w:p w14:paraId="133ED2C0">
      <w:pPr>
        <w:pStyle w:val="22"/>
        <w:rPr>
          <w:rFonts w:hint="eastAsia" w:ascii="宋体" w:hAnsi="宋体" w:eastAsia="宋体" w:cs="微软雅黑"/>
          <w:kern w:val="0"/>
          <w:sz w:val="24"/>
          <w:szCs w:val="24"/>
          <w:highlight w:val="none"/>
          <w:lang w:eastAsia="zh-CN"/>
        </w:rPr>
      </w:pPr>
    </w:p>
    <w:p w14:paraId="0567D30F">
      <w:pPr>
        <w:spacing w:line="480" w:lineRule="exact"/>
        <w:ind w:left="2880" w:leftChars="1200" w:firstLine="1440" w:firstLineChars="600"/>
        <w:rPr>
          <w:rFonts w:hint="eastAsia" w:ascii="宋体" w:hAnsi="宋体"/>
          <w:b w:val="0"/>
          <w:bCs/>
          <w:sz w:val="24"/>
          <w:szCs w:val="24"/>
          <w:highlight w:val="none"/>
        </w:rPr>
      </w:pPr>
      <w:r>
        <w:rPr>
          <w:rFonts w:hint="eastAsia" w:cs="微软雅黑"/>
          <w:kern w:val="0"/>
          <w:sz w:val="24"/>
          <w:szCs w:val="24"/>
          <w:highlight w:val="none"/>
          <w:lang w:eastAsia="zh-CN"/>
        </w:rPr>
        <w:t>供应商</w:t>
      </w:r>
      <w:r>
        <w:rPr>
          <w:rFonts w:hint="eastAsia" w:ascii="宋体" w:hAnsi="宋体"/>
          <w:b w:val="0"/>
          <w:bCs/>
          <w:sz w:val="24"/>
          <w:szCs w:val="24"/>
          <w:highlight w:val="none"/>
        </w:rPr>
        <w:t>：</w:t>
      </w:r>
      <w:r>
        <w:rPr>
          <w:rFonts w:hint="eastAsia" w:ascii="宋体" w:hAnsi="宋体"/>
          <w:b w:val="0"/>
          <w:bCs/>
          <w:sz w:val="24"/>
          <w:szCs w:val="24"/>
          <w:highlight w:val="none"/>
          <w:u w:val="single"/>
        </w:rPr>
        <w:t xml:space="preserve"> </w:t>
      </w:r>
      <w:r>
        <w:rPr>
          <w:rFonts w:hint="eastAsia" w:ascii="宋体" w:hAnsi="宋体"/>
          <w:b w:val="0"/>
          <w:bCs/>
          <w:sz w:val="24"/>
          <w:szCs w:val="24"/>
          <w:highlight w:val="none"/>
          <w:u w:val="single"/>
          <w:lang w:val="en-US" w:eastAsia="zh-CN"/>
        </w:rPr>
        <w:t xml:space="preserve">                    </w:t>
      </w:r>
      <w:r>
        <w:rPr>
          <w:rFonts w:hint="eastAsia" w:ascii="宋体" w:hAnsi="宋体"/>
          <w:b w:val="0"/>
          <w:bCs/>
          <w:sz w:val="24"/>
          <w:szCs w:val="24"/>
          <w:highlight w:val="none"/>
        </w:rPr>
        <w:t>（盖单位章）</w:t>
      </w:r>
    </w:p>
    <w:p w14:paraId="60C69648">
      <w:pPr>
        <w:spacing w:line="480" w:lineRule="exact"/>
        <w:ind w:left="2880" w:leftChars="1200" w:firstLine="1440" w:firstLineChars="600"/>
        <w:rPr>
          <w:rFonts w:hint="eastAsia" w:ascii="宋体" w:hAnsi="宋体"/>
          <w:b w:val="0"/>
          <w:bCs/>
          <w:sz w:val="24"/>
          <w:szCs w:val="24"/>
          <w:highlight w:val="none"/>
        </w:rPr>
      </w:pPr>
      <w:r>
        <w:rPr>
          <w:rFonts w:hint="eastAsia" w:ascii="宋体" w:hAnsi="宋体"/>
          <w:b w:val="0"/>
          <w:bCs/>
          <w:sz w:val="24"/>
          <w:szCs w:val="24"/>
          <w:highlight w:val="none"/>
        </w:rPr>
        <w:t>法定代表人：</w:t>
      </w:r>
      <w:r>
        <w:rPr>
          <w:rFonts w:hint="eastAsia" w:ascii="宋体" w:hAnsi="宋体"/>
          <w:b w:val="0"/>
          <w:bCs/>
          <w:sz w:val="24"/>
          <w:szCs w:val="24"/>
          <w:highlight w:val="none"/>
          <w:u w:val="single"/>
        </w:rPr>
        <w:t xml:space="preserve"> </w:t>
      </w:r>
      <w:r>
        <w:rPr>
          <w:rFonts w:hint="eastAsia" w:ascii="宋体" w:hAnsi="宋体"/>
          <w:b w:val="0"/>
          <w:bCs/>
          <w:sz w:val="24"/>
          <w:szCs w:val="24"/>
          <w:highlight w:val="none"/>
          <w:u w:val="single"/>
          <w:lang w:val="en-US" w:eastAsia="zh-CN"/>
        </w:rPr>
        <w:t xml:space="preserve">       </w:t>
      </w:r>
      <w:r>
        <w:rPr>
          <w:rFonts w:hint="eastAsia" w:ascii="宋体" w:hAnsi="宋体"/>
          <w:b w:val="0"/>
          <w:bCs/>
          <w:sz w:val="24"/>
          <w:szCs w:val="24"/>
          <w:highlight w:val="none"/>
        </w:rPr>
        <w:t>（</w:t>
      </w:r>
      <w:r>
        <w:rPr>
          <w:rFonts w:hint="eastAsia"/>
          <w:b w:val="0"/>
          <w:bCs/>
          <w:sz w:val="24"/>
          <w:szCs w:val="24"/>
          <w:highlight w:val="none"/>
          <w:lang w:val="en-US" w:eastAsia="zh-CN"/>
        </w:rPr>
        <w:t>电子签章</w:t>
      </w:r>
      <w:r>
        <w:rPr>
          <w:rFonts w:hint="eastAsia" w:ascii="宋体" w:hAnsi="宋体"/>
          <w:b w:val="0"/>
          <w:bCs/>
          <w:sz w:val="24"/>
          <w:szCs w:val="24"/>
          <w:highlight w:val="none"/>
        </w:rPr>
        <w:t>）</w:t>
      </w:r>
    </w:p>
    <w:p w14:paraId="111CBFF9">
      <w:pPr>
        <w:keepNext w:val="0"/>
        <w:keepLines w:val="0"/>
        <w:pageBreakBefore w:val="0"/>
        <w:widowControl w:val="0"/>
        <w:tabs>
          <w:tab w:val="left" w:pos="5380"/>
          <w:tab w:val="left" w:pos="6520"/>
          <w:tab w:val="left" w:pos="7680"/>
        </w:tabs>
        <w:kinsoku/>
        <w:wordWrap/>
        <w:overflowPunct/>
        <w:topLinePunct w:val="0"/>
        <w:autoSpaceDE w:val="0"/>
        <w:autoSpaceDN w:val="0"/>
        <w:bidi w:val="0"/>
        <w:adjustRightInd w:val="0"/>
        <w:snapToGrid/>
        <w:spacing w:line="380" w:lineRule="exact"/>
        <w:ind w:left="2880" w:leftChars="1200" w:right="-23" w:rightChars="0" w:firstLine="1440" w:firstLineChars="600"/>
        <w:jc w:val="left"/>
        <w:textAlignment w:val="auto"/>
        <w:outlineLvl w:val="9"/>
        <w:rPr>
          <w:rFonts w:hint="eastAsia" w:ascii="宋体" w:hAnsi="宋体" w:eastAsia="宋体" w:cs="宋体"/>
          <w:b w:val="0"/>
          <w:bCs/>
          <w:kern w:val="0"/>
          <w:sz w:val="24"/>
          <w:szCs w:val="24"/>
          <w:highlight w:val="none"/>
        </w:rPr>
      </w:pPr>
      <w:r>
        <w:rPr>
          <w:rFonts w:hint="eastAsia" w:ascii="宋体" w:hAnsi="宋体" w:eastAsia="宋体" w:cs="宋体"/>
          <w:b w:val="0"/>
          <w:bCs/>
          <w:kern w:val="0"/>
          <w:sz w:val="24"/>
          <w:szCs w:val="24"/>
          <w:highlight w:val="none"/>
          <w:u w:val="single"/>
        </w:rPr>
        <w:t xml:space="preserve">     </w:t>
      </w:r>
      <w:r>
        <w:rPr>
          <w:rFonts w:hint="eastAsia" w:ascii="宋体" w:hAnsi="宋体" w:eastAsia="宋体" w:cs="宋体"/>
          <w:b w:val="0"/>
          <w:bCs/>
          <w:spacing w:val="43"/>
          <w:kern w:val="0"/>
          <w:sz w:val="24"/>
          <w:szCs w:val="24"/>
          <w:highlight w:val="none"/>
          <w:u w:val="single"/>
        </w:rPr>
        <w:t xml:space="preserve"> </w:t>
      </w:r>
      <w:r>
        <w:rPr>
          <w:rFonts w:hint="eastAsia" w:ascii="宋体" w:hAnsi="宋体" w:eastAsia="宋体" w:cs="宋体"/>
          <w:b w:val="0"/>
          <w:bCs/>
          <w:kern w:val="0"/>
          <w:sz w:val="24"/>
          <w:szCs w:val="24"/>
          <w:highlight w:val="none"/>
        </w:rPr>
        <w:t>年</w:t>
      </w:r>
      <w:r>
        <w:rPr>
          <w:rFonts w:hint="eastAsia" w:ascii="宋体" w:hAnsi="宋体" w:eastAsia="宋体" w:cs="宋体"/>
          <w:b w:val="0"/>
          <w:bCs/>
          <w:kern w:val="0"/>
          <w:sz w:val="24"/>
          <w:szCs w:val="24"/>
          <w:highlight w:val="none"/>
          <w:u w:val="single"/>
        </w:rPr>
        <w:t xml:space="preserve">       </w:t>
      </w:r>
      <w:r>
        <w:rPr>
          <w:rFonts w:hint="eastAsia" w:ascii="宋体" w:hAnsi="宋体" w:eastAsia="宋体" w:cs="宋体"/>
          <w:b w:val="0"/>
          <w:bCs/>
          <w:kern w:val="0"/>
          <w:sz w:val="24"/>
          <w:szCs w:val="24"/>
          <w:highlight w:val="none"/>
        </w:rPr>
        <w:t>月</w:t>
      </w:r>
      <w:r>
        <w:rPr>
          <w:rFonts w:hint="eastAsia" w:ascii="宋体" w:hAnsi="宋体" w:cs="宋体"/>
          <w:b w:val="0"/>
          <w:bCs/>
          <w:kern w:val="0"/>
          <w:sz w:val="24"/>
          <w:szCs w:val="24"/>
          <w:highlight w:val="none"/>
          <w:u w:val="single"/>
          <w:lang w:val="en-US" w:eastAsia="zh-CN"/>
        </w:rPr>
        <w:t xml:space="preserve">      </w:t>
      </w:r>
      <w:r>
        <w:rPr>
          <w:rFonts w:hint="eastAsia" w:ascii="宋体" w:hAnsi="宋体" w:eastAsia="宋体" w:cs="宋体"/>
          <w:b w:val="0"/>
          <w:bCs/>
          <w:kern w:val="0"/>
          <w:sz w:val="24"/>
          <w:szCs w:val="24"/>
          <w:highlight w:val="none"/>
        </w:rPr>
        <w:t>日</w:t>
      </w:r>
    </w:p>
    <w:p w14:paraId="04AF32AC">
      <w:pPr>
        <w:rPr>
          <w:highlight w:val="none"/>
        </w:rPr>
      </w:pPr>
    </w:p>
    <w:p w14:paraId="22842039">
      <w:pPr>
        <w:pStyle w:val="3"/>
        <w:numPr>
          <w:ilvl w:val="0"/>
          <w:numId w:val="17"/>
        </w:numPr>
        <w:bidi w:val="0"/>
        <w:rPr>
          <w:rFonts w:hint="eastAsia" w:ascii="宋体" w:hAnsi="宋体" w:eastAsia="宋体" w:cs="Times New Roman"/>
          <w:bCs w:val="0"/>
          <w:color w:val="auto"/>
          <w:szCs w:val="24"/>
          <w:highlight w:val="none"/>
          <w:lang w:val="zh-CN" w:eastAsia="zh-CN"/>
        </w:rPr>
      </w:pPr>
      <w:r>
        <w:rPr>
          <w:color w:val="auto"/>
          <w:highlight w:val="none"/>
        </w:rPr>
        <w:br w:type="page"/>
      </w:r>
      <w:bookmarkStart w:id="1724" w:name="_Toc10055"/>
      <w:bookmarkStart w:id="1725" w:name="_Toc25737"/>
      <w:r>
        <w:rPr>
          <w:rFonts w:hint="eastAsia"/>
          <w:lang w:val="zh-CN" w:eastAsia="zh-CN"/>
        </w:rPr>
        <w:t>供应商资格证明文件</w:t>
      </w:r>
      <w:bookmarkEnd w:id="1722"/>
      <w:bookmarkEnd w:id="1724"/>
      <w:bookmarkEnd w:id="1725"/>
    </w:p>
    <w:p w14:paraId="282D45DD">
      <w:pPr>
        <w:rPr>
          <w:rFonts w:hint="eastAsia"/>
          <w:color w:val="auto"/>
          <w:highlight w:val="none"/>
        </w:rPr>
      </w:pPr>
    </w:p>
    <w:p w14:paraId="7AA88108">
      <w:pPr>
        <w:spacing w:line="360" w:lineRule="auto"/>
        <w:ind w:firstLine="420" w:firstLineChars="200"/>
        <w:rPr>
          <w:rFonts w:hint="eastAsia" w:ascii="宋体" w:hAnsi="宋体" w:eastAsia="宋体" w:cs="宋体"/>
          <w:sz w:val="21"/>
          <w:szCs w:val="21"/>
          <w:lang w:val="en-US" w:eastAsia="zh-CN"/>
        </w:rPr>
      </w:pPr>
    </w:p>
    <w:p w14:paraId="4A616520">
      <w:pPr>
        <w:pStyle w:val="3"/>
        <w:numPr>
          <w:ilvl w:val="0"/>
          <w:numId w:val="17"/>
        </w:numPr>
        <w:bidi w:val="0"/>
        <w:rPr>
          <w:rFonts w:hint="eastAsia" w:ascii="宋体" w:hAnsi="宋体" w:eastAsia="宋体" w:cs="宋体"/>
          <w:bCs/>
          <w:lang w:val="en-US" w:eastAsia="zh-CN"/>
        </w:rPr>
      </w:pPr>
      <w:bookmarkStart w:id="1726" w:name="_Toc26305"/>
      <w:bookmarkStart w:id="1727" w:name="_Toc1845"/>
      <w:bookmarkStart w:id="1728" w:name="_Toc24563"/>
      <w:bookmarkStart w:id="1729" w:name="_Toc16946"/>
      <w:r>
        <w:rPr>
          <w:rFonts w:hint="eastAsia" w:ascii="宋体" w:hAnsi="宋体" w:eastAsia="宋体" w:cs="宋体"/>
          <w:bCs/>
          <w:lang w:val="en-US" w:eastAsia="zh-CN"/>
        </w:rPr>
        <w:br w:type="page"/>
      </w:r>
      <w:r>
        <w:rPr>
          <w:rFonts w:hint="eastAsia" w:ascii="宋体" w:hAnsi="宋体" w:eastAsia="宋体" w:cs="宋体"/>
          <w:bCs/>
          <w:lang w:val="en-US" w:eastAsia="zh-CN"/>
        </w:rPr>
        <w:t>已标价工程量清单</w:t>
      </w:r>
      <w:bookmarkEnd w:id="1726"/>
    </w:p>
    <w:p w14:paraId="30CE664B">
      <w:pPr>
        <w:pStyle w:val="3"/>
        <w:numPr>
          <w:ilvl w:val="0"/>
          <w:numId w:val="17"/>
        </w:numPr>
        <w:bidi w:val="0"/>
        <w:rPr>
          <w:rFonts w:hint="eastAsia"/>
          <w:lang w:val="zh-CN" w:eastAsia="zh-CN"/>
        </w:rPr>
      </w:pPr>
      <w:r>
        <w:rPr>
          <w:rFonts w:hint="eastAsia"/>
          <w:lang w:val="en-US" w:eastAsia="zh-CN"/>
        </w:rPr>
        <w:br w:type="page"/>
      </w:r>
      <w:r>
        <w:rPr>
          <w:rFonts w:hint="eastAsia" w:ascii="宋体" w:hAnsi="宋体" w:eastAsia="宋体" w:cs="宋体"/>
          <w:bCs/>
          <w:lang w:val="zh-CN" w:eastAsia="zh-CN"/>
        </w:rPr>
        <w:t>施工组织设计</w:t>
      </w:r>
      <w:bookmarkEnd w:id="1727"/>
      <w:bookmarkEnd w:id="1728"/>
    </w:p>
    <w:p w14:paraId="24BBD52A">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1．供应商应根据</w:t>
      </w:r>
      <w:r>
        <w:rPr>
          <w:rFonts w:hint="eastAsia" w:ascii="宋体" w:hAnsi="宋体" w:eastAsia="宋体" w:cs="宋体"/>
          <w:color w:val="000000"/>
          <w:sz w:val="24"/>
          <w:szCs w:val="24"/>
          <w:highlight w:val="none"/>
          <w:lang w:val="en-US" w:eastAsia="zh-CN"/>
        </w:rPr>
        <w:t>磋商文件及</w:t>
      </w:r>
      <w:r>
        <w:rPr>
          <w:rFonts w:hint="eastAsia" w:ascii="宋体" w:hAnsi="宋体" w:eastAsia="宋体" w:cs="宋体"/>
          <w:color w:val="000000"/>
          <w:sz w:val="24"/>
          <w:szCs w:val="24"/>
          <w:highlight w:val="none"/>
          <w:lang w:eastAsia="zh-CN"/>
        </w:rPr>
        <w:t>评审办法</w:t>
      </w:r>
      <w:r>
        <w:rPr>
          <w:rFonts w:hint="eastAsia" w:ascii="宋体" w:hAnsi="宋体" w:eastAsia="宋体" w:cs="宋体"/>
          <w:color w:val="000000"/>
          <w:sz w:val="24"/>
          <w:szCs w:val="24"/>
          <w:highlight w:val="none"/>
          <w:lang w:val="en-US" w:eastAsia="zh-CN"/>
        </w:rPr>
        <w:t>要求</w:t>
      </w:r>
      <w:r>
        <w:rPr>
          <w:rFonts w:hint="eastAsia" w:ascii="宋体" w:hAnsi="宋体" w:eastAsia="宋体" w:cs="宋体"/>
          <w:color w:val="000000"/>
          <w:sz w:val="24"/>
          <w:szCs w:val="24"/>
          <w:highlight w:val="none"/>
          <w:lang w:eastAsia="zh-CN"/>
        </w:rPr>
        <w:t>，自行编制本工程的施工组织设计。</w:t>
      </w:r>
    </w:p>
    <w:p w14:paraId="37009E53">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2．施工组织设计除采用文字表述外可附下列图表，图表及格式要求附后（如有）。</w:t>
      </w:r>
    </w:p>
    <w:p w14:paraId="4BAC0F25">
      <w:pPr>
        <w:spacing w:line="360" w:lineRule="auto"/>
        <w:ind w:firstLine="720" w:firstLineChars="3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附表一  拟投入本工程的主要施工设备表</w:t>
      </w:r>
    </w:p>
    <w:p w14:paraId="0AFBB27A">
      <w:pPr>
        <w:spacing w:line="360" w:lineRule="auto"/>
        <w:ind w:firstLine="720" w:firstLineChars="3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附表二  拟配备本工程的试验和检测仪器设备表</w:t>
      </w:r>
    </w:p>
    <w:p w14:paraId="660C80A8">
      <w:pPr>
        <w:spacing w:line="360" w:lineRule="auto"/>
        <w:ind w:firstLine="720" w:firstLineChars="3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附表三  劳动力计划表</w:t>
      </w:r>
    </w:p>
    <w:p w14:paraId="3D51174C">
      <w:pPr>
        <w:spacing w:line="360" w:lineRule="auto"/>
        <w:ind w:firstLine="720" w:firstLineChars="3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附表四  计划开、竣工日期和施工进度网络图</w:t>
      </w:r>
    </w:p>
    <w:p w14:paraId="48A13660">
      <w:pPr>
        <w:spacing w:line="360" w:lineRule="auto"/>
        <w:ind w:firstLine="720" w:firstLineChars="3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 xml:space="preserve">附表五  施工总平面图 </w:t>
      </w:r>
    </w:p>
    <w:p w14:paraId="56D5305B">
      <w:pPr>
        <w:spacing w:line="360" w:lineRule="auto"/>
        <w:ind w:firstLine="480" w:firstLineChars="200"/>
        <w:rPr>
          <w:rFonts w:hint="eastAsia" w:ascii="宋体" w:hAnsi="宋体"/>
          <w:sz w:val="24"/>
          <w:highlight w:val="none"/>
        </w:rPr>
      </w:pPr>
      <w:r>
        <w:rPr>
          <w:rFonts w:hint="eastAsia" w:ascii="宋体" w:hAnsi="宋体" w:eastAsia="宋体" w:cs="宋体"/>
          <w:color w:val="000000"/>
          <w:szCs w:val="21"/>
          <w:highlight w:val="none"/>
          <w:lang w:val="zh-CN" w:eastAsia="zh-CN"/>
        </w:rPr>
        <w:br w:type="page"/>
      </w:r>
      <w:r>
        <w:rPr>
          <w:rFonts w:hint="eastAsia" w:ascii="宋体" w:hAnsi="宋体"/>
          <w:b/>
          <w:bCs/>
          <w:sz w:val="24"/>
          <w:szCs w:val="24"/>
          <w:highlight w:val="none"/>
        </w:rPr>
        <w:t>附表一：拟投入本工程的主要施工设备表</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823"/>
        <w:gridCol w:w="871"/>
        <w:gridCol w:w="709"/>
        <w:gridCol w:w="709"/>
        <w:gridCol w:w="1176"/>
        <w:gridCol w:w="872"/>
        <w:gridCol w:w="872"/>
        <w:gridCol w:w="765"/>
      </w:tblGrid>
      <w:tr w14:paraId="4FCF3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622" w:hRule="atLeast"/>
          <w:jc w:val="center"/>
        </w:trPr>
        <w:tc>
          <w:tcPr>
            <w:tcW w:w="644" w:type="dxa"/>
            <w:noWrap w:val="0"/>
            <w:vAlign w:val="center"/>
          </w:tcPr>
          <w:p w14:paraId="52922106">
            <w:pPr>
              <w:jc w:val="center"/>
              <w:rPr>
                <w:rFonts w:hint="eastAsia" w:ascii="宋体" w:hAnsi="宋体"/>
                <w:szCs w:val="21"/>
                <w:highlight w:val="none"/>
              </w:rPr>
            </w:pPr>
            <w:r>
              <w:rPr>
                <w:rFonts w:hint="eastAsia" w:ascii="宋体" w:hAnsi="宋体"/>
                <w:szCs w:val="21"/>
                <w:highlight w:val="none"/>
              </w:rPr>
              <w:t>序号</w:t>
            </w:r>
          </w:p>
        </w:tc>
        <w:tc>
          <w:tcPr>
            <w:tcW w:w="1064" w:type="dxa"/>
            <w:noWrap w:val="0"/>
            <w:vAlign w:val="center"/>
          </w:tcPr>
          <w:p w14:paraId="095C5786">
            <w:pPr>
              <w:jc w:val="center"/>
              <w:rPr>
                <w:rFonts w:hint="eastAsia" w:ascii="宋体" w:hAnsi="宋体"/>
                <w:szCs w:val="21"/>
                <w:highlight w:val="none"/>
              </w:rPr>
            </w:pPr>
            <w:r>
              <w:rPr>
                <w:rFonts w:hint="eastAsia" w:ascii="宋体" w:hAnsi="宋体"/>
                <w:szCs w:val="21"/>
                <w:highlight w:val="none"/>
              </w:rPr>
              <w:t>设备</w:t>
            </w:r>
          </w:p>
          <w:p w14:paraId="3D8C8D14">
            <w:pPr>
              <w:jc w:val="center"/>
              <w:rPr>
                <w:rFonts w:hint="eastAsia" w:ascii="宋体" w:hAnsi="宋体"/>
                <w:szCs w:val="21"/>
                <w:highlight w:val="none"/>
              </w:rPr>
            </w:pPr>
            <w:r>
              <w:rPr>
                <w:rFonts w:hint="eastAsia" w:ascii="宋体" w:hAnsi="宋体"/>
                <w:szCs w:val="21"/>
                <w:highlight w:val="none"/>
              </w:rPr>
              <w:t>名称</w:t>
            </w:r>
          </w:p>
        </w:tc>
        <w:tc>
          <w:tcPr>
            <w:tcW w:w="823" w:type="dxa"/>
            <w:noWrap w:val="0"/>
            <w:vAlign w:val="center"/>
          </w:tcPr>
          <w:p w14:paraId="28180B8F">
            <w:pPr>
              <w:jc w:val="center"/>
              <w:rPr>
                <w:rFonts w:hint="eastAsia" w:ascii="宋体" w:hAnsi="宋体"/>
                <w:szCs w:val="21"/>
                <w:highlight w:val="none"/>
              </w:rPr>
            </w:pPr>
            <w:r>
              <w:rPr>
                <w:rFonts w:hint="eastAsia" w:ascii="宋体" w:hAnsi="宋体"/>
                <w:szCs w:val="21"/>
                <w:highlight w:val="none"/>
              </w:rPr>
              <w:t>型号</w:t>
            </w:r>
          </w:p>
          <w:p w14:paraId="67D45170">
            <w:pPr>
              <w:jc w:val="center"/>
              <w:rPr>
                <w:rFonts w:hint="eastAsia" w:ascii="宋体" w:hAnsi="宋体"/>
                <w:szCs w:val="21"/>
                <w:highlight w:val="none"/>
              </w:rPr>
            </w:pPr>
            <w:r>
              <w:rPr>
                <w:rFonts w:hint="eastAsia" w:ascii="宋体" w:hAnsi="宋体"/>
                <w:szCs w:val="21"/>
                <w:highlight w:val="none"/>
              </w:rPr>
              <w:t>规格</w:t>
            </w:r>
          </w:p>
        </w:tc>
        <w:tc>
          <w:tcPr>
            <w:tcW w:w="871" w:type="dxa"/>
            <w:noWrap w:val="0"/>
            <w:vAlign w:val="center"/>
          </w:tcPr>
          <w:p w14:paraId="610AB574">
            <w:pPr>
              <w:jc w:val="center"/>
              <w:rPr>
                <w:rFonts w:hint="eastAsia" w:ascii="宋体" w:hAnsi="宋体"/>
                <w:szCs w:val="21"/>
                <w:highlight w:val="none"/>
              </w:rPr>
            </w:pPr>
            <w:r>
              <w:rPr>
                <w:rFonts w:hint="eastAsia" w:ascii="宋体" w:hAnsi="宋体"/>
                <w:szCs w:val="21"/>
                <w:highlight w:val="none"/>
              </w:rPr>
              <w:t>数量</w:t>
            </w:r>
          </w:p>
        </w:tc>
        <w:tc>
          <w:tcPr>
            <w:tcW w:w="709" w:type="dxa"/>
            <w:noWrap w:val="0"/>
            <w:vAlign w:val="center"/>
          </w:tcPr>
          <w:p w14:paraId="386C098B">
            <w:pPr>
              <w:jc w:val="center"/>
              <w:rPr>
                <w:rFonts w:hint="eastAsia" w:ascii="宋体" w:hAnsi="宋体"/>
                <w:szCs w:val="21"/>
                <w:highlight w:val="none"/>
              </w:rPr>
            </w:pPr>
            <w:r>
              <w:rPr>
                <w:rFonts w:hint="eastAsia" w:ascii="宋体" w:hAnsi="宋体"/>
                <w:szCs w:val="21"/>
                <w:highlight w:val="none"/>
              </w:rPr>
              <w:t>国别</w:t>
            </w:r>
          </w:p>
          <w:p w14:paraId="0E4D3E4A">
            <w:pPr>
              <w:jc w:val="center"/>
              <w:rPr>
                <w:rFonts w:hint="eastAsia" w:ascii="宋体" w:hAnsi="宋体"/>
                <w:szCs w:val="21"/>
                <w:highlight w:val="none"/>
              </w:rPr>
            </w:pPr>
            <w:r>
              <w:rPr>
                <w:rFonts w:hint="eastAsia" w:ascii="宋体" w:hAnsi="宋体"/>
                <w:szCs w:val="21"/>
                <w:highlight w:val="none"/>
              </w:rPr>
              <w:t>产地</w:t>
            </w:r>
          </w:p>
        </w:tc>
        <w:tc>
          <w:tcPr>
            <w:tcW w:w="709" w:type="dxa"/>
            <w:noWrap w:val="0"/>
            <w:vAlign w:val="center"/>
          </w:tcPr>
          <w:p w14:paraId="23334696">
            <w:pPr>
              <w:jc w:val="center"/>
              <w:rPr>
                <w:rFonts w:hint="eastAsia" w:ascii="宋体" w:hAnsi="宋体"/>
                <w:szCs w:val="21"/>
                <w:highlight w:val="none"/>
              </w:rPr>
            </w:pPr>
            <w:r>
              <w:rPr>
                <w:rFonts w:hint="eastAsia" w:ascii="宋体" w:hAnsi="宋体"/>
                <w:szCs w:val="21"/>
                <w:highlight w:val="none"/>
              </w:rPr>
              <w:t>制造</w:t>
            </w:r>
          </w:p>
          <w:p w14:paraId="4A395429">
            <w:pPr>
              <w:jc w:val="center"/>
              <w:rPr>
                <w:rFonts w:hint="eastAsia" w:ascii="宋体" w:hAnsi="宋体"/>
                <w:szCs w:val="21"/>
                <w:highlight w:val="none"/>
              </w:rPr>
            </w:pPr>
            <w:r>
              <w:rPr>
                <w:rFonts w:hint="eastAsia" w:ascii="宋体" w:hAnsi="宋体"/>
                <w:szCs w:val="21"/>
                <w:highlight w:val="none"/>
              </w:rPr>
              <w:t>年份</w:t>
            </w:r>
          </w:p>
        </w:tc>
        <w:tc>
          <w:tcPr>
            <w:tcW w:w="1176" w:type="dxa"/>
            <w:noWrap w:val="0"/>
            <w:vAlign w:val="center"/>
          </w:tcPr>
          <w:p w14:paraId="5C365FDF">
            <w:pPr>
              <w:jc w:val="center"/>
              <w:rPr>
                <w:rFonts w:hint="eastAsia" w:ascii="宋体" w:hAnsi="宋体"/>
                <w:szCs w:val="21"/>
                <w:highlight w:val="none"/>
              </w:rPr>
            </w:pPr>
            <w:r>
              <w:rPr>
                <w:rFonts w:hint="eastAsia" w:ascii="宋体" w:hAnsi="宋体"/>
                <w:szCs w:val="21"/>
                <w:highlight w:val="none"/>
              </w:rPr>
              <w:t>额定功率</w:t>
            </w:r>
          </w:p>
          <w:p w14:paraId="13AB04A4">
            <w:pPr>
              <w:jc w:val="center"/>
              <w:rPr>
                <w:rFonts w:hint="eastAsia" w:ascii="宋体" w:hAnsi="宋体"/>
                <w:szCs w:val="21"/>
                <w:highlight w:val="none"/>
              </w:rPr>
            </w:pPr>
            <w:r>
              <w:rPr>
                <w:rFonts w:hint="eastAsia" w:ascii="宋体" w:hAnsi="宋体"/>
                <w:szCs w:val="21"/>
                <w:highlight w:val="none"/>
              </w:rPr>
              <w:t>（KW）</w:t>
            </w:r>
          </w:p>
        </w:tc>
        <w:tc>
          <w:tcPr>
            <w:tcW w:w="872" w:type="dxa"/>
            <w:noWrap w:val="0"/>
            <w:vAlign w:val="center"/>
          </w:tcPr>
          <w:p w14:paraId="73D09CB1">
            <w:pPr>
              <w:jc w:val="center"/>
              <w:rPr>
                <w:rFonts w:hint="eastAsia" w:ascii="宋体" w:hAnsi="宋体"/>
                <w:szCs w:val="21"/>
                <w:highlight w:val="none"/>
              </w:rPr>
            </w:pPr>
            <w:r>
              <w:rPr>
                <w:rFonts w:hint="eastAsia" w:ascii="宋体" w:hAnsi="宋体"/>
                <w:szCs w:val="21"/>
                <w:highlight w:val="none"/>
              </w:rPr>
              <w:t>生产</w:t>
            </w:r>
          </w:p>
          <w:p w14:paraId="3FACD6D0">
            <w:pPr>
              <w:jc w:val="center"/>
              <w:rPr>
                <w:rFonts w:hint="eastAsia" w:ascii="宋体" w:hAnsi="宋体"/>
                <w:szCs w:val="21"/>
                <w:highlight w:val="none"/>
              </w:rPr>
            </w:pPr>
            <w:r>
              <w:rPr>
                <w:rFonts w:hint="eastAsia" w:ascii="宋体" w:hAnsi="宋体"/>
                <w:szCs w:val="21"/>
                <w:highlight w:val="none"/>
              </w:rPr>
              <w:t>能力</w:t>
            </w:r>
          </w:p>
        </w:tc>
        <w:tc>
          <w:tcPr>
            <w:tcW w:w="872" w:type="dxa"/>
            <w:noWrap w:val="0"/>
            <w:vAlign w:val="center"/>
          </w:tcPr>
          <w:p w14:paraId="225848AB">
            <w:pPr>
              <w:jc w:val="center"/>
              <w:rPr>
                <w:rFonts w:hint="eastAsia" w:ascii="宋体" w:hAnsi="宋体"/>
                <w:szCs w:val="21"/>
                <w:highlight w:val="none"/>
              </w:rPr>
            </w:pPr>
            <w:r>
              <w:rPr>
                <w:rFonts w:hint="eastAsia" w:ascii="宋体" w:hAnsi="宋体"/>
                <w:szCs w:val="21"/>
                <w:highlight w:val="none"/>
              </w:rPr>
              <w:t>用于施工部位</w:t>
            </w:r>
          </w:p>
        </w:tc>
        <w:tc>
          <w:tcPr>
            <w:tcW w:w="765" w:type="dxa"/>
            <w:noWrap w:val="0"/>
            <w:vAlign w:val="center"/>
          </w:tcPr>
          <w:p w14:paraId="2AD1A29B">
            <w:pPr>
              <w:jc w:val="center"/>
              <w:rPr>
                <w:rFonts w:hint="eastAsia" w:ascii="宋体" w:hAnsi="宋体"/>
                <w:szCs w:val="21"/>
                <w:highlight w:val="none"/>
              </w:rPr>
            </w:pPr>
            <w:r>
              <w:rPr>
                <w:rFonts w:hint="eastAsia" w:ascii="宋体" w:hAnsi="宋体"/>
                <w:szCs w:val="21"/>
                <w:highlight w:val="none"/>
              </w:rPr>
              <w:t>备注</w:t>
            </w:r>
          </w:p>
        </w:tc>
      </w:tr>
      <w:tr w14:paraId="5EB90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1EE7503F">
            <w:pPr>
              <w:jc w:val="center"/>
              <w:rPr>
                <w:rFonts w:hint="eastAsia" w:ascii="宋体" w:hAnsi="宋体"/>
                <w:szCs w:val="21"/>
                <w:highlight w:val="none"/>
              </w:rPr>
            </w:pPr>
          </w:p>
        </w:tc>
        <w:tc>
          <w:tcPr>
            <w:tcW w:w="1064" w:type="dxa"/>
            <w:noWrap w:val="0"/>
            <w:vAlign w:val="center"/>
          </w:tcPr>
          <w:p w14:paraId="742D6875">
            <w:pPr>
              <w:jc w:val="center"/>
              <w:rPr>
                <w:rFonts w:hint="eastAsia" w:ascii="宋体" w:hAnsi="宋体"/>
                <w:szCs w:val="21"/>
                <w:highlight w:val="none"/>
              </w:rPr>
            </w:pPr>
          </w:p>
        </w:tc>
        <w:tc>
          <w:tcPr>
            <w:tcW w:w="823" w:type="dxa"/>
            <w:noWrap w:val="0"/>
            <w:vAlign w:val="center"/>
          </w:tcPr>
          <w:p w14:paraId="385FF67F">
            <w:pPr>
              <w:jc w:val="center"/>
              <w:rPr>
                <w:rFonts w:hint="eastAsia" w:ascii="宋体" w:hAnsi="宋体"/>
                <w:szCs w:val="21"/>
                <w:highlight w:val="none"/>
              </w:rPr>
            </w:pPr>
          </w:p>
        </w:tc>
        <w:tc>
          <w:tcPr>
            <w:tcW w:w="871" w:type="dxa"/>
            <w:noWrap w:val="0"/>
            <w:vAlign w:val="center"/>
          </w:tcPr>
          <w:p w14:paraId="5F62F2DA">
            <w:pPr>
              <w:jc w:val="center"/>
              <w:rPr>
                <w:rFonts w:hint="eastAsia" w:ascii="宋体" w:hAnsi="宋体"/>
                <w:szCs w:val="21"/>
                <w:highlight w:val="none"/>
              </w:rPr>
            </w:pPr>
          </w:p>
        </w:tc>
        <w:tc>
          <w:tcPr>
            <w:tcW w:w="709" w:type="dxa"/>
            <w:noWrap w:val="0"/>
            <w:vAlign w:val="center"/>
          </w:tcPr>
          <w:p w14:paraId="44E74FB7">
            <w:pPr>
              <w:jc w:val="center"/>
              <w:rPr>
                <w:rFonts w:hint="eastAsia" w:ascii="宋体" w:hAnsi="宋体"/>
                <w:szCs w:val="21"/>
                <w:highlight w:val="none"/>
              </w:rPr>
            </w:pPr>
          </w:p>
        </w:tc>
        <w:tc>
          <w:tcPr>
            <w:tcW w:w="709" w:type="dxa"/>
            <w:noWrap w:val="0"/>
            <w:vAlign w:val="center"/>
          </w:tcPr>
          <w:p w14:paraId="256397D8">
            <w:pPr>
              <w:jc w:val="center"/>
              <w:rPr>
                <w:rFonts w:hint="eastAsia" w:ascii="宋体" w:hAnsi="宋体"/>
                <w:szCs w:val="21"/>
                <w:highlight w:val="none"/>
              </w:rPr>
            </w:pPr>
          </w:p>
        </w:tc>
        <w:tc>
          <w:tcPr>
            <w:tcW w:w="1176" w:type="dxa"/>
            <w:noWrap w:val="0"/>
            <w:vAlign w:val="center"/>
          </w:tcPr>
          <w:p w14:paraId="56173CAA">
            <w:pPr>
              <w:jc w:val="center"/>
              <w:rPr>
                <w:rFonts w:hint="eastAsia" w:ascii="宋体" w:hAnsi="宋体"/>
                <w:szCs w:val="21"/>
                <w:highlight w:val="none"/>
              </w:rPr>
            </w:pPr>
          </w:p>
        </w:tc>
        <w:tc>
          <w:tcPr>
            <w:tcW w:w="872" w:type="dxa"/>
            <w:noWrap w:val="0"/>
            <w:vAlign w:val="center"/>
          </w:tcPr>
          <w:p w14:paraId="38F871B4">
            <w:pPr>
              <w:jc w:val="center"/>
              <w:rPr>
                <w:rFonts w:hint="eastAsia" w:ascii="宋体" w:hAnsi="宋体"/>
                <w:szCs w:val="21"/>
                <w:highlight w:val="none"/>
              </w:rPr>
            </w:pPr>
          </w:p>
        </w:tc>
        <w:tc>
          <w:tcPr>
            <w:tcW w:w="872" w:type="dxa"/>
            <w:noWrap w:val="0"/>
            <w:vAlign w:val="center"/>
          </w:tcPr>
          <w:p w14:paraId="7D4C8A0E">
            <w:pPr>
              <w:jc w:val="center"/>
              <w:rPr>
                <w:rFonts w:hint="eastAsia" w:ascii="宋体" w:hAnsi="宋体"/>
                <w:szCs w:val="21"/>
                <w:highlight w:val="none"/>
              </w:rPr>
            </w:pPr>
          </w:p>
        </w:tc>
        <w:tc>
          <w:tcPr>
            <w:tcW w:w="765" w:type="dxa"/>
            <w:noWrap w:val="0"/>
            <w:vAlign w:val="center"/>
          </w:tcPr>
          <w:p w14:paraId="69AAF1A8">
            <w:pPr>
              <w:jc w:val="center"/>
              <w:rPr>
                <w:rFonts w:hint="eastAsia" w:ascii="宋体" w:hAnsi="宋体"/>
                <w:szCs w:val="21"/>
                <w:highlight w:val="none"/>
              </w:rPr>
            </w:pPr>
          </w:p>
        </w:tc>
      </w:tr>
      <w:tr w14:paraId="1F1CB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114325BA">
            <w:pPr>
              <w:jc w:val="center"/>
              <w:rPr>
                <w:rFonts w:hint="eastAsia" w:ascii="宋体" w:hAnsi="宋体"/>
                <w:szCs w:val="21"/>
                <w:highlight w:val="none"/>
              </w:rPr>
            </w:pPr>
          </w:p>
        </w:tc>
        <w:tc>
          <w:tcPr>
            <w:tcW w:w="1064" w:type="dxa"/>
            <w:noWrap w:val="0"/>
            <w:vAlign w:val="center"/>
          </w:tcPr>
          <w:p w14:paraId="5FBD68E4">
            <w:pPr>
              <w:jc w:val="center"/>
              <w:rPr>
                <w:rFonts w:hint="eastAsia" w:ascii="宋体" w:hAnsi="宋体"/>
                <w:szCs w:val="21"/>
                <w:highlight w:val="none"/>
              </w:rPr>
            </w:pPr>
          </w:p>
        </w:tc>
        <w:tc>
          <w:tcPr>
            <w:tcW w:w="823" w:type="dxa"/>
            <w:noWrap w:val="0"/>
            <w:vAlign w:val="center"/>
          </w:tcPr>
          <w:p w14:paraId="66920BAD">
            <w:pPr>
              <w:jc w:val="center"/>
              <w:rPr>
                <w:rFonts w:hint="eastAsia" w:ascii="宋体" w:hAnsi="宋体"/>
                <w:szCs w:val="21"/>
                <w:highlight w:val="none"/>
              </w:rPr>
            </w:pPr>
          </w:p>
        </w:tc>
        <w:tc>
          <w:tcPr>
            <w:tcW w:w="871" w:type="dxa"/>
            <w:noWrap w:val="0"/>
            <w:vAlign w:val="center"/>
          </w:tcPr>
          <w:p w14:paraId="6AEF331B">
            <w:pPr>
              <w:jc w:val="center"/>
              <w:rPr>
                <w:rFonts w:hint="eastAsia" w:ascii="宋体" w:hAnsi="宋体"/>
                <w:szCs w:val="21"/>
                <w:highlight w:val="none"/>
              </w:rPr>
            </w:pPr>
          </w:p>
        </w:tc>
        <w:tc>
          <w:tcPr>
            <w:tcW w:w="709" w:type="dxa"/>
            <w:noWrap w:val="0"/>
            <w:vAlign w:val="center"/>
          </w:tcPr>
          <w:p w14:paraId="089AFD47">
            <w:pPr>
              <w:jc w:val="center"/>
              <w:rPr>
                <w:rFonts w:hint="eastAsia" w:ascii="宋体" w:hAnsi="宋体"/>
                <w:szCs w:val="21"/>
                <w:highlight w:val="none"/>
              </w:rPr>
            </w:pPr>
          </w:p>
        </w:tc>
        <w:tc>
          <w:tcPr>
            <w:tcW w:w="709" w:type="dxa"/>
            <w:noWrap w:val="0"/>
            <w:vAlign w:val="center"/>
          </w:tcPr>
          <w:p w14:paraId="0C5D5879">
            <w:pPr>
              <w:jc w:val="center"/>
              <w:rPr>
                <w:rFonts w:hint="eastAsia" w:ascii="宋体" w:hAnsi="宋体"/>
                <w:szCs w:val="21"/>
                <w:highlight w:val="none"/>
              </w:rPr>
            </w:pPr>
          </w:p>
        </w:tc>
        <w:tc>
          <w:tcPr>
            <w:tcW w:w="1176" w:type="dxa"/>
            <w:noWrap w:val="0"/>
            <w:vAlign w:val="center"/>
          </w:tcPr>
          <w:p w14:paraId="364A0CD7">
            <w:pPr>
              <w:jc w:val="center"/>
              <w:rPr>
                <w:rFonts w:hint="eastAsia" w:ascii="宋体" w:hAnsi="宋体"/>
                <w:szCs w:val="21"/>
                <w:highlight w:val="none"/>
              </w:rPr>
            </w:pPr>
          </w:p>
        </w:tc>
        <w:tc>
          <w:tcPr>
            <w:tcW w:w="872" w:type="dxa"/>
            <w:noWrap w:val="0"/>
            <w:vAlign w:val="center"/>
          </w:tcPr>
          <w:p w14:paraId="6EFEF696">
            <w:pPr>
              <w:jc w:val="center"/>
              <w:rPr>
                <w:rFonts w:hint="eastAsia" w:ascii="宋体" w:hAnsi="宋体"/>
                <w:szCs w:val="21"/>
                <w:highlight w:val="none"/>
              </w:rPr>
            </w:pPr>
          </w:p>
        </w:tc>
        <w:tc>
          <w:tcPr>
            <w:tcW w:w="872" w:type="dxa"/>
            <w:noWrap w:val="0"/>
            <w:vAlign w:val="center"/>
          </w:tcPr>
          <w:p w14:paraId="2CC8D66A">
            <w:pPr>
              <w:jc w:val="center"/>
              <w:rPr>
                <w:rFonts w:hint="eastAsia" w:ascii="宋体" w:hAnsi="宋体"/>
                <w:szCs w:val="21"/>
                <w:highlight w:val="none"/>
              </w:rPr>
            </w:pPr>
          </w:p>
        </w:tc>
        <w:tc>
          <w:tcPr>
            <w:tcW w:w="765" w:type="dxa"/>
            <w:noWrap w:val="0"/>
            <w:vAlign w:val="center"/>
          </w:tcPr>
          <w:p w14:paraId="13166971">
            <w:pPr>
              <w:jc w:val="center"/>
              <w:rPr>
                <w:rFonts w:hint="eastAsia" w:ascii="宋体" w:hAnsi="宋体"/>
                <w:szCs w:val="21"/>
                <w:highlight w:val="none"/>
              </w:rPr>
            </w:pPr>
          </w:p>
        </w:tc>
      </w:tr>
      <w:tr w14:paraId="14A3B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38941C36">
            <w:pPr>
              <w:jc w:val="center"/>
              <w:rPr>
                <w:rFonts w:hint="eastAsia" w:ascii="宋体" w:hAnsi="宋体"/>
                <w:szCs w:val="21"/>
                <w:highlight w:val="none"/>
              </w:rPr>
            </w:pPr>
          </w:p>
        </w:tc>
        <w:tc>
          <w:tcPr>
            <w:tcW w:w="1064" w:type="dxa"/>
            <w:noWrap w:val="0"/>
            <w:vAlign w:val="center"/>
          </w:tcPr>
          <w:p w14:paraId="774B3AE6">
            <w:pPr>
              <w:jc w:val="center"/>
              <w:rPr>
                <w:rFonts w:hint="eastAsia" w:ascii="宋体" w:hAnsi="宋体"/>
                <w:szCs w:val="21"/>
                <w:highlight w:val="none"/>
              </w:rPr>
            </w:pPr>
          </w:p>
        </w:tc>
        <w:tc>
          <w:tcPr>
            <w:tcW w:w="823" w:type="dxa"/>
            <w:noWrap w:val="0"/>
            <w:vAlign w:val="center"/>
          </w:tcPr>
          <w:p w14:paraId="3E639E62">
            <w:pPr>
              <w:jc w:val="center"/>
              <w:rPr>
                <w:rFonts w:hint="eastAsia" w:ascii="宋体" w:hAnsi="宋体"/>
                <w:szCs w:val="21"/>
                <w:highlight w:val="none"/>
              </w:rPr>
            </w:pPr>
          </w:p>
        </w:tc>
        <w:tc>
          <w:tcPr>
            <w:tcW w:w="871" w:type="dxa"/>
            <w:noWrap w:val="0"/>
            <w:vAlign w:val="center"/>
          </w:tcPr>
          <w:p w14:paraId="7181800C">
            <w:pPr>
              <w:jc w:val="center"/>
              <w:rPr>
                <w:rFonts w:hint="eastAsia" w:ascii="宋体" w:hAnsi="宋体"/>
                <w:szCs w:val="21"/>
                <w:highlight w:val="none"/>
              </w:rPr>
            </w:pPr>
          </w:p>
        </w:tc>
        <w:tc>
          <w:tcPr>
            <w:tcW w:w="709" w:type="dxa"/>
            <w:noWrap w:val="0"/>
            <w:vAlign w:val="center"/>
          </w:tcPr>
          <w:p w14:paraId="11B6955D">
            <w:pPr>
              <w:jc w:val="center"/>
              <w:rPr>
                <w:rFonts w:hint="eastAsia" w:ascii="宋体" w:hAnsi="宋体"/>
                <w:szCs w:val="21"/>
                <w:highlight w:val="none"/>
              </w:rPr>
            </w:pPr>
          </w:p>
        </w:tc>
        <w:tc>
          <w:tcPr>
            <w:tcW w:w="709" w:type="dxa"/>
            <w:noWrap w:val="0"/>
            <w:vAlign w:val="center"/>
          </w:tcPr>
          <w:p w14:paraId="221AEAB5">
            <w:pPr>
              <w:jc w:val="center"/>
              <w:rPr>
                <w:rFonts w:hint="eastAsia" w:ascii="宋体" w:hAnsi="宋体"/>
                <w:szCs w:val="21"/>
                <w:highlight w:val="none"/>
              </w:rPr>
            </w:pPr>
          </w:p>
        </w:tc>
        <w:tc>
          <w:tcPr>
            <w:tcW w:w="1176" w:type="dxa"/>
            <w:noWrap w:val="0"/>
            <w:vAlign w:val="center"/>
          </w:tcPr>
          <w:p w14:paraId="3AA2706C">
            <w:pPr>
              <w:jc w:val="center"/>
              <w:rPr>
                <w:rFonts w:hint="eastAsia" w:ascii="宋体" w:hAnsi="宋体"/>
                <w:szCs w:val="21"/>
                <w:highlight w:val="none"/>
              </w:rPr>
            </w:pPr>
          </w:p>
        </w:tc>
        <w:tc>
          <w:tcPr>
            <w:tcW w:w="872" w:type="dxa"/>
            <w:noWrap w:val="0"/>
            <w:vAlign w:val="center"/>
          </w:tcPr>
          <w:p w14:paraId="5F68EFC7">
            <w:pPr>
              <w:jc w:val="center"/>
              <w:rPr>
                <w:rFonts w:hint="eastAsia" w:ascii="宋体" w:hAnsi="宋体"/>
                <w:szCs w:val="21"/>
                <w:highlight w:val="none"/>
              </w:rPr>
            </w:pPr>
          </w:p>
        </w:tc>
        <w:tc>
          <w:tcPr>
            <w:tcW w:w="872" w:type="dxa"/>
            <w:noWrap w:val="0"/>
            <w:vAlign w:val="center"/>
          </w:tcPr>
          <w:p w14:paraId="0EE016D8">
            <w:pPr>
              <w:jc w:val="center"/>
              <w:rPr>
                <w:rFonts w:hint="eastAsia" w:ascii="宋体" w:hAnsi="宋体"/>
                <w:szCs w:val="21"/>
                <w:highlight w:val="none"/>
              </w:rPr>
            </w:pPr>
          </w:p>
        </w:tc>
        <w:tc>
          <w:tcPr>
            <w:tcW w:w="765" w:type="dxa"/>
            <w:noWrap w:val="0"/>
            <w:vAlign w:val="center"/>
          </w:tcPr>
          <w:p w14:paraId="73F821C4">
            <w:pPr>
              <w:jc w:val="center"/>
              <w:rPr>
                <w:rFonts w:hint="eastAsia" w:ascii="宋体" w:hAnsi="宋体"/>
                <w:szCs w:val="21"/>
                <w:highlight w:val="none"/>
              </w:rPr>
            </w:pPr>
          </w:p>
        </w:tc>
      </w:tr>
      <w:tr w14:paraId="234AF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0013EAC7">
            <w:pPr>
              <w:jc w:val="center"/>
              <w:rPr>
                <w:rFonts w:hint="eastAsia" w:ascii="宋体" w:hAnsi="宋体"/>
                <w:szCs w:val="21"/>
                <w:highlight w:val="none"/>
              </w:rPr>
            </w:pPr>
          </w:p>
        </w:tc>
        <w:tc>
          <w:tcPr>
            <w:tcW w:w="1064" w:type="dxa"/>
            <w:noWrap w:val="0"/>
            <w:vAlign w:val="center"/>
          </w:tcPr>
          <w:p w14:paraId="33A62641">
            <w:pPr>
              <w:jc w:val="center"/>
              <w:rPr>
                <w:rFonts w:hint="eastAsia" w:ascii="宋体" w:hAnsi="宋体"/>
                <w:szCs w:val="21"/>
                <w:highlight w:val="none"/>
              </w:rPr>
            </w:pPr>
          </w:p>
        </w:tc>
        <w:tc>
          <w:tcPr>
            <w:tcW w:w="823" w:type="dxa"/>
            <w:noWrap w:val="0"/>
            <w:vAlign w:val="center"/>
          </w:tcPr>
          <w:p w14:paraId="22606AEB">
            <w:pPr>
              <w:jc w:val="center"/>
              <w:rPr>
                <w:rFonts w:hint="eastAsia" w:ascii="宋体" w:hAnsi="宋体"/>
                <w:szCs w:val="21"/>
                <w:highlight w:val="none"/>
              </w:rPr>
            </w:pPr>
          </w:p>
        </w:tc>
        <w:tc>
          <w:tcPr>
            <w:tcW w:w="871" w:type="dxa"/>
            <w:noWrap w:val="0"/>
            <w:vAlign w:val="center"/>
          </w:tcPr>
          <w:p w14:paraId="01346164">
            <w:pPr>
              <w:jc w:val="center"/>
              <w:rPr>
                <w:rFonts w:hint="eastAsia" w:ascii="宋体" w:hAnsi="宋体"/>
                <w:szCs w:val="21"/>
                <w:highlight w:val="none"/>
              </w:rPr>
            </w:pPr>
          </w:p>
        </w:tc>
        <w:tc>
          <w:tcPr>
            <w:tcW w:w="709" w:type="dxa"/>
            <w:noWrap w:val="0"/>
            <w:vAlign w:val="center"/>
          </w:tcPr>
          <w:p w14:paraId="4C470EC9">
            <w:pPr>
              <w:jc w:val="center"/>
              <w:rPr>
                <w:rFonts w:hint="eastAsia" w:ascii="宋体" w:hAnsi="宋体"/>
                <w:szCs w:val="21"/>
                <w:highlight w:val="none"/>
              </w:rPr>
            </w:pPr>
          </w:p>
        </w:tc>
        <w:tc>
          <w:tcPr>
            <w:tcW w:w="709" w:type="dxa"/>
            <w:noWrap w:val="0"/>
            <w:vAlign w:val="center"/>
          </w:tcPr>
          <w:p w14:paraId="606FD6A2">
            <w:pPr>
              <w:jc w:val="center"/>
              <w:rPr>
                <w:rFonts w:hint="eastAsia" w:ascii="宋体" w:hAnsi="宋体"/>
                <w:szCs w:val="21"/>
                <w:highlight w:val="none"/>
              </w:rPr>
            </w:pPr>
          </w:p>
        </w:tc>
        <w:tc>
          <w:tcPr>
            <w:tcW w:w="1176" w:type="dxa"/>
            <w:noWrap w:val="0"/>
            <w:vAlign w:val="center"/>
          </w:tcPr>
          <w:p w14:paraId="24287376">
            <w:pPr>
              <w:jc w:val="center"/>
              <w:rPr>
                <w:rFonts w:hint="eastAsia" w:ascii="宋体" w:hAnsi="宋体"/>
                <w:szCs w:val="21"/>
                <w:highlight w:val="none"/>
              </w:rPr>
            </w:pPr>
          </w:p>
        </w:tc>
        <w:tc>
          <w:tcPr>
            <w:tcW w:w="872" w:type="dxa"/>
            <w:noWrap w:val="0"/>
            <w:vAlign w:val="center"/>
          </w:tcPr>
          <w:p w14:paraId="17D6F8D6">
            <w:pPr>
              <w:jc w:val="center"/>
              <w:rPr>
                <w:rFonts w:hint="eastAsia" w:ascii="宋体" w:hAnsi="宋体"/>
                <w:szCs w:val="21"/>
                <w:highlight w:val="none"/>
              </w:rPr>
            </w:pPr>
          </w:p>
        </w:tc>
        <w:tc>
          <w:tcPr>
            <w:tcW w:w="872" w:type="dxa"/>
            <w:noWrap w:val="0"/>
            <w:vAlign w:val="center"/>
          </w:tcPr>
          <w:p w14:paraId="770B0098">
            <w:pPr>
              <w:jc w:val="center"/>
              <w:rPr>
                <w:rFonts w:hint="eastAsia" w:ascii="宋体" w:hAnsi="宋体"/>
                <w:szCs w:val="21"/>
                <w:highlight w:val="none"/>
              </w:rPr>
            </w:pPr>
          </w:p>
        </w:tc>
        <w:tc>
          <w:tcPr>
            <w:tcW w:w="765" w:type="dxa"/>
            <w:noWrap w:val="0"/>
            <w:vAlign w:val="center"/>
          </w:tcPr>
          <w:p w14:paraId="07291157">
            <w:pPr>
              <w:jc w:val="center"/>
              <w:rPr>
                <w:rFonts w:hint="eastAsia" w:ascii="宋体" w:hAnsi="宋体"/>
                <w:szCs w:val="21"/>
                <w:highlight w:val="none"/>
              </w:rPr>
            </w:pPr>
          </w:p>
        </w:tc>
      </w:tr>
      <w:tr w14:paraId="4A579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2FD2CB67">
            <w:pPr>
              <w:jc w:val="center"/>
              <w:rPr>
                <w:rFonts w:hint="eastAsia" w:ascii="宋体" w:hAnsi="宋体"/>
                <w:szCs w:val="21"/>
                <w:highlight w:val="none"/>
              </w:rPr>
            </w:pPr>
          </w:p>
        </w:tc>
        <w:tc>
          <w:tcPr>
            <w:tcW w:w="1064" w:type="dxa"/>
            <w:noWrap w:val="0"/>
            <w:vAlign w:val="center"/>
          </w:tcPr>
          <w:p w14:paraId="4FCDCB4F">
            <w:pPr>
              <w:jc w:val="center"/>
              <w:rPr>
                <w:rFonts w:hint="eastAsia" w:ascii="宋体" w:hAnsi="宋体"/>
                <w:szCs w:val="21"/>
                <w:highlight w:val="none"/>
              </w:rPr>
            </w:pPr>
          </w:p>
        </w:tc>
        <w:tc>
          <w:tcPr>
            <w:tcW w:w="823" w:type="dxa"/>
            <w:noWrap w:val="0"/>
            <w:vAlign w:val="center"/>
          </w:tcPr>
          <w:p w14:paraId="050A0BC8">
            <w:pPr>
              <w:jc w:val="center"/>
              <w:rPr>
                <w:rFonts w:hint="eastAsia" w:ascii="宋体" w:hAnsi="宋体"/>
                <w:szCs w:val="21"/>
                <w:highlight w:val="none"/>
              </w:rPr>
            </w:pPr>
          </w:p>
        </w:tc>
        <w:tc>
          <w:tcPr>
            <w:tcW w:w="871" w:type="dxa"/>
            <w:noWrap w:val="0"/>
            <w:vAlign w:val="center"/>
          </w:tcPr>
          <w:p w14:paraId="60A78C60">
            <w:pPr>
              <w:jc w:val="center"/>
              <w:rPr>
                <w:rFonts w:hint="eastAsia" w:ascii="宋体" w:hAnsi="宋体"/>
                <w:szCs w:val="21"/>
                <w:highlight w:val="none"/>
              </w:rPr>
            </w:pPr>
          </w:p>
        </w:tc>
        <w:tc>
          <w:tcPr>
            <w:tcW w:w="709" w:type="dxa"/>
            <w:noWrap w:val="0"/>
            <w:vAlign w:val="center"/>
          </w:tcPr>
          <w:p w14:paraId="2DC898F1">
            <w:pPr>
              <w:jc w:val="center"/>
              <w:rPr>
                <w:rFonts w:hint="eastAsia" w:ascii="宋体" w:hAnsi="宋体"/>
                <w:szCs w:val="21"/>
                <w:highlight w:val="none"/>
              </w:rPr>
            </w:pPr>
          </w:p>
        </w:tc>
        <w:tc>
          <w:tcPr>
            <w:tcW w:w="709" w:type="dxa"/>
            <w:noWrap w:val="0"/>
            <w:vAlign w:val="center"/>
          </w:tcPr>
          <w:p w14:paraId="3CD7BAE0">
            <w:pPr>
              <w:jc w:val="center"/>
              <w:rPr>
                <w:rFonts w:hint="eastAsia" w:ascii="宋体" w:hAnsi="宋体"/>
                <w:szCs w:val="21"/>
                <w:highlight w:val="none"/>
              </w:rPr>
            </w:pPr>
          </w:p>
        </w:tc>
        <w:tc>
          <w:tcPr>
            <w:tcW w:w="1176" w:type="dxa"/>
            <w:noWrap w:val="0"/>
            <w:vAlign w:val="center"/>
          </w:tcPr>
          <w:p w14:paraId="76367AAA">
            <w:pPr>
              <w:jc w:val="center"/>
              <w:rPr>
                <w:rFonts w:hint="eastAsia" w:ascii="宋体" w:hAnsi="宋体"/>
                <w:szCs w:val="21"/>
                <w:highlight w:val="none"/>
              </w:rPr>
            </w:pPr>
          </w:p>
        </w:tc>
        <w:tc>
          <w:tcPr>
            <w:tcW w:w="872" w:type="dxa"/>
            <w:noWrap w:val="0"/>
            <w:vAlign w:val="center"/>
          </w:tcPr>
          <w:p w14:paraId="698EB0AD">
            <w:pPr>
              <w:jc w:val="center"/>
              <w:rPr>
                <w:rFonts w:hint="eastAsia" w:ascii="宋体" w:hAnsi="宋体"/>
                <w:szCs w:val="21"/>
                <w:highlight w:val="none"/>
              </w:rPr>
            </w:pPr>
          </w:p>
        </w:tc>
        <w:tc>
          <w:tcPr>
            <w:tcW w:w="872" w:type="dxa"/>
            <w:noWrap w:val="0"/>
            <w:vAlign w:val="center"/>
          </w:tcPr>
          <w:p w14:paraId="4191A1A2">
            <w:pPr>
              <w:jc w:val="center"/>
              <w:rPr>
                <w:rFonts w:hint="eastAsia" w:ascii="宋体" w:hAnsi="宋体"/>
                <w:szCs w:val="21"/>
                <w:highlight w:val="none"/>
              </w:rPr>
            </w:pPr>
          </w:p>
        </w:tc>
        <w:tc>
          <w:tcPr>
            <w:tcW w:w="765" w:type="dxa"/>
            <w:noWrap w:val="0"/>
            <w:vAlign w:val="center"/>
          </w:tcPr>
          <w:p w14:paraId="61FFBD35">
            <w:pPr>
              <w:jc w:val="center"/>
              <w:rPr>
                <w:rFonts w:hint="eastAsia" w:ascii="宋体" w:hAnsi="宋体"/>
                <w:szCs w:val="21"/>
                <w:highlight w:val="none"/>
              </w:rPr>
            </w:pPr>
          </w:p>
        </w:tc>
      </w:tr>
      <w:tr w14:paraId="1221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03F775B1">
            <w:pPr>
              <w:jc w:val="center"/>
              <w:rPr>
                <w:rFonts w:hint="eastAsia" w:ascii="宋体" w:hAnsi="宋体"/>
                <w:szCs w:val="21"/>
                <w:highlight w:val="none"/>
              </w:rPr>
            </w:pPr>
          </w:p>
        </w:tc>
        <w:tc>
          <w:tcPr>
            <w:tcW w:w="1064" w:type="dxa"/>
            <w:noWrap w:val="0"/>
            <w:vAlign w:val="center"/>
          </w:tcPr>
          <w:p w14:paraId="45CD806C">
            <w:pPr>
              <w:jc w:val="center"/>
              <w:rPr>
                <w:rFonts w:hint="eastAsia" w:ascii="宋体" w:hAnsi="宋体"/>
                <w:szCs w:val="21"/>
                <w:highlight w:val="none"/>
              </w:rPr>
            </w:pPr>
          </w:p>
        </w:tc>
        <w:tc>
          <w:tcPr>
            <w:tcW w:w="823" w:type="dxa"/>
            <w:noWrap w:val="0"/>
            <w:vAlign w:val="center"/>
          </w:tcPr>
          <w:p w14:paraId="53860CB1">
            <w:pPr>
              <w:jc w:val="center"/>
              <w:rPr>
                <w:rFonts w:hint="eastAsia" w:ascii="宋体" w:hAnsi="宋体"/>
                <w:szCs w:val="21"/>
                <w:highlight w:val="none"/>
              </w:rPr>
            </w:pPr>
          </w:p>
        </w:tc>
        <w:tc>
          <w:tcPr>
            <w:tcW w:w="871" w:type="dxa"/>
            <w:noWrap w:val="0"/>
            <w:vAlign w:val="center"/>
          </w:tcPr>
          <w:p w14:paraId="36CAEB9C">
            <w:pPr>
              <w:jc w:val="center"/>
              <w:rPr>
                <w:rFonts w:hint="eastAsia" w:ascii="宋体" w:hAnsi="宋体"/>
                <w:szCs w:val="21"/>
                <w:highlight w:val="none"/>
              </w:rPr>
            </w:pPr>
          </w:p>
        </w:tc>
        <w:tc>
          <w:tcPr>
            <w:tcW w:w="709" w:type="dxa"/>
            <w:noWrap w:val="0"/>
            <w:vAlign w:val="center"/>
          </w:tcPr>
          <w:p w14:paraId="54DC5DDF">
            <w:pPr>
              <w:jc w:val="center"/>
              <w:rPr>
                <w:rFonts w:hint="eastAsia" w:ascii="宋体" w:hAnsi="宋体"/>
                <w:szCs w:val="21"/>
                <w:highlight w:val="none"/>
              </w:rPr>
            </w:pPr>
          </w:p>
        </w:tc>
        <w:tc>
          <w:tcPr>
            <w:tcW w:w="709" w:type="dxa"/>
            <w:noWrap w:val="0"/>
            <w:vAlign w:val="center"/>
          </w:tcPr>
          <w:p w14:paraId="1A5CB406">
            <w:pPr>
              <w:jc w:val="center"/>
              <w:rPr>
                <w:rFonts w:hint="eastAsia" w:ascii="宋体" w:hAnsi="宋体"/>
                <w:szCs w:val="21"/>
                <w:highlight w:val="none"/>
              </w:rPr>
            </w:pPr>
          </w:p>
        </w:tc>
        <w:tc>
          <w:tcPr>
            <w:tcW w:w="1176" w:type="dxa"/>
            <w:noWrap w:val="0"/>
            <w:vAlign w:val="center"/>
          </w:tcPr>
          <w:p w14:paraId="012389AA">
            <w:pPr>
              <w:jc w:val="center"/>
              <w:rPr>
                <w:rFonts w:hint="eastAsia" w:ascii="宋体" w:hAnsi="宋体"/>
                <w:szCs w:val="21"/>
                <w:highlight w:val="none"/>
              </w:rPr>
            </w:pPr>
          </w:p>
        </w:tc>
        <w:tc>
          <w:tcPr>
            <w:tcW w:w="872" w:type="dxa"/>
            <w:noWrap w:val="0"/>
            <w:vAlign w:val="center"/>
          </w:tcPr>
          <w:p w14:paraId="6E3E3553">
            <w:pPr>
              <w:jc w:val="center"/>
              <w:rPr>
                <w:rFonts w:hint="eastAsia" w:ascii="宋体" w:hAnsi="宋体"/>
                <w:szCs w:val="21"/>
                <w:highlight w:val="none"/>
              </w:rPr>
            </w:pPr>
          </w:p>
        </w:tc>
        <w:tc>
          <w:tcPr>
            <w:tcW w:w="872" w:type="dxa"/>
            <w:noWrap w:val="0"/>
            <w:vAlign w:val="center"/>
          </w:tcPr>
          <w:p w14:paraId="7B37B27D">
            <w:pPr>
              <w:jc w:val="center"/>
              <w:rPr>
                <w:rFonts w:hint="eastAsia" w:ascii="宋体" w:hAnsi="宋体"/>
                <w:szCs w:val="21"/>
                <w:highlight w:val="none"/>
              </w:rPr>
            </w:pPr>
          </w:p>
        </w:tc>
        <w:tc>
          <w:tcPr>
            <w:tcW w:w="765" w:type="dxa"/>
            <w:noWrap w:val="0"/>
            <w:vAlign w:val="center"/>
          </w:tcPr>
          <w:p w14:paraId="760F2C35">
            <w:pPr>
              <w:jc w:val="center"/>
              <w:rPr>
                <w:rFonts w:hint="eastAsia" w:ascii="宋体" w:hAnsi="宋体"/>
                <w:szCs w:val="21"/>
                <w:highlight w:val="none"/>
              </w:rPr>
            </w:pPr>
          </w:p>
        </w:tc>
      </w:tr>
      <w:tr w14:paraId="7C57A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385C6E4A">
            <w:pPr>
              <w:jc w:val="center"/>
              <w:rPr>
                <w:rFonts w:hint="eastAsia" w:ascii="宋体" w:hAnsi="宋体"/>
                <w:szCs w:val="21"/>
                <w:highlight w:val="none"/>
              </w:rPr>
            </w:pPr>
          </w:p>
        </w:tc>
        <w:tc>
          <w:tcPr>
            <w:tcW w:w="1064" w:type="dxa"/>
            <w:noWrap w:val="0"/>
            <w:vAlign w:val="center"/>
          </w:tcPr>
          <w:p w14:paraId="42AFA803">
            <w:pPr>
              <w:jc w:val="center"/>
              <w:rPr>
                <w:rFonts w:hint="eastAsia" w:ascii="宋体" w:hAnsi="宋体"/>
                <w:szCs w:val="21"/>
                <w:highlight w:val="none"/>
              </w:rPr>
            </w:pPr>
          </w:p>
        </w:tc>
        <w:tc>
          <w:tcPr>
            <w:tcW w:w="823" w:type="dxa"/>
            <w:noWrap w:val="0"/>
            <w:vAlign w:val="center"/>
          </w:tcPr>
          <w:p w14:paraId="51B67C4A">
            <w:pPr>
              <w:jc w:val="center"/>
              <w:rPr>
                <w:rFonts w:hint="eastAsia" w:ascii="宋体" w:hAnsi="宋体"/>
                <w:szCs w:val="21"/>
                <w:highlight w:val="none"/>
              </w:rPr>
            </w:pPr>
          </w:p>
        </w:tc>
        <w:tc>
          <w:tcPr>
            <w:tcW w:w="871" w:type="dxa"/>
            <w:noWrap w:val="0"/>
            <w:vAlign w:val="center"/>
          </w:tcPr>
          <w:p w14:paraId="7C97BF00">
            <w:pPr>
              <w:jc w:val="center"/>
              <w:rPr>
                <w:rFonts w:hint="eastAsia" w:ascii="宋体" w:hAnsi="宋体"/>
                <w:szCs w:val="21"/>
                <w:highlight w:val="none"/>
              </w:rPr>
            </w:pPr>
          </w:p>
        </w:tc>
        <w:tc>
          <w:tcPr>
            <w:tcW w:w="709" w:type="dxa"/>
            <w:noWrap w:val="0"/>
            <w:vAlign w:val="center"/>
          </w:tcPr>
          <w:p w14:paraId="25A384EC">
            <w:pPr>
              <w:jc w:val="center"/>
              <w:rPr>
                <w:rFonts w:hint="eastAsia" w:ascii="宋体" w:hAnsi="宋体"/>
                <w:szCs w:val="21"/>
                <w:highlight w:val="none"/>
              </w:rPr>
            </w:pPr>
          </w:p>
        </w:tc>
        <w:tc>
          <w:tcPr>
            <w:tcW w:w="709" w:type="dxa"/>
            <w:noWrap w:val="0"/>
            <w:vAlign w:val="center"/>
          </w:tcPr>
          <w:p w14:paraId="6B9D7A86">
            <w:pPr>
              <w:jc w:val="center"/>
              <w:rPr>
                <w:rFonts w:hint="eastAsia" w:ascii="宋体" w:hAnsi="宋体"/>
                <w:szCs w:val="21"/>
                <w:highlight w:val="none"/>
              </w:rPr>
            </w:pPr>
          </w:p>
        </w:tc>
        <w:tc>
          <w:tcPr>
            <w:tcW w:w="1176" w:type="dxa"/>
            <w:noWrap w:val="0"/>
            <w:vAlign w:val="center"/>
          </w:tcPr>
          <w:p w14:paraId="2F2D3C7F">
            <w:pPr>
              <w:jc w:val="center"/>
              <w:rPr>
                <w:rFonts w:hint="eastAsia" w:ascii="宋体" w:hAnsi="宋体"/>
                <w:szCs w:val="21"/>
                <w:highlight w:val="none"/>
              </w:rPr>
            </w:pPr>
          </w:p>
        </w:tc>
        <w:tc>
          <w:tcPr>
            <w:tcW w:w="872" w:type="dxa"/>
            <w:noWrap w:val="0"/>
            <w:vAlign w:val="center"/>
          </w:tcPr>
          <w:p w14:paraId="4C763661">
            <w:pPr>
              <w:jc w:val="center"/>
              <w:rPr>
                <w:rFonts w:hint="eastAsia" w:ascii="宋体" w:hAnsi="宋体"/>
                <w:szCs w:val="21"/>
                <w:highlight w:val="none"/>
              </w:rPr>
            </w:pPr>
          </w:p>
        </w:tc>
        <w:tc>
          <w:tcPr>
            <w:tcW w:w="872" w:type="dxa"/>
            <w:noWrap w:val="0"/>
            <w:vAlign w:val="center"/>
          </w:tcPr>
          <w:p w14:paraId="5D68A296">
            <w:pPr>
              <w:jc w:val="center"/>
              <w:rPr>
                <w:rFonts w:hint="eastAsia" w:ascii="宋体" w:hAnsi="宋体"/>
                <w:szCs w:val="21"/>
                <w:highlight w:val="none"/>
              </w:rPr>
            </w:pPr>
          </w:p>
        </w:tc>
        <w:tc>
          <w:tcPr>
            <w:tcW w:w="765" w:type="dxa"/>
            <w:noWrap w:val="0"/>
            <w:vAlign w:val="center"/>
          </w:tcPr>
          <w:p w14:paraId="567D7E1F">
            <w:pPr>
              <w:jc w:val="center"/>
              <w:rPr>
                <w:rFonts w:hint="eastAsia" w:ascii="宋体" w:hAnsi="宋体"/>
                <w:szCs w:val="21"/>
                <w:highlight w:val="none"/>
              </w:rPr>
            </w:pPr>
          </w:p>
        </w:tc>
      </w:tr>
      <w:tr w14:paraId="67CBA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3FEED62F">
            <w:pPr>
              <w:jc w:val="center"/>
              <w:rPr>
                <w:rFonts w:hint="eastAsia" w:ascii="宋体" w:hAnsi="宋体"/>
                <w:szCs w:val="21"/>
                <w:highlight w:val="none"/>
              </w:rPr>
            </w:pPr>
          </w:p>
        </w:tc>
        <w:tc>
          <w:tcPr>
            <w:tcW w:w="1064" w:type="dxa"/>
            <w:noWrap w:val="0"/>
            <w:vAlign w:val="center"/>
          </w:tcPr>
          <w:p w14:paraId="10029566">
            <w:pPr>
              <w:jc w:val="center"/>
              <w:rPr>
                <w:rFonts w:hint="eastAsia" w:ascii="宋体" w:hAnsi="宋体"/>
                <w:szCs w:val="21"/>
                <w:highlight w:val="none"/>
              </w:rPr>
            </w:pPr>
          </w:p>
        </w:tc>
        <w:tc>
          <w:tcPr>
            <w:tcW w:w="823" w:type="dxa"/>
            <w:noWrap w:val="0"/>
            <w:vAlign w:val="center"/>
          </w:tcPr>
          <w:p w14:paraId="2202482C">
            <w:pPr>
              <w:jc w:val="center"/>
              <w:rPr>
                <w:rFonts w:hint="eastAsia" w:ascii="宋体" w:hAnsi="宋体"/>
                <w:szCs w:val="21"/>
                <w:highlight w:val="none"/>
              </w:rPr>
            </w:pPr>
          </w:p>
        </w:tc>
        <w:tc>
          <w:tcPr>
            <w:tcW w:w="871" w:type="dxa"/>
            <w:noWrap w:val="0"/>
            <w:vAlign w:val="center"/>
          </w:tcPr>
          <w:p w14:paraId="4E57DD01">
            <w:pPr>
              <w:jc w:val="center"/>
              <w:rPr>
                <w:rFonts w:hint="eastAsia" w:ascii="宋体" w:hAnsi="宋体"/>
                <w:szCs w:val="21"/>
                <w:highlight w:val="none"/>
              </w:rPr>
            </w:pPr>
          </w:p>
        </w:tc>
        <w:tc>
          <w:tcPr>
            <w:tcW w:w="709" w:type="dxa"/>
            <w:noWrap w:val="0"/>
            <w:vAlign w:val="center"/>
          </w:tcPr>
          <w:p w14:paraId="0158BAD1">
            <w:pPr>
              <w:jc w:val="center"/>
              <w:rPr>
                <w:rFonts w:hint="eastAsia" w:ascii="宋体" w:hAnsi="宋体"/>
                <w:szCs w:val="21"/>
                <w:highlight w:val="none"/>
              </w:rPr>
            </w:pPr>
          </w:p>
        </w:tc>
        <w:tc>
          <w:tcPr>
            <w:tcW w:w="709" w:type="dxa"/>
            <w:noWrap w:val="0"/>
            <w:vAlign w:val="center"/>
          </w:tcPr>
          <w:p w14:paraId="70E4FA7D">
            <w:pPr>
              <w:jc w:val="center"/>
              <w:rPr>
                <w:rFonts w:hint="eastAsia" w:ascii="宋体" w:hAnsi="宋体"/>
                <w:szCs w:val="21"/>
                <w:highlight w:val="none"/>
              </w:rPr>
            </w:pPr>
          </w:p>
        </w:tc>
        <w:tc>
          <w:tcPr>
            <w:tcW w:w="1176" w:type="dxa"/>
            <w:noWrap w:val="0"/>
            <w:vAlign w:val="center"/>
          </w:tcPr>
          <w:p w14:paraId="62E20487">
            <w:pPr>
              <w:jc w:val="center"/>
              <w:rPr>
                <w:rFonts w:hint="eastAsia" w:ascii="宋体" w:hAnsi="宋体"/>
                <w:szCs w:val="21"/>
                <w:highlight w:val="none"/>
              </w:rPr>
            </w:pPr>
          </w:p>
        </w:tc>
        <w:tc>
          <w:tcPr>
            <w:tcW w:w="872" w:type="dxa"/>
            <w:noWrap w:val="0"/>
            <w:vAlign w:val="center"/>
          </w:tcPr>
          <w:p w14:paraId="2452A3CA">
            <w:pPr>
              <w:jc w:val="center"/>
              <w:rPr>
                <w:rFonts w:hint="eastAsia" w:ascii="宋体" w:hAnsi="宋体"/>
                <w:szCs w:val="21"/>
                <w:highlight w:val="none"/>
              </w:rPr>
            </w:pPr>
          </w:p>
        </w:tc>
        <w:tc>
          <w:tcPr>
            <w:tcW w:w="872" w:type="dxa"/>
            <w:noWrap w:val="0"/>
            <w:vAlign w:val="center"/>
          </w:tcPr>
          <w:p w14:paraId="5AF550A8">
            <w:pPr>
              <w:jc w:val="center"/>
              <w:rPr>
                <w:rFonts w:hint="eastAsia" w:ascii="宋体" w:hAnsi="宋体"/>
                <w:szCs w:val="21"/>
                <w:highlight w:val="none"/>
              </w:rPr>
            </w:pPr>
          </w:p>
        </w:tc>
        <w:tc>
          <w:tcPr>
            <w:tcW w:w="765" w:type="dxa"/>
            <w:noWrap w:val="0"/>
            <w:vAlign w:val="center"/>
          </w:tcPr>
          <w:p w14:paraId="41D306C3">
            <w:pPr>
              <w:jc w:val="center"/>
              <w:rPr>
                <w:rFonts w:hint="eastAsia" w:ascii="宋体" w:hAnsi="宋体"/>
                <w:szCs w:val="21"/>
                <w:highlight w:val="none"/>
              </w:rPr>
            </w:pPr>
          </w:p>
        </w:tc>
      </w:tr>
      <w:tr w14:paraId="75DF9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4D887402">
            <w:pPr>
              <w:jc w:val="center"/>
              <w:rPr>
                <w:rFonts w:hint="eastAsia" w:ascii="宋体" w:hAnsi="宋体"/>
                <w:szCs w:val="21"/>
                <w:highlight w:val="none"/>
              </w:rPr>
            </w:pPr>
          </w:p>
        </w:tc>
        <w:tc>
          <w:tcPr>
            <w:tcW w:w="1064" w:type="dxa"/>
            <w:noWrap w:val="0"/>
            <w:vAlign w:val="center"/>
          </w:tcPr>
          <w:p w14:paraId="1BF4D3B1">
            <w:pPr>
              <w:jc w:val="center"/>
              <w:rPr>
                <w:rFonts w:hint="eastAsia" w:ascii="宋体" w:hAnsi="宋体"/>
                <w:szCs w:val="21"/>
                <w:highlight w:val="none"/>
              </w:rPr>
            </w:pPr>
          </w:p>
        </w:tc>
        <w:tc>
          <w:tcPr>
            <w:tcW w:w="823" w:type="dxa"/>
            <w:noWrap w:val="0"/>
            <w:vAlign w:val="center"/>
          </w:tcPr>
          <w:p w14:paraId="79752CC6">
            <w:pPr>
              <w:jc w:val="center"/>
              <w:rPr>
                <w:rFonts w:hint="eastAsia" w:ascii="宋体" w:hAnsi="宋体"/>
                <w:szCs w:val="21"/>
                <w:highlight w:val="none"/>
              </w:rPr>
            </w:pPr>
          </w:p>
        </w:tc>
        <w:tc>
          <w:tcPr>
            <w:tcW w:w="871" w:type="dxa"/>
            <w:noWrap w:val="0"/>
            <w:vAlign w:val="center"/>
          </w:tcPr>
          <w:p w14:paraId="4584D1DD">
            <w:pPr>
              <w:jc w:val="center"/>
              <w:rPr>
                <w:rFonts w:hint="eastAsia" w:ascii="宋体" w:hAnsi="宋体"/>
                <w:szCs w:val="21"/>
                <w:highlight w:val="none"/>
              </w:rPr>
            </w:pPr>
          </w:p>
        </w:tc>
        <w:tc>
          <w:tcPr>
            <w:tcW w:w="709" w:type="dxa"/>
            <w:noWrap w:val="0"/>
            <w:vAlign w:val="center"/>
          </w:tcPr>
          <w:p w14:paraId="0476AAF8">
            <w:pPr>
              <w:jc w:val="center"/>
              <w:rPr>
                <w:rFonts w:hint="eastAsia" w:ascii="宋体" w:hAnsi="宋体"/>
                <w:szCs w:val="21"/>
                <w:highlight w:val="none"/>
              </w:rPr>
            </w:pPr>
          </w:p>
        </w:tc>
        <w:tc>
          <w:tcPr>
            <w:tcW w:w="709" w:type="dxa"/>
            <w:noWrap w:val="0"/>
            <w:vAlign w:val="center"/>
          </w:tcPr>
          <w:p w14:paraId="3EBF1886">
            <w:pPr>
              <w:jc w:val="center"/>
              <w:rPr>
                <w:rFonts w:hint="eastAsia" w:ascii="宋体" w:hAnsi="宋体"/>
                <w:szCs w:val="21"/>
                <w:highlight w:val="none"/>
              </w:rPr>
            </w:pPr>
          </w:p>
        </w:tc>
        <w:tc>
          <w:tcPr>
            <w:tcW w:w="1176" w:type="dxa"/>
            <w:noWrap w:val="0"/>
            <w:vAlign w:val="center"/>
          </w:tcPr>
          <w:p w14:paraId="1F9A7570">
            <w:pPr>
              <w:jc w:val="center"/>
              <w:rPr>
                <w:rFonts w:hint="eastAsia" w:ascii="宋体" w:hAnsi="宋体"/>
                <w:szCs w:val="21"/>
                <w:highlight w:val="none"/>
              </w:rPr>
            </w:pPr>
          </w:p>
        </w:tc>
        <w:tc>
          <w:tcPr>
            <w:tcW w:w="872" w:type="dxa"/>
            <w:noWrap w:val="0"/>
            <w:vAlign w:val="center"/>
          </w:tcPr>
          <w:p w14:paraId="52DDF59F">
            <w:pPr>
              <w:jc w:val="center"/>
              <w:rPr>
                <w:rFonts w:hint="eastAsia" w:ascii="宋体" w:hAnsi="宋体"/>
                <w:szCs w:val="21"/>
                <w:highlight w:val="none"/>
              </w:rPr>
            </w:pPr>
          </w:p>
        </w:tc>
        <w:tc>
          <w:tcPr>
            <w:tcW w:w="872" w:type="dxa"/>
            <w:noWrap w:val="0"/>
            <w:vAlign w:val="center"/>
          </w:tcPr>
          <w:p w14:paraId="43CAAFE6">
            <w:pPr>
              <w:jc w:val="center"/>
              <w:rPr>
                <w:rFonts w:hint="eastAsia" w:ascii="宋体" w:hAnsi="宋体"/>
                <w:szCs w:val="21"/>
                <w:highlight w:val="none"/>
              </w:rPr>
            </w:pPr>
          </w:p>
        </w:tc>
        <w:tc>
          <w:tcPr>
            <w:tcW w:w="765" w:type="dxa"/>
            <w:noWrap w:val="0"/>
            <w:vAlign w:val="center"/>
          </w:tcPr>
          <w:p w14:paraId="6748B68A">
            <w:pPr>
              <w:jc w:val="center"/>
              <w:rPr>
                <w:rFonts w:hint="eastAsia" w:ascii="宋体" w:hAnsi="宋体"/>
                <w:szCs w:val="21"/>
                <w:highlight w:val="none"/>
              </w:rPr>
            </w:pPr>
          </w:p>
        </w:tc>
      </w:tr>
      <w:tr w14:paraId="35157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4A3DD1AC">
            <w:pPr>
              <w:jc w:val="center"/>
              <w:rPr>
                <w:rFonts w:hint="eastAsia" w:ascii="宋体" w:hAnsi="宋体"/>
                <w:szCs w:val="21"/>
                <w:highlight w:val="none"/>
              </w:rPr>
            </w:pPr>
          </w:p>
        </w:tc>
        <w:tc>
          <w:tcPr>
            <w:tcW w:w="1064" w:type="dxa"/>
            <w:noWrap w:val="0"/>
            <w:vAlign w:val="center"/>
          </w:tcPr>
          <w:p w14:paraId="3E79C180">
            <w:pPr>
              <w:jc w:val="center"/>
              <w:rPr>
                <w:rFonts w:hint="eastAsia" w:ascii="宋体" w:hAnsi="宋体"/>
                <w:szCs w:val="21"/>
                <w:highlight w:val="none"/>
              </w:rPr>
            </w:pPr>
          </w:p>
        </w:tc>
        <w:tc>
          <w:tcPr>
            <w:tcW w:w="823" w:type="dxa"/>
            <w:noWrap w:val="0"/>
            <w:vAlign w:val="center"/>
          </w:tcPr>
          <w:p w14:paraId="3EEDC9F6">
            <w:pPr>
              <w:jc w:val="center"/>
              <w:rPr>
                <w:rFonts w:hint="eastAsia" w:ascii="宋体" w:hAnsi="宋体"/>
                <w:szCs w:val="21"/>
                <w:highlight w:val="none"/>
              </w:rPr>
            </w:pPr>
          </w:p>
        </w:tc>
        <w:tc>
          <w:tcPr>
            <w:tcW w:w="871" w:type="dxa"/>
            <w:noWrap w:val="0"/>
            <w:vAlign w:val="center"/>
          </w:tcPr>
          <w:p w14:paraId="6A372344">
            <w:pPr>
              <w:jc w:val="center"/>
              <w:rPr>
                <w:rFonts w:hint="eastAsia" w:ascii="宋体" w:hAnsi="宋体"/>
                <w:szCs w:val="21"/>
                <w:highlight w:val="none"/>
              </w:rPr>
            </w:pPr>
          </w:p>
        </w:tc>
        <w:tc>
          <w:tcPr>
            <w:tcW w:w="709" w:type="dxa"/>
            <w:noWrap w:val="0"/>
            <w:vAlign w:val="center"/>
          </w:tcPr>
          <w:p w14:paraId="00F6FAAC">
            <w:pPr>
              <w:jc w:val="center"/>
              <w:rPr>
                <w:rFonts w:hint="eastAsia" w:ascii="宋体" w:hAnsi="宋体"/>
                <w:szCs w:val="21"/>
                <w:highlight w:val="none"/>
              </w:rPr>
            </w:pPr>
          </w:p>
        </w:tc>
        <w:tc>
          <w:tcPr>
            <w:tcW w:w="709" w:type="dxa"/>
            <w:noWrap w:val="0"/>
            <w:vAlign w:val="center"/>
          </w:tcPr>
          <w:p w14:paraId="4DFD78A1">
            <w:pPr>
              <w:jc w:val="center"/>
              <w:rPr>
                <w:rFonts w:hint="eastAsia" w:ascii="宋体" w:hAnsi="宋体"/>
                <w:szCs w:val="21"/>
                <w:highlight w:val="none"/>
              </w:rPr>
            </w:pPr>
          </w:p>
        </w:tc>
        <w:tc>
          <w:tcPr>
            <w:tcW w:w="1176" w:type="dxa"/>
            <w:noWrap w:val="0"/>
            <w:vAlign w:val="center"/>
          </w:tcPr>
          <w:p w14:paraId="4558549A">
            <w:pPr>
              <w:jc w:val="center"/>
              <w:rPr>
                <w:rFonts w:hint="eastAsia" w:ascii="宋体" w:hAnsi="宋体"/>
                <w:szCs w:val="21"/>
                <w:highlight w:val="none"/>
              </w:rPr>
            </w:pPr>
          </w:p>
        </w:tc>
        <w:tc>
          <w:tcPr>
            <w:tcW w:w="872" w:type="dxa"/>
            <w:noWrap w:val="0"/>
            <w:vAlign w:val="center"/>
          </w:tcPr>
          <w:p w14:paraId="59B11B4F">
            <w:pPr>
              <w:jc w:val="center"/>
              <w:rPr>
                <w:rFonts w:hint="eastAsia" w:ascii="宋体" w:hAnsi="宋体"/>
                <w:szCs w:val="21"/>
                <w:highlight w:val="none"/>
              </w:rPr>
            </w:pPr>
          </w:p>
        </w:tc>
        <w:tc>
          <w:tcPr>
            <w:tcW w:w="872" w:type="dxa"/>
            <w:noWrap w:val="0"/>
            <w:vAlign w:val="center"/>
          </w:tcPr>
          <w:p w14:paraId="0895E6EE">
            <w:pPr>
              <w:jc w:val="center"/>
              <w:rPr>
                <w:rFonts w:hint="eastAsia" w:ascii="宋体" w:hAnsi="宋体"/>
                <w:szCs w:val="21"/>
                <w:highlight w:val="none"/>
              </w:rPr>
            </w:pPr>
          </w:p>
        </w:tc>
        <w:tc>
          <w:tcPr>
            <w:tcW w:w="765" w:type="dxa"/>
            <w:noWrap w:val="0"/>
            <w:vAlign w:val="center"/>
          </w:tcPr>
          <w:p w14:paraId="30658614">
            <w:pPr>
              <w:jc w:val="center"/>
              <w:rPr>
                <w:rFonts w:hint="eastAsia" w:ascii="宋体" w:hAnsi="宋体"/>
                <w:szCs w:val="21"/>
                <w:highlight w:val="none"/>
              </w:rPr>
            </w:pPr>
          </w:p>
        </w:tc>
      </w:tr>
      <w:tr w14:paraId="323E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671A54CD">
            <w:pPr>
              <w:jc w:val="center"/>
              <w:rPr>
                <w:rFonts w:hint="eastAsia" w:ascii="宋体" w:hAnsi="宋体"/>
                <w:szCs w:val="21"/>
                <w:highlight w:val="none"/>
              </w:rPr>
            </w:pPr>
          </w:p>
        </w:tc>
        <w:tc>
          <w:tcPr>
            <w:tcW w:w="1064" w:type="dxa"/>
            <w:noWrap w:val="0"/>
            <w:vAlign w:val="center"/>
          </w:tcPr>
          <w:p w14:paraId="4342ED0D">
            <w:pPr>
              <w:jc w:val="center"/>
              <w:rPr>
                <w:rFonts w:hint="eastAsia" w:ascii="宋体" w:hAnsi="宋体"/>
                <w:szCs w:val="21"/>
                <w:highlight w:val="none"/>
              </w:rPr>
            </w:pPr>
          </w:p>
        </w:tc>
        <w:tc>
          <w:tcPr>
            <w:tcW w:w="823" w:type="dxa"/>
            <w:noWrap w:val="0"/>
            <w:vAlign w:val="center"/>
          </w:tcPr>
          <w:p w14:paraId="3B59EE88">
            <w:pPr>
              <w:jc w:val="center"/>
              <w:rPr>
                <w:rFonts w:hint="eastAsia" w:ascii="宋体" w:hAnsi="宋体"/>
                <w:szCs w:val="21"/>
                <w:highlight w:val="none"/>
              </w:rPr>
            </w:pPr>
          </w:p>
        </w:tc>
        <w:tc>
          <w:tcPr>
            <w:tcW w:w="871" w:type="dxa"/>
            <w:noWrap w:val="0"/>
            <w:vAlign w:val="center"/>
          </w:tcPr>
          <w:p w14:paraId="678ABD3A">
            <w:pPr>
              <w:jc w:val="center"/>
              <w:rPr>
                <w:rFonts w:hint="eastAsia" w:ascii="宋体" w:hAnsi="宋体"/>
                <w:szCs w:val="21"/>
                <w:highlight w:val="none"/>
              </w:rPr>
            </w:pPr>
          </w:p>
        </w:tc>
        <w:tc>
          <w:tcPr>
            <w:tcW w:w="709" w:type="dxa"/>
            <w:noWrap w:val="0"/>
            <w:vAlign w:val="center"/>
          </w:tcPr>
          <w:p w14:paraId="336C5E73">
            <w:pPr>
              <w:jc w:val="center"/>
              <w:rPr>
                <w:rFonts w:hint="eastAsia" w:ascii="宋体" w:hAnsi="宋体"/>
                <w:szCs w:val="21"/>
                <w:highlight w:val="none"/>
              </w:rPr>
            </w:pPr>
          </w:p>
        </w:tc>
        <w:tc>
          <w:tcPr>
            <w:tcW w:w="709" w:type="dxa"/>
            <w:noWrap w:val="0"/>
            <w:vAlign w:val="center"/>
          </w:tcPr>
          <w:p w14:paraId="6482C550">
            <w:pPr>
              <w:jc w:val="center"/>
              <w:rPr>
                <w:rFonts w:hint="eastAsia" w:ascii="宋体" w:hAnsi="宋体"/>
                <w:szCs w:val="21"/>
                <w:highlight w:val="none"/>
              </w:rPr>
            </w:pPr>
          </w:p>
        </w:tc>
        <w:tc>
          <w:tcPr>
            <w:tcW w:w="1176" w:type="dxa"/>
            <w:noWrap w:val="0"/>
            <w:vAlign w:val="center"/>
          </w:tcPr>
          <w:p w14:paraId="222882E3">
            <w:pPr>
              <w:jc w:val="center"/>
              <w:rPr>
                <w:rFonts w:hint="eastAsia" w:ascii="宋体" w:hAnsi="宋体"/>
                <w:szCs w:val="21"/>
                <w:highlight w:val="none"/>
              </w:rPr>
            </w:pPr>
          </w:p>
        </w:tc>
        <w:tc>
          <w:tcPr>
            <w:tcW w:w="872" w:type="dxa"/>
            <w:noWrap w:val="0"/>
            <w:vAlign w:val="center"/>
          </w:tcPr>
          <w:p w14:paraId="795F0574">
            <w:pPr>
              <w:jc w:val="center"/>
              <w:rPr>
                <w:rFonts w:hint="eastAsia" w:ascii="宋体" w:hAnsi="宋体"/>
                <w:szCs w:val="21"/>
                <w:highlight w:val="none"/>
              </w:rPr>
            </w:pPr>
          </w:p>
        </w:tc>
        <w:tc>
          <w:tcPr>
            <w:tcW w:w="872" w:type="dxa"/>
            <w:noWrap w:val="0"/>
            <w:vAlign w:val="center"/>
          </w:tcPr>
          <w:p w14:paraId="105E4DC1">
            <w:pPr>
              <w:jc w:val="center"/>
              <w:rPr>
                <w:rFonts w:hint="eastAsia" w:ascii="宋体" w:hAnsi="宋体"/>
                <w:szCs w:val="21"/>
                <w:highlight w:val="none"/>
              </w:rPr>
            </w:pPr>
          </w:p>
        </w:tc>
        <w:tc>
          <w:tcPr>
            <w:tcW w:w="765" w:type="dxa"/>
            <w:noWrap w:val="0"/>
            <w:vAlign w:val="center"/>
          </w:tcPr>
          <w:p w14:paraId="60B13903">
            <w:pPr>
              <w:jc w:val="center"/>
              <w:rPr>
                <w:rFonts w:hint="eastAsia" w:ascii="宋体" w:hAnsi="宋体"/>
                <w:szCs w:val="21"/>
                <w:highlight w:val="none"/>
              </w:rPr>
            </w:pPr>
          </w:p>
        </w:tc>
      </w:tr>
      <w:tr w14:paraId="10C9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3B7D645C">
            <w:pPr>
              <w:jc w:val="center"/>
              <w:rPr>
                <w:rFonts w:hint="eastAsia" w:ascii="宋体" w:hAnsi="宋体"/>
                <w:szCs w:val="21"/>
                <w:highlight w:val="none"/>
              </w:rPr>
            </w:pPr>
          </w:p>
        </w:tc>
        <w:tc>
          <w:tcPr>
            <w:tcW w:w="1064" w:type="dxa"/>
            <w:noWrap w:val="0"/>
            <w:vAlign w:val="center"/>
          </w:tcPr>
          <w:p w14:paraId="1405A0A3">
            <w:pPr>
              <w:jc w:val="center"/>
              <w:rPr>
                <w:rFonts w:hint="eastAsia" w:ascii="宋体" w:hAnsi="宋体"/>
                <w:szCs w:val="21"/>
                <w:highlight w:val="none"/>
              </w:rPr>
            </w:pPr>
          </w:p>
        </w:tc>
        <w:tc>
          <w:tcPr>
            <w:tcW w:w="823" w:type="dxa"/>
            <w:noWrap w:val="0"/>
            <w:vAlign w:val="center"/>
          </w:tcPr>
          <w:p w14:paraId="2106C342">
            <w:pPr>
              <w:jc w:val="center"/>
              <w:rPr>
                <w:rFonts w:hint="eastAsia" w:ascii="宋体" w:hAnsi="宋体"/>
                <w:szCs w:val="21"/>
                <w:highlight w:val="none"/>
              </w:rPr>
            </w:pPr>
          </w:p>
        </w:tc>
        <w:tc>
          <w:tcPr>
            <w:tcW w:w="871" w:type="dxa"/>
            <w:noWrap w:val="0"/>
            <w:vAlign w:val="center"/>
          </w:tcPr>
          <w:p w14:paraId="14AED2F7">
            <w:pPr>
              <w:jc w:val="center"/>
              <w:rPr>
                <w:rFonts w:hint="eastAsia" w:ascii="宋体" w:hAnsi="宋体"/>
                <w:szCs w:val="21"/>
                <w:highlight w:val="none"/>
              </w:rPr>
            </w:pPr>
          </w:p>
        </w:tc>
        <w:tc>
          <w:tcPr>
            <w:tcW w:w="709" w:type="dxa"/>
            <w:noWrap w:val="0"/>
            <w:vAlign w:val="center"/>
          </w:tcPr>
          <w:p w14:paraId="381D7228">
            <w:pPr>
              <w:jc w:val="center"/>
              <w:rPr>
                <w:rFonts w:hint="eastAsia" w:ascii="宋体" w:hAnsi="宋体"/>
                <w:szCs w:val="21"/>
                <w:highlight w:val="none"/>
              </w:rPr>
            </w:pPr>
          </w:p>
        </w:tc>
        <w:tc>
          <w:tcPr>
            <w:tcW w:w="709" w:type="dxa"/>
            <w:noWrap w:val="0"/>
            <w:vAlign w:val="center"/>
          </w:tcPr>
          <w:p w14:paraId="01CD4FD2">
            <w:pPr>
              <w:jc w:val="center"/>
              <w:rPr>
                <w:rFonts w:hint="eastAsia" w:ascii="宋体" w:hAnsi="宋体"/>
                <w:szCs w:val="21"/>
                <w:highlight w:val="none"/>
              </w:rPr>
            </w:pPr>
          </w:p>
        </w:tc>
        <w:tc>
          <w:tcPr>
            <w:tcW w:w="1176" w:type="dxa"/>
            <w:noWrap w:val="0"/>
            <w:vAlign w:val="center"/>
          </w:tcPr>
          <w:p w14:paraId="68E4C5C4">
            <w:pPr>
              <w:jc w:val="center"/>
              <w:rPr>
                <w:rFonts w:hint="eastAsia" w:ascii="宋体" w:hAnsi="宋体"/>
                <w:szCs w:val="21"/>
                <w:highlight w:val="none"/>
              </w:rPr>
            </w:pPr>
          </w:p>
        </w:tc>
        <w:tc>
          <w:tcPr>
            <w:tcW w:w="872" w:type="dxa"/>
            <w:noWrap w:val="0"/>
            <w:vAlign w:val="center"/>
          </w:tcPr>
          <w:p w14:paraId="3935DE58">
            <w:pPr>
              <w:jc w:val="center"/>
              <w:rPr>
                <w:rFonts w:hint="eastAsia" w:ascii="宋体" w:hAnsi="宋体"/>
                <w:szCs w:val="21"/>
                <w:highlight w:val="none"/>
              </w:rPr>
            </w:pPr>
          </w:p>
        </w:tc>
        <w:tc>
          <w:tcPr>
            <w:tcW w:w="872" w:type="dxa"/>
            <w:noWrap w:val="0"/>
            <w:vAlign w:val="center"/>
          </w:tcPr>
          <w:p w14:paraId="6D92D431">
            <w:pPr>
              <w:jc w:val="center"/>
              <w:rPr>
                <w:rFonts w:hint="eastAsia" w:ascii="宋体" w:hAnsi="宋体"/>
                <w:szCs w:val="21"/>
                <w:highlight w:val="none"/>
              </w:rPr>
            </w:pPr>
          </w:p>
        </w:tc>
        <w:tc>
          <w:tcPr>
            <w:tcW w:w="765" w:type="dxa"/>
            <w:noWrap w:val="0"/>
            <w:vAlign w:val="center"/>
          </w:tcPr>
          <w:p w14:paraId="005D15CB">
            <w:pPr>
              <w:jc w:val="center"/>
              <w:rPr>
                <w:rFonts w:hint="eastAsia" w:ascii="宋体" w:hAnsi="宋体"/>
                <w:szCs w:val="21"/>
                <w:highlight w:val="none"/>
              </w:rPr>
            </w:pPr>
          </w:p>
        </w:tc>
      </w:tr>
      <w:tr w14:paraId="23836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3AE77390">
            <w:pPr>
              <w:jc w:val="center"/>
              <w:rPr>
                <w:rFonts w:hint="eastAsia" w:ascii="宋体" w:hAnsi="宋体"/>
                <w:szCs w:val="21"/>
                <w:highlight w:val="none"/>
              </w:rPr>
            </w:pPr>
          </w:p>
        </w:tc>
        <w:tc>
          <w:tcPr>
            <w:tcW w:w="1064" w:type="dxa"/>
            <w:noWrap w:val="0"/>
            <w:vAlign w:val="center"/>
          </w:tcPr>
          <w:p w14:paraId="347C4C79">
            <w:pPr>
              <w:jc w:val="center"/>
              <w:rPr>
                <w:rFonts w:hint="eastAsia" w:ascii="宋体" w:hAnsi="宋体"/>
                <w:szCs w:val="21"/>
                <w:highlight w:val="none"/>
              </w:rPr>
            </w:pPr>
          </w:p>
        </w:tc>
        <w:tc>
          <w:tcPr>
            <w:tcW w:w="823" w:type="dxa"/>
            <w:noWrap w:val="0"/>
            <w:vAlign w:val="center"/>
          </w:tcPr>
          <w:p w14:paraId="553DFAE9">
            <w:pPr>
              <w:jc w:val="center"/>
              <w:rPr>
                <w:rFonts w:hint="eastAsia" w:ascii="宋体" w:hAnsi="宋体"/>
                <w:szCs w:val="21"/>
                <w:highlight w:val="none"/>
              </w:rPr>
            </w:pPr>
          </w:p>
        </w:tc>
        <w:tc>
          <w:tcPr>
            <w:tcW w:w="871" w:type="dxa"/>
            <w:noWrap w:val="0"/>
            <w:vAlign w:val="center"/>
          </w:tcPr>
          <w:p w14:paraId="4AA21741">
            <w:pPr>
              <w:jc w:val="center"/>
              <w:rPr>
                <w:rFonts w:hint="eastAsia" w:ascii="宋体" w:hAnsi="宋体"/>
                <w:szCs w:val="21"/>
                <w:highlight w:val="none"/>
              </w:rPr>
            </w:pPr>
          </w:p>
        </w:tc>
        <w:tc>
          <w:tcPr>
            <w:tcW w:w="709" w:type="dxa"/>
            <w:noWrap w:val="0"/>
            <w:vAlign w:val="center"/>
          </w:tcPr>
          <w:p w14:paraId="1C74C811">
            <w:pPr>
              <w:jc w:val="center"/>
              <w:rPr>
                <w:rFonts w:hint="eastAsia" w:ascii="宋体" w:hAnsi="宋体"/>
                <w:szCs w:val="21"/>
                <w:highlight w:val="none"/>
              </w:rPr>
            </w:pPr>
          </w:p>
        </w:tc>
        <w:tc>
          <w:tcPr>
            <w:tcW w:w="709" w:type="dxa"/>
            <w:noWrap w:val="0"/>
            <w:vAlign w:val="center"/>
          </w:tcPr>
          <w:p w14:paraId="6D9B2F95">
            <w:pPr>
              <w:jc w:val="center"/>
              <w:rPr>
                <w:rFonts w:hint="eastAsia" w:ascii="宋体" w:hAnsi="宋体"/>
                <w:szCs w:val="21"/>
                <w:highlight w:val="none"/>
              </w:rPr>
            </w:pPr>
          </w:p>
        </w:tc>
        <w:tc>
          <w:tcPr>
            <w:tcW w:w="1176" w:type="dxa"/>
            <w:noWrap w:val="0"/>
            <w:vAlign w:val="center"/>
          </w:tcPr>
          <w:p w14:paraId="62FEEC58">
            <w:pPr>
              <w:jc w:val="center"/>
              <w:rPr>
                <w:rFonts w:hint="eastAsia" w:ascii="宋体" w:hAnsi="宋体"/>
                <w:szCs w:val="21"/>
                <w:highlight w:val="none"/>
              </w:rPr>
            </w:pPr>
          </w:p>
        </w:tc>
        <w:tc>
          <w:tcPr>
            <w:tcW w:w="872" w:type="dxa"/>
            <w:noWrap w:val="0"/>
            <w:vAlign w:val="center"/>
          </w:tcPr>
          <w:p w14:paraId="3FA39D26">
            <w:pPr>
              <w:jc w:val="center"/>
              <w:rPr>
                <w:rFonts w:hint="eastAsia" w:ascii="宋体" w:hAnsi="宋体"/>
                <w:szCs w:val="21"/>
                <w:highlight w:val="none"/>
              </w:rPr>
            </w:pPr>
          </w:p>
        </w:tc>
        <w:tc>
          <w:tcPr>
            <w:tcW w:w="872" w:type="dxa"/>
            <w:noWrap w:val="0"/>
            <w:vAlign w:val="center"/>
          </w:tcPr>
          <w:p w14:paraId="262CBB4D">
            <w:pPr>
              <w:jc w:val="center"/>
              <w:rPr>
                <w:rFonts w:hint="eastAsia" w:ascii="宋体" w:hAnsi="宋体"/>
                <w:szCs w:val="21"/>
                <w:highlight w:val="none"/>
              </w:rPr>
            </w:pPr>
          </w:p>
        </w:tc>
        <w:tc>
          <w:tcPr>
            <w:tcW w:w="765" w:type="dxa"/>
            <w:noWrap w:val="0"/>
            <w:vAlign w:val="center"/>
          </w:tcPr>
          <w:p w14:paraId="21D3EED7">
            <w:pPr>
              <w:jc w:val="center"/>
              <w:rPr>
                <w:rFonts w:hint="eastAsia" w:ascii="宋体" w:hAnsi="宋体"/>
                <w:szCs w:val="21"/>
                <w:highlight w:val="none"/>
              </w:rPr>
            </w:pPr>
          </w:p>
        </w:tc>
      </w:tr>
      <w:tr w14:paraId="77572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2B47B9FC">
            <w:pPr>
              <w:jc w:val="center"/>
              <w:rPr>
                <w:rFonts w:hint="eastAsia" w:ascii="宋体" w:hAnsi="宋体"/>
                <w:szCs w:val="21"/>
                <w:highlight w:val="none"/>
              </w:rPr>
            </w:pPr>
          </w:p>
        </w:tc>
        <w:tc>
          <w:tcPr>
            <w:tcW w:w="1064" w:type="dxa"/>
            <w:noWrap w:val="0"/>
            <w:vAlign w:val="center"/>
          </w:tcPr>
          <w:p w14:paraId="18F7F8A1">
            <w:pPr>
              <w:jc w:val="center"/>
              <w:rPr>
                <w:rFonts w:hint="eastAsia" w:ascii="宋体" w:hAnsi="宋体"/>
                <w:szCs w:val="21"/>
                <w:highlight w:val="none"/>
              </w:rPr>
            </w:pPr>
          </w:p>
        </w:tc>
        <w:tc>
          <w:tcPr>
            <w:tcW w:w="823" w:type="dxa"/>
            <w:noWrap w:val="0"/>
            <w:vAlign w:val="center"/>
          </w:tcPr>
          <w:p w14:paraId="51022D72">
            <w:pPr>
              <w:jc w:val="center"/>
              <w:rPr>
                <w:rFonts w:hint="eastAsia" w:ascii="宋体" w:hAnsi="宋体"/>
                <w:szCs w:val="21"/>
                <w:highlight w:val="none"/>
              </w:rPr>
            </w:pPr>
          </w:p>
        </w:tc>
        <w:tc>
          <w:tcPr>
            <w:tcW w:w="871" w:type="dxa"/>
            <w:noWrap w:val="0"/>
            <w:vAlign w:val="center"/>
          </w:tcPr>
          <w:p w14:paraId="0773AC6D">
            <w:pPr>
              <w:jc w:val="center"/>
              <w:rPr>
                <w:rFonts w:hint="eastAsia" w:ascii="宋体" w:hAnsi="宋体"/>
                <w:szCs w:val="21"/>
                <w:highlight w:val="none"/>
              </w:rPr>
            </w:pPr>
          </w:p>
        </w:tc>
        <w:tc>
          <w:tcPr>
            <w:tcW w:w="709" w:type="dxa"/>
            <w:noWrap w:val="0"/>
            <w:vAlign w:val="center"/>
          </w:tcPr>
          <w:p w14:paraId="7D5BC049">
            <w:pPr>
              <w:jc w:val="center"/>
              <w:rPr>
                <w:rFonts w:hint="eastAsia" w:ascii="宋体" w:hAnsi="宋体"/>
                <w:szCs w:val="21"/>
                <w:highlight w:val="none"/>
              </w:rPr>
            </w:pPr>
          </w:p>
        </w:tc>
        <w:tc>
          <w:tcPr>
            <w:tcW w:w="709" w:type="dxa"/>
            <w:noWrap w:val="0"/>
            <w:vAlign w:val="center"/>
          </w:tcPr>
          <w:p w14:paraId="455D2A1C">
            <w:pPr>
              <w:jc w:val="center"/>
              <w:rPr>
                <w:rFonts w:hint="eastAsia" w:ascii="宋体" w:hAnsi="宋体"/>
                <w:szCs w:val="21"/>
                <w:highlight w:val="none"/>
              </w:rPr>
            </w:pPr>
          </w:p>
        </w:tc>
        <w:tc>
          <w:tcPr>
            <w:tcW w:w="1176" w:type="dxa"/>
            <w:noWrap w:val="0"/>
            <w:vAlign w:val="center"/>
          </w:tcPr>
          <w:p w14:paraId="3D83160D">
            <w:pPr>
              <w:jc w:val="center"/>
              <w:rPr>
                <w:rFonts w:hint="eastAsia" w:ascii="宋体" w:hAnsi="宋体"/>
                <w:szCs w:val="21"/>
                <w:highlight w:val="none"/>
              </w:rPr>
            </w:pPr>
          </w:p>
        </w:tc>
        <w:tc>
          <w:tcPr>
            <w:tcW w:w="872" w:type="dxa"/>
            <w:noWrap w:val="0"/>
            <w:vAlign w:val="center"/>
          </w:tcPr>
          <w:p w14:paraId="0724102C">
            <w:pPr>
              <w:jc w:val="center"/>
              <w:rPr>
                <w:rFonts w:hint="eastAsia" w:ascii="宋体" w:hAnsi="宋体"/>
                <w:szCs w:val="21"/>
                <w:highlight w:val="none"/>
              </w:rPr>
            </w:pPr>
          </w:p>
        </w:tc>
        <w:tc>
          <w:tcPr>
            <w:tcW w:w="872" w:type="dxa"/>
            <w:noWrap w:val="0"/>
            <w:vAlign w:val="center"/>
          </w:tcPr>
          <w:p w14:paraId="1EF674ED">
            <w:pPr>
              <w:jc w:val="center"/>
              <w:rPr>
                <w:rFonts w:hint="eastAsia" w:ascii="宋体" w:hAnsi="宋体"/>
                <w:szCs w:val="21"/>
                <w:highlight w:val="none"/>
              </w:rPr>
            </w:pPr>
          </w:p>
        </w:tc>
        <w:tc>
          <w:tcPr>
            <w:tcW w:w="765" w:type="dxa"/>
            <w:noWrap w:val="0"/>
            <w:vAlign w:val="center"/>
          </w:tcPr>
          <w:p w14:paraId="5D2B799E">
            <w:pPr>
              <w:jc w:val="center"/>
              <w:rPr>
                <w:rFonts w:hint="eastAsia" w:ascii="宋体" w:hAnsi="宋体"/>
                <w:szCs w:val="21"/>
                <w:highlight w:val="none"/>
              </w:rPr>
            </w:pPr>
          </w:p>
        </w:tc>
      </w:tr>
      <w:tr w14:paraId="6AEC4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7EFB8005">
            <w:pPr>
              <w:jc w:val="center"/>
              <w:rPr>
                <w:rFonts w:hint="eastAsia" w:ascii="宋体" w:hAnsi="宋体"/>
                <w:szCs w:val="21"/>
                <w:highlight w:val="none"/>
              </w:rPr>
            </w:pPr>
          </w:p>
        </w:tc>
        <w:tc>
          <w:tcPr>
            <w:tcW w:w="1064" w:type="dxa"/>
            <w:noWrap w:val="0"/>
            <w:vAlign w:val="center"/>
          </w:tcPr>
          <w:p w14:paraId="1E640383">
            <w:pPr>
              <w:jc w:val="center"/>
              <w:rPr>
                <w:rFonts w:hint="eastAsia" w:ascii="宋体" w:hAnsi="宋体"/>
                <w:szCs w:val="21"/>
                <w:highlight w:val="none"/>
              </w:rPr>
            </w:pPr>
          </w:p>
        </w:tc>
        <w:tc>
          <w:tcPr>
            <w:tcW w:w="823" w:type="dxa"/>
            <w:noWrap w:val="0"/>
            <w:vAlign w:val="center"/>
          </w:tcPr>
          <w:p w14:paraId="0EAC14FE">
            <w:pPr>
              <w:jc w:val="center"/>
              <w:rPr>
                <w:rFonts w:hint="eastAsia" w:ascii="宋体" w:hAnsi="宋体"/>
                <w:szCs w:val="21"/>
                <w:highlight w:val="none"/>
              </w:rPr>
            </w:pPr>
          </w:p>
        </w:tc>
        <w:tc>
          <w:tcPr>
            <w:tcW w:w="871" w:type="dxa"/>
            <w:noWrap w:val="0"/>
            <w:vAlign w:val="center"/>
          </w:tcPr>
          <w:p w14:paraId="459C678E">
            <w:pPr>
              <w:jc w:val="center"/>
              <w:rPr>
                <w:rFonts w:hint="eastAsia" w:ascii="宋体" w:hAnsi="宋体"/>
                <w:szCs w:val="21"/>
                <w:highlight w:val="none"/>
              </w:rPr>
            </w:pPr>
          </w:p>
        </w:tc>
        <w:tc>
          <w:tcPr>
            <w:tcW w:w="709" w:type="dxa"/>
            <w:noWrap w:val="0"/>
            <w:vAlign w:val="center"/>
          </w:tcPr>
          <w:p w14:paraId="1F9EEDEA">
            <w:pPr>
              <w:jc w:val="center"/>
              <w:rPr>
                <w:rFonts w:hint="eastAsia" w:ascii="宋体" w:hAnsi="宋体"/>
                <w:szCs w:val="21"/>
                <w:highlight w:val="none"/>
              </w:rPr>
            </w:pPr>
          </w:p>
        </w:tc>
        <w:tc>
          <w:tcPr>
            <w:tcW w:w="709" w:type="dxa"/>
            <w:noWrap w:val="0"/>
            <w:vAlign w:val="center"/>
          </w:tcPr>
          <w:p w14:paraId="772BEFE6">
            <w:pPr>
              <w:jc w:val="center"/>
              <w:rPr>
                <w:rFonts w:hint="eastAsia" w:ascii="宋体" w:hAnsi="宋体"/>
                <w:szCs w:val="21"/>
                <w:highlight w:val="none"/>
              </w:rPr>
            </w:pPr>
          </w:p>
        </w:tc>
        <w:tc>
          <w:tcPr>
            <w:tcW w:w="1176" w:type="dxa"/>
            <w:noWrap w:val="0"/>
            <w:vAlign w:val="center"/>
          </w:tcPr>
          <w:p w14:paraId="31A871AD">
            <w:pPr>
              <w:jc w:val="center"/>
              <w:rPr>
                <w:rFonts w:hint="eastAsia" w:ascii="宋体" w:hAnsi="宋体"/>
                <w:szCs w:val="21"/>
                <w:highlight w:val="none"/>
              </w:rPr>
            </w:pPr>
          </w:p>
        </w:tc>
        <w:tc>
          <w:tcPr>
            <w:tcW w:w="872" w:type="dxa"/>
            <w:noWrap w:val="0"/>
            <w:vAlign w:val="center"/>
          </w:tcPr>
          <w:p w14:paraId="479843B0">
            <w:pPr>
              <w:jc w:val="center"/>
              <w:rPr>
                <w:rFonts w:hint="eastAsia" w:ascii="宋体" w:hAnsi="宋体"/>
                <w:szCs w:val="21"/>
                <w:highlight w:val="none"/>
              </w:rPr>
            </w:pPr>
          </w:p>
        </w:tc>
        <w:tc>
          <w:tcPr>
            <w:tcW w:w="872" w:type="dxa"/>
            <w:noWrap w:val="0"/>
            <w:vAlign w:val="center"/>
          </w:tcPr>
          <w:p w14:paraId="3ACB4F07">
            <w:pPr>
              <w:jc w:val="center"/>
              <w:rPr>
                <w:rFonts w:hint="eastAsia" w:ascii="宋体" w:hAnsi="宋体"/>
                <w:szCs w:val="21"/>
                <w:highlight w:val="none"/>
              </w:rPr>
            </w:pPr>
          </w:p>
        </w:tc>
        <w:tc>
          <w:tcPr>
            <w:tcW w:w="765" w:type="dxa"/>
            <w:noWrap w:val="0"/>
            <w:vAlign w:val="center"/>
          </w:tcPr>
          <w:p w14:paraId="15202D9D">
            <w:pPr>
              <w:jc w:val="center"/>
              <w:rPr>
                <w:rFonts w:hint="eastAsia" w:ascii="宋体" w:hAnsi="宋体"/>
                <w:szCs w:val="21"/>
                <w:highlight w:val="none"/>
              </w:rPr>
            </w:pPr>
          </w:p>
        </w:tc>
      </w:tr>
      <w:tr w14:paraId="47FDB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308CF095">
            <w:pPr>
              <w:jc w:val="center"/>
              <w:rPr>
                <w:rFonts w:hint="eastAsia" w:ascii="宋体" w:hAnsi="宋体"/>
                <w:szCs w:val="21"/>
                <w:highlight w:val="none"/>
              </w:rPr>
            </w:pPr>
          </w:p>
        </w:tc>
        <w:tc>
          <w:tcPr>
            <w:tcW w:w="1064" w:type="dxa"/>
            <w:noWrap w:val="0"/>
            <w:vAlign w:val="center"/>
          </w:tcPr>
          <w:p w14:paraId="11A7F9A8">
            <w:pPr>
              <w:jc w:val="center"/>
              <w:rPr>
                <w:rFonts w:hint="eastAsia" w:ascii="宋体" w:hAnsi="宋体"/>
                <w:szCs w:val="21"/>
                <w:highlight w:val="none"/>
              </w:rPr>
            </w:pPr>
          </w:p>
        </w:tc>
        <w:tc>
          <w:tcPr>
            <w:tcW w:w="823" w:type="dxa"/>
            <w:noWrap w:val="0"/>
            <w:vAlign w:val="center"/>
          </w:tcPr>
          <w:p w14:paraId="1B20D685">
            <w:pPr>
              <w:jc w:val="center"/>
              <w:rPr>
                <w:rFonts w:hint="eastAsia" w:ascii="宋体" w:hAnsi="宋体"/>
                <w:szCs w:val="21"/>
                <w:highlight w:val="none"/>
              </w:rPr>
            </w:pPr>
          </w:p>
        </w:tc>
        <w:tc>
          <w:tcPr>
            <w:tcW w:w="871" w:type="dxa"/>
            <w:noWrap w:val="0"/>
            <w:vAlign w:val="center"/>
          </w:tcPr>
          <w:p w14:paraId="2F885ECE">
            <w:pPr>
              <w:jc w:val="center"/>
              <w:rPr>
                <w:rFonts w:hint="eastAsia" w:ascii="宋体" w:hAnsi="宋体"/>
                <w:szCs w:val="21"/>
                <w:highlight w:val="none"/>
              </w:rPr>
            </w:pPr>
          </w:p>
        </w:tc>
        <w:tc>
          <w:tcPr>
            <w:tcW w:w="709" w:type="dxa"/>
            <w:noWrap w:val="0"/>
            <w:vAlign w:val="center"/>
          </w:tcPr>
          <w:p w14:paraId="29969BE2">
            <w:pPr>
              <w:jc w:val="center"/>
              <w:rPr>
                <w:rFonts w:hint="eastAsia" w:ascii="宋体" w:hAnsi="宋体"/>
                <w:szCs w:val="21"/>
                <w:highlight w:val="none"/>
              </w:rPr>
            </w:pPr>
          </w:p>
        </w:tc>
        <w:tc>
          <w:tcPr>
            <w:tcW w:w="709" w:type="dxa"/>
            <w:noWrap w:val="0"/>
            <w:vAlign w:val="center"/>
          </w:tcPr>
          <w:p w14:paraId="09E8458A">
            <w:pPr>
              <w:jc w:val="center"/>
              <w:rPr>
                <w:rFonts w:hint="eastAsia" w:ascii="宋体" w:hAnsi="宋体"/>
                <w:szCs w:val="21"/>
                <w:highlight w:val="none"/>
              </w:rPr>
            </w:pPr>
          </w:p>
        </w:tc>
        <w:tc>
          <w:tcPr>
            <w:tcW w:w="1176" w:type="dxa"/>
            <w:noWrap w:val="0"/>
            <w:vAlign w:val="center"/>
          </w:tcPr>
          <w:p w14:paraId="1A0DE58F">
            <w:pPr>
              <w:jc w:val="center"/>
              <w:rPr>
                <w:rFonts w:hint="eastAsia" w:ascii="宋体" w:hAnsi="宋体"/>
                <w:szCs w:val="21"/>
                <w:highlight w:val="none"/>
              </w:rPr>
            </w:pPr>
          </w:p>
        </w:tc>
        <w:tc>
          <w:tcPr>
            <w:tcW w:w="872" w:type="dxa"/>
            <w:noWrap w:val="0"/>
            <w:vAlign w:val="center"/>
          </w:tcPr>
          <w:p w14:paraId="5F8C19BF">
            <w:pPr>
              <w:jc w:val="center"/>
              <w:rPr>
                <w:rFonts w:hint="eastAsia" w:ascii="宋体" w:hAnsi="宋体"/>
                <w:szCs w:val="21"/>
                <w:highlight w:val="none"/>
              </w:rPr>
            </w:pPr>
          </w:p>
        </w:tc>
        <w:tc>
          <w:tcPr>
            <w:tcW w:w="872" w:type="dxa"/>
            <w:noWrap w:val="0"/>
            <w:vAlign w:val="center"/>
          </w:tcPr>
          <w:p w14:paraId="01857841">
            <w:pPr>
              <w:jc w:val="center"/>
              <w:rPr>
                <w:rFonts w:hint="eastAsia" w:ascii="宋体" w:hAnsi="宋体"/>
                <w:szCs w:val="21"/>
                <w:highlight w:val="none"/>
              </w:rPr>
            </w:pPr>
          </w:p>
        </w:tc>
        <w:tc>
          <w:tcPr>
            <w:tcW w:w="765" w:type="dxa"/>
            <w:noWrap w:val="0"/>
            <w:vAlign w:val="center"/>
          </w:tcPr>
          <w:p w14:paraId="7DD30071">
            <w:pPr>
              <w:jc w:val="center"/>
              <w:rPr>
                <w:rFonts w:hint="eastAsia" w:ascii="宋体" w:hAnsi="宋体"/>
                <w:szCs w:val="21"/>
                <w:highlight w:val="none"/>
              </w:rPr>
            </w:pPr>
          </w:p>
        </w:tc>
      </w:tr>
      <w:tr w14:paraId="0B5F5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1B9D26D7">
            <w:pPr>
              <w:jc w:val="center"/>
              <w:rPr>
                <w:rFonts w:hint="eastAsia" w:ascii="宋体" w:hAnsi="宋体"/>
                <w:szCs w:val="21"/>
                <w:highlight w:val="none"/>
              </w:rPr>
            </w:pPr>
          </w:p>
        </w:tc>
        <w:tc>
          <w:tcPr>
            <w:tcW w:w="1064" w:type="dxa"/>
            <w:noWrap w:val="0"/>
            <w:vAlign w:val="center"/>
          </w:tcPr>
          <w:p w14:paraId="68B04B42">
            <w:pPr>
              <w:jc w:val="center"/>
              <w:rPr>
                <w:rFonts w:hint="eastAsia" w:ascii="宋体" w:hAnsi="宋体"/>
                <w:szCs w:val="21"/>
                <w:highlight w:val="none"/>
              </w:rPr>
            </w:pPr>
          </w:p>
        </w:tc>
        <w:tc>
          <w:tcPr>
            <w:tcW w:w="823" w:type="dxa"/>
            <w:noWrap w:val="0"/>
            <w:vAlign w:val="center"/>
          </w:tcPr>
          <w:p w14:paraId="0639DF53">
            <w:pPr>
              <w:jc w:val="center"/>
              <w:rPr>
                <w:rFonts w:hint="eastAsia" w:ascii="宋体" w:hAnsi="宋体"/>
                <w:szCs w:val="21"/>
                <w:highlight w:val="none"/>
              </w:rPr>
            </w:pPr>
          </w:p>
        </w:tc>
        <w:tc>
          <w:tcPr>
            <w:tcW w:w="871" w:type="dxa"/>
            <w:noWrap w:val="0"/>
            <w:vAlign w:val="center"/>
          </w:tcPr>
          <w:p w14:paraId="19197163">
            <w:pPr>
              <w:jc w:val="center"/>
              <w:rPr>
                <w:rFonts w:hint="eastAsia" w:ascii="宋体" w:hAnsi="宋体"/>
                <w:szCs w:val="21"/>
                <w:highlight w:val="none"/>
              </w:rPr>
            </w:pPr>
          </w:p>
        </w:tc>
        <w:tc>
          <w:tcPr>
            <w:tcW w:w="709" w:type="dxa"/>
            <w:noWrap w:val="0"/>
            <w:vAlign w:val="center"/>
          </w:tcPr>
          <w:p w14:paraId="51005CBA">
            <w:pPr>
              <w:jc w:val="center"/>
              <w:rPr>
                <w:rFonts w:hint="eastAsia" w:ascii="宋体" w:hAnsi="宋体"/>
                <w:szCs w:val="21"/>
                <w:highlight w:val="none"/>
              </w:rPr>
            </w:pPr>
          </w:p>
        </w:tc>
        <w:tc>
          <w:tcPr>
            <w:tcW w:w="709" w:type="dxa"/>
            <w:noWrap w:val="0"/>
            <w:vAlign w:val="center"/>
          </w:tcPr>
          <w:p w14:paraId="60BC10D8">
            <w:pPr>
              <w:jc w:val="center"/>
              <w:rPr>
                <w:rFonts w:hint="eastAsia" w:ascii="宋体" w:hAnsi="宋体"/>
                <w:szCs w:val="21"/>
                <w:highlight w:val="none"/>
              </w:rPr>
            </w:pPr>
          </w:p>
        </w:tc>
        <w:tc>
          <w:tcPr>
            <w:tcW w:w="1176" w:type="dxa"/>
            <w:noWrap w:val="0"/>
            <w:vAlign w:val="center"/>
          </w:tcPr>
          <w:p w14:paraId="0C1F120A">
            <w:pPr>
              <w:jc w:val="center"/>
              <w:rPr>
                <w:rFonts w:hint="eastAsia" w:ascii="宋体" w:hAnsi="宋体"/>
                <w:szCs w:val="21"/>
                <w:highlight w:val="none"/>
              </w:rPr>
            </w:pPr>
          </w:p>
        </w:tc>
        <w:tc>
          <w:tcPr>
            <w:tcW w:w="872" w:type="dxa"/>
            <w:noWrap w:val="0"/>
            <w:vAlign w:val="center"/>
          </w:tcPr>
          <w:p w14:paraId="038154F7">
            <w:pPr>
              <w:jc w:val="center"/>
              <w:rPr>
                <w:rFonts w:hint="eastAsia" w:ascii="宋体" w:hAnsi="宋体"/>
                <w:szCs w:val="21"/>
                <w:highlight w:val="none"/>
              </w:rPr>
            </w:pPr>
          </w:p>
        </w:tc>
        <w:tc>
          <w:tcPr>
            <w:tcW w:w="872" w:type="dxa"/>
            <w:noWrap w:val="0"/>
            <w:vAlign w:val="center"/>
          </w:tcPr>
          <w:p w14:paraId="738A3F26">
            <w:pPr>
              <w:jc w:val="center"/>
              <w:rPr>
                <w:rFonts w:hint="eastAsia" w:ascii="宋体" w:hAnsi="宋体"/>
                <w:szCs w:val="21"/>
                <w:highlight w:val="none"/>
              </w:rPr>
            </w:pPr>
          </w:p>
        </w:tc>
        <w:tc>
          <w:tcPr>
            <w:tcW w:w="765" w:type="dxa"/>
            <w:noWrap w:val="0"/>
            <w:vAlign w:val="center"/>
          </w:tcPr>
          <w:p w14:paraId="6B6F260C">
            <w:pPr>
              <w:jc w:val="center"/>
              <w:rPr>
                <w:rFonts w:hint="eastAsia" w:ascii="宋体" w:hAnsi="宋体"/>
                <w:szCs w:val="21"/>
                <w:highlight w:val="none"/>
              </w:rPr>
            </w:pPr>
          </w:p>
        </w:tc>
      </w:tr>
      <w:tr w14:paraId="77E0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75A971F5">
            <w:pPr>
              <w:jc w:val="center"/>
              <w:rPr>
                <w:rFonts w:hint="eastAsia" w:ascii="宋体" w:hAnsi="宋体"/>
                <w:szCs w:val="21"/>
                <w:highlight w:val="none"/>
              </w:rPr>
            </w:pPr>
          </w:p>
        </w:tc>
        <w:tc>
          <w:tcPr>
            <w:tcW w:w="1064" w:type="dxa"/>
            <w:noWrap w:val="0"/>
            <w:vAlign w:val="center"/>
          </w:tcPr>
          <w:p w14:paraId="59ED62B0">
            <w:pPr>
              <w:jc w:val="center"/>
              <w:rPr>
                <w:rFonts w:hint="eastAsia" w:ascii="宋体" w:hAnsi="宋体"/>
                <w:szCs w:val="21"/>
                <w:highlight w:val="none"/>
              </w:rPr>
            </w:pPr>
          </w:p>
        </w:tc>
        <w:tc>
          <w:tcPr>
            <w:tcW w:w="823" w:type="dxa"/>
            <w:noWrap w:val="0"/>
            <w:vAlign w:val="center"/>
          </w:tcPr>
          <w:p w14:paraId="7F4C6560">
            <w:pPr>
              <w:jc w:val="center"/>
              <w:rPr>
                <w:rFonts w:hint="eastAsia" w:ascii="宋体" w:hAnsi="宋体"/>
                <w:szCs w:val="21"/>
                <w:highlight w:val="none"/>
              </w:rPr>
            </w:pPr>
          </w:p>
        </w:tc>
        <w:tc>
          <w:tcPr>
            <w:tcW w:w="871" w:type="dxa"/>
            <w:noWrap w:val="0"/>
            <w:vAlign w:val="center"/>
          </w:tcPr>
          <w:p w14:paraId="332CB2A8">
            <w:pPr>
              <w:jc w:val="center"/>
              <w:rPr>
                <w:rFonts w:hint="eastAsia" w:ascii="宋体" w:hAnsi="宋体"/>
                <w:szCs w:val="21"/>
                <w:highlight w:val="none"/>
              </w:rPr>
            </w:pPr>
          </w:p>
        </w:tc>
        <w:tc>
          <w:tcPr>
            <w:tcW w:w="709" w:type="dxa"/>
            <w:noWrap w:val="0"/>
            <w:vAlign w:val="center"/>
          </w:tcPr>
          <w:p w14:paraId="539BDC18">
            <w:pPr>
              <w:jc w:val="center"/>
              <w:rPr>
                <w:rFonts w:hint="eastAsia" w:ascii="宋体" w:hAnsi="宋体"/>
                <w:szCs w:val="21"/>
                <w:highlight w:val="none"/>
              </w:rPr>
            </w:pPr>
          </w:p>
        </w:tc>
        <w:tc>
          <w:tcPr>
            <w:tcW w:w="709" w:type="dxa"/>
            <w:noWrap w:val="0"/>
            <w:vAlign w:val="center"/>
          </w:tcPr>
          <w:p w14:paraId="721073EF">
            <w:pPr>
              <w:jc w:val="center"/>
              <w:rPr>
                <w:rFonts w:hint="eastAsia" w:ascii="宋体" w:hAnsi="宋体"/>
                <w:szCs w:val="21"/>
                <w:highlight w:val="none"/>
              </w:rPr>
            </w:pPr>
          </w:p>
        </w:tc>
        <w:tc>
          <w:tcPr>
            <w:tcW w:w="1176" w:type="dxa"/>
            <w:noWrap w:val="0"/>
            <w:vAlign w:val="center"/>
          </w:tcPr>
          <w:p w14:paraId="165D404C">
            <w:pPr>
              <w:jc w:val="center"/>
              <w:rPr>
                <w:rFonts w:hint="eastAsia" w:ascii="宋体" w:hAnsi="宋体"/>
                <w:szCs w:val="21"/>
                <w:highlight w:val="none"/>
              </w:rPr>
            </w:pPr>
          </w:p>
        </w:tc>
        <w:tc>
          <w:tcPr>
            <w:tcW w:w="872" w:type="dxa"/>
            <w:noWrap w:val="0"/>
            <w:vAlign w:val="center"/>
          </w:tcPr>
          <w:p w14:paraId="2F4A3369">
            <w:pPr>
              <w:jc w:val="center"/>
              <w:rPr>
                <w:rFonts w:hint="eastAsia" w:ascii="宋体" w:hAnsi="宋体"/>
                <w:szCs w:val="21"/>
                <w:highlight w:val="none"/>
              </w:rPr>
            </w:pPr>
          </w:p>
        </w:tc>
        <w:tc>
          <w:tcPr>
            <w:tcW w:w="872" w:type="dxa"/>
            <w:noWrap w:val="0"/>
            <w:vAlign w:val="center"/>
          </w:tcPr>
          <w:p w14:paraId="133302E7">
            <w:pPr>
              <w:jc w:val="center"/>
              <w:rPr>
                <w:rFonts w:hint="eastAsia" w:ascii="宋体" w:hAnsi="宋体"/>
                <w:szCs w:val="21"/>
                <w:highlight w:val="none"/>
              </w:rPr>
            </w:pPr>
          </w:p>
        </w:tc>
        <w:tc>
          <w:tcPr>
            <w:tcW w:w="765" w:type="dxa"/>
            <w:noWrap w:val="0"/>
            <w:vAlign w:val="center"/>
          </w:tcPr>
          <w:p w14:paraId="4852BDC7">
            <w:pPr>
              <w:jc w:val="center"/>
              <w:rPr>
                <w:rFonts w:hint="eastAsia" w:ascii="宋体" w:hAnsi="宋体"/>
                <w:szCs w:val="21"/>
                <w:highlight w:val="none"/>
              </w:rPr>
            </w:pPr>
          </w:p>
        </w:tc>
      </w:tr>
      <w:tr w14:paraId="61A95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44A457F5">
            <w:pPr>
              <w:jc w:val="center"/>
              <w:rPr>
                <w:rFonts w:hint="eastAsia" w:ascii="宋体" w:hAnsi="宋体"/>
                <w:szCs w:val="21"/>
                <w:highlight w:val="none"/>
              </w:rPr>
            </w:pPr>
          </w:p>
        </w:tc>
        <w:tc>
          <w:tcPr>
            <w:tcW w:w="1064" w:type="dxa"/>
            <w:noWrap w:val="0"/>
            <w:vAlign w:val="center"/>
          </w:tcPr>
          <w:p w14:paraId="2345215B">
            <w:pPr>
              <w:jc w:val="center"/>
              <w:rPr>
                <w:rFonts w:hint="eastAsia" w:ascii="宋体" w:hAnsi="宋体"/>
                <w:szCs w:val="21"/>
                <w:highlight w:val="none"/>
              </w:rPr>
            </w:pPr>
          </w:p>
        </w:tc>
        <w:tc>
          <w:tcPr>
            <w:tcW w:w="823" w:type="dxa"/>
            <w:noWrap w:val="0"/>
            <w:vAlign w:val="center"/>
          </w:tcPr>
          <w:p w14:paraId="4D737473">
            <w:pPr>
              <w:jc w:val="center"/>
              <w:rPr>
                <w:rFonts w:hint="eastAsia" w:ascii="宋体" w:hAnsi="宋体"/>
                <w:szCs w:val="21"/>
                <w:highlight w:val="none"/>
              </w:rPr>
            </w:pPr>
          </w:p>
        </w:tc>
        <w:tc>
          <w:tcPr>
            <w:tcW w:w="871" w:type="dxa"/>
            <w:noWrap w:val="0"/>
            <w:vAlign w:val="center"/>
          </w:tcPr>
          <w:p w14:paraId="3005DD46">
            <w:pPr>
              <w:jc w:val="center"/>
              <w:rPr>
                <w:rFonts w:hint="eastAsia" w:ascii="宋体" w:hAnsi="宋体"/>
                <w:szCs w:val="21"/>
                <w:highlight w:val="none"/>
              </w:rPr>
            </w:pPr>
          </w:p>
        </w:tc>
        <w:tc>
          <w:tcPr>
            <w:tcW w:w="709" w:type="dxa"/>
            <w:noWrap w:val="0"/>
            <w:vAlign w:val="center"/>
          </w:tcPr>
          <w:p w14:paraId="0C8CACA3">
            <w:pPr>
              <w:jc w:val="center"/>
              <w:rPr>
                <w:rFonts w:hint="eastAsia" w:ascii="宋体" w:hAnsi="宋体"/>
                <w:szCs w:val="21"/>
                <w:highlight w:val="none"/>
              </w:rPr>
            </w:pPr>
          </w:p>
        </w:tc>
        <w:tc>
          <w:tcPr>
            <w:tcW w:w="709" w:type="dxa"/>
            <w:noWrap w:val="0"/>
            <w:vAlign w:val="center"/>
          </w:tcPr>
          <w:p w14:paraId="1C6A515E">
            <w:pPr>
              <w:jc w:val="center"/>
              <w:rPr>
                <w:rFonts w:hint="eastAsia" w:ascii="宋体" w:hAnsi="宋体"/>
                <w:szCs w:val="21"/>
                <w:highlight w:val="none"/>
              </w:rPr>
            </w:pPr>
          </w:p>
        </w:tc>
        <w:tc>
          <w:tcPr>
            <w:tcW w:w="1176" w:type="dxa"/>
            <w:noWrap w:val="0"/>
            <w:vAlign w:val="center"/>
          </w:tcPr>
          <w:p w14:paraId="0E0BA6FF">
            <w:pPr>
              <w:jc w:val="center"/>
              <w:rPr>
                <w:rFonts w:hint="eastAsia" w:ascii="宋体" w:hAnsi="宋体"/>
                <w:szCs w:val="21"/>
                <w:highlight w:val="none"/>
              </w:rPr>
            </w:pPr>
          </w:p>
        </w:tc>
        <w:tc>
          <w:tcPr>
            <w:tcW w:w="872" w:type="dxa"/>
            <w:noWrap w:val="0"/>
            <w:vAlign w:val="center"/>
          </w:tcPr>
          <w:p w14:paraId="11E719BD">
            <w:pPr>
              <w:jc w:val="center"/>
              <w:rPr>
                <w:rFonts w:hint="eastAsia" w:ascii="宋体" w:hAnsi="宋体"/>
                <w:szCs w:val="21"/>
                <w:highlight w:val="none"/>
              </w:rPr>
            </w:pPr>
          </w:p>
        </w:tc>
        <w:tc>
          <w:tcPr>
            <w:tcW w:w="872" w:type="dxa"/>
            <w:noWrap w:val="0"/>
            <w:vAlign w:val="center"/>
          </w:tcPr>
          <w:p w14:paraId="4BD05FDE">
            <w:pPr>
              <w:jc w:val="center"/>
              <w:rPr>
                <w:rFonts w:hint="eastAsia" w:ascii="宋体" w:hAnsi="宋体"/>
                <w:szCs w:val="21"/>
                <w:highlight w:val="none"/>
              </w:rPr>
            </w:pPr>
          </w:p>
        </w:tc>
        <w:tc>
          <w:tcPr>
            <w:tcW w:w="765" w:type="dxa"/>
            <w:noWrap w:val="0"/>
            <w:vAlign w:val="center"/>
          </w:tcPr>
          <w:p w14:paraId="155C9E65">
            <w:pPr>
              <w:jc w:val="center"/>
              <w:rPr>
                <w:rFonts w:hint="eastAsia" w:ascii="宋体" w:hAnsi="宋体"/>
                <w:szCs w:val="21"/>
                <w:highlight w:val="none"/>
              </w:rPr>
            </w:pPr>
          </w:p>
        </w:tc>
      </w:tr>
      <w:tr w14:paraId="018F7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1861628E">
            <w:pPr>
              <w:jc w:val="center"/>
              <w:rPr>
                <w:rFonts w:hint="eastAsia" w:ascii="宋体" w:hAnsi="宋体"/>
                <w:szCs w:val="21"/>
                <w:highlight w:val="none"/>
              </w:rPr>
            </w:pPr>
          </w:p>
        </w:tc>
        <w:tc>
          <w:tcPr>
            <w:tcW w:w="1064" w:type="dxa"/>
            <w:noWrap w:val="0"/>
            <w:vAlign w:val="center"/>
          </w:tcPr>
          <w:p w14:paraId="60B092A8">
            <w:pPr>
              <w:jc w:val="center"/>
              <w:rPr>
                <w:rFonts w:hint="eastAsia" w:ascii="宋体" w:hAnsi="宋体"/>
                <w:szCs w:val="21"/>
                <w:highlight w:val="none"/>
              </w:rPr>
            </w:pPr>
          </w:p>
        </w:tc>
        <w:tc>
          <w:tcPr>
            <w:tcW w:w="823" w:type="dxa"/>
            <w:noWrap w:val="0"/>
            <w:vAlign w:val="center"/>
          </w:tcPr>
          <w:p w14:paraId="21194F2E">
            <w:pPr>
              <w:jc w:val="center"/>
              <w:rPr>
                <w:rFonts w:hint="eastAsia" w:ascii="宋体" w:hAnsi="宋体"/>
                <w:szCs w:val="21"/>
                <w:highlight w:val="none"/>
              </w:rPr>
            </w:pPr>
          </w:p>
        </w:tc>
        <w:tc>
          <w:tcPr>
            <w:tcW w:w="871" w:type="dxa"/>
            <w:noWrap w:val="0"/>
            <w:vAlign w:val="center"/>
          </w:tcPr>
          <w:p w14:paraId="3BB7E40B">
            <w:pPr>
              <w:jc w:val="center"/>
              <w:rPr>
                <w:rFonts w:hint="eastAsia" w:ascii="宋体" w:hAnsi="宋体"/>
                <w:szCs w:val="21"/>
                <w:highlight w:val="none"/>
              </w:rPr>
            </w:pPr>
          </w:p>
        </w:tc>
        <w:tc>
          <w:tcPr>
            <w:tcW w:w="709" w:type="dxa"/>
            <w:noWrap w:val="0"/>
            <w:vAlign w:val="center"/>
          </w:tcPr>
          <w:p w14:paraId="134677DB">
            <w:pPr>
              <w:jc w:val="center"/>
              <w:rPr>
                <w:rFonts w:hint="eastAsia" w:ascii="宋体" w:hAnsi="宋体"/>
                <w:szCs w:val="21"/>
                <w:highlight w:val="none"/>
              </w:rPr>
            </w:pPr>
          </w:p>
        </w:tc>
        <w:tc>
          <w:tcPr>
            <w:tcW w:w="709" w:type="dxa"/>
            <w:noWrap w:val="0"/>
            <w:vAlign w:val="center"/>
          </w:tcPr>
          <w:p w14:paraId="72B3FA50">
            <w:pPr>
              <w:jc w:val="center"/>
              <w:rPr>
                <w:rFonts w:hint="eastAsia" w:ascii="宋体" w:hAnsi="宋体"/>
                <w:szCs w:val="21"/>
                <w:highlight w:val="none"/>
              </w:rPr>
            </w:pPr>
          </w:p>
        </w:tc>
        <w:tc>
          <w:tcPr>
            <w:tcW w:w="1176" w:type="dxa"/>
            <w:noWrap w:val="0"/>
            <w:vAlign w:val="center"/>
          </w:tcPr>
          <w:p w14:paraId="01C93950">
            <w:pPr>
              <w:jc w:val="center"/>
              <w:rPr>
                <w:rFonts w:hint="eastAsia" w:ascii="宋体" w:hAnsi="宋体"/>
                <w:szCs w:val="21"/>
                <w:highlight w:val="none"/>
              </w:rPr>
            </w:pPr>
          </w:p>
        </w:tc>
        <w:tc>
          <w:tcPr>
            <w:tcW w:w="872" w:type="dxa"/>
            <w:noWrap w:val="0"/>
            <w:vAlign w:val="center"/>
          </w:tcPr>
          <w:p w14:paraId="1FC8D772">
            <w:pPr>
              <w:jc w:val="center"/>
              <w:rPr>
                <w:rFonts w:hint="eastAsia" w:ascii="宋体" w:hAnsi="宋体"/>
                <w:szCs w:val="21"/>
                <w:highlight w:val="none"/>
              </w:rPr>
            </w:pPr>
          </w:p>
        </w:tc>
        <w:tc>
          <w:tcPr>
            <w:tcW w:w="872" w:type="dxa"/>
            <w:noWrap w:val="0"/>
            <w:vAlign w:val="center"/>
          </w:tcPr>
          <w:p w14:paraId="61401F35">
            <w:pPr>
              <w:jc w:val="center"/>
              <w:rPr>
                <w:rFonts w:hint="eastAsia" w:ascii="宋体" w:hAnsi="宋体"/>
                <w:szCs w:val="21"/>
                <w:highlight w:val="none"/>
              </w:rPr>
            </w:pPr>
          </w:p>
        </w:tc>
        <w:tc>
          <w:tcPr>
            <w:tcW w:w="765" w:type="dxa"/>
            <w:noWrap w:val="0"/>
            <w:vAlign w:val="center"/>
          </w:tcPr>
          <w:p w14:paraId="094CE2D7">
            <w:pPr>
              <w:jc w:val="center"/>
              <w:rPr>
                <w:rFonts w:hint="eastAsia" w:ascii="宋体" w:hAnsi="宋体"/>
                <w:szCs w:val="21"/>
                <w:highlight w:val="none"/>
              </w:rPr>
            </w:pPr>
          </w:p>
        </w:tc>
      </w:tr>
      <w:tr w14:paraId="5A57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2736953D">
            <w:pPr>
              <w:jc w:val="center"/>
              <w:rPr>
                <w:rFonts w:hint="eastAsia" w:ascii="宋体" w:hAnsi="宋体"/>
                <w:szCs w:val="21"/>
                <w:highlight w:val="none"/>
              </w:rPr>
            </w:pPr>
          </w:p>
        </w:tc>
        <w:tc>
          <w:tcPr>
            <w:tcW w:w="1064" w:type="dxa"/>
            <w:noWrap w:val="0"/>
            <w:vAlign w:val="center"/>
          </w:tcPr>
          <w:p w14:paraId="288461FA">
            <w:pPr>
              <w:jc w:val="center"/>
              <w:rPr>
                <w:rFonts w:hint="eastAsia" w:ascii="宋体" w:hAnsi="宋体"/>
                <w:szCs w:val="21"/>
                <w:highlight w:val="none"/>
              </w:rPr>
            </w:pPr>
          </w:p>
        </w:tc>
        <w:tc>
          <w:tcPr>
            <w:tcW w:w="823" w:type="dxa"/>
            <w:noWrap w:val="0"/>
            <w:vAlign w:val="center"/>
          </w:tcPr>
          <w:p w14:paraId="6264280E">
            <w:pPr>
              <w:jc w:val="center"/>
              <w:rPr>
                <w:rFonts w:hint="eastAsia" w:ascii="宋体" w:hAnsi="宋体"/>
                <w:szCs w:val="21"/>
                <w:highlight w:val="none"/>
              </w:rPr>
            </w:pPr>
          </w:p>
        </w:tc>
        <w:tc>
          <w:tcPr>
            <w:tcW w:w="871" w:type="dxa"/>
            <w:noWrap w:val="0"/>
            <w:vAlign w:val="center"/>
          </w:tcPr>
          <w:p w14:paraId="664B3D52">
            <w:pPr>
              <w:jc w:val="center"/>
              <w:rPr>
                <w:rFonts w:hint="eastAsia" w:ascii="宋体" w:hAnsi="宋体"/>
                <w:szCs w:val="21"/>
                <w:highlight w:val="none"/>
              </w:rPr>
            </w:pPr>
          </w:p>
        </w:tc>
        <w:tc>
          <w:tcPr>
            <w:tcW w:w="709" w:type="dxa"/>
            <w:noWrap w:val="0"/>
            <w:vAlign w:val="center"/>
          </w:tcPr>
          <w:p w14:paraId="587871B8">
            <w:pPr>
              <w:jc w:val="center"/>
              <w:rPr>
                <w:rFonts w:hint="eastAsia" w:ascii="宋体" w:hAnsi="宋体"/>
                <w:szCs w:val="21"/>
                <w:highlight w:val="none"/>
              </w:rPr>
            </w:pPr>
          </w:p>
        </w:tc>
        <w:tc>
          <w:tcPr>
            <w:tcW w:w="709" w:type="dxa"/>
            <w:noWrap w:val="0"/>
            <w:vAlign w:val="center"/>
          </w:tcPr>
          <w:p w14:paraId="3DFBAD46">
            <w:pPr>
              <w:jc w:val="center"/>
              <w:rPr>
                <w:rFonts w:hint="eastAsia" w:ascii="宋体" w:hAnsi="宋体"/>
                <w:szCs w:val="21"/>
                <w:highlight w:val="none"/>
              </w:rPr>
            </w:pPr>
          </w:p>
        </w:tc>
        <w:tc>
          <w:tcPr>
            <w:tcW w:w="1176" w:type="dxa"/>
            <w:noWrap w:val="0"/>
            <w:vAlign w:val="center"/>
          </w:tcPr>
          <w:p w14:paraId="5257A8D4">
            <w:pPr>
              <w:jc w:val="center"/>
              <w:rPr>
                <w:rFonts w:hint="eastAsia" w:ascii="宋体" w:hAnsi="宋体"/>
                <w:szCs w:val="21"/>
                <w:highlight w:val="none"/>
              </w:rPr>
            </w:pPr>
          </w:p>
        </w:tc>
        <w:tc>
          <w:tcPr>
            <w:tcW w:w="872" w:type="dxa"/>
            <w:noWrap w:val="0"/>
            <w:vAlign w:val="center"/>
          </w:tcPr>
          <w:p w14:paraId="3C103E0D">
            <w:pPr>
              <w:jc w:val="center"/>
              <w:rPr>
                <w:rFonts w:hint="eastAsia" w:ascii="宋体" w:hAnsi="宋体"/>
                <w:szCs w:val="21"/>
                <w:highlight w:val="none"/>
              </w:rPr>
            </w:pPr>
          </w:p>
        </w:tc>
        <w:tc>
          <w:tcPr>
            <w:tcW w:w="872" w:type="dxa"/>
            <w:noWrap w:val="0"/>
            <w:vAlign w:val="center"/>
          </w:tcPr>
          <w:p w14:paraId="6EFA5A86">
            <w:pPr>
              <w:jc w:val="center"/>
              <w:rPr>
                <w:rFonts w:hint="eastAsia" w:ascii="宋体" w:hAnsi="宋体"/>
                <w:szCs w:val="21"/>
                <w:highlight w:val="none"/>
              </w:rPr>
            </w:pPr>
          </w:p>
        </w:tc>
        <w:tc>
          <w:tcPr>
            <w:tcW w:w="765" w:type="dxa"/>
            <w:noWrap w:val="0"/>
            <w:vAlign w:val="center"/>
          </w:tcPr>
          <w:p w14:paraId="69F2B85B">
            <w:pPr>
              <w:jc w:val="center"/>
              <w:rPr>
                <w:rFonts w:hint="eastAsia" w:ascii="宋体" w:hAnsi="宋体"/>
                <w:szCs w:val="21"/>
                <w:highlight w:val="none"/>
              </w:rPr>
            </w:pPr>
          </w:p>
        </w:tc>
      </w:tr>
      <w:tr w14:paraId="5B37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3104AE60">
            <w:pPr>
              <w:jc w:val="center"/>
              <w:rPr>
                <w:rFonts w:hint="eastAsia" w:ascii="宋体" w:hAnsi="宋体"/>
                <w:szCs w:val="21"/>
                <w:highlight w:val="none"/>
              </w:rPr>
            </w:pPr>
          </w:p>
        </w:tc>
        <w:tc>
          <w:tcPr>
            <w:tcW w:w="1064" w:type="dxa"/>
            <w:noWrap w:val="0"/>
            <w:vAlign w:val="center"/>
          </w:tcPr>
          <w:p w14:paraId="44407684">
            <w:pPr>
              <w:jc w:val="center"/>
              <w:rPr>
                <w:rFonts w:hint="eastAsia" w:ascii="宋体" w:hAnsi="宋体"/>
                <w:szCs w:val="21"/>
                <w:highlight w:val="none"/>
              </w:rPr>
            </w:pPr>
          </w:p>
        </w:tc>
        <w:tc>
          <w:tcPr>
            <w:tcW w:w="823" w:type="dxa"/>
            <w:noWrap w:val="0"/>
            <w:vAlign w:val="center"/>
          </w:tcPr>
          <w:p w14:paraId="47381070">
            <w:pPr>
              <w:jc w:val="center"/>
              <w:rPr>
                <w:rFonts w:hint="eastAsia" w:ascii="宋体" w:hAnsi="宋体"/>
                <w:szCs w:val="21"/>
                <w:highlight w:val="none"/>
              </w:rPr>
            </w:pPr>
          </w:p>
        </w:tc>
        <w:tc>
          <w:tcPr>
            <w:tcW w:w="871" w:type="dxa"/>
            <w:noWrap w:val="0"/>
            <w:vAlign w:val="center"/>
          </w:tcPr>
          <w:p w14:paraId="39357D3F">
            <w:pPr>
              <w:jc w:val="center"/>
              <w:rPr>
                <w:rFonts w:hint="eastAsia" w:ascii="宋体" w:hAnsi="宋体"/>
                <w:szCs w:val="21"/>
                <w:highlight w:val="none"/>
              </w:rPr>
            </w:pPr>
          </w:p>
        </w:tc>
        <w:tc>
          <w:tcPr>
            <w:tcW w:w="709" w:type="dxa"/>
            <w:noWrap w:val="0"/>
            <w:vAlign w:val="center"/>
          </w:tcPr>
          <w:p w14:paraId="0EF87999">
            <w:pPr>
              <w:jc w:val="center"/>
              <w:rPr>
                <w:rFonts w:hint="eastAsia" w:ascii="宋体" w:hAnsi="宋体"/>
                <w:szCs w:val="21"/>
                <w:highlight w:val="none"/>
              </w:rPr>
            </w:pPr>
          </w:p>
        </w:tc>
        <w:tc>
          <w:tcPr>
            <w:tcW w:w="709" w:type="dxa"/>
            <w:noWrap w:val="0"/>
            <w:vAlign w:val="center"/>
          </w:tcPr>
          <w:p w14:paraId="49F5F399">
            <w:pPr>
              <w:jc w:val="center"/>
              <w:rPr>
                <w:rFonts w:hint="eastAsia" w:ascii="宋体" w:hAnsi="宋体"/>
                <w:szCs w:val="21"/>
                <w:highlight w:val="none"/>
              </w:rPr>
            </w:pPr>
          </w:p>
        </w:tc>
        <w:tc>
          <w:tcPr>
            <w:tcW w:w="1176" w:type="dxa"/>
            <w:noWrap w:val="0"/>
            <w:vAlign w:val="center"/>
          </w:tcPr>
          <w:p w14:paraId="1A5198E9">
            <w:pPr>
              <w:jc w:val="center"/>
              <w:rPr>
                <w:rFonts w:hint="eastAsia" w:ascii="宋体" w:hAnsi="宋体"/>
                <w:szCs w:val="21"/>
                <w:highlight w:val="none"/>
              </w:rPr>
            </w:pPr>
          </w:p>
        </w:tc>
        <w:tc>
          <w:tcPr>
            <w:tcW w:w="872" w:type="dxa"/>
            <w:noWrap w:val="0"/>
            <w:vAlign w:val="center"/>
          </w:tcPr>
          <w:p w14:paraId="61D0B41C">
            <w:pPr>
              <w:jc w:val="center"/>
              <w:rPr>
                <w:rFonts w:hint="eastAsia" w:ascii="宋体" w:hAnsi="宋体"/>
                <w:szCs w:val="21"/>
                <w:highlight w:val="none"/>
              </w:rPr>
            </w:pPr>
          </w:p>
        </w:tc>
        <w:tc>
          <w:tcPr>
            <w:tcW w:w="872" w:type="dxa"/>
            <w:noWrap w:val="0"/>
            <w:vAlign w:val="center"/>
          </w:tcPr>
          <w:p w14:paraId="35BBFC95">
            <w:pPr>
              <w:jc w:val="center"/>
              <w:rPr>
                <w:rFonts w:hint="eastAsia" w:ascii="宋体" w:hAnsi="宋体"/>
                <w:szCs w:val="21"/>
                <w:highlight w:val="none"/>
              </w:rPr>
            </w:pPr>
          </w:p>
        </w:tc>
        <w:tc>
          <w:tcPr>
            <w:tcW w:w="765" w:type="dxa"/>
            <w:noWrap w:val="0"/>
            <w:vAlign w:val="center"/>
          </w:tcPr>
          <w:p w14:paraId="3C2A2AC2">
            <w:pPr>
              <w:jc w:val="center"/>
              <w:rPr>
                <w:rFonts w:hint="eastAsia" w:ascii="宋体" w:hAnsi="宋体"/>
                <w:szCs w:val="21"/>
                <w:highlight w:val="none"/>
              </w:rPr>
            </w:pPr>
          </w:p>
        </w:tc>
      </w:tr>
      <w:tr w14:paraId="07C52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2987B841">
            <w:pPr>
              <w:jc w:val="center"/>
              <w:rPr>
                <w:rFonts w:hint="eastAsia" w:ascii="宋体" w:hAnsi="宋体"/>
                <w:szCs w:val="21"/>
                <w:highlight w:val="none"/>
              </w:rPr>
            </w:pPr>
          </w:p>
        </w:tc>
        <w:tc>
          <w:tcPr>
            <w:tcW w:w="1064" w:type="dxa"/>
            <w:noWrap w:val="0"/>
            <w:vAlign w:val="center"/>
          </w:tcPr>
          <w:p w14:paraId="1E3FB8A5">
            <w:pPr>
              <w:jc w:val="center"/>
              <w:rPr>
                <w:rFonts w:hint="eastAsia" w:ascii="宋体" w:hAnsi="宋体"/>
                <w:szCs w:val="21"/>
                <w:highlight w:val="none"/>
              </w:rPr>
            </w:pPr>
          </w:p>
        </w:tc>
        <w:tc>
          <w:tcPr>
            <w:tcW w:w="823" w:type="dxa"/>
            <w:noWrap w:val="0"/>
            <w:vAlign w:val="center"/>
          </w:tcPr>
          <w:p w14:paraId="59B7227F">
            <w:pPr>
              <w:jc w:val="center"/>
              <w:rPr>
                <w:rFonts w:hint="eastAsia" w:ascii="宋体" w:hAnsi="宋体"/>
                <w:szCs w:val="21"/>
                <w:highlight w:val="none"/>
              </w:rPr>
            </w:pPr>
          </w:p>
        </w:tc>
        <w:tc>
          <w:tcPr>
            <w:tcW w:w="871" w:type="dxa"/>
            <w:noWrap w:val="0"/>
            <w:vAlign w:val="center"/>
          </w:tcPr>
          <w:p w14:paraId="7FDB425F">
            <w:pPr>
              <w:jc w:val="center"/>
              <w:rPr>
                <w:rFonts w:hint="eastAsia" w:ascii="宋体" w:hAnsi="宋体"/>
                <w:szCs w:val="21"/>
                <w:highlight w:val="none"/>
              </w:rPr>
            </w:pPr>
          </w:p>
        </w:tc>
        <w:tc>
          <w:tcPr>
            <w:tcW w:w="709" w:type="dxa"/>
            <w:noWrap w:val="0"/>
            <w:vAlign w:val="center"/>
          </w:tcPr>
          <w:p w14:paraId="4DB0A72D">
            <w:pPr>
              <w:jc w:val="center"/>
              <w:rPr>
                <w:rFonts w:hint="eastAsia" w:ascii="宋体" w:hAnsi="宋体"/>
                <w:szCs w:val="21"/>
                <w:highlight w:val="none"/>
              </w:rPr>
            </w:pPr>
          </w:p>
        </w:tc>
        <w:tc>
          <w:tcPr>
            <w:tcW w:w="709" w:type="dxa"/>
            <w:noWrap w:val="0"/>
            <w:vAlign w:val="center"/>
          </w:tcPr>
          <w:p w14:paraId="25439424">
            <w:pPr>
              <w:jc w:val="center"/>
              <w:rPr>
                <w:rFonts w:hint="eastAsia" w:ascii="宋体" w:hAnsi="宋体"/>
                <w:szCs w:val="21"/>
                <w:highlight w:val="none"/>
              </w:rPr>
            </w:pPr>
          </w:p>
        </w:tc>
        <w:tc>
          <w:tcPr>
            <w:tcW w:w="1176" w:type="dxa"/>
            <w:noWrap w:val="0"/>
            <w:vAlign w:val="center"/>
          </w:tcPr>
          <w:p w14:paraId="07F9F46A">
            <w:pPr>
              <w:jc w:val="center"/>
              <w:rPr>
                <w:rFonts w:hint="eastAsia" w:ascii="宋体" w:hAnsi="宋体"/>
                <w:szCs w:val="21"/>
                <w:highlight w:val="none"/>
              </w:rPr>
            </w:pPr>
          </w:p>
        </w:tc>
        <w:tc>
          <w:tcPr>
            <w:tcW w:w="872" w:type="dxa"/>
            <w:noWrap w:val="0"/>
            <w:vAlign w:val="center"/>
          </w:tcPr>
          <w:p w14:paraId="370E1F92">
            <w:pPr>
              <w:jc w:val="center"/>
              <w:rPr>
                <w:rFonts w:hint="eastAsia" w:ascii="宋体" w:hAnsi="宋体"/>
                <w:szCs w:val="21"/>
                <w:highlight w:val="none"/>
              </w:rPr>
            </w:pPr>
          </w:p>
        </w:tc>
        <w:tc>
          <w:tcPr>
            <w:tcW w:w="872" w:type="dxa"/>
            <w:noWrap w:val="0"/>
            <w:vAlign w:val="center"/>
          </w:tcPr>
          <w:p w14:paraId="68AAE5CA">
            <w:pPr>
              <w:jc w:val="center"/>
              <w:rPr>
                <w:rFonts w:hint="eastAsia" w:ascii="宋体" w:hAnsi="宋体"/>
                <w:szCs w:val="21"/>
                <w:highlight w:val="none"/>
              </w:rPr>
            </w:pPr>
          </w:p>
        </w:tc>
        <w:tc>
          <w:tcPr>
            <w:tcW w:w="765" w:type="dxa"/>
            <w:noWrap w:val="0"/>
            <w:vAlign w:val="center"/>
          </w:tcPr>
          <w:p w14:paraId="5EA753E0">
            <w:pPr>
              <w:jc w:val="center"/>
              <w:rPr>
                <w:rFonts w:hint="eastAsia" w:ascii="宋体" w:hAnsi="宋体"/>
                <w:szCs w:val="21"/>
                <w:highlight w:val="none"/>
              </w:rPr>
            </w:pPr>
          </w:p>
        </w:tc>
      </w:tr>
    </w:tbl>
    <w:p w14:paraId="1247786F">
      <w:pPr>
        <w:spacing w:line="420" w:lineRule="exact"/>
        <w:rPr>
          <w:rFonts w:ascii="宋体" w:hAnsi="宋体"/>
          <w:szCs w:val="21"/>
          <w:highlight w:val="none"/>
        </w:rPr>
      </w:pPr>
    </w:p>
    <w:p w14:paraId="180A74B2">
      <w:pPr>
        <w:spacing w:before="156" w:beforeLines="50" w:after="312" w:afterLines="100" w:line="420" w:lineRule="exact"/>
        <w:rPr>
          <w:rFonts w:hint="eastAsia" w:ascii="宋体" w:hAnsi="宋体"/>
          <w:sz w:val="24"/>
          <w:highlight w:val="none"/>
        </w:rPr>
      </w:pPr>
      <w:r>
        <w:rPr>
          <w:rFonts w:ascii="宋体" w:hAnsi="宋体"/>
          <w:szCs w:val="21"/>
          <w:highlight w:val="none"/>
        </w:rPr>
        <w:br w:type="page"/>
      </w:r>
      <w:r>
        <w:rPr>
          <w:rFonts w:hint="eastAsia" w:ascii="宋体" w:hAnsi="宋体"/>
          <w:b/>
          <w:bCs/>
          <w:sz w:val="24"/>
          <w:szCs w:val="24"/>
          <w:highlight w:val="none"/>
        </w:rPr>
        <w:t>附表二：拟配备本工程的试验和检测仪器设备表</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933"/>
        <w:gridCol w:w="761"/>
        <w:gridCol w:w="709"/>
        <w:gridCol w:w="709"/>
        <w:gridCol w:w="1176"/>
        <w:gridCol w:w="1659"/>
        <w:gridCol w:w="850"/>
      </w:tblGrid>
      <w:tr w14:paraId="4BA1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622" w:hRule="atLeast"/>
          <w:jc w:val="center"/>
        </w:trPr>
        <w:tc>
          <w:tcPr>
            <w:tcW w:w="644" w:type="dxa"/>
            <w:noWrap w:val="0"/>
            <w:vAlign w:val="center"/>
          </w:tcPr>
          <w:p w14:paraId="5D2DA5B0">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r>
              <w:rPr>
                <w:rFonts w:hint="eastAsia" w:ascii="宋体" w:hAnsi="宋体"/>
                <w:szCs w:val="21"/>
                <w:highlight w:val="none"/>
              </w:rPr>
              <w:t>序号</w:t>
            </w:r>
          </w:p>
        </w:tc>
        <w:tc>
          <w:tcPr>
            <w:tcW w:w="1064" w:type="dxa"/>
            <w:noWrap w:val="0"/>
            <w:vAlign w:val="center"/>
          </w:tcPr>
          <w:p w14:paraId="1A81D8E5">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r>
              <w:rPr>
                <w:rFonts w:hint="eastAsia" w:ascii="宋体" w:hAnsi="宋体"/>
                <w:szCs w:val="21"/>
                <w:highlight w:val="none"/>
              </w:rPr>
              <w:t>仪器设备名称</w:t>
            </w:r>
          </w:p>
        </w:tc>
        <w:tc>
          <w:tcPr>
            <w:tcW w:w="933" w:type="dxa"/>
            <w:noWrap w:val="0"/>
            <w:vAlign w:val="center"/>
          </w:tcPr>
          <w:p w14:paraId="2EA48E90">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r>
              <w:rPr>
                <w:rFonts w:hint="eastAsia" w:ascii="宋体" w:hAnsi="宋体"/>
                <w:szCs w:val="21"/>
                <w:highlight w:val="none"/>
              </w:rPr>
              <w:t>型号</w:t>
            </w:r>
          </w:p>
          <w:p w14:paraId="47601A5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r>
              <w:rPr>
                <w:rFonts w:hint="eastAsia" w:ascii="宋体" w:hAnsi="宋体"/>
                <w:szCs w:val="21"/>
                <w:highlight w:val="none"/>
              </w:rPr>
              <w:t>规格</w:t>
            </w:r>
          </w:p>
        </w:tc>
        <w:tc>
          <w:tcPr>
            <w:tcW w:w="761" w:type="dxa"/>
            <w:noWrap w:val="0"/>
            <w:vAlign w:val="center"/>
          </w:tcPr>
          <w:p w14:paraId="679CD56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r>
              <w:rPr>
                <w:rFonts w:hint="eastAsia" w:ascii="宋体" w:hAnsi="宋体"/>
                <w:szCs w:val="21"/>
                <w:highlight w:val="none"/>
              </w:rPr>
              <w:t>数量</w:t>
            </w:r>
          </w:p>
        </w:tc>
        <w:tc>
          <w:tcPr>
            <w:tcW w:w="709" w:type="dxa"/>
            <w:noWrap w:val="0"/>
            <w:vAlign w:val="center"/>
          </w:tcPr>
          <w:p w14:paraId="685287B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r>
              <w:rPr>
                <w:rFonts w:hint="eastAsia" w:ascii="宋体" w:hAnsi="宋体"/>
                <w:szCs w:val="21"/>
                <w:highlight w:val="none"/>
              </w:rPr>
              <w:t>国别</w:t>
            </w:r>
          </w:p>
          <w:p w14:paraId="641F13B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r>
              <w:rPr>
                <w:rFonts w:hint="eastAsia" w:ascii="宋体" w:hAnsi="宋体"/>
                <w:szCs w:val="21"/>
                <w:highlight w:val="none"/>
              </w:rPr>
              <w:t>产地</w:t>
            </w:r>
          </w:p>
        </w:tc>
        <w:tc>
          <w:tcPr>
            <w:tcW w:w="709" w:type="dxa"/>
            <w:noWrap w:val="0"/>
            <w:vAlign w:val="center"/>
          </w:tcPr>
          <w:p w14:paraId="5666434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r>
              <w:rPr>
                <w:rFonts w:hint="eastAsia" w:ascii="宋体" w:hAnsi="宋体"/>
                <w:szCs w:val="21"/>
                <w:highlight w:val="none"/>
              </w:rPr>
              <w:t>制造</w:t>
            </w:r>
          </w:p>
          <w:p w14:paraId="55EC35F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r>
              <w:rPr>
                <w:rFonts w:hint="eastAsia" w:ascii="宋体" w:hAnsi="宋体"/>
                <w:szCs w:val="21"/>
                <w:highlight w:val="none"/>
              </w:rPr>
              <w:t>年份</w:t>
            </w:r>
          </w:p>
        </w:tc>
        <w:tc>
          <w:tcPr>
            <w:tcW w:w="1176" w:type="dxa"/>
            <w:noWrap w:val="0"/>
            <w:vAlign w:val="center"/>
          </w:tcPr>
          <w:p w14:paraId="0A56AFA6">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r>
              <w:rPr>
                <w:rFonts w:hint="eastAsia" w:ascii="宋体" w:hAnsi="宋体"/>
                <w:szCs w:val="21"/>
                <w:highlight w:val="none"/>
              </w:rPr>
              <w:t>已使用台</w:t>
            </w:r>
          </w:p>
          <w:p w14:paraId="38306FE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r>
              <w:rPr>
                <w:rFonts w:hint="eastAsia" w:ascii="宋体" w:hAnsi="宋体"/>
                <w:szCs w:val="21"/>
                <w:highlight w:val="none"/>
              </w:rPr>
              <w:t>时    数</w:t>
            </w:r>
          </w:p>
        </w:tc>
        <w:tc>
          <w:tcPr>
            <w:tcW w:w="1659" w:type="dxa"/>
            <w:noWrap w:val="0"/>
            <w:vAlign w:val="center"/>
          </w:tcPr>
          <w:p w14:paraId="00196166">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r>
              <w:rPr>
                <w:rFonts w:hint="eastAsia" w:ascii="宋体" w:hAnsi="宋体"/>
                <w:szCs w:val="21"/>
                <w:highlight w:val="none"/>
              </w:rPr>
              <w:t>用 途</w:t>
            </w:r>
          </w:p>
        </w:tc>
        <w:tc>
          <w:tcPr>
            <w:tcW w:w="850" w:type="dxa"/>
            <w:noWrap w:val="0"/>
            <w:vAlign w:val="center"/>
          </w:tcPr>
          <w:p w14:paraId="6D0C75F5">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r>
              <w:rPr>
                <w:rFonts w:hint="eastAsia" w:ascii="宋体" w:hAnsi="宋体"/>
                <w:szCs w:val="21"/>
                <w:highlight w:val="none"/>
              </w:rPr>
              <w:t>备注</w:t>
            </w:r>
          </w:p>
        </w:tc>
      </w:tr>
      <w:tr w14:paraId="06F90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280E193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63B1CDEB">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0037EA17">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6B44323F">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3136A0C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39D9348E">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56230707">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32FCB10B">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28B0C7C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60698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0C5A6810">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68F7D7A1">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28920FC1">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20632771">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126855F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2D623A17">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0F362400">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561EC766">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5C0554C9">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01FEB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68C5054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06916F95">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561BC434">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0056C6B6">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005DCBA0">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4F8DAE2A">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41471F75">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5B1E3DC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6A64AC2B">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5A0E7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77CEAC06">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7DB2A64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2C16BA04">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3A6BC1E4">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1CE0F16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63C1B241">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0EA08F3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31686994">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0B1BE8F7">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20A4C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67ED86F4">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60BEFB64">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4A5D6ED3">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6C4B39C1">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736A013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386D8650">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606CB7E2">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430B5479">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6316D920">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0C997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525CC430">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30709B6B">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51BD8CB2">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0D2350E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4661332A">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0B5169D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1014985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3686D1F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5FF36F7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1693B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50AC4F1A">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353AC252">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325F3E8F">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417C49B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5EEC1FB6">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5A08E15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727AF2E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1D329BF6">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635F5926">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42231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76451EDF">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6B8F6F4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414F8D5B">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021CFF0E">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11452DB7">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6CEDD99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37E0BBAF">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47F8E69B">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631AC463">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13F2F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58F0968B">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1AB80EF9">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618EC4F1">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5FD5741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6085DA0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5A102B4B">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4F7AC6D4">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7298815B">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064983D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361FB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72CB4383">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5146453F">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61056BC2">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7FBCEE67">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11DBDA15">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22278B29">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37AF88A6">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10515F8E">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0E3D871B">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7B6A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1C91FE55">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1915FF40">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7AAB9486">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572C0DFA">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6E0C4D7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675492C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2026C11F">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5A971076">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31E9FFB2">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3D519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725880A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27CF82C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302EB777">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16CC749E">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08378C44">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3A5D3E3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33C22731">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4EF83C16">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62048112">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14DBF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3549B4F3">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2DED29F2">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395EC149">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7D9F90E9">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77B4D577">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3943FAF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2659A9B9">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69C40419">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3E8FDD7F">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2BFE1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7938DCB7">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5DCBB9FF">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18112AC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22FDA16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49D7A4F7">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3E82EE3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000165D2">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30276893">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3597BC50">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36062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3110525B">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140A856E">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16D858D0">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32F4415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5522C1BB">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4145358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3B9ECD5A">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4471C21A">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4ACA3E3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64289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3AC616A2">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2DFC367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6D69BCEB">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093B3182">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77F14BAE">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0B232CF7">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44817363">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7CFBC6D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37903F53">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1F6F9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10F2031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3783AFFE">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211B488A">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365D9B02">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1E796A0B">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0E621693">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4C4B67E9">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7399E5B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2C7D2307">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3BAB8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2C2A12BE">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0979929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7E36C28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4DFBDE97">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4CF5C3EE">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1F7FCF04">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30EF2B9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085044D1">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183C52A9">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7C7E1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5A6E2839">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103D6CC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75874721">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7923BF20">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5ABF64A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2BEEDF0F">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33C4F59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6C41196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0C93B983">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2B03A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48095549">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0B103224">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14FC7B06">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3B90B21F">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3428C711">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0F07CBBF">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46BBDDDF">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7B94A166">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11973B8E">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45C3D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592D6AFB">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5B65D5D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22DEAC5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70CBFA2A">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3346E6D1">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1C66298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1133C353">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01D8EEE5">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46A00439">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18D3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57E495D4">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3AFF6E3E">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5DD44C0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28274C09">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33661E3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0D00F43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2DF33CC5">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046C3196">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2E3E74E6">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08F11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5" w:hRule="atLeast"/>
          <w:jc w:val="center"/>
        </w:trPr>
        <w:tc>
          <w:tcPr>
            <w:tcW w:w="644" w:type="dxa"/>
            <w:noWrap w:val="0"/>
            <w:vAlign w:val="center"/>
          </w:tcPr>
          <w:p w14:paraId="1AF5486B">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5EF728B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176C7CC5">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729B2CD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493FAF3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201356D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1BF2965A">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7D990B1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012D814F">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bl>
    <w:p w14:paraId="4BBB891D">
      <w:pPr>
        <w:spacing w:line="420" w:lineRule="exact"/>
        <w:rPr>
          <w:rFonts w:ascii="宋体" w:hAnsi="宋体"/>
          <w:szCs w:val="21"/>
          <w:highlight w:val="none"/>
        </w:rPr>
      </w:pPr>
    </w:p>
    <w:p w14:paraId="25FF9844">
      <w:pPr>
        <w:spacing w:before="156" w:beforeLines="50" w:after="156" w:afterLines="50" w:line="420" w:lineRule="exact"/>
        <w:rPr>
          <w:rFonts w:hint="eastAsia" w:ascii="宋体" w:hAnsi="宋体"/>
          <w:sz w:val="24"/>
          <w:highlight w:val="none"/>
        </w:rPr>
      </w:pPr>
      <w:r>
        <w:rPr>
          <w:rFonts w:ascii="宋体" w:hAnsi="宋体"/>
          <w:szCs w:val="21"/>
          <w:highlight w:val="none"/>
        </w:rPr>
        <w:br w:type="page"/>
      </w:r>
      <w:r>
        <w:rPr>
          <w:rFonts w:hint="eastAsia" w:ascii="宋体" w:hAnsi="宋体"/>
          <w:b/>
          <w:bCs/>
          <w:sz w:val="24"/>
          <w:szCs w:val="24"/>
          <w:highlight w:val="none"/>
        </w:rPr>
        <w:t>附表三：劳动力计划表</w:t>
      </w:r>
    </w:p>
    <w:p w14:paraId="7F02E844">
      <w:pPr>
        <w:wordWrap w:val="0"/>
        <w:spacing w:line="420" w:lineRule="exact"/>
        <w:jc w:val="right"/>
        <w:rPr>
          <w:rFonts w:hint="eastAsia" w:ascii="宋体" w:hAnsi="宋体"/>
          <w:szCs w:val="21"/>
          <w:highlight w:val="none"/>
        </w:rPr>
      </w:pPr>
      <w:r>
        <w:rPr>
          <w:rFonts w:hint="eastAsia" w:ascii="宋体" w:hAnsi="宋体"/>
          <w:szCs w:val="21"/>
          <w:highlight w:val="none"/>
        </w:rPr>
        <w:t xml:space="preserve">单位：人   </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1063"/>
        <w:gridCol w:w="1063"/>
        <w:gridCol w:w="1063"/>
        <w:gridCol w:w="1063"/>
        <w:gridCol w:w="1063"/>
        <w:gridCol w:w="1063"/>
      </w:tblGrid>
      <w:tr w14:paraId="64B17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22" w:hRule="atLeast"/>
          <w:jc w:val="center"/>
        </w:trPr>
        <w:tc>
          <w:tcPr>
            <w:tcW w:w="709" w:type="dxa"/>
            <w:noWrap w:val="0"/>
            <w:vAlign w:val="center"/>
          </w:tcPr>
          <w:p w14:paraId="2ADABC2A">
            <w:pPr>
              <w:jc w:val="center"/>
              <w:rPr>
                <w:rFonts w:hint="eastAsia" w:ascii="宋体" w:hAnsi="宋体"/>
                <w:szCs w:val="21"/>
                <w:highlight w:val="none"/>
              </w:rPr>
            </w:pPr>
            <w:r>
              <w:rPr>
                <w:rFonts w:hint="eastAsia" w:ascii="宋体" w:hAnsi="宋体"/>
                <w:szCs w:val="21"/>
                <w:highlight w:val="none"/>
              </w:rPr>
              <w:t>工种</w:t>
            </w:r>
          </w:p>
        </w:tc>
        <w:tc>
          <w:tcPr>
            <w:tcW w:w="7796" w:type="dxa"/>
            <w:gridSpan w:val="7"/>
            <w:noWrap w:val="0"/>
            <w:vAlign w:val="center"/>
          </w:tcPr>
          <w:p w14:paraId="35FCC158">
            <w:pPr>
              <w:jc w:val="center"/>
              <w:rPr>
                <w:rFonts w:hint="eastAsia" w:ascii="宋体" w:hAnsi="宋体"/>
                <w:szCs w:val="21"/>
                <w:highlight w:val="none"/>
              </w:rPr>
            </w:pPr>
            <w:r>
              <w:rPr>
                <w:rFonts w:hint="eastAsia" w:ascii="宋体" w:hAnsi="宋体"/>
                <w:szCs w:val="21"/>
                <w:highlight w:val="none"/>
              </w:rPr>
              <w:t>按工程施工阶段投入劳动力情况</w:t>
            </w:r>
          </w:p>
        </w:tc>
      </w:tr>
      <w:tr w14:paraId="40AF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25" w:hRule="atLeast"/>
          <w:jc w:val="center"/>
        </w:trPr>
        <w:tc>
          <w:tcPr>
            <w:tcW w:w="709" w:type="dxa"/>
            <w:noWrap w:val="0"/>
            <w:vAlign w:val="center"/>
          </w:tcPr>
          <w:p w14:paraId="39E7BE12">
            <w:pPr>
              <w:jc w:val="center"/>
              <w:rPr>
                <w:rFonts w:hint="eastAsia" w:ascii="宋体" w:hAnsi="宋体"/>
                <w:szCs w:val="21"/>
                <w:highlight w:val="none"/>
              </w:rPr>
            </w:pPr>
          </w:p>
        </w:tc>
        <w:tc>
          <w:tcPr>
            <w:tcW w:w="1418" w:type="dxa"/>
            <w:noWrap w:val="0"/>
            <w:vAlign w:val="center"/>
          </w:tcPr>
          <w:p w14:paraId="12F47805">
            <w:pPr>
              <w:jc w:val="center"/>
              <w:rPr>
                <w:rFonts w:hint="eastAsia" w:ascii="宋体" w:hAnsi="宋体"/>
                <w:szCs w:val="21"/>
                <w:highlight w:val="none"/>
              </w:rPr>
            </w:pPr>
          </w:p>
        </w:tc>
        <w:tc>
          <w:tcPr>
            <w:tcW w:w="1063" w:type="dxa"/>
            <w:noWrap w:val="0"/>
            <w:vAlign w:val="center"/>
          </w:tcPr>
          <w:p w14:paraId="12D0CC27">
            <w:pPr>
              <w:jc w:val="center"/>
              <w:rPr>
                <w:rFonts w:hint="eastAsia" w:ascii="宋体" w:hAnsi="宋体"/>
                <w:szCs w:val="21"/>
                <w:highlight w:val="none"/>
              </w:rPr>
            </w:pPr>
          </w:p>
        </w:tc>
        <w:tc>
          <w:tcPr>
            <w:tcW w:w="1063" w:type="dxa"/>
            <w:noWrap w:val="0"/>
            <w:vAlign w:val="center"/>
          </w:tcPr>
          <w:p w14:paraId="202FA9C4">
            <w:pPr>
              <w:jc w:val="center"/>
              <w:rPr>
                <w:rFonts w:hint="eastAsia" w:ascii="宋体" w:hAnsi="宋体"/>
                <w:szCs w:val="21"/>
                <w:highlight w:val="none"/>
              </w:rPr>
            </w:pPr>
          </w:p>
        </w:tc>
        <w:tc>
          <w:tcPr>
            <w:tcW w:w="1063" w:type="dxa"/>
            <w:noWrap w:val="0"/>
            <w:vAlign w:val="center"/>
          </w:tcPr>
          <w:p w14:paraId="38B0337F">
            <w:pPr>
              <w:jc w:val="center"/>
              <w:rPr>
                <w:rFonts w:hint="eastAsia" w:ascii="宋体" w:hAnsi="宋体"/>
                <w:szCs w:val="21"/>
                <w:highlight w:val="none"/>
              </w:rPr>
            </w:pPr>
          </w:p>
        </w:tc>
        <w:tc>
          <w:tcPr>
            <w:tcW w:w="1063" w:type="dxa"/>
            <w:noWrap w:val="0"/>
            <w:vAlign w:val="center"/>
          </w:tcPr>
          <w:p w14:paraId="218745A7">
            <w:pPr>
              <w:jc w:val="center"/>
              <w:rPr>
                <w:rFonts w:hint="eastAsia" w:ascii="宋体" w:hAnsi="宋体"/>
                <w:szCs w:val="21"/>
                <w:highlight w:val="none"/>
              </w:rPr>
            </w:pPr>
          </w:p>
        </w:tc>
        <w:tc>
          <w:tcPr>
            <w:tcW w:w="1063" w:type="dxa"/>
            <w:noWrap w:val="0"/>
            <w:vAlign w:val="center"/>
          </w:tcPr>
          <w:p w14:paraId="03F10D91">
            <w:pPr>
              <w:jc w:val="center"/>
              <w:rPr>
                <w:rFonts w:hint="eastAsia" w:ascii="宋体" w:hAnsi="宋体"/>
                <w:szCs w:val="21"/>
                <w:highlight w:val="none"/>
              </w:rPr>
            </w:pPr>
          </w:p>
        </w:tc>
        <w:tc>
          <w:tcPr>
            <w:tcW w:w="1063" w:type="dxa"/>
            <w:noWrap w:val="0"/>
            <w:vAlign w:val="center"/>
          </w:tcPr>
          <w:p w14:paraId="0C97F578">
            <w:pPr>
              <w:jc w:val="center"/>
              <w:rPr>
                <w:rFonts w:hint="eastAsia" w:ascii="宋体" w:hAnsi="宋体"/>
                <w:szCs w:val="21"/>
                <w:highlight w:val="none"/>
              </w:rPr>
            </w:pPr>
          </w:p>
        </w:tc>
      </w:tr>
      <w:tr w14:paraId="54D4F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25" w:hRule="atLeast"/>
          <w:jc w:val="center"/>
        </w:trPr>
        <w:tc>
          <w:tcPr>
            <w:tcW w:w="709" w:type="dxa"/>
            <w:noWrap w:val="0"/>
            <w:vAlign w:val="center"/>
          </w:tcPr>
          <w:p w14:paraId="788D6E3E">
            <w:pPr>
              <w:jc w:val="center"/>
              <w:rPr>
                <w:rFonts w:hint="eastAsia" w:ascii="宋体" w:hAnsi="宋体"/>
                <w:szCs w:val="21"/>
                <w:highlight w:val="none"/>
              </w:rPr>
            </w:pPr>
          </w:p>
        </w:tc>
        <w:tc>
          <w:tcPr>
            <w:tcW w:w="1418" w:type="dxa"/>
            <w:noWrap w:val="0"/>
            <w:vAlign w:val="center"/>
          </w:tcPr>
          <w:p w14:paraId="618D1271">
            <w:pPr>
              <w:jc w:val="center"/>
              <w:rPr>
                <w:rFonts w:hint="eastAsia" w:ascii="宋体" w:hAnsi="宋体"/>
                <w:szCs w:val="21"/>
                <w:highlight w:val="none"/>
              </w:rPr>
            </w:pPr>
          </w:p>
        </w:tc>
        <w:tc>
          <w:tcPr>
            <w:tcW w:w="1063" w:type="dxa"/>
            <w:noWrap w:val="0"/>
            <w:vAlign w:val="center"/>
          </w:tcPr>
          <w:p w14:paraId="6F8C050D">
            <w:pPr>
              <w:jc w:val="center"/>
              <w:rPr>
                <w:rFonts w:hint="eastAsia" w:ascii="宋体" w:hAnsi="宋体"/>
                <w:szCs w:val="21"/>
                <w:highlight w:val="none"/>
              </w:rPr>
            </w:pPr>
          </w:p>
        </w:tc>
        <w:tc>
          <w:tcPr>
            <w:tcW w:w="1063" w:type="dxa"/>
            <w:noWrap w:val="0"/>
            <w:vAlign w:val="center"/>
          </w:tcPr>
          <w:p w14:paraId="6A938267">
            <w:pPr>
              <w:jc w:val="center"/>
              <w:rPr>
                <w:rFonts w:hint="eastAsia" w:ascii="宋体" w:hAnsi="宋体"/>
                <w:szCs w:val="21"/>
                <w:highlight w:val="none"/>
              </w:rPr>
            </w:pPr>
          </w:p>
        </w:tc>
        <w:tc>
          <w:tcPr>
            <w:tcW w:w="1063" w:type="dxa"/>
            <w:noWrap w:val="0"/>
            <w:vAlign w:val="center"/>
          </w:tcPr>
          <w:p w14:paraId="0971FE6E">
            <w:pPr>
              <w:jc w:val="center"/>
              <w:rPr>
                <w:rFonts w:hint="eastAsia" w:ascii="宋体" w:hAnsi="宋体"/>
                <w:szCs w:val="21"/>
                <w:highlight w:val="none"/>
              </w:rPr>
            </w:pPr>
          </w:p>
        </w:tc>
        <w:tc>
          <w:tcPr>
            <w:tcW w:w="1063" w:type="dxa"/>
            <w:noWrap w:val="0"/>
            <w:vAlign w:val="center"/>
          </w:tcPr>
          <w:p w14:paraId="116BE7D6">
            <w:pPr>
              <w:jc w:val="center"/>
              <w:rPr>
                <w:rFonts w:hint="eastAsia" w:ascii="宋体" w:hAnsi="宋体"/>
                <w:szCs w:val="21"/>
                <w:highlight w:val="none"/>
              </w:rPr>
            </w:pPr>
          </w:p>
        </w:tc>
        <w:tc>
          <w:tcPr>
            <w:tcW w:w="1063" w:type="dxa"/>
            <w:noWrap w:val="0"/>
            <w:vAlign w:val="center"/>
          </w:tcPr>
          <w:p w14:paraId="7891953B">
            <w:pPr>
              <w:jc w:val="center"/>
              <w:rPr>
                <w:rFonts w:hint="eastAsia" w:ascii="宋体" w:hAnsi="宋体"/>
                <w:szCs w:val="21"/>
                <w:highlight w:val="none"/>
              </w:rPr>
            </w:pPr>
          </w:p>
        </w:tc>
        <w:tc>
          <w:tcPr>
            <w:tcW w:w="1063" w:type="dxa"/>
            <w:noWrap w:val="0"/>
            <w:vAlign w:val="center"/>
          </w:tcPr>
          <w:p w14:paraId="58D04881">
            <w:pPr>
              <w:jc w:val="center"/>
              <w:rPr>
                <w:rFonts w:hint="eastAsia" w:ascii="宋体" w:hAnsi="宋体"/>
                <w:szCs w:val="21"/>
                <w:highlight w:val="none"/>
              </w:rPr>
            </w:pPr>
          </w:p>
        </w:tc>
      </w:tr>
      <w:tr w14:paraId="0D875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25" w:hRule="atLeast"/>
          <w:jc w:val="center"/>
        </w:trPr>
        <w:tc>
          <w:tcPr>
            <w:tcW w:w="709" w:type="dxa"/>
            <w:noWrap w:val="0"/>
            <w:vAlign w:val="center"/>
          </w:tcPr>
          <w:p w14:paraId="71E1476E">
            <w:pPr>
              <w:jc w:val="center"/>
              <w:rPr>
                <w:rFonts w:hint="eastAsia" w:ascii="宋体" w:hAnsi="宋体"/>
                <w:szCs w:val="21"/>
                <w:highlight w:val="none"/>
              </w:rPr>
            </w:pPr>
          </w:p>
        </w:tc>
        <w:tc>
          <w:tcPr>
            <w:tcW w:w="1418" w:type="dxa"/>
            <w:noWrap w:val="0"/>
            <w:vAlign w:val="center"/>
          </w:tcPr>
          <w:p w14:paraId="73C63811">
            <w:pPr>
              <w:jc w:val="center"/>
              <w:rPr>
                <w:rFonts w:hint="eastAsia" w:ascii="宋体" w:hAnsi="宋体"/>
                <w:szCs w:val="21"/>
                <w:highlight w:val="none"/>
              </w:rPr>
            </w:pPr>
          </w:p>
        </w:tc>
        <w:tc>
          <w:tcPr>
            <w:tcW w:w="1063" w:type="dxa"/>
            <w:noWrap w:val="0"/>
            <w:vAlign w:val="center"/>
          </w:tcPr>
          <w:p w14:paraId="0315B83D">
            <w:pPr>
              <w:jc w:val="center"/>
              <w:rPr>
                <w:rFonts w:hint="eastAsia" w:ascii="宋体" w:hAnsi="宋体"/>
                <w:szCs w:val="21"/>
                <w:highlight w:val="none"/>
              </w:rPr>
            </w:pPr>
          </w:p>
        </w:tc>
        <w:tc>
          <w:tcPr>
            <w:tcW w:w="1063" w:type="dxa"/>
            <w:noWrap w:val="0"/>
            <w:vAlign w:val="center"/>
          </w:tcPr>
          <w:p w14:paraId="527AF354">
            <w:pPr>
              <w:jc w:val="center"/>
              <w:rPr>
                <w:rFonts w:hint="eastAsia" w:ascii="宋体" w:hAnsi="宋体"/>
                <w:szCs w:val="21"/>
                <w:highlight w:val="none"/>
              </w:rPr>
            </w:pPr>
          </w:p>
        </w:tc>
        <w:tc>
          <w:tcPr>
            <w:tcW w:w="1063" w:type="dxa"/>
            <w:noWrap w:val="0"/>
            <w:vAlign w:val="center"/>
          </w:tcPr>
          <w:p w14:paraId="34139E7E">
            <w:pPr>
              <w:jc w:val="center"/>
              <w:rPr>
                <w:rFonts w:hint="eastAsia" w:ascii="宋体" w:hAnsi="宋体"/>
                <w:szCs w:val="21"/>
                <w:highlight w:val="none"/>
              </w:rPr>
            </w:pPr>
          </w:p>
        </w:tc>
        <w:tc>
          <w:tcPr>
            <w:tcW w:w="1063" w:type="dxa"/>
            <w:noWrap w:val="0"/>
            <w:vAlign w:val="center"/>
          </w:tcPr>
          <w:p w14:paraId="335A2806">
            <w:pPr>
              <w:jc w:val="center"/>
              <w:rPr>
                <w:rFonts w:hint="eastAsia" w:ascii="宋体" w:hAnsi="宋体"/>
                <w:szCs w:val="21"/>
                <w:highlight w:val="none"/>
              </w:rPr>
            </w:pPr>
          </w:p>
        </w:tc>
        <w:tc>
          <w:tcPr>
            <w:tcW w:w="1063" w:type="dxa"/>
            <w:noWrap w:val="0"/>
            <w:vAlign w:val="center"/>
          </w:tcPr>
          <w:p w14:paraId="189FEEAE">
            <w:pPr>
              <w:jc w:val="center"/>
              <w:rPr>
                <w:rFonts w:hint="eastAsia" w:ascii="宋体" w:hAnsi="宋体"/>
                <w:szCs w:val="21"/>
                <w:highlight w:val="none"/>
              </w:rPr>
            </w:pPr>
          </w:p>
        </w:tc>
        <w:tc>
          <w:tcPr>
            <w:tcW w:w="1063" w:type="dxa"/>
            <w:noWrap w:val="0"/>
            <w:vAlign w:val="center"/>
          </w:tcPr>
          <w:p w14:paraId="76F81F16">
            <w:pPr>
              <w:jc w:val="center"/>
              <w:rPr>
                <w:rFonts w:hint="eastAsia" w:ascii="宋体" w:hAnsi="宋体"/>
                <w:szCs w:val="21"/>
                <w:highlight w:val="none"/>
              </w:rPr>
            </w:pPr>
          </w:p>
        </w:tc>
      </w:tr>
      <w:tr w14:paraId="05E66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25" w:hRule="atLeast"/>
          <w:jc w:val="center"/>
        </w:trPr>
        <w:tc>
          <w:tcPr>
            <w:tcW w:w="709" w:type="dxa"/>
            <w:noWrap w:val="0"/>
            <w:vAlign w:val="center"/>
          </w:tcPr>
          <w:p w14:paraId="04FC85B8">
            <w:pPr>
              <w:jc w:val="center"/>
              <w:rPr>
                <w:rFonts w:hint="eastAsia" w:ascii="宋体" w:hAnsi="宋体"/>
                <w:szCs w:val="21"/>
                <w:highlight w:val="none"/>
              </w:rPr>
            </w:pPr>
          </w:p>
        </w:tc>
        <w:tc>
          <w:tcPr>
            <w:tcW w:w="1418" w:type="dxa"/>
            <w:noWrap w:val="0"/>
            <w:vAlign w:val="center"/>
          </w:tcPr>
          <w:p w14:paraId="5A691DAC">
            <w:pPr>
              <w:jc w:val="center"/>
              <w:rPr>
                <w:rFonts w:hint="eastAsia" w:ascii="宋体" w:hAnsi="宋体"/>
                <w:szCs w:val="21"/>
                <w:highlight w:val="none"/>
              </w:rPr>
            </w:pPr>
          </w:p>
        </w:tc>
        <w:tc>
          <w:tcPr>
            <w:tcW w:w="1063" w:type="dxa"/>
            <w:noWrap w:val="0"/>
            <w:vAlign w:val="center"/>
          </w:tcPr>
          <w:p w14:paraId="18D99B8B">
            <w:pPr>
              <w:jc w:val="center"/>
              <w:rPr>
                <w:rFonts w:hint="eastAsia" w:ascii="宋体" w:hAnsi="宋体"/>
                <w:szCs w:val="21"/>
                <w:highlight w:val="none"/>
              </w:rPr>
            </w:pPr>
          </w:p>
        </w:tc>
        <w:tc>
          <w:tcPr>
            <w:tcW w:w="1063" w:type="dxa"/>
            <w:noWrap w:val="0"/>
            <w:vAlign w:val="center"/>
          </w:tcPr>
          <w:p w14:paraId="2447CA5F">
            <w:pPr>
              <w:jc w:val="center"/>
              <w:rPr>
                <w:rFonts w:hint="eastAsia" w:ascii="宋体" w:hAnsi="宋体"/>
                <w:szCs w:val="21"/>
                <w:highlight w:val="none"/>
              </w:rPr>
            </w:pPr>
          </w:p>
        </w:tc>
        <w:tc>
          <w:tcPr>
            <w:tcW w:w="1063" w:type="dxa"/>
            <w:noWrap w:val="0"/>
            <w:vAlign w:val="center"/>
          </w:tcPr>
          <w:p w14:paraId="4E5A5090">
            <w:pPr>
              <w:jc w:val="center"/>
              <w:rPr>
                <w:rFonts w:hint="eastAsia" w:ascii="宋体" w:hAnsi="宋体"/>
                <w:szCs w:val="21"/>
                <w:highlight w:val="none"/>
              </w:rPr>
            </w:pPr>
          </w:p>
        </w:tc>
        <w:tc>
          <w:tcPr>
            <w:tcW w:w="1063" w:type="dxa"/>
            <w:noWrap w:val="0"/>
            <w:vAlign w:val="center"/>
          </w:tcPr>
          <w:p w14:paraId="27DA1304">
            <w:pPr>
              <w:jc w:val="center"/>
              <w:rPr>
                <w:rFonts w:hint="eastAsia" w:ascii="宋体" w:hAnsi="宋体"/>
                <w:szCs w:val="21"/>
                <w:highlight w:val="none"/>
              </w:rPr>
            </w:pPr>
          </w:p>
        </w:tc>
        <w:tc>
          <w:tcPr>
            <w:tcW w:w="1063" w:type="dxa"/>
            <w:noWrap w:val="0"/>
            <w:vAlign w:val="center"/>
          </w:tcPr>
          <w:p w14:paraId="50F2265A">
            <w:pPr>
              <w:jc w:val="center"/>
              <w:rPr>
                <w:rFonts w:hint="eastAsia" w:ascii="宋体" w:hAnsi="宋体"/>
                <w:szCs w:val="21"/>
                <w:highlight w:val="none"/>
              </w:rPr>
            </w:pPr>
          </w:p>
        </w:tc>
        <w:tc>
          <w:tcPr>
            <w:tcW w:w="1063" w:type="dxa"/>
            <w:noWrap w:val="0"/>
            <w:vAlign w:val="center"/>
          </w:tcPr>
          <w:p w14:paraId="7D79914C">
            <w:pPr>
              <w:jc w:val="center"/>
              <w:rPr>
                <w:rFonts w:hint="eastAsia" w:ascii="宋体" w:hAnsi="宋体"/>
                <w:szCs w:val="21"/>
                <w:highlight w:val="none"/>
              </w:rPr>
            </w:pPr>
          </w:p>
        </w:tc>
      </w:tr>
      <w:tr w14:paraId="76B14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25" w:hRule="atLeast"/>
          <w:jc w:val="center"/>
        </w:trPr>
        <w:tc>
          <w:tcPr>
            <w:tcW w:w="709" w:type="dxa"/>
            <w:noWrap w:val="0"/>
            <w:vAlign w:val="center"/>
          </w:tcPr>
          <w:p w14:paraId="5EF1A088">
            <w:pPr>
              <w:jc w:val="center"/>
              <w:rPr>
                <w:rFonts w:hint="eastAsia" w:ascii="宋体" w:hAnsi="宋体"/>
                <w:szCs w:val="21"/>
                <w:highlight w:val="none"/>
              </w:rPr>
            </w:pPr>
          </w:p>
        </w:tc>
        <w:tc>
          <w:tcPr>
            <w:tcW w:w="1418" w:type="dxa"/>
            <w:noWrap w:val="0"/>
            <w:vAlign w:val="center"/>
          </w:tcPr>
          <w:p w14:paraId="523443D9">
            <w:pPr>
              <w:jc w:val="center"/>
              <w:rPr>
                <w:rFonts w:hint="eastAsia" w:ascii="宋体" w:hAnsi="宋体"/>
                <w:szCs w:val="21"/>
                <w:highlight w:val="none"/>
              </w:rPr>
            </w:pPr>
          </w:p>
        </w:tc>
        <w:tc>
          <w:tcPr>
            <w:tcW w:w="1063" w:type="dxa"/>
            <w:noWrap w:val="0"/>
            <w:vAlign w:val="center"/>
          </w:tcPr>
          <w:p w14:paraId="50EEE0D9">
            <w:pPr>
              <w:jc w:val="center"/>
              <w:rPr>
                <w:rFonts w:hint="eastAsia" w:ascii="宋体" w:hAnsi="宋体"/>
                <w:szCs w:val="21"/>
                <w:highlight w:val="none"/>
              </w:rPr>
            </w:pPr>
          </w:p>
        </w:tc>
        <w:tc>
          <w:tcPr>
            <w:tcW w:w="1063" w:type="dxa"/>
            <w:noWrap w:val="0"/>
            <w:vAlign w:val="center"/>
          </w:tcPr>
          <w:p w14:paraId="5F919EE1">
            <w:pPr>
              <w:jc w:val="center"/>
              <w:rPr>
                <w:rFonts w:hint="eastAsia" w:ascii="宋体" w:hAnsi="宋体"/>
                <w:szCs w:val="21"/>
                <w:highlight w:val="none"/>
              </w:rPr>
            </w:pPr>
          </w:p>
        </w:tc>
        <w:tc>
          <w:tcPr>
            <w:tcW w:w="1063" w:type="dxa"/>
            <w:noWrap w:val="0"/>
            <w:vAlign w:val="center"/>
          </w:tcPr>
          <w:p w14:paraId="62D43069">
            <w:pPr>
              <w:jc w:val="center"/>
              <w:rPr>
                <w:rFonts w:hint="eastAsia" w:ascii="宋体" w:hAnsi="宋体"/>
                <w:szCs w:val="21"/>
                <w:highlight w:val="none"/>
              </w:rPr>
            </w:pPr>
          </w:p>
        </w:tc>
        <w:tc>
          <w:tcPr>
            <w:tcW w:w="1063" w:type="dxa"/>
            <w:noWrap w:val="0"/>
            <w:vAlign w:val="center"/>
          </w:tcPr>
          <w:p w14:paraId="3B4AC4BA">
            <w:pPr>
              <w:jc w:val="center"/>
              <w:rPr>
                <w:rFonts w:hint="eastAsia" w:ascii="宋体" w:hAnsi="宋体"/>
                <w:szCs w:val="21"/>
                <w:highlight w:val="none"/>
              </w:rPr>
            </w:pPr>
          </w:p>
        </w:tc>
        <w:tc>
          <w:tcPr>
            <w:tcW w:w="1063" w:type="dxa"/>
            <w:noWrap w:val="0"/>
            <w:vAlign w:val="center"/>
          </w:tcPr>
          <w:p w14:paraId="212E1B46">
            <w:pPr>
              <w:jc w:val="center"/>
              <w:rPr>
                <w:rFonts w:hint="eastAsia" w:ascii="宋体" w:hAnsi="宋体"/>
                <w:szCs w:val="21"/>
                <w:highlight w:val="none"/>
              </w:rPr>
            </w:pPr>
          </w:p>
        </w:tc>
        <w:tc>
          <w:tcPr>
            <w:tcW w:w="1063" w:type="dxa"/>
            <w:noWrap w:val="0"/>
            <w:vAlign w:val="center"/>
          </w:tcPr>
          <w:p w14:paraId="12A96F2E">
            <w:pPr>
              <w:jc w:val="center"/>
              <w:rPr>
                <w:rFonts w:hint="eastAsia" w:ascii="宋体" w:hAnsi="宋体"/>
                <w:szCs w:val="21"/>
                <w:highlight w:val="none"/>
              </w:rPr>
            </w:pPr>
          </w:p>
        </w:tc>
      </w:tr>
      <w:tr w14:paraId="2CE33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25" w:hRule="atLeast"/>
          <w:jc w:val="center"/>
        </w:trPr>
        <w:tc>
          <w:tcPr>
            <w:tcW w:w="709" w:type="dxa"/>
            <w:noWrap w:val="0"/>
            <w:vAlign w:val="center"/>
          </w:tcPr>
          <w:p w14:paraId="265B859F">
            <w:pPr>
              <w:jc w:val="center"/>
              <w:rPr>
                <w:rFonts w:hint="eastAsia" w:ascii="宋体" w:hAnsi="宋体"/>
                <w:szCs w:val="21"/>
                <w:highlight w:val="none"/>
              </w:rPr>
            </w:pPr>
          </w:p>
        </w:tc>
        <w:tc>
          <w:tcPr>
            <w:tcW w:w="1418" w:type="dxa"/>
            <w:noWrap w:val="0"/>
            <w:vAlign w:val="center"/>
          </w:tcPr>
          <w:p w14:paraId="24580C4D">
            <w:pPr>
              <w:jc w:val="center"/>
              <w:rPr>
                <w:rFonts w:hint="eastAsia" w:ascii="宋体" w:hAnsi="宋体"/>
                <w:szCs w:val="21"/>
                <w:highlight w:val="none"/>
              </w:rPr>
            </w:pPr>
          </w:p>
        </w:tc>
        <w:tc>
          <w:tcPr>
            <w:tcW w:w="1063" w:type="dxa"/>
            <w:noWrap w:val="0"/>
            <w:vAlign w:val="center"/>
          </w:tcPr>
          <w:p w14:paraId="54FA7828">
            <w:pPr>
              <w:jc w:val="center"/>
              <w:rPr>
                <w:rFonts w:hint="eastAsia" w:ascii="宋体" w:hAnsi="宋体"/>
                <w:szCs w:val="21"/>
                <w:highlight w:val="none"/>
              </w:rPr>
            </w:pPr>
          </w:p>
        </w:tc>
        <w:tc>
          <w:tcPr>
            <w:tcW w:w="1063" w:type="dxa"/>
            <w:noWrap w:val="0"/>
            <w:vAlign w:val="center"/>
          </w:tcPr>
          <w:p w14:paraId="11BAC3D2">
            <w:pPr>
              <w:jc w:val="center"/>
              <w:rPr>
                <w:rFonts w:hint="eastAsia" w:ascii="宋体" w:hAnsi="宋体"/>
                <w:szCs w:val="21"/>
                <w:highlight w:val="none"/>
              </w:rPr>
            </w:pPr>
          </w:p>
        </w:tc>
        <w:tc>
          <w:tcPr>
            <w:tcW w:w="1063" w:type="dxa"/>
            <w:noWrap w:val="0"/>
            <w:vAlign w:val="center"/>
          </w:tcPr>
          <w:p w14:paraId="6773E41F">
            <w:pPr>
              <w:jc w:val="center"/>
              <w:rPr>
                <w:rFonts w:hint="eastAsia" w:ascii="宋体" w:hAnsi="宋体"/>
                <w:szCs w:val="21"/>
                <w:highlight w:val="none"/>
              </w:rPr>
            </w:pPr>
          </w:p>
        </w:tc>
        <w:tc>
          <w:tcPr>
            <w:tcW w:w="1063" w:type="dxa"/>
            <w:noWrap w:val="0"/>
            <w:vAlign w:val="center"/>
          </w:tcPr>
          <w:p w14:paraId="6710E6F1">
            <w:pPr>
              <w:jc w:val="center"/>
              <w:rPr>
                <w:rFonts w:hint="eastAsia" w:ascii="宋体" w:hAnsi="宋体"/>
                <w:szCs w:val="21"/>
                <w:highlight w:val="none"/>
              </w:rPr>
            </w:pPr>
          </w:p>
        </w:tc>
        <w:tc>
          <w:tcPr>
            <w:tcW w:w="1063" w:type="dxa"/>
            <w:noWrap w:val="0"/>
            <w:vAlign w:val="center"/>
          </w:tcPr>
          <w:p w14:paraId="6D084F05">
            <w:pPr>
              <w:jc w:val="center"/>
              <w:rPr>
                <w:rFonts w:hint="eastAsia" w:ascii="宋体" w:hAnsi="宋体"/>
                <w:szCs w:val="21"/>
                <w:highlight w:val="none"/>
              </w:rPr>
            </w:pPr>
          </w:p>
        </w:tc>
        <w:tc>
          <w:tcPr>
            <w:tcW w:w="1063" w:type="dxa"/>
            <w:noWrap w:val="0"/>
            <w:vAlign w:val="center"/>
          </w:tcPr>
          <w:p w14:paraId="1DE2B522">
            <w:pPr>
              <w:jc w:val="center"/>
              <w:rPr>
                <w:rFonts w:hint="eastAsia" w:ascii="宋体" w:hAnsi="宋体"/>
                <w:szCs w:val="21"/>
                <w:highlight w:val="none"/>
              </w:rPr>
            </w:pPr>
          </w:p>
        </w:tc>
      </w:tr>
      <w:tr w14:paraId="717F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25" w:hRule="atLeast"/>
          <w:jc w:val="center"/>
        </w:trPr>
        <w:tc>
          <w:tcPr>
            <w:tcW w:w="709" w:type="dxa"/>
            <w:noWrap w:val="0"/>
            <w:vAlign w:val="center"/>
          </w:tcPr>
          <w:p w14:paraId="5D133DE5">
            <w:pPr>
              <w:jc w:val="center"/>
              <w:rPr>
                <w:rFonts w:hint="eastAsia" w:ascii="宋体" w:hAnsi="宋体"/>
                <w:szCs w:val="21"/>
                <w:highlight w:val="none"/>
              </w:rPr>
            </w:pPr>
          </w:p>
        </w:tc>
        <w:tc>
          <w:tcPr>
            <w:tcW w:w="1418" w:type="dxa"/>
            <w:noWrap w:val="0"/>
            <w:vAlign w:val="center"/>
          </w:tcPr>
          <w:p w14:paraId="63520376">
            <w:pPr>
              <w:jc w:val="center"/>
              <w:rPr>
                <w:rFonts w:hint="eastAsia" w:ascii="宋体" w:hAnsi="宋体"/>
                <w:szCs w:val="21"/>
                <w:highlight w:val="none"/>
              </w:rPr>
            </w:pPr>
          </w:p>
        </w:tc>
        <w:tc>
          <w:tcPr>
            <w:tcW w:w="1063" w:type="dxa"/>
            <w:noWrap w:val="0"/>
            <w:vAlign w:val="center"/>
          </w:tcPr>
          <w:p w14:paraId="7398851E">
            <w:pPr>
              <w:jc w:val="center"/>
              <w:rPr>
                <w:rFonts w:hint="eastAsia" w:ascii="宋体" w:hAnsi="宋体"/>
                <w:szCs w:val="21"/>
                <w:highlight w:val="none"/>
              </w:rPr>
            </w:pPr>
          </w:p>
        </w:tc>
        <w:tc>
          <w:tcPr>
            <w:tcW w:w="1063" w:type="dxa"/>
            <w:noWrap w:val="0"/>
            <w:vAlign w:val="center"/>
          </w:tcPr>
          <w:p w14:paraId="0351A461">
            <w:pPr>
              <w:jc w:val="center"/>
              <w:rPr>
                <w:rFonts w:hint="eastAsia" w:ascii="宋体" w:hAnsi="宋体"/>
                <w:szCs w:val="21"/>
                <w:highlight w:val="none"/>
              </w:rPr>
            </w:pPr>
          </w:p>
        </w:tc>
        <w:tc>
          <w:tcPr>
            <w:tcW w:w="1063" w:type="dxa"/>
            <w:noWrap w:val="0"/>
            <w:vAlign w:val="center"/>
          </w:tcPr>
          <w:p w14:paraId="312E4F88">
            <w:pPr>
              <w:jc w:val="center"/>
              <w:rPr>
                <w:rFonts w:hint="eastAsia" w:ascii="宋体" w:hAnsi="宋体"/>
                <w:szCs w:val="21"/>
                <w:highlight w:val="none"/>
              </w:rPr>
            </w:pPr>
          </w:p>
        </w:tc>
        <w:tc>
          <w:tcPr>
            <w:tcW w:w="1063" w:type="dxa"/>
            <w:noWrap w:val="0"/>
            <w:vAlign w:val="center"/>
          </w:tcPr>
          <w:p w14:paraId="5577E698">
            <w:pPr>
              <w:jc w:val="center"/>
              <w:rPr>
                <w:rFonts w:hint="eastAsia" w:ascii="宋体" w:hAnsi="宋体"/>
                <w:szCs w:val="21"/>
                <w:highlight w:val="none"/>
              </w:rPr>
            </w:pPr>
          </w:p>
        </w:tc>
        <w:tc>
          <w:tcPr>
            <w:tcW w:w="1063" w:type="dxa"/>
            <w:noWrap w:val="0"/>
            <w:vAlign w:val="center"/>
          </w:tcPr>
          <w:p w14:paraId="0F8593BE">
            <w:pPr>
              <w:jc w:val="center"/>
              <w:rPr>
                <w:rFonts w:hint="eastAsia" w:ascii="宋体" w:hAnsi="宋体"/>
                <w:szCs w:val="21"/>
                <w:highlight w:val="none"/>
              </w:rPr>
            </w:pPr>
          </w:p>
        </w:tc>
        <w:tc>
          <w:tcPr>
            <w:tcW w:w="1063" w:type="dxa"/>
            <w:noWrap w:val="0"/>
            <w:vAlign w:val="center"/>
          </w:tcPr>
          <w:p w14:paraId="2FEC6746">
            <w:pPr>
              <w:jc w:val="center"/>
              <w:rPr>
                <w:rFonts w:hint="eastAsia" w:ascii="宋体" w:hAnsi="宋体"/>
                <w:szCs w:val="21"/>
                <w:highlight w:val="none"/>
              </w:rPr>
            </w:pPr>
          </w:p>
        </w:tc>
      </w:tr>
      <w:tr w14:paraId="5EA8814B">
        <w:tblPrEx>
          <w:tblCellMar>
            <w:top w:w="0" w:type="dxa"/>
            <w:left w:w="108" w:type="dxa"/>
            <w:bottom w:w="0" w:type="dxa"/>
            <w:right w:w="108" w:type="dxa"/>
          </w:tblCellMar>
        </w:tblPrEx>
        <w:trPr>
          <w:wBefore w:w="0" w:type="dxa"/>
          <w:trHeight w:val="425" w:hRule="atLeast"/>
          <w:jc w:val="center"/>
        </w:trPr>
        <w:tc>
          <w:tcPr>
            <w:tcW w:w="709" w:type="dxa"/>
            <w:noWrap w:val="0"/>
            <w:vAlign w:val="center"/>
          </w:tcPr>
          <w:p w14:paraId="2625AD2C">
            <w:pPr>
              <w:jc w:val="center"/>
              <w:rPr>
                <w:rFonts w:hint="eastAsia" w:ascii="宋体" w:hAnsi="宋体"/>
                <w:szCs w:val="21"/>
                <w:highlight w:val="none"/>
              </w:rPr>
            </w:pPr>
          </w:p>
        </w:tc>
        <w:tc>
          <w:tcPr>
            <w:tcW w:w="1418" w:type="dxa"/>
            <w:noWrap w:val="0"/>
            <w:vAlign w:val="center"/>
          </w:tcPr>
          <w:p w14:paraId="79B01EF2">
            <w:pPr>
              <w:jc w:val="center"/>
              <w:rPr>
                <w:rFonts w:hint="eastAsia" w:ascii="宋体" w:hAnsi="宋体"/>
                <w:szCs w:val="21"/>
                <w:highlight w:val="none"/>
              </w:rPr>
            </w:pPr>
          </w:p>
        </w:tc>
        <w:tc>
          <w:tcPr>
            <w:tcW w:w="1063" w:type="dxa"/>
            <w:noWrap w:val="0"/>
            <w:vAlign w:val="center"/>
          </w:tcPr>
          <w:p w14:paraId="7A791A7C">
            <w:pPr>
              <w:jc w:val="center"/>
              <w:rPr>
                <w:rFonts w:hint="eastAsia" w:ascii="宋体" w:hAnsi="宋体"/>
                <w:szCs w:val="21"/>
                <w:highlight w:val="none"/>
              </w:rPr>
            </w:pPr>
          </w:p>
        </w:tc>
        <w:tc>
          <w:tcPr>
            <w:tcW w:w="1063" w:type="dxa"/>
            <w:noWrap w:val="0"/>
            <w:vAlign w:val="center"/>
          </w:tcPr>
          <w:p w14:paraId="36B9D62F">
            <w:pPr>
              <w:jc w:val="center"/>
              <w:rPr>
                <w:rFonts w:hint="eastAsia" w:ascii="宋体" w:hAnsi="宋体"/>
                <w:szCs w:val="21"/>
                <w:highlight w:val="none"/>
              </w:rPr>
            </w:pPr>
          </w:p>
        </w:tc>
        <w:tc>
          <w:tcPr>
            <w:tcW w:w="1063" w:type="dxa"/>
            <w:noWrap w:val="0"/>
            <w:vAlign w:val="center"/>
          </w:tcPr>
          <w:p w14:paraId="1986038B">
            <w:pPr>
              <w:jc w:val="center"/>
              <w:rPr>
                <w:rFonts w:hint="eastAsia" w:ascii="宋体" w:hAnsi="宋体"/>
                <w:szCs w:val="21"/>
                <w:highlight w:val="none"/>
              </w:rPr>
            </w:pPr>
          </w:p>
        </w:tc>
        <w:tc>
          <w:tcPr>
            <w:tcW w:w="1063" w:type="dxa"/>
            <w:noWrap w:val="0"/>
            <w:vAlign w:val="center"/>
          </w:tcPr>
          <w:p w14:paraId="472CF8EE">
            <w:pPr>
              <w:jc w:val="center"/>
              <w:rPr>
                <w:rFonts w:hint="eastAsia" w:ascii="宋体" w:hAnsi="宋体"/>
                <w:szCs w:val="21"/>
                <w:highlight w:val="none"/>
              </w:rPr>
            </w:pPr>
          </w:p>
        </w:tc>
        <w:tc>
          <w:tcPr>
            <w:tcW w:w="1063" w:type="dxa"/>
            <w:noWrap w:val="0"/>
            <w:vAlign w:val="center"/>
          </w:tcPr>
          <w:p w14:paraId="2B6AF40E">
            <w:pPr>
              <w:jc w:val="center"/>
              <w:rPr>
                <w:rFonts w:hint="eastAsia" w:ascii="宋体" w:hAnsi="宋体"/>
                <w:szCs w:val="21"/>
                <w:highlight w:val="none"/>
              </w:rPr>
            </w:pPr>
          </w:p>
        </w:tc>
        <w:tc>
          <w:tcPr>
            <w:tcW w:w="1063" w:type="dxa"/>
            <w:noWrap w:val="0"/>
            <w:vAlign w:val="center"/>
          </w:tcPr>
          <w:p w14:paraId="2B515317">
            <w:pPr>
              <w:jc w:val="center"/>
              <w:rPr>
                <w:rFonts w:hint="eastAsia" w:ascii="宋体" w:hAnsi="宋体"/>
                <w:szCs w:val="21"/>
                <w:highlight w:val="none"/>
              </w:rPr>
            </w:pPr>
          </w:p>
        </w:tc>
      </w:tr>
      <w:tr w14:paraId="41056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25" w:hRule="atLeast"/>
          <w:jc w:val="center"/>
        </w:trPr>
        <w:tc>
          <w:tcPr>
            <w:tcW w:w="709" w:type="dxa"/>
            <w:noWrap w:val="0"/>
            <w:vAlign w:val="center"/>
          </w:tcPr>
          <w:p w14:paraId="5E85A848">
            <w:pPr>
              <w:jc w:val="center"/>
              <w:rPr>
                <w:rFonts w:hint="eastAsia" w:ascii="宋体" w:hAnsi="宋体"/>
                <w:szCs w:val="21"/>
                <w:highlight w:val="none"/>
              </w:rPr>
            </w:pPr>
          </w:p>
        </w:tc>
        <w:tc>
          <w:tcPr>
            <w:tcW w:w="1418" w:type="dxa"/>
            <w:noWrap w:val="0"/>
            <w:vAlign w:val="center"/>
          </w:tcPr>
          <w:p w14:paraId="0BCF5BEA">
            <w:pPr>
              <w:jc w:val="center"/>
              <w:rPr>
                <w:rFonts w:hint="eastAsia" w:ascii="宋体" w:hAnsi="宋体"/>
                <w:szCs w:val="21"/>
                <w:highlight w:val="none"/>
              </w:rPr>
            </w:pPr>
          </w:p>
        </w:tc>
        <w:tc>
          <w:tcPr>
            <w:tcW w:w="1063" w:type="dxa"/>
            <w:noWrap w:val="0"/>
            <w:vAlign w:val="center"/>
          </w:tcPr>
          <w:p w14:paraId="7100B18F">
            <w:pPr>
              <w:jc w:val="center"/>
              <w:rPr>
                <w:rFonts w:hint="eastAsia" w:ascii="宋体" w:hAnsi="宋体"/>
                <w:szCs w:val="21"/>
                <w:highlight w:val="none"/>
              </w:rPr>
            </w:pPr>
          </w:p>
        </w:tc>
        <w:tc>
          <w:tcPr>
            <w:tcW w:w="1063" w:type="dxa"/>
            <w:noWrap w:val="0"/>
            <w:vAlign w:val="center"/>
          </w:tcPr>
          <w:p w14:paraId="530CEBB6">
            <w:pPr>
              <w:jc w:val="center"/>
              <w:rPr>
                <w:rFonts w:hint="eastAsia" w:ascii="宋体" w:hAnsi="宋体"/>
                <w:szCs w:val="21"/>
                <w:highlight w:val="none"/>
              </w:rPr>
            </w:pPr>
          </w:p>
        </w:tc>
        <w:tc>
          <w:tcPr>
            <w:tcW w:w="1063" w:type="dxa"/>
            <w:noWrap w:val="0"/>
            <w:vAlign w:val="center"/>
          </w:tcPr>
          <w:p w14:paraId="7663A072">
            <w:pPr>
              <w:jc w:val="center"/>
              <w:rPr>
                <w:rFonts w:hint="eastAsia" w:ascii="宋体" w:hAnsi="宋体"/>
                <w:szCs w:val="21"/>
                <w:highlight w:val="none"/>
              </w:rPr>
            </w:pPr>
          </w:p>
        </w:tc>
        <w:tc>
          <w:tcPr>
            <w:tcW w:w="1063" w:type="dxa"/>
            <w:noWrap w:val="0"/>
            <w:vAlign w:val="center"/>
          </w:tcPr>
          <w:p w14:paraId="74056004">
            <w:pPr>
              <w:jc w:val="center"/>
              <w:rPr>
                <w:rFonts w:hint="eastAsia" w:ascii="宋体" w:hAnsi="宋体"/>
                <w:szCs w:val="21"/>
                <w:highlight w:val="none"/>
              </w:rPr>
            </w:pPr>
          </w:p>
        </w:tc>
        <w:tc>
          <w:tcPr>
            <w:tcW w:w="1063" w:type="dxa"/>
            <w:noWrap w:val="0"/>
            <w:vAlign w:val="center"/>
          </w:tcPr>
          <w:p w14:paraId="741BEBE1">
            <w:pPr>
              <w:jc w:val="center"/>
              <w:rPr>
                <w:rFonts w:hint="eastAsia" w:ascii="宋体" w:hAnsi="宋体"/>
                <w:szCs w:val="21"/>
                <w:highlight w:val="none"/>
              </w:rPr>
            </w:pPr>
          </w:p>
        </w:tc>
        <w:tc>
          <w:tcPr>
            <w:tcW w:w="1063" w:type="dxa"/>
            <w:noWrap w:val="0"/>
            <w:vAlign w:val="center"/>
          </w:tcPr>
          <w:p w14:paraId="21A791F8">
            <w:pPr>
              <w:jc w:val="center"/>
              <w:rPr>
                <w:rFonts w:hint="eastAsia" w:ascii="宋体" w:hAnsi="宋体"/>
                <w:szCs w:val="21"/>
                <w:highlight w:val="none"/>
              </w:rPr>
            </w:pPr>
          </w:p>
        </w:tc>
      </w:tr>
      <w:tr w14:paraId="7FA7D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25" w:hRule="atLeast"/>
          <w:jc w:val="center"/>
        </w:trPr>
        <w:tc>
          <w:tcPr>
            <w:tcW w:w="709" w:type="dxa"/>
            <w:noWrap w:val="0"/>
            <w:vAlign w:val="center"/>
          </w:tcPr>
          <w:p w14:paraId="0B58DF24">
            <w:pPr>
              <w:jc w:val="center"/>
              <w:rPr>
                <w:rFonts w:hint="eastAsia" w:ascii="宋体" w:hAnsi="宋体"/>
                <w:szCs w:val="21"/>
                <w:highlight w:val="none"/>
              </w:rPr>
            </w:pPr>
          </w:p>
        </w:tc>
        <w:tc>
          <w:tcPr>
            <w:tcW w:w="1418" w:type="dxa"/>
            <w:noWrap w:val="0"/>
            <w:vAlign w:val="center"/>
          </w:tcPr>
          <w:p w14:paraId="1F9D5CC1">
            <w:pPr>
              <w:jc w:val="center"/>
              <w:rPr>
                <w:rFonts w:hint="eastAsia" w:ascii="宋体" w:hAnsi="宋体"/>
                <w:szCs w:val="21"/>
                <w:highlight w:val="none"/>
              </w:rPr>
            </w:pPr>
          </w:p>
        </w:tc>
        <w:tc>
          <w:tcPr>
            <w:tcW w:w="1063" w:type="dxa"/>
            <w:noWrap w:val="0"/>
            <w:vAlign w:val="center"/>
          </w:tcPr>
          <w:p w14:paraId="14F068FA">
            <w:pPr>
              <w:jc w:val="center"/>
              <w:rPr>
                <w:rFonts w:hint="eastAsia" w:ascii="宋体" w:hAnsi="宋体"/>
                <w:szCs w:val="21"/>
                <w:highlight w:val="none"/>
              </w:rPr>
            </w:pPr>
          </w:p>
        </w:tc>
        <w:tc>
          <w:tcPr>
            <w:tcW w:w="1063" w:type="dxa"/>
            <w:noWrap w:val="0"/>
            <w:vAlign w:val="center"/>
          </w:tcPr>
          <w:p w14:paraId="75EBA70F">
            <w:pPr>
              <w:jc w:val="center"/>
              <w:rPr>
                <w:rFonts w:hint="eastAsia" w:ascii="宋体" w:hAnsi="宋体"/>
                <w:szCs w:val="21"/>
                <w:highlight w:val="none"/>
              </w:rPr>
            </w:pPr>
          </w:p>
        </w:tc>
        <w:tc>
          <w:tcPr>
            <w:tcW w:w="1063" w:type="dxa"/>
            <w:noWrap w:val="0"/>
            <w:vAlign w:val="center"/>
          </w:tcPr>
          <w:p w14:paraId="2134B20A">
            <w:pPr>
              <w:jc w:val="center"/>
              <w:rPr>
                <w:rFonts w:hint="eastAsia" w:ascii="宋体" w:hAnsi="宋体"/>
                <w:szCs w:val="21"/>
                <w:highlight w:val="none"/>
              </w:rPr>
            </w:pPr>
          </w:p>
        </w:tc>
        <w:tc>
          <w:tcPr>
            <w:tcW w:w="1063" w:type="dxa"/>
            <w:noWrap w:val="0"/>
            <w:vAlign w:val="center"/>
          </w:tcPr>
          <w:p w14:paraId="002B975C">
            <w:pPr>
              <w:jc w:val="center"/>
              <w:rPr>
                <w:rFonts w:hint="eastAsia" w:ascii="宋体" w:hAnsi="宋体"/>
                <w:szCs w:val="21"/>
                <w:highlight w:val="none"/>
              </w:rPr>
            </w:pPr>
          </w:p>
        </w:tc>
        <w:tc>
          <w:tcPr>
            <w:tcW w:w="1063" w:type="dxa"/>
            <w:noWrap w:val="0"/>
            <w:vAlign w:val="center"/>
          </w:tcPr>
          <w:p w14:paraId="013AD66F">
            <w:pPr>
              <w:jc w:val="center"/>
              <w:rPr>
                <w:rFonts w:hint="eastAsia" w:ascii="宋体" w:hAnsi="宋体"/>
                <w:szCs w:val="21"/>
                <w:highlight w:val="none"/>
              </w:rPr>
            </w:pPr>
          </w:p>
        </w:tc>
        <w:tc>
          <w:tcPr>
            <w:tcW w:w="1063" w:type="dxa"/>
            <w:noWrap w:val="0"/>
            <w:vAlign w:val="center"/>
          </w:tcPr>
          <w:p w14:paraId="5297E70C">
            <w:pPr>
              <w:jc w:val="center"/>
              <w:rPr>
                <w:rFonts w:hint="eastAsia" w:ascii="宋体" w:hAnsi="宋体"/>
                <w:szCs w:val="21"/>
                <w:highlight w:val="none"/>
              </w:rPr>
            </w:pPr>
          </w:p>
        </w:tc>
      </w:tr>
      <w:tr w14:paraId="3A444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25" w:hRule="atLeast"/>
          <w:jc w:val="center"/>
        </w:trPr>
        <w:tc>
          <w:tcPr>
            <w:tcW w:w="709" w:type="dxa"/>
            <w:noWrap w:val="0"/>
            <w:vAlign w:val="center"/>
          </w:tcPr>
          <w:p w14:paraId="0337CE27">
            <w:pPr>
              <w:jc w:val="center"/>
              <w:rPr>
                <w:rFonts w:hint="eastAsia" w:ascii="宋体" w:hAnsi="宋体"/>
                <w:szCs w:val="21"/>
                <w:highlight w:val="none"/>
              </w:rPr>
            </w:pPr>
          </w:p>
        </w:tc>
        <w:tc>
          <w:tcPr>
            <w:tcW w:w="1418" w:type="dxa"/>
            <w:noWrap w:val="0"/>
            <w:vAlign w:val="center"/>
          </w:tcPr>
          <w:p w14:paraId="7DB166DF">
            <w:pPr>
              <w:jc w:val="center"/>
              <w:rPr>
                <w:rFonts w:hint="eastAsia" w:ascii="宋体" w:hAnsi="宋体"/>
                <w:szCs w:val="21"/>
                <w:highlight w:val="none"/>
              </w:rPr>
            </w:pPr>
          </w:p>
        </w:tc>
        <w:tc>
          <w:tcPr>
            <w:tcW w:w="1063" w:type="dxa"/>
            <w:noWrap w:val="0"/>
            <w:vAlign w:val="center"/>
          </w:tcPr>
          <w:p w14:paraId="0EA8CB38">
            <w:pPr>
              <w:jc w:val="center"/>
              <w:rPr>
                <w:rFonts w:hint="eastAsia" w:ascii="宋体" w:hAnsi="宋体"/>
                <w:szCs w:val="21"/>
                <w:highlight w:val="none"/>
              </w:rPr>
            </w:pPr>
          </w:p>
        </w:tc>
        <w:tc>
          <w:tcPr>
            <w:tcW w:w="1063" w:type="dxa"/>
            <w:noWrap w:val="0"/>
            <w:vAlign w:val="center"/>
          </w:tcPr>
          <w:p w14:paraId="24E82D9D">
            <w:pPr>
              <w:jc w:val="center"/>
              <w:rPr>
                <w:rFonts w:hint="eastAsia" w:ascii="宋体" w:hAnsi="宋体"/>
                <w:szCs w:val="21"/>
                <w:highlight w:val="none"/>
              </w:rPr>
            </w:pPr>
          </w:p>
        </w:tc>
        <w:tc>
          <w:tcPr>
            <w:tcW w:w="1063" w:type="dxa"/>
            <w:noWrap w:val="0"/>
            <w:vAlign w:val="center"/>
          </w:tcPr>
          <w:p w14:paraId="3F0C19CE">
            <w:pPr>
              <w:jc w:val="center"/>
              <w:rPr>
                <w:rFonts w:hint="eastAsia" w:ascii="宋体" w:hAnsi="宋体"/>
                <w:szCs w:val="21"/>
                <w:highlight w:val="none"/>
              </w:rPr>
            </w:pPr>
          </w:p>
        </w:tc>
        <w:tc>
          <w:tcPr>
            <w:tcW w:w="1063" w:type="dxa"/>
            <w:noWrap w:val="0"/>
            <w:vAlign w:val="center"/>
          </w:tcPr>
          <w:p w14:paraId="4703CC89">
            <w:pPr>
              <w:jc w:val="center"/>
              <w:rPr>
                <w:rFonts w:hint="eastAsia" w:ascii="宋体" w:hAnsi="宋体"/>
                <w:szCs w:val="21"/>
                <w:highlight w:val="none"/>
              </w:rPr>
            </w:pPr>
          </w:p>
        </w:tc>
        <w:tc>
          <w:tcPr>
            <w:tcW w:w="1063" w:type="dxa"/>
            <w:noWrap w:val="0"/>
            <w:vAlign w:val="center"/>
          </w:tcPr>
          <w:p w14:paraId="1EE45981">
            <w:pPr>
              <w:jc w:val="center"/>
              <w:rPr>
                <w:rFonts w:hint="eastAsia" w:ascii="宋体" w:hAnsi="宋体"/>
                <w:szCs w:val="21"/>
                <w:highlight w:val="none"/>
              </w:rPr>
            </w:pPr>
          </w:p>
        </w:tc>
        <w:tc>
          <w:tcPr>
            <w:tcW w:w="1063" w:type="dxa"/>
            <w:noWrap w:val="0"/>
            <w:vAlign w:val="center"/>
          </w:tcPr>
          <w:p w14:paraId="4E2FED5E">
            <w:pPr>
              <w:jc w:val="center"/>
              <w:rPr>
                <w:rFonts w:hint="eastAsia" w:ascii="宋体" w:hAnsi="宋体"/>
                <w:szCs w:val="21"/>
                <w:highlight w:val="none"/>
              </w:rPr>
            </w:pPr>
          </w:p>
        </w:tc>
      </w:tr>
      <w:tr w14:paraId="6C22B688">
        <w:tblPrEx>
          <w:tblCellMar>
            <w:top w:w="0" w:type="dxa"/>
            <w:left w:w="108" w:type="dxa"/>
            <w:bottom w:w="0" w:type="dxa"/>
            <w:right w:w="108" w:type="dxa"/>
          </w:tblCellMar>
        </w:tblPrEx>
        <w:trPr>
          <w:wBefore w:w="0" w:type="dxa"/>
          <w:trHeight w:val="425" w:hRule="atLeast"/>
          <w:jc w:val="center"/>
        </w:trPr>
        <w:tc>
          <w:tcPr>
            <w:tcW w:w="709" w:type="dxa"/>
            <w:noWrap w:val="0"/>
            <w:vAlign w:val="center"/>
          </w:tcPr>
          <w:p w14:paraId="3716A163">
            <w:pPr>
              <w:jc w:val="center"/>
              <w:rPr>
                <w:rFonts w:hint="eastAsia" w:ascii="宋体" w:hAnsi="宋体"/>
                <w:szCs w:val="21"/>
                <w:highlight w:val="none"/>
              </w:rPr>
            </w:pPr>
          </w:p>
        </w:tc>
        <w:tc>
          <w:tcPr>
            <w:tcW w:w="1418" w:type="dxa"/>
            <w:noWrap w:val="0"/>
            <w:vAlign w:val="center"/>
          </w:tcPr>
          <w:p w14:paraId="634781D7">
            <w:pPr>
              <w:jc w:val="center"/>
              <w:rPr>
                <w:rFonts w:hint="eastAsia" w:ascii="宋体" w:hAnsi="宋体"/>
                <w:szCs w:val="21"/>
                <w:highlight w:val="none"/>
              </w:rPr>
            </w:pPr>
          </w:p>
        </w:tc>
        <w:tc>
          <w:tcPr>
            <w:tcW w:w="1063" w:type="dxa"/>
            <w:noWrap w:val="0"/>
            <w:vAlign w:val="center"/>
          </w:tcPr>
          <w:p w14:paraId="14ACA3C6">
            <w:pPr>
              <w:jc w:val="center"/>
              <w:rPr>
                <w:rFonts w:hint="eastAsia" w:ascii="宋体" w:hAnsi="宋体"/>
                <w:szCs w:val="21"/>
                <w:highlight w:val="none"/>
              </w:rPr>
            </w:pPr>
          </w:p>
        </w:tc>
        <w:tc>
          <w:tcPr>
            <w:tcW w:w="1063" w:type="dxa"/>
            <w:noWrap w:val="0"/>
            <w:vAlign w:val="center"/>
          </w:tcPr>
          <w:p w14:paraId="7684969F">
            <w:pPr>
              <w:jc w:val="center"/>
              <w:rPr>
                <w:rFonts w:hint="eastAsia" w:ascii="宋体" w:hAnsi="宋体"/>
                <w:szCs w:val="21"/>
                <w:highlight w:val="none"/>
              </w:rPr>
            </w:pPr>
          </w:p>
        </w:tc>
        <w:tc>
          <w:tcPr>
            <w:tcW w:w="1063" w:type="dxa"/>
            <w:noWrap w:val="0"/>
            <w:vAlign w:val="center"/>
          </w:tcPr>
          <w:p w14:paraId="5123E5A1">
            <w:pPr>
              <w:jc w:val="center"/>
              <w:rPr>
                <w:rFonts w:hint="eastAsia" w:ascii="宋体" w:hAnsi="宋体"/>
                <w:szCs w:val="21"/>
                <w:highlight w:val="none"/>
              </w:rPr>
            </w:pPr>
          </w:p>
        </w:tc>
        <w:tc>
          <w:tcPr>
            <w:tcW w:w="1063" w:type="dxa"/>
            <w:noWrap w:val="0"/>
            <w:vAlign w:val="center"/>
          </w:tcPr>
          <w:p w14:paraId="72EE1CD8">
            <w:pPr>
              <w:jc w:val="center"/>
              <w:rPr>
                <w:rFonts w:hint="eastAsia" w:ascii="宋体" w:hAnsi="宋体"/>
                <w:szCs w:val="21"/>
                <w:highlight w:val="none"/>
              </w:rPr>
            </w:pPr>
          </w:p>
        </w:tc>
        <w:tc>
          <w:tcPr>
            <w:tcW w:w="1063" w:type="dxa"/>
            <w:noWrap w:val="0"/>
            <w:vAlign w:val="center"/>
          </w:tcPr>
          <w:p w14:paraId="287DDDF8">
            <w:pPr>
              <w:jc w:val="center"/>
              <w:rPr>
                <w:rFonts w:hint="eastAsia" w:ascii="宋体" w:hAnsi="宋体"/>
                <w:szCs w:val="21"/>
                <w:highlight w:val="none"/>
              </w:rPr>
            </w:pPr>
          </w:p>
        </w:tc>
        <w:tc>
          <w:tcPr>
            <w:tcW w:w="1063" w:type="dxa"/>
            <w:noWrap w:val="0"/>
            <w:vAlign w:val="center"/>
          </w:tcPr>
          <w:p w14:paraId="2CBBDC4E">
            <w:pPr>
              <w:jc w:val="center"/>
              <w:rPr>
                <w:rFonts w:hint="eastAsia" w:ascii="宋体" w:hAnsi="宋体"/>
                <w:szCs w:val="21"/>
                <w:highlight w:val="none"/>
              </w:rPr>
            </w:pPr>
          </w:p>
        </w:tc>
      </w:tr>
      <w:tr w14:paraId="119E5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25" w:hRule="atLeast"/>
          <w:jc w:val="center"/>
        </w:trPr>
        <w:tc>
          <w:tcPr>
            <w:tcW w:w="709" w:type="dxa"/>
            <w:noWrap w:val="0"/>
            <w:vAlign w:val="center"/>
          </w:tcPr>
          <w:p w14:paraId="442AFB88">
            <w:pPr>
              <w:jc w:val="center"/>
              <w:rPr>
                <w:rFonts w:hint="eastAsia" w:ascii="宋体" w:hAnsi="宋体"/>
                <w:szCs w:val="21"/>
                <w:highlight w:val="none"/>
              </w:rPr>
            </w:pPr>
          </w:p>
        </w:tc>
        <w:tc>
          <w:tcPr>
            <w:tcW w:w="1418" w:type="dxa"/>
            <w:noWrap w:val="0"/>
            <w:vAlign w:val="center"/>
          </w:tcPr>
          <w:p w14:paraId="5B719D4B">
            <w:pPr>
              <w:jc w:val="center"/>
              <w:rPr>
                <w:rFonts w:hint="eastAsia" w:ascii="宋体" w:hAnsi="宋体"/>
                <w:szCs w:val="21"/>
                <w:highlight w:val="none"/>
              </w:rPr>
            </w:pPr>
          </w:p>
        </w:tc>
        <w:tc>
          <w:tcPr>
            <w:tcW w:w="1063" w:type="dxa"/>
            <w:noWrap w:val="0"/>
            <w:vAlign w:val="center"/>
          </w:tcPr>
          <w:p w14:paraId="1E534D73">
            <w:pPr>
              <w:jc w:val="center"/>
              <w:rPr>
                <w:rFonts w:hint="eastAsia" w:ascii="宋体" w:hAnsi="宋体"/>
                <w:szCs w:val="21"/>
                <w:highlight w:val="none"/>
              </w:rPr>
            </w:pPr>
          </w:p>
        </w:tc>
        <w:tc>
          <w:tcPr>
            <w:tcW w:w="1063" w:type="dxa"/>
            <w:noWrap w:val="0"/>
            <w:vAlign w:val="center"/>
          </w:tcPr>
          <w:p w14:paraId="2C5CF925">
            <w:pPr>
              <w:jc w:val="center"/>
              <w:rPr>
                <w:rFonts w:hint="eastAsia" w:ascii="宋体" w:hAnsi="宋体"/>
                <w:szCs w:val="21"/>
                <w:highlight w:val="none"/>
              </w:rPr>
            </w:pPr>
          </w:p>
        </w:tc>
        <w:tc>
          <w:tcPr>
            <w:tcW w:w="1063" w:type="dxa"/>
            <w:noWrap w:val="0"/>
            <w:vAlign w:val="center"/>
          </w:tcPr>
          <w:p w14:paraId="767BF86A">
            <w:pPr>
              <w:jc w:val="center"/>
              <w:rPr>
                <w:rFonts w:hint="eastAsia" w:ascii="宋体" w:hAnsi="宋体"/>
                <w:szCs w:val="21"/>
                <w:highlight w:val="none"/>
              </w:rPr>
            </w:pPr>
          </w:p>
        </w:tc>
        <w:tc>
          <w:tcPr>
            <w:tcW w:w="1063" w:type="dxa"/>
            <w:noWrap w:val="0"/>
            <w:vAlign w:val="center"/>
          </w:tcPr>
          <w:p w14:paraId="1C843543">
            <w:pPr>
              <w:jc w:val="center"/>
              <w:rPr>
                <w:rFonts w:hint="eastAsia" w:ascii="宋体" w:hAnsi="宋体"/>
                <w:szCs w:val="21"/>
                <w:highlight w:val="none"/>
              </w:rPr>
            </w:pPr>
          </w:p>
        </w:tc>
        <w:tc>
          <w:tcPr>
            <w:tcW w:w="1063" w:type="dxa"/>
            <w:noWrap w:val="0"/>
            <w:vAlign w:val="center"/>
          </w:tcPr>
          <w:p w14:paraId="138A3C22">
            <w:pPr>
              <w:jc w:val="center"/>
              <w:rPr>
                <w:rFonts w:hint="eastAsia" w:ascii="宋体" w:hAnsi="宋体"/>
                <w:szCs w:val="21"/>
                <w:highlight w:val="none"/>
              </w:rPr>
            </w:pPr>
          </w:p>
        </w:tc>
        <w:tc>
          <w:tcPr>
            <w:tcW w:w="1063" w:type="dxa"/>
            <w:noWrap w:val="0"/>
            <w:vAlign w:val="center"/>
          </w:tcPr>
          <w:p w14:paraId="2C16F8F2">
            <w:pPr>
              <w:jc w:val="center"/>
              <w:rPr>
                <w:rFonts w:hint="eastAsia" w:ascii="宋体" w:hAnsi="宋体"/>
                <w:szCs w:val="21"/>
                <w:highlight w:val="none"/>
              </w:rPr>
            </w:pPr>
          </w:p>
        </w:tc>
      </w:tr>
      <w:tr w14:paraId="3F2D4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25" w:hRule="atLeast"/>
          <w:jc w:val="center"/>
        </w:trPr>
        <w:tc>
          <w:tcPr>
            <w:tcW w:w="709" w:type="dxa"/>
            <w:noWrap w:val="0"/>
            <w:vAlign w:val="center"/>
          </w:tcPr>
          <w:p w14:paraId="06996C57">
            <w:pPr>
              <w:jc w:val="center"/>
              <w:rPr>
                <w:rFonts w:hint="eastAsia" w:ascii="宋体" w:hAnsi="宋体"/>
                <w:szCs w:val="21"/>
                <w:highlight w:val="none"/>
              </w:rPr>
            </w:pPr>
          </w:p>
        </w:tc>
        <w:tc>
          <w:tcPr>
            <w:tcW w:w="1418" w:type="dxa"/>
            <w:noWrap w:val="0"/>
            <w:vAlign w:val="center"/>
          </w:tcPr>
          <w:p w14:paraId="14998F55">
            <w:pPr>
              <w:jc w:val="center"/>
              <w:rPr>
                <w:rFonts w:hint="eastAsia" w:ascii="宋体" w:hAnsi="宋体"/>
                <w:szCs w:val="21"/>
                <w:highlight w:val="none"/>
              </w:rPr>
            </w:pPr>
          </w:p>
        </w:tc>
        <w:tc>
          <w:tcPr>
            <w:tcW w:w="1063" w:type="dxa"/>
            <w:noWrap w:val="0"/>
            <w:vAlign w:val="center"/>
          </w:tcPr>
          <w:p w14:paraId="7A41439F">
            <w:pPr>
              <w:jc w:val="center"/>
              <w:rPr>
                <w:rFonts w:hint="eastAsia" w:ascii="宋体" w:hAnsi="宋体"/>
                <w:szCs w:val="21"/>
                <w:highlight w:val="none"/>
              </w:rPr>
            </w:pPr>
          </w:p>
        </w:tc>
        <w:tc>
          <w:tcPr>
            <w:tcW w:w="1063" w:type="dxa"/>
            <w:noWrap w:val="0"/>
            <w:vAlign w:val="center"/>
          </w:tcPr>
          <w:p w14:paraId="0B023C9D">
            <w:pPr>
              <w:jc w:val="center"/>
              <w:rPr>
                <w:rFonts w:hint="eastAsia" w:ascii="宋体" w:hAnsi="宋体"/>
                <w:szCs w:val="21"/>
                <w:highlight w:val="none"/>
              </w:rPr>
            </w:pPr>
          </w:p>
        </w:tc>
        <w:tc>
          <w:tcPr>
            <w:tcW w:w="1063" w:type="dxa"/>
            <w:noWrap w:val="0"/>
            <w:vAlign w:val="center"/>
          </w:tcPr>
          <w:p w14:paraId="7E061C84">
            <w:pPr>
              <w:jc w:val="center"/>
              <w:rPr>
                <w:rFonts w:hint="eastAsia" w:ascii="宋体" w:hAnsi="宋体"/>
                <w:szCs w:val="21"/>
                <w:highlight w:val="none"/>
              </w:rPr>
            </w:pPr>
          </w:p>
        </w:tc>
        <w:tc>
          <w:tcPr>
            <w:tcW w:w="1063" w:type="dxa"/>
            <w:noWrap w:val="0"/>
            <w:vAlign w:val="center"/>
          </w:tcPr>
          <w:p w14:paraId="78BEE3D9">
            <w:pPr>
              <w:jc w:val="center"/>
              <w:rPr>
                <w:rFonts w:hint="eastAsia" w:ascii="宋体" w:hAnsi="宋体"/>
                <w:szCs w:val="21"/>
                <w:highlight w:val="none"/>
              </w:rPr>
            </w:pPr>
          </w:p>
        </w:tc>
        <w:tc>
          <w:tcPr>
            <w:tcW w:w="1063" w:type="dxa"/>
            <w:noWrap w:val="0"/>
            <w:vAlign w:val="center"/>
          </w:tcPr>
          <w:p w14:paraId="2084C0EF">
            <w:pPr>
              <w:jc w:val="center"/>
              <w:rPr>
                <w:rFonts w:hint="eastAsia" w:ascii="宋体" w:hAnsi="宋体"/>
                <w:szCs w:val="21"/>
                <w:highlight w:val="none"/>
              </w:rPr>
            </w:pPr>
          </w:p>
        </w:tc>
        <w:tc>
          <w:tcPr>
            <w:tcW w:w="1063" w:type="dxa"/>
            <w:noWrap w:val="0"/>
            <w:vAlign w:val="center"/>
          </w:tcPr>
          <w:p w14:paraId="5EF77578">
            <w:pPr>
              <w:jc w:val="center"/>
              <w:rPr>
                <w:rFonts w:hint="eastAsia" w:ascii="宋体" w:hAnsi="宋体"/>
                <w:szCs w:val="21"/>
                <w:highlight w:val="none"/>
              </w:rPr>
            </w:pPr>
          </w:p>
        </w:tc>
      </w:tr>
      <w:tr w14:paraId="46642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25" w:hRule="atLeast"/>
          <w:jc w:val="center"/>
        </w:trPr>
        <w:tc>
          <w:tcPr>
            <w:tcW w:w="709" w:type="dxa"/>
            <w:noWrap w:val="0"/>
            <w:vAlign w:val="center"/>
          </w:tcPr>
          <w:p w14:paraId="4999336E">
            <w:pPr>
              <w:jc w:val="center"/>
              <w:rPr>
                <w:rFonts w:hint="eastAsia" w:ascii="宋体" w:hAnsi="宋体"/>
                <w:szCs w:val="21"/>
                <w:highlight w:val="none"/>
              </w:rPr>
            </w:pPr>
          </w:p>
        </w:tc>
        <w:tc>
          <w:tcPr>
            <w:tcW w:w="1418" w:type="dxa"/>
            <w:noWrap w:val="0"/>
            <w:vAlign w:val="center"/>
          </w:tcPr>
          <w:p w14:paraId="2EE90532">
            <w:pPr>
              <w:jc w:val="center"/>
              <w:rPr>
                <w:rFonts w:hint="eastAsia" w:ascii="宋体" w:hAnsi="宋体"/>
                <w:szCs w:val="21"/>
                <w:highlight w:val="none"/>
              </w:rPr>
            </w:pPr>
          </w:p>
        </w:tc>
        <w:tc>
          <w:tcPr>
            <w:tcW w:w="1063" w:type="dxa"/>
            <w:noWrap w:val="0"/>
            <w:vAlign w:val="center"/>
          </w:tcPr>
          <w:p w14:paraId="4434D43B">
            <w:pPr>
              <w:jc w:val="center"/>
              <w:rPr>
                <w:rFonts w:hint="eastAsia" w:ascii="宋体" w:hAnsi="宋体"/>
                <w:szCs w:val="21"/>
                <w:highlight w:val="none"/>
              </w:rPr>
            </w:pPr>
          </w:p>
        </w:tc>
        <w:tc>
          <w:tcPr>
            <w:tcW w:w="1063" w:type="dxa"/>
            <w:noWrap w:val="0"/>
            <w:vAlign w:val="center"/>
          </w:tcPr>
          <w:p w14:paraId="72028F24">
            <w:pPr>
              <w:jc w:val="center"/>
              <w:rPr>
                <w:rFonts w:hint="eastAsia" w:ascii="宋体" w:hAnsi="宋体"/>
                <w:szCs w:val="21"/>
                <w:highlight w:val="none"/>
              </w:rPr>
            </w:pPr>
          </w:p>
        </w:tc>
        <w:tc>
          <w:tcPr>
            <w:tcW w:w="1063" w:type="dxa"/>
            <w:noWrap w:val="0"/>
            <w:vAlign w:val="center"/>
          </w:tcPr>
          <w:p w14:paraId="2679D6B9">
            <w:pPr>
              <w:jc w:val="center"/>
              <w:rPr>
                <w:rFonts w:hint="eastAsia" w:ascii="宋体" w:hAnsi="宋体"/>
                <w:szCs w:val="21"/>
                <w:highlight w:val="none"/>
              </w:rPr>
            </w:pPr>
          </w:p>
        </w:tc>
        <w:tc>
          <w:tcPr>
            <w:tcW w:w="1063" w:type="dxa"/>
            <w:noWrap w:val="0"/>
            <w:vAlign w:val="center"/>
          </w:tcPr>
          <w:p w14:paraId="36D2E37D">
            <w:pPr>
              <w:jc w:val="center"/>
              <w:rPr>
                <w:rFonts w:hint="eastAsia" w:ascii="宋体" w:hAnsi="宋体"/>
                <w:szCs w:val="21"/>
                <w:highlight w:val="none"/>
              </w:rPr>
            </w:pPr>
          </w:p>
        </w:tc>
        <w:tc>
          <w:tcPr>
            <w:tcW w:w="1063" w:type="dxa"/>
            <w:noWrap w:val="0"/>
            <w:vAlign w:val="center"/>
          </w:tcPr>
          <w:p w14:paraId="6CC87E17">
            <w:pPr>
              <w:jc w:val="center"/>
              <w:rPr>
                <w:rFonts w:hint="eastAsia" w:ascii="宋体" w:hAnsi="宋体"/>
                <w:szCs w:val="21"/>
                <w:highlight w:val="none"/>
              </w:rPr>
            </w:pPr>
          </w:p>
        </w:tc>
        <w:tc>
          <w:tcPr>
            <w:tcW w:w="1063" w:type="dxa"/>
            <w:noWrap w:val="0"/>
            <w:vAlign w:val="center"/>
          </w:tcPr>
          <w:p w14:paraId="53D5119B">
            <w:pPr>
              <w:jc w:val="center"/>
              <w:rPr>
                <w:rFonts w:hint="eastAsia" w:ascii="宋体" w:hAnsi="宋体"/>
                <w:szCs w:val="21"/>
                <w:highlight w:val="none"/>
              </w:rPr>
            </w:pPr>
          </w:p>
        </w:tc>
      </w:tr>
      <w:tr w14:paraId="39945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25" w:hRule="atLeast"/>
          <w:jc w:val="center"/>
        </w:trPr>
        <w:tc>
          <w:tcPr>
            <w:tcW w:w="709" w:type="dxa"/>
            <w:noWrap w:val="0"/>
            <w:vAlign w:val="center"/>
          </w:tcPr>
          <w:p w14:paraId="722D5E97">
            <w:pPr>
              <w:jc w:val="center"/>
              <w:rPr>
                <w:rFonts w:hint="eastAsia" w:ascii="宋体" w:hAnsi="宋体"/>
                <w:szCs w:val="21"/>
                <w:highlight w:val="none"/>
              </w:rPr>
            </w:pPr>
          </w:p>
        </w:tc>
        <w:tc>
          <w:tcPr>
            <w:tcW w:w="1418" w:type="dxa"/>
            <w:noWrap w:val="0"/>
            <w:vAlign w:val="center"/>
          </w:tcPr>
          <w:p w14:paraId="4EBC1CBB">
            <w:pPr>
              <w:jc w:val="center"/>
              <w:rPr>
                <w:rFonts w:hint="eastAsia" w:ascii="宋体" w:hAnsi="宋体"/>
                <w:szCs w:val="21"/>
                <w:highlight w:val="none"/>
              </w:rPr>
            </w:pPr>
          </w:p>
        </w:tc>
        <w:tc>
          <w:tcPr>
            <w:tcW w:w="1063" w:type="dxa"/>
            <w:noWrap w:val="0"/>
            <w:vAlign w:val="center"/>
          </w:tcPr>
          <w:p w14:paraId="799077E9">
            <w:pPr>
              <w:jc w:val="center"/>
              <w:rPr>
                <w:rFonts w:hint="eastAsia" w:ascii="宋体" w:hAnsi="宋体"/>
                <w:szCs w:val="21"/>
                <w:highlight w:val="none"/>
              </w:rPr>
            </w:pPr>
          </w:p>
        </w:tc>
        <w:tc>
          <w:tcPr>
            <w:tcW w:w="1063" w:type="dxa"/>
            <w:noWrap w:val="0"/>
            <w:vAlign w:val="center"/>
          </w:tcPr>
          <w:p w14:paraId="14E8CAE6">
            <w:pPr>
              <w:jc w:val="center"/>
              <w:rPr>
                <w:rFonts w:hint="eastAsia" w:ascii="宋体" w:hAnsi="宋体"/>
                <w:szCs w:val="21"/>
                <w:highlight w:val="none"/>
              </w:rPr>
            </w:pPr>
          </w:p>
        </w:tc>
        <w:tc>
          <w:tcPr>
            <w:tcW w:w="1063" w:type="dxa"/>
            <w:noWrap w:val="0"/>
            <w:vAlign w:val="center"/>
          </w:tcPr>
          <w:p w14:paraId="002F5CAC">
            <w:pPr>
              <w:jc w:val="center"/>
              <w:rPr>
                <w:rFonts w:hint="eastAsia" w:ascii="宋体" w:hAnsi="宋体"/>
                <w:szCs w:val="21"/>
                <w:highlight w:val="none"/>
              </w:rPr>
            </w:pPr>
          </w:p>
        </w:tc>
        <w:tc>
          <w:tcPr>
            <w:tcW w:w="1063" w:type="dxa"/>
            <w:noWrap w:val="0"/>
            <w:vAlign w:val="center"/>
          </w:tcPr>
          <w:p w14:paraId="17B6F405">
            <w:pPr>
              <w:jc w:val="center"/>
              <w:rPr>
                <w:rFonts w:hint="eastAsia" w:ascii="宋体" w:hAnsi="宋体"/>
                <w:szCs w:val="21"/>
                <w:highlight w:val="none"/>
              </w:rPr>
            </w:pPr>
          </w:p>
        </w:tc>
        <w:tc>
          <w:tcPr>
            <w:tcW w:w="1063" w:type="dxa"/>
            <w:noWrap w:val="0"/>
            <w:vAlign w:val="center"/>
          </w:tcPr>
          <w:p w14:paraId="7D95F991">
            <w:pPr>
              <w:jc w:val="center"/>
              <w:rPr>
                <w:rFonts w:hint="eastAsia" w:ascii="宋体" w:hAnsi="宋体"/>
                <w:szCs w:val="21"/>
                <w:highlight w:val="none"/>
              </w:rPr>
            </w:pPr>
          </w:p>
        </w:tc>
        <w:tc>
          <w:tcPr>
            <w:tcW w:w="1063" w:type="dxa"/>
            <w:noWrap w:val="0"/>
            <w:vAlign w:val="center"/>
          </w:tcPr>
          <w:p w14:paraId="7F455399">
            <w:pPr>
              <w:jc w:val="center"/>
              <w:rPr>
                <w:rFonts w:hint="eastAsia" w:ascii="宋体" w:hAnsi="宋体"/>
                <w:szCs w:val="21"/>
                <w:highlight w:val="none"/>
              </w:rPr>
            </w:pPr>
          </w:p>
        </w:tc>
      </w:tr>
      <w:tr w14:paraId="0C2D5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25" w:hRule="atLeast"/>
          <w:jc w:val="center"/>
        </w:trPr>
        <w:tc>
          <w:tcPr>
            <w:tcW w:w="709" w:type="dxa"/>
            <w:noWrap w:val="0"/>
            <w:vAlign w:val="center"/>
          </w:tcPr>
          <w:p w14:paraId="4719737E">
            <w:pPr>
              <w:jc w:val="center"/>
              <w:rPr>
                <w:rFonts w:hint="eastAsia" w:ascii="宋体" w:hAnsi="宋体"/>
                <w:szCs w:val="21"/>
                <w:highlight w:val="none"/>
              </w:rPr>
            </w:pPr>
          </w:p>
        </w:tc>
        <w:tc>
          <w:tcPr>
            <w:tcW w:w="1418" w:type="dxa"/>
            <w:noWrap w:val="0"/>
            <w:vAlign w:val="center"/>
          </w:tcPr>
          <w:p w14:paraId="4DE04E0F">
            <w:pPr>
              <w:jc w:val="center"/>
              <w:rPr>
                <w:rFonts w:hint="eastAsia" w:ascii="宋体" w:hAnsi="宋体"/>
                <w:szCs w:val="21"/>
                <w:highlight w:val="none"/>
              </w:rPr>
            </w:pPr>
          </w:p>
        </w:tc>
        <w:tc>
          <w:tcPr>
            <w:tcW w:w="1063" w:type="dxa"/>
            <w:noWrap w:val="0"/>
            <w:vAlign w:val="center"/>
          </w:tcPr>
          <w:p w14:paraId="4BCE0C17">
            <w:pPr>
              <w:jc w:val="center"/>
              <w:rPr>
                <w:rFonts w:hint="eastAsia" w:ascii="宋体" w:hAnsi="宋体"/>
                <w:szCs w:val="21"/>
                <w:highlight w:val="none"/>
              </w:rPr>
            </w:pPr>
          </w:p>
        </w:tc>
        <w:tc>
          <w:tcPr>
            <w:tcW w:w="1063" w:type="dxa"/>
            <w:noWrap w:val="0"/>
            <w:vAlign w:val="center"/>
          </w:tcPr>
          <w:p w14:paraId="5F109942">
            <w:pPr>
              <w:jc w:val="center"/>
              <w:rPr>
                <w:rFonts w:hint="eastAsia" w:ascii="宋体" w:hAnsi="宋体"/>
                <w:szCs w:val="21"/>
                <w:highlight w:val="none"/>
              </w:rPr>
            </w:pPr>
          </w:p>
        </w:tc>
        <w:tc>
          <w:tcPr>
            <w:tcW w:w="1063" w:type="dxa"/>
            <w:noWrap w:val="0"/>
            <w:vAlign w:val="center"/>
          </w:tcPr>
          <w:p w14:paraId="7CB4CC6A">
            <w:pPr>
              <w:jc w:val="center"/>
              <w:rPr>
                <w:rFonts w:hint="eastAsia" w:ascii="宋体" w:hAnsi="宋体"/>
                <w:szCs w:val="21"/>
                <w:highlight w:val="none"/>
              </w:rPr>
            </w:pPr>
          </w:p>
        </w:tc>
        <w:tc>
          <w:tcPr>
            <w:tcW w:w="1063" w:type="dxa"/>
            <w:noWrap w:val="0"/>
            <w:vAlign w:val="center"/>
          </w:tcPr>
          <w:p w14:paraId="2F760992">
            <w:pPr>
              <w:jc w:val="center"/>
              <w:rPr>
                <w:rFonts w:hint="eastAsia" w:ascii="宋体" w:hAnsi="宋体"/>
                <w:szCs w:val="21"/>
                <w:highlight w:val="none"/>
              </w:rPr>
            </w:pPr>
          </w:p>
        </w:tc>
        <w:tc>
          <w:tcPr>
            <w:tcW w:w="1063" w:type="dxa"/>
            <w:noWrap w:val="0"/>
            <w:vAlign w:val="center"/>
          </w:tcPr>
          <w:p w14:paraId="0F661483">
            <w:pPr>
              <w:jc w:val="center"/>
              <w:rPr>
                <w:rFonts w:hint="eastAsia" w:ascii="宋体" w:hAnsi="宋体"/>
                <w:szCs w:val="21"/>
                <w:highlight w:val="none"/>
              </w:rPr>
            </w:pPr>
          </w:p>
        </w:tc>
        <w:tc>
          <w:tcPr>
            <w:tcW w:w="1063" w:type="dxa"/>
            <w:noWrap w:val="0"/>
            <w:vAlign w:val="center"/>
          </w:tcPr>
          <w:p w14:paraId="2C73E509">
            <w:pPr>
              <w:jc w:val="center"/>
              <w:rPr>
                <w:rFonts w:hint="eastAsia" w:ascii="宋体" w:hAnsi="宋体"/>
                <w:szCs w:val="21"/>
                <w:highlight w:val="none"/>
              </w:rPr>
            </w:pPr>
          </w:p>
        </w:tc>
      </w:tr>
      <w:tr w14:paraId="4CA4B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25" w:hRule="atLeast"/>
          <w:jc w:val="center"/>
        </w:trPr>
        <w:tc>
          <w:tcPr>
            <w:tcW w:w="709" w:type="dxa"/>
            <w:noWrap w:val="0"/>
            <w:vAlign w:val="center"/>
          </w:tcPr>
          <w:p w14:paraId="08EC1A25">
            <w:pPr>
              <w:jc w:val="center"/>
              <w:rPr>
                <w:rFonts w:hint="eastAsia" w:ascii="宋体" w:hAnsi="宋体"/>
                <w:szCs w:val="21"/>
                <w:highlight w:val="none"/>
              </w:rPr>
            </w:pPr>
          </w:p>
        </w:tc>
        <w:tc>
          <w:tcPr>
            <w:tcW w:w="1418" w:type="dxa"/>
            <w:noWrap w:val="0"/>
            <w:vAlign w:val="center"/>
          </w:tcPr>
          <w:p w14:paraId="5ED1554D">
            <w:pPr>
              <w:jc w:val="center"/>
              <w:rPr>
                <w:rFonts w:hint="eastAsia" w:ascii="宋体" w:hAnsi="宋体"/>
                <w:szCs w:val="21"/>
                <w:highlight w:val="none"/>
              </w:rPr>
            </w:pPr>
          </w:p>
        </w:tc>
        <w:tc>
          <w:tcPr>
            <w:tcW w:w="1063" w:type="dxa"/>
            <w:noWrap w:val="0"/>
            <w:vAlign w:val="center"/>
          </w:tcPr>
          <w:p w14:paraId="678DECBF">
            <w:pPr>
              <w:jc w:val="center"/>
              <w:rPr>
                <w:rFonts w:hint="eastAsia" w:ascii="宋体" w:hAnsi="宋体"/>
                <w:szCs w:val="21"/>
                <w:highlight w:val="none"/>
              </w:rPr>
            </w:pPr>
          </w:p>
        </w:tc>
        <w:tc>
          <w:tcPr>
            <w:tcW w:w="1063" w:type="dxa"/>
            <w:noWrap w:val="0"/>
            <w:vAlign w:val="center"/>
          </w:tcPr>
          <w:p w14:paraId="43B9870E">
            <w:pPr>
              <w:jc w:val="center"/>
              <w:rPr>
                <w:rFonts w:hint="eastAsia" w:ascii="宋体" w:hAnsi="宋体"/>
                <w:szCs w:val="21"/>
                <w:highlight w:val="none"/>
              </w:rPr>
            </w:pPr>
          </w:p>
        </w:tc>
        <w:tc>
          <w:tcPr>
            <w:tcW w:w="1063" w:type="dxa"/>
            <w:noWrap w:val="0"/>
            <w:vAlign w:val="center"/>
          </w:tcPr>
          <w:p w14:paraId="26C5E4C5">
            <w:pPr>
              <w:jc w:val="center"/>
              <w:rPr>
                <w:rFonts w:hint="eastAsia" w:ascii="宋体" w:hAnsi="宋体"/>
                <w:szCs w:val="21"/>
                <w:highlight w:val="none"/>
              </w:rPr>
            </w:pPr>
          </w:p>
        </w:tc>
        <w:tc>
          <w:tcPr>
            <w:tcW w:w="1063" w:type="dxa"/>
            <w:noWrap w:val="0"/>
            <w:vAlign w:val="center"/>
          </w:tcPr>
          <w:p w14:paraId="7536DEE8">
            <w:pPr>
              <w:jc w:val="center"/>
              <w:rPr>
                <w:rFonts w:hint="eastAsia" w:ascii="宋体" w:hAnsi="宋体"/>
                <w:szCs w:val="21"/>
                <w:highlight w:val="none"/>
              </w:rPr>
            </w:pPr>
          </w:p>
        </w:tc>
        <w:tc>
          <w:tcPr>
            <w:tcW w:w="1063" w:type="dxa"/>
            <w:noWrap w:val="0"/>
            <w:vAlign w:val="center"/>
          </w:tcPr>
          <w:p w14:paraId="35DDD00E">
            <w:pPr>
              <w:jc w:val="center"/>
              <w:rPr>
                <w:rFonts w:hint="eastAsia" w:ascii="宋体" w:hAnsi="宋体"/>
                <w:szCs w:val="21"/>
                <w:highlight w:val="none"/>
              </w:rPr>
            </w:pPr>
          </w:p>
        </w:tc>
        <w:tc>
          <w:tcPr>
            <w:tcW w:w="1063" w:type="dxa"/>
            <w:noWrap w:val="0"/>
            <w:vAlign w:val="center"/>
          </w:tcPr>
          <w:p w14:paraId="68D6FA91">
            <w:pPr>
              <w:jc w:val="center"/>
              <w:rPr>
                <w:rFonts w:hint="eastAsia" w:ascii="宋体" w:hAnsi="宋体"/>
                <w:szCs w:val="21"/>
                <w:highlight w:val="none"/>
              </w:rPr>
            </w:pPr>
          </w:p>
        </w:tc>
      </w:tr>
      <w:tr w14:paraId="015E1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25" w:hRule="atLeast"/>
          <w:jc w:val="center"/>
        </w:trPr>
        <w:tc>
          <w:tcPr>
            <w:tcW w:w="709" w:type="dxa"/>
            <w:noWrap w:val="0"/>
            <w:vAlign w:val="center"/>
          </w:tcPr>
          <w:p w14:paraId="70358F3C">
            <w:pPr>
              <w:jc w:val="center"/>
              <w:rPr>
                <w:rFonts w:hint="eastAsia" w:ascii="宋体" w:hAnsi="宋体"/>
                <w:szCs w:val="21"/>
                <w:highlight w:val="none"/>
              </w:rPr>
            </w:pPr>
          </w:p>
        </w:tc>
        <w:tc>
          <w:tcPr>
            <w:tcW w:w="1418" w:type="dxa"/>
            <w:noWrap w:val="0"/>
            <w:vAlign w:val="center"/>
          </w:tcPr>
          <w:p w14:paraId="2FA196AD">
            <w:pPr>
              <w:jc w:val="center"/>
              <w:rPr>
                <w:rFonts w:hint="eastAsia" w:ascii="宋体" w:hAnsi="宋体"/>
                <w:szCs w:val="21"/>
                <w:highlight w:val="none"/>
              </w:rPr>
            </w:pPr>
          </w:p>
        </w:tc>
        <w:tc>
          <w:tcPr>
            <w:tcW w:w="1063" w:type="dxa"/>
            <w:noWrap w:val="0"/>
            <w:vAlign w:val="center"/>
          </w:tcPr>
          <w:p w14:paraId="046B8B45">
            <w:pPr>
              <w:jc w:val="center"/>
              <w:rPr>
                <w:rFonts w:hint="eastAsia" w:ascii="宋体" w:hAnsi="宋体"/>
                <w:szCs w:val="21"/>
                <w:highlight w:val="none"/>
              </w:rPr>
            </w:pPr>
          </w:p>
        </w:tc>
        <w:tc>
          <w:tcPr>
            <w:tcW w:w="1063" w:type="dxa"/>
            <w:noWrap w:val="0"/>
            <w:vAlign w:val="center"/>
          </w:tcPr>
          <w:p w14:paraId="09091AF9">
            <w:pPr>
              <w:jc w:val="center"/>
              <w:rPr>
                <w:rFonts w:hint="eastAsia" w:ascii="宋体" w:hAnsi="宋体"/>
                <w:szCs w:val="21"/>
                <w:highlight w:val="none"/>
              </w:rPr>
            </w:pPr>
          </w:p>
        </w:tc>
        <w:tc>
          <w:tcPr>
            <w:tcW w:w="1063" w:type="dxa"/>
            <w:noWrap w:val="0"/>
            <w:vAlign w:val="center"/>
          </w:tcPr>
          <w:p w14:paraId="602F9831">
            <w:pPr>
              <w:jc w:val="center"/>
              <w:rPr>
                <w:rFonts w:hint="eastAsia" w:ascii="宋体" w:hAnsi="宋体"/>
                <w:szCs w:val="21"/>
                <w:highlight w:val="none"/>
              </w:rPr>
            </w:pPr>
          </w:p>
        </w:tc>
        <w:tc>
          <w:tcPr>
            <w:tcW w:w="1063" w:type="dxa"/>
            <w:noWrap w:val="0"/>
            <w:vAlign w:val="center"/>
          </w:tcPr>
          <w:p w14:paraId="1BF0B734">
            <w:pPr>
              <w:jc w:val="center"/>
              <w:rPr>
                <w:rFonts w:hint="eastAsia" w:ascii="宋体" w:hAnsi="宋体"/>
                <w:szCs w:val="21"/>
                <w:highlight w:val="none"/>
              </w:rPr>
            </w:pPr>
          </w:p>
        </w:tc>
        <w:tc>
          <w:tcPr>
            <w:tcW w:w="1063" w:type="dxa"/>
            <w:noWrap w:val="0"/>
            <w:vAlign w:val="center"/>
          </w:tcPr>
          <w:p w14:paraId="72467EE6">
            <w:pPr>
              <w:jc w:val="center"/>
              <w:rPr>
                <w:rFonts w:hint="eastAsia" w:ascii="宋体" w:hAnsi="宋体"/>
                <w:szCs w:val="21"/>
                <w:highlight w:val="none"/>
              </w:rPr>
            </w:pPr>
          </w:p>
        </w:tc>
        <w:tc>
          <w:tcPr>
            <w:tcW w:w="1063" w:type="dxa"/>
            <w:noWrap w:val="0"/>
            <w:vAlign w:val="center"/>
          </w:tcPr>
          <w:p w14:paraId="4FACD8AB">
            <w:pPr>
              <w:jc w:val="center"/>
              <w:rPr>
                <w:rFonts w:hint="eastAsia" w:ascii="宋体" w:hAnsi="宋体"/>
                <w:szCs w:val="21"/>
                <w:highlight w:val="none"/>
              </w:rPr>
            </w:pPr>
          </w:p>
        </w:tc>
      </w:tr>
      <w:tr w14:paraId="197D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25" w:hRule="atLeast"/>
          <w:jc w:val="center"/>
        </w:trPr>
        <w:tc>
          <w:tcPr>
            <w:tcW w:w="709" w:type="dxa"/>
            <w:noWrap w:val="0"/>
            <w:vAlign w:val="center"/>
          </w:tcPr>
          <w:p w14:paraId="35357C48">
            <w:pPr>
              <w:jc w:val="center"/>
              <w:rPr>
                <w:rFonts w:hint="eastAsia" w:ascii="宋体" w:hAnsi="宋体"/>
                <w:szCs w:val="21"/>
                <w:highlight w:val="none"/>
              </w:rPr>
            </w:pPr>
          </w:p>
        </w:tc>
        <w:tc>
          <w:tcPr>
            <w:tcW w:w="1418" w:type="dxa"/>
            <w:noWrap w:val="0"/>
            <w:vAlign w:val="center"/>
          </w:tcPr>
          <w:p w14:paraId="7DC1379A">
            <w:pPr>
              <w:jc w:val="center"/>
              <w:rPr>
                <w:rFonts w:hint="eastAsia" w:ascii="宋体" w:hAnsi="宋体"/>
                <w:szCs w:val="21"/>
                <w:highlight w:val="none"/>
              </w:rPr>
            </w:pPr>
          </w:p>
        </w:tc>
        <w:tc>
          <w:tcPr>
            <w:tcW w:w="1063" w:type="dxa"/>
            <w:noWrap w:val="0"/>
            <w:vAlign w:val="center"/>
          </w:tcPr>
          <w:p w14:paraId="2E00CF78">
            <w:pPr>
              <w:jc w:val="center"/>
              <w:rPr>
                <w:rFonts w:hint="eastAsia" w:ascii="宋体" w:hAnsi="宋体"/>
                <w:szCs w:val="21"/>
                <w:highlight w:val="none"/>
              </w:rPr>
            </w:pPr>
          </w:p>
        </w:tc>
        <w:tc>
          <w:tcPr>
            <w:tcW w:w="1063" w:type="dxa"/>
            <w:noWrap w:val="0"/>
            <w:vAlign w:val="center"/>
          </w:tcPr>
          <w:p w14:paraId="3987C62B">
            <w:pPr>
              <w:jc w:val="center"/>
              <w:rPr>
                <w:rFonts w:hint="eastAsia" w:ascii="宋体" w:hAnsi="宋体"/>
                <w:szCs w:val="21"/>
                <w:highlight w:val="none"/>
              </w:rPr>
            </w:pPr>
          </w:p>
        </w:tc>
        <w:tc>
          <w:tcPr>
            <w:tcW w:w="1063" w:type="dxa"/>
            <w:noWrap w:val="0"/>
            <w:vAlign w:val="center"/>
          </w:tcPr>
          <w:p w14:paraId="2B6865E3">
            <w:pPr>
              <w:jc w:val="center"/>
              <w:rPr>
                <w:rFonts w:hint="eastAsia" w:ascii="宋体" w:hAnsi="宋体"/>
                <w:szCs w:val="21"/>
                <w:highlight w:val="none"/>
              </w:rPr>
            </w:pPr>
          </w:p>
        </w:tc>
        <w:tc>
          <w:tcPr>
            <w:tcW w:w="1063" w:type="dxa"/>
            <w:noWrap w:val="0"/>
            <w:vAlign w:val="center"/>
          </w:tcPr>
          <w:p w14:paraId="3646F98B">
            <w:pPr>
              <w:jc w:val="center"/>
              <w:rPr>
                <w:rFonts w:hint="eastAsia" w:ascii="宋体" w:hAnsi="宋体"/>
                <w:szCs w:val="21"/>
                <w:highlight w:val="none"/>
              </w:rPr>
            </w:pPr>
          </w:p>
        </w:tc>
        <w:tc>
          <w:tcPr>
            <w:tcW w:w="1063" w:type="dxa"/>
            <w:noWrap w:val="0"/>
            <w:vAlign w:val="center"/>
          </w:tcPr>
          <w:p w14:paraId="35AEA50F">
            <w:pPr>
              <w:jc w:val="center"/>
              <w:rPr>
                <w:rFonts w:hint="eastAsia" w:ascii="宋体" w:hAnsi="宋体"/>
                <w:szCs w:val="21"/>
                <w:highlight w:val="none"/>
              </w:rPr>
            </w:pPr>
          </w:p>
        </w:tc>
        <w:tc>
          <w:tcPr>
            <w:tcW w:w="1063" w:type="dxa"/>
            <w:noWrap w:val="0"/>
            <w:vAlign w:val="center"/>
          </w:tcPr>
          <w:p w14:paraId="2A8A40FB">
            <w:pPr>
              <w:jc w:val="center"/>
              <w:rPr>
                <w:rFonts w:hint="eastAsia" w:ascii="宋体" w:hAnsi="宋体"/>
                <w:szCs w:val="21"/>
                <w:highlight w:val="none"/>
              </w:rPr>
            </w:pPr>
          </w:p>
        </w:tc>
      </w:tr>
      <w:tr w14:paraId="3863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25" w:hRule="atLeast"/>
          <w:jc w:val="center"/>
        </w:trPr>
        <w:tc>
          <w:tcPr>
            <w:tcW w:w="709" w:type="dxa"/>
            <w:noWrap w:val="0"/>
            <w:vAlign w:val="center"/>
          </w:tcPr>
          <w:p w14:paraId="4B38ACC7">
            <w:pPr>
              <w:jc w:val="center"/>
              <w:rPr>
                <w:rFonts w:hint="eastAsia" w:ascii="宋体" w:hAnsi="宋体"/>
                <w:szCs w:val="21"/>
                <w:highlight w:val="none"/>
              </w:rPr>
            </w:pPr>
          </w:p>
        </w:tc>
        <w:tc>
          <w:tcPr>
            <w:tcW w:w="1418" w:type="dxa"/>
            <w:noWrap w:val="0"/>
            <w:vAlign w:val="center"/>
          </w:tcPr>
          <w:p w14:paraId="75249CA5">
            <w:pPr>
              <w:jc w:val="center"/>
              <w:rPr>
                <w:rFonts w:hint="eastAsia" w:ascii="宋体" w:hAnsi="宋体"/>
                <w:szCs w:val="21"/>
                <w:highlight w:val="none"/>
              </w:rPr>
            </w:pPr>
          </w:p>
        </w:tc>
        <w:tc>
          <w:tcPr>
            <w:tcW w:w="1063" w:type="dxa"/>
            <w:noWrap w:val="0"/>
            <w:vAlign w:val="center"/>
          </w:tcPr>
          <w:p w14:paraId="19957E0B">
            <w:pPr>
              <w:jc w:val="center"/>
              <w:rPr>
                <w:rFonts w:hint="eastAsia" w:ascii="宋体" w:hAnsi="宋体"/>
                <w:szCs w:val="21"/>
                <w:highlight w:val="none"/>
              </w:rPr>
            </w:pPr>
          </w:p>
        </w:tc>
        <w:tc>
          <w:tcPr>
            <w:tcW w:w="1063" w:type="dxa"/>
            <w:noWrap w:val="0"/>
            <w:vAlign w:val="center"/>
          </w:tcPr>
          <w:p w14:paraId="16EF4ECC">
            <w:pPr>
              <w:jc w:val="center"/>
              <w:rPr>
                <w:rFonts w:hint="eastAsia" w:ascii="宋体" w:hAnsi="宋体"/>
                <w:szCs w:val="21"/>
                <w:highlight w:val="none"/>
              </w:rPr>
            </w:pPr>
          </w:p>
        </w:tc>
        <w:tc>
          <w:tcPr>
            <w:tcW w:w="1063" w:type="dxa"/>
            <w:noWrap w:val="0"/>
            <w:vAlign w:val="center"/>
          </w:tcPr>
          <w:p w14:paraId="30BAF238">
            <w:pPr>
              <w:jc w:val="center"/>
              <w:rPr>
                <w:rFonts w:hint="eastAsia" w:ascii="宋体" w:hAnsi="宋体"/>
                <w:szCs w:val="21"/>
                <w:highlight w:val="none"/>
              </w:rPr>
            </w:pPr>
          </w:p>
        </w:tc>
        <w:tc>
          <w:tcPr>
            <w:tcW w:w="1063" w:type="dxa"/>
            <w:noWrap w:val="0"/>
            <w:vAlign w:val="center"/>
          </w:tcPr>
          <w:p w14:paraId="4B3DE73A">
            <w:pPr>
              <w:jc w:val="center"/>
              <w:rPr>
                <w:rFonts w:hint="eastAsia" w:ascii="宋体" w:hAnsi="宋体"/>
                <w:szCs w:val="21"/>
                <w:highlight w:val="none"/>
              </w:rPr>
            </w:pPr>
          </w:p>
        </w:tc>
        <w:tc>
          <w:tcPr>
            <w:tcW w:w="1063" w:type="dxa"/>
            <w:noWrap w:val="0"/>
            <w:vAlign w:val="center"/>
          </w:tcPr>
          <w:p w14:paraId="304A7781">
            <w:pPr>
              <w:jc w:val="center"/>
              <w:rPr>
                <w:rFonts w:hint="eastAsia" w:ascii="宋体" w:hAnsi="宋体"/>
                <w:szCs w:val="21"/>
                <w:highlight w:val="none"/>
              </w:rPr>
            </w:pPr>
          </w:p>
        </w:tc>
        <w:tc>
          <w:tcPr>
            <w:tcW w:w="1063" w:type="dxa"/>
            <w:noWrap w:val="0"/>
            <w:vAlign w:val="center"/>
          </w:tcPr>
          <w:p w14:paraId="4436A038">
            <w:pPr>
              <w:jc w:val="center"/>
              <w:rPr>
                <w:rFonts w:hint="eastAsia" w:ascii="宋体" w:hAnsi="宋体"/>
                <w:szCs w:val="21"/>
                <w:highlight w:val="none"/>
              </w:rPr>
            </w:pPr>
          </w:p>
        </w:tc>
      </w:tr>
      <w:tr w14:paraId="3E9AD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25" w:hRule="atLeast"/>
          <w:jc w:val="center"/>
        </w:trPr>
        <w:tc>
          <w:tcPr>
            <w:tcW w:w="709" w:type="dxa"/>
            <w:noWrap w:val="0"/>
            <w:vAlign w:val="center"/>
          </w:tcPr>
          <w:p w14:paraId="3D01BFAA">
            <w:pPr>
              <w:jc w:val="center"/>
              <w:rPr>
                <w:rFonts w:hint="eastAsia" w:ascii="宋体" w:hAnsi="宋体"/>
                <w:szCs w:val="21"/>
                <w:highlight w:val="none"/>
              </w:rPr>
            </w:pPr>
          </w:p>
        </w:tc>
        <w:tc>
          <w:tcPr>
            <w:tcW w:w="1418" w:type="dxa"/>
            <w:noWrap w:val="0"/>
            <w:vAlign w:val="center"/>
          </w:tcPr>
          <w:p w14:paraId="6EA6265A">
            <w:pPr>
              <w:jc w:val="center"/>
              <w:rPr>
                <w:rFonts w:hint="eastAsia" w:ascii="宋体" w:hAnsi="宋体"/>
                <w:szCs w:val="21"/>
                <w:highlight w:val="none"/>
              </w:rPr>
            </w:pPr>
          </w:p>
        </w:tc>
        <w:tc>
          <w:tcPr>
            <w:tcW w:w="1063" w:type="dxa"/>
            <w:noWrap w:val="0"/>
            <w:vAlign w:val="center"/>
          </w:tcPr>
          <w:p w14:paraId="2728A4E8">
            <w:pPr>
              <w:jc w:val="center"/>
              <w:rPr>
                <w:rFonts w:hint="eastAsia" w:ascii="宋体" w:hAnsi="宋体"/>
                <w:szCs w:val="21"/>
                <w:highlight w:val="none"/>
              </w:rPr>
            </w:pPr>
          </w:p>
        </w:tc>
        <w:tc>
          <w:tcPr>
            <w:tcW w:w="1063" w:type="dxa"/>
            <w:noWrap w:val="0"/>
            <w:vAlign w:val="center"/>
          </w:tcPr>
          <w:p w14:paraId="42A70645">
            <w:pPr>
              <w:jc w:val="center"/>
              <w:rPr>
                <w:rFonts w:hint="eastAsia" w:ascii="宋体" w:hAnsi="宋体"/>
                <w:szCs w:val="21"/>
                <w:highlight w:val="none"/>
              </w:rPr>
            </w:pPr>
          </w:p>
        </w:tc>
        <w:tc>
          <w:tcPr>
            <w:tcW w:w="1063" w:type="dxa"/>
            <w:noWrap w:val="0"/>
            <w:vAlign w:val="center"/>
          </w:tcPr>
          <w:p w14:paraId="529A02F6">
            <w:pPr>
              <w:jc w:val="center"/>
              <w:rPr>
                <w:rFonts w:hint="eastAsia" w:ascii="宋体" w:hAnsi="宋体"/>
                <w:szCs w:val="21"/>
                <w:highlight w:val="none"/>
              </w:rPr>
            </w:pPr>
          </w:p>
        </w:tc>
        <w:tc>
          <w:tcPr>
            <w:tcW w:w="1063" w:type="dxa"/>
            <w:noWrap w:val="0"/>
            <w:vAlign w:val="center"/>
          </w:tcPr>
          <w:p w14:paraId="693CC31C">
            <w:pPr>
              <w:jc w:val="center"/>
              <w:rPr>
                <w:rFonts w:hint="eastAsia" w:ascii="宋体" w:hAnsi="宋体"/>
                <w:szCs w:val="21"/>
                <w:highlight w:val="none"/>
              </w:rPr>
            </w:pPr>
          </w:p>
        </w:tc>
        <w:tc>
          <w:tcPr>
            <w:tcW w:w="1063" w:type="dxa"/>
            <w:noWrap w:val="0"/>
            <w:vAlign w:val="center"/>
          </w:tcPr>
          <w:p w14:paraId="037285A9">
            <w:pPr>
              <w:jc w:val="center"/>
              <w:rPr>
                <w:rFonts w:hint="eastAsia" w:ascii="宋体" w:hAnsi="宋体"/>
                <w:szCs w:val="21"/>
                <w:highlight w:val="none"/>
              </w:rPr>
            </w:pPr>
          </w:p>
        </w:tc>
        <w:tc>
          <w:tcPr>
            <w:tcW w:w="1063" w:type="dxa"/>
            <w:noWrap w:val="0"/>
            <w:vAlign w:val="center"/>
          </w:tcPr>
          <w:p w14:paraId="21AB55C2">
            <w:pPr>
              <w:jc w:val="center"/>
              <w:rPr>
                <w:rFonts w:hint="eastAsia" w:ascii="宋体" w:hAnsi="宋体"/>
                <w:szCs w:val="21"/>
                <w:highlight w:val="none"/>
              </w:rPr>
            </w:pPr>
          </w:p>
        </w:tc>
      </w:tr>
      <w:tr w14:paraId="5C6F0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25" w:hRule="atLeast"/>
          <w:jc w:val="center"/>
        </w:trPr>
        <w:tc>
          <w:tcPr>
            <w:tcW w:w="709" w:type="dxa"/>
            <w:noWrap w:val="0"/>
            <w:vAlign w:val="center"/>
          </w:tcPr>
          <w:p w14:paraId="3C085926">
            <w:pPr>
              <w:jc w:val="center"/>
              <w:rPr>
                <w:rFonts w:hint="eastAsia" w:ascii="宋体" w:hAnsi="宋体"/>
                <w:szCs w:val="21"/>
                <w:highlight w:val="none"/>
              </w:rPr>
            </w:pPr>
          </w:p>
        </w:tc>
        <w:tc>
          <w:tcPr>
            <w:tcW w:w="1418" w:type="dxa"/>
            <w:noWrap w:val="0"/>
            <w:vAlign w:val="center"/>
          </w:tcPr>
          <w:p w14:paraId="3A8F2543">
            <w:pPr>
              <w:jc w:val="center"/>
              <w:rPr>
                <w:rFonts w:hint="eastAsia" w:ascii="宋体" w:hAnsi="宋体"/>
                <w:szCs w:val="21"/>
                <w:highlight w:val="none"/>
              </w:rPr>
            </w:pPr>
          </w:p>
        </w:tc>
        <w:tc>
          <w:tcPr>
            <w:tcW w:w="1063" w:type="dxa"/>
            <w:noWrap w:val="0"/>
            <w:vAlign w:val="center"/>
          </w:tcPr>
          <w:p w14:paraId="0EFE7502">
            <w:pPr>
              <w:jc w:val="center"/>
              <w:rPr>
                <w:rFonts w:hint="eastAsia" w:ascii="宋体" w:hAnsi="宋体"/>
                <w:szCs w:val="21"/>
                <w:highlight w:val="none"/>
              </w:rPr>
            </w:pPr>
          </w:p>
        </w:tc>
        <w:tc>
          <w:tcPr>
            <w:tcW w:w="1063" w:type="dxa"/>
            <w:noWrap w:val="0"/>
            <w:vAlign w:val="center"/>
          </w:tcPr>
          <w:p w14:paraId="1D13300F">
            <w:pPr>
              <w:jc w:val="center"/>
              <w:rPr>
                <w:rFonts w:hint="eastAsia" w:ascii="宋体" w:hAnsi="宋体"/>
                <w:szCs w:val="21"/>
                <w:highlight w:val="none"/>
              </w:rPr>
            </w:pPr>
          </w:p>
        </w:tc>
        <w:tc>
          <w:tcPr>
            <w:tcW w:w="1063" w:type="dxa"/>
            <w:noWrap w:val="0"/>
            <w:vAlign w:val="center"/>
          </w:tcPr>
          <w:p w14:paraId="1A400570">
            <w:pPr>
              <w:jc w:val="center"/>
              <w:rPr>
                <w:rFonts w:hint="eastAsia" w:ascii="宋体" w:hAnsi="宋体"/>
                <w:szCs w:val="21"/>
                <w:highlight w:val="none"/>
              </w:rPr>
            </w:pPr>
          </w:p>
        </w:tc>
        <w:tc>
          <w:tcPr>
            <w:tcW w:w="1063" w:type="dxa"/>
            <w:noWrap w:val="0"/>
            <w:vAlign w:val="center"/>
          </w:tcPr>
          <w:p w14:paraId="3862BD40">
            <w:pPr>
              <w:jc w:val="center"/>
              <w:rPr>
                <w:rFonts w:hint="eastAsia" w:ascii="宋体" w:hAnsi="宋体"/>
                <w:szCs w:val="21"/>
                <w:highlight w:val="none"/>
              </w:rPr>
            </w:pPr>
          </w:p>
        </w:tc>
        <w:tc>
          <w:tcPr>
            <w:tcW w:w="1063" w:type="dxa"/>
            <w:noWrap w:val="0"/>
            <w:vAlign w:val="center"/>
          </w:tcPr>
          <w:p w14:paraId="55577DF2">
            <w:pPr>
              <w:jc w:val="center"/>
              <w:rPr>
                <w:rFonts w:hint="eastAsia" w:ascii="宋体" w:hAnsi="宋体"/>
                <w:szCs w:val="21"/>
                <w:highlight w:val="none"/>
              </w:rPr>
            </w:pPr>
          </w:p>
        </w:tc>
        <w:tc>
          <w:tcPr>
            <w:tcW w:w="1063" w:type="dxa"/>
            <w:noWrap w:val="0"/>
            <w:vAlign w:val="center"/>
          </w:tcPr>
          <w:p w14:paraId="03140870">
            <w:pPr>
              <w:jc w:val="center"/>
              <w:rPr>
                <w:rFonts w:hint="eastAsia" w:ascii="宋体" w:hAnsi="宋体"/>
                <w:szCs w:val="21"/>
                <w:highlight w:val="none"/>
              </w:rPr>
            </w:pPr>
          </w:p>
        </w:tc>
      </w:tr>
      <w:tr w14:paraId="2FC4F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25" w:hRule="atLeast"/>
          <w:jc w:val="center"/>
        </w:trPr>
        <w:tc>
          <w:tcPr>
            <w:tcW w:w="709" w:type="dxa"/>
            <w:noWrap w:val="0"/>
            <w:vAlign w:val="center"/>
          </w:tcPr>
          <w:p w14:paraId="72BA917E">
            <w:pPr>
              <w:jc w:val="center"/>
              <w:rPr>
                <w:rFonts w:hint="eastAsia" w:ascii="宋体" w:hAnsi="宋体"/>
                <w:szCs w:val="21"/>
                <w:highlight w:val="none"/>
              </w:rPr>
            </w:pPr>
          </w:p>
        </w:tc>
        <w:tc>
          <w:tcPr>
            <w:tcW w:w="1418" w:type="dxa"/>
            <w:noWrap w:val="0"/>
            <w:vAlign w:val="center"/>
          </w:tcPr>
          <w:p w14:paraId="3311782A">
            <w:pPr>
              <w:jc w:val="center"/>
              <w:rPr>
                <w:rFonts w:hint="eastAsia" w:ascii="宋体" w:hAnsi="宋体"/>
                <w:szCs w:val="21"/>
                <w:highlight w:val="none"/>
              </w:rPr>
            </w:pPr>
          </w:p>
        </w:tc>
        <w:tc>
          <w:tcPr>
            <w:tcW w:w="1063" w:type="dxa"/>
            <w:noWrap w:val="0"/>
            <w:vAlign w:val="center"/>
          </w:tcPr>
          <w:p w14:paraId="678145CC">
            <w:pPr>
              <w:jc w:val="center"/>
              <w:rPr>
                <w:rFonts w:hint="eastAsia" w:ascii="宋体" w:hAnsi="宋体"/>
                <w:szCs w:val="21"/>
                <w:highlight w:val="none"/>
              </w:rPr>
            </w:pPr>
          </w:p>
        </w:tc>
        <w:tc>
          <w:tcPr>
            <w:tcW w:w="1063" w:type="dxa"/>
            <w:noWrap w:val="0"/>
            <w:vAlign w:val="center"/>
          </w:tcPr>
          <w:p w14:paraId="4A25AEC3">
            <w:pPr>
              <w:jc w:val="center"/>
              <w:rPr>
                <w:rFonts w:hint="eastAsia" w:ascii="宋体" w:hAnsi="宋体"/>
                <w:szCs w:val="21"/>
                <w:highlight w:val="none"/>
              </w:rPr>
            </w:pPr>
          </w:p>
        </w:tc>
        <w:tc>
          <w:tcPr>
            <w:tcW w:w="1063" w:type="dxa"/>
            <w:noWrap w:val="0"/>
            <w:vAlign w:val="center"/>
          </w:tcPr>
          <w:p w14:paraId="5E07DEA9">
            <w:pPr>
              <w:jc w:val="center"/>
              <w:rPr>
                <w:rFonts w:hint="eastAsia" w:ascii="宋体" w:hAnsi="宋体"/>
                <w:szCs w:val="21"/>
                <w:highlight w:val="none"/>
              </w:rPr>
            </w:pPr>
          </w:p>
        </w:tc>
        <w:tc>
          <w:tcPr>
            <w:tcW w:w="1063" w:type="dxa"/>
            <w:noWrap w:val="0"/>
            <w:vAlign w:val="center"/>
          </w:tcPr>
          <w:p w14:paraId="7442F2F4">
            <w:pPr>
              <w:jc w:val="center"/>
              <w:rPr>
                <w:rFonts w:hint="eastAsia" w:ascii="宋体" w:hAnsi="宋体"/>
                <w:szCs w:val="21"/>
                <w:highlight w:val="none"/>
              </w:rPr>
            </w:pPr>
          </w:p>
        </w:tc>
        <w:tc>
          <w:tcPr>
            <w:tcW w:w="1063" w:type="dxa"/>
            <w:noWrap w:val="0"/>
            <w:vAlign w:val="center"/>
          </w:tcPr>
          <w:p w14:paraId="7FCF57A2">
            <w:pPr>
              <w:jc w:val="center"/>
              <w:rPr>
                <w:rFonts w:hint="eastAsia" w:ascii="宋体" w:hAnsi="宋体"/>
                <w:szCs w:val="21"/>
                <w:highlight w:val="none"/>
              </w:rPr>
            </w:pPr>
          </w:p>
        </w:tc>
        <w:tc>
          <w:tcPr>
            <w:tcW w:w="1063" w:type="dxa"/>
            <w:noWrap w:val="0"/>
            <w:vAlign w:val="center"/>
          </w:tcPr>
          <w:p w14:paraId="6686512A">
            <w:pPr>
              <w:jc w:val="center"/>
              <w:rPr>
                <w:rFonts w:hint="eastAsia" w:ascii="宋体" w:hAnsi="宋体"/>
                <w:szCs w:val="21"/>
                <w:highlight w:val="none"/>
              </w:rPr>
            </w:pPr>
          </w:p>
        </w:tc>
      </w:tr>
      <w:tr w14:paraId="5B45F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25" w:hRule="atLeast"/>
          <w:jc w:val="center"/>
        </w:trPr>
        <w:tc>
          <w:tcPr>
            <w:tcW w:w="709" w:type="dxa"/>
            <w:noWrap w:val="0"/>
            <w:vAlign w:val="center"/>
          </w:tcPr>
          <w:p w14:paraId="7C4D4B5E">
            <w:pPr>
              <w:jc w:val="center"/>
              <w:rPr>
                <w:rFonts w:hint="eastAsia" w:ascii="宋体" w:hAnsi="宋体"/>
                <w:szCs w:val="21"/>
                <w:highlight w:val="none"/>
              </w:rPr>
            </w:pPr>
          </w:p>
        </w:tc>
        <w:tc>
          <w:tcPr>
            <w:tcW w:w="1418" w:type="dxa"/>
            <w:noWrap w:val="0"/>
            <w:vAlign w:val="center"/>
          </w:tcPr>
          <w:p w14:paraId="7F80A6CA">
            <w:pPr>
              <w:jc w:val="center"/>
              <w:rPr>
                <w:rFonts w:hint="eastAsia" w:ascii="宋体" w:hAnsi="宋体"/>
                <w:szCs w:val="21"/>
                <w:highlight w:val="none"/>
              </w:rPr>
            </w:pPr>
          </w:p>
        </w:tc>
        <w:tc>
          <w:tcPr>
            <w:tcW w:w="1063" w:type="dxa"/>
            <w:noWrap w:val="0"/>
            <w:vAlign w:val="center"/>
          </w:tcPr>
          <w:p w14:paraId="0FDBFD8E">
            <w:pPr>
              <w:jc w:val="center"/>
              <w:rPr>
                <w:rFonts w:hint="eastAsia" w:ascii="宋体" w:hAnsi="宋体"/>
                <w:szCs w:val="21"/>
                <w:highlight w:val="none"/>
              </w:rPr>
            </w:pPr>
          </w:p>
        </w:tc>
        <w:tc>
          <w:tcPr>
            <w:tcW w:w="1063" w:type="dxa"/>
            <w:noWrap w:val="0"/>
            <w:vAlign w:val="center"/>
          </w:tcPr>
          <w:p w14:paraId="34CB31F1">
            <w:pPr>
              <w:jc w:val="center"/>
              <w:rPr>
                <w:rFonts w:hint="eastAsia" w:ascii="宋体" w:hAnsi="宋体"/>
                <w:szCs w:val="21"/>
                <w:highlight w:val="none"/>
              </w:rPr>
            </w:pPr>
          </w:p>
        </w:tc>
        <w:tc>
          <w:tcPr>
            <w:tcW w:w="1063" w:type="dxa"/>
            <w:noWrap w:val="0"/>
            <w:vAlign w:val="center"/>
          </w:tcPr>
          <w:p w14:paraId="045A7602">
            <w:pPr>
              <w:jc w:val="center"/>
              <w:rPr>
                <w:rFonts w:hint="eastAsia" w:ascii="宋体" w:hAnsi="宋体"/>
                <w:szCs w:val="21"/>
                <w:highlight w:val="none"/>
              </w:rPr>
            </w:pPr>
          </w:p>
        </w:tc>
        <w:tc>
          <w:tcPr>
            <w:tcW w:w="1063" w:type="dxa"/>
            <w:noWrap w:val="0"/>
            <w:vAlign w:val="center"/>
          </w:tcPr>
          <w:p w14:paraId="1CC086F1">
            <w:pPr>
              <w:jc w:val="center"/>
              <w:rPr>
                <w:rFonts w:hint="eastAsia" w:ascii="宋体" w:hAnsi="宋体"/>
                <w:szCs w:val="21"/>
                <w:highlight w:val="none"/>
              </w:rPr>
            </w:pPr>
          </w:p>
        </w:tc>
        <w:tc>
          <w:tcPr>
            <w:tcW w:w="1063" w:type="dxa"/>
            <w:noWrap w:val="0"/>
            <w:vAlign w:val="center"/>
          </w:tcPr>
          <w:p w14:paraId="4A6FA6C7">
            <w:pPr>
              <w:jc w:val="center"/>
              <w:rPr>
                <w:rFonts w:hint="eastAsia" w:ascii="宋体" w:hAnsi="宋体"/>
                <w:szCs w:val="21"/>
                <w:highlight w:val="none"/>
              </w:rPr>
            </w:pPr>
          </w:p>
        </w:tc>
        <w:tc>
          <w:tcPr>
            <w:tcW w:w="1063" w:type="dxa"/>
            <w:noWrap w:val="0"/>
            <w:vAlign w:val="center"/>
          </w:tcPr>
          <w:p w14:paraId="70A9E226">
            <w:pPr>
              <w:jc w:val="center"/>
              <w:rPr>
                <w:rFonts w:hint="eastAsia" w:ascii="宋体" w:hAnsi="宋体"/>
                <w:szCs w:val="21"/>
                <w:highlight w:val="none"/>
              </w:rPr>
            </w:pPr>
          </w:p>
        </w:tc>
      </w:tr>
    </w:tbl>
    <w:p w14:paraId="466F36ED">
      <w:pPr>
        <w:spacing w:line="420" w:lineRule="exact"/>
        <w:rPr>
          <w:rFonts w:ascii="宋体" w:hAnsi="宋体"/>
          <w:szCs w:val="21"/>
          <w:highlight w:val="none"/>
        </w:rPr>
      </w:pPr>
    </w:p>
    <w:p w14:paraId="7B35C5DB">
      <w:pPr>
        <w:spacing w:before="156" w:beforeLines="50" w:after="312" w:afterLines="100" w:line="420" w:lineRule="exact"/>
        <w:rPr>
          <w:rFonts w:hint="eastAsia" w:ascii="宋体" w:hAnsi="宋体" w:eastAsia="宋体"/>
          <w:sz w:val="24"/>
          <w:highlight w:val="none"/>
          <w:lang w:eastAsia="zh-CN"/>
        </w:rPr>
      </w:pPr>
      <w:r>
        <w:rPr>
          <w:rFonts w:ascii="宋体" w:hAnsi="宋体"/>
          <w:szCs w:val="21"/>
          <w:highlight w:val="none"/>
        </w:rPr>
        <w:br w:type="page"/>
      </w:r>
      <w:r>
        <w:rPr>
          <w:rFonts w:hint="eastAsia" w:ascii="宋体" w:hAnsi="宋体"/>
          <w:b/>
          <w:bCs/>
          <w:sz w:val="24"/>
          <w:szCs w:val="24"/>
          <w:highlight w:val="none"/>
        </w:rPr>
        <w:t>附表四：计划开、竣工日期和施工进度网络图</w:t>
      </w:r>
      <w:r>
        <w:rPr>
          <w:rFonts w:hint="eastAsia" w:ascii="宋体" w:hAnsi="宋体"/>
          <w:b/>
          <w:bCs/>
          <w:sz w:val="24"/>
          <w:szCs w:val="24"/>
          <w:highlight w:val="none"/>
          <w:lang w:eastAsia="zh-CN"/>
        </w:rPr>
        <w:t>和</w:t>
      </w:r>
      <w:r>
        <w:rPr>
          <w:rFonts w:hint="eastAsia" w:ascii="宋体" w:hAnsi="宋体"/>
          <w:b/>
          <w:bCs/>
          <w:sz w:val="24"/>
          <w:szCs w:val="24"/>
          <w:highlight w:val="none"/>
        </w:rPr>
        <w:t>（或）横道图</w:t>
      </w:r>
    </w:p>
    <w:p w14:paraId="14C782C2">
      <w:pPr>
        <w:spacing w:line="420" w:lineRule="exact"/>
        <w:ind w:firstLine="480" w:firstLineChars="200"/>
        <w:rPr>
          <w:rFonts w:hint="eastAsia" w:ascii="宋体" w:hAnsi="宋体"/>
          <w:sz w:val="24"/>
          <w:szCs w:val="24"/>
          <w:highlight w:val="none"/>
        </w:rPr>
      </w:pPr>
      <w:r>
        <w:rPr>
          <w:rFonts w:hint="eastAsia" w:ascii="宋体" w:hAnsi="宋体"/>
          <w:sz w:val="24"/>
          <w:szCs w:val="24"/>
          <w:highlight w:val="none"/>
        </w:rPr>
        <w:t>1．</w:t>
      </w:r>
      <w:r>
        <w:rPr>
          <w:rFonts w:hint="eastAsia"/>
          <w:sz w:val="24"/>
          <w:szCs w:val="24"/>
          <w:highlight w:val="none"/>
          <w:lang w:eastAsia="zh-CN"/>
        </w:rPr>
        <w:t>供应商</w:t>
      </w:r>
      <w:r>
        <w:rPr>
          <w:rFonts w:hint="eastAsia" w:ascii="宋体" w:hAnsi="宋体"/>
          <w:sz w:val="24"/>
          <w:szCs w:val="24"/>
          <w:highlight w:val="none"/>
        </w:rPr>
        <w:t>应递交施工进度网络图或施工进度表，说明按</w:t>
      </w:r>
      <w:r>
        <w:rPr>
          <w:rFonts w:hint="eastAsia"/>
          <w:sz w:val="24"/>
          <w:szCs w:val="24"/>
          <w:highlight w:val="none"/>
          <w:lang w:eastAsia="zh-CN"/>
        </w:rPr>
        <w:t>竞争性磋商文件</w:t>
      </w:r>
      <w:r>
        <w:rPr>
          <w:rFonts w:hint="eastAsia" w:ascii="宋体" w:hAnsi="宋体"/>
          <w:sz w:val="24"/>
          <w:szCs w:val="24"/>
          <w:highlight w:val="none"/>
        </w:rPr>
        <w:t>要求的计划工期进行施工的各个关键日期。</w:t>
      </w:r>
    </w:p>
    <w:p w14:paraId="14912A4B">
      <w:pPr>
        <w:spacing w:line="420" w:lineRule="exact"/>
        <w:ind w:firstLine="480" w:firstLineChars="200"/>
        <w:rPr>
          <w:rFonts w:hint="eastAsia" w:ascii="宋体" w:hAnsi="宋体"/>
          <w:sz w:val="24"/>
          <w:szCs w:val="24"/>
          <w:highlight w:val="none"/>
        </w:rPr>
      </w:pPr>
      <w:r>
        <w:rPr>
          <w:rFonts w:hint="eastAsia" w:ascii="宋体" w:hAnsi="宋体"/>
          <w:sz w:val="24"/>
          <w:szCs w:val="24"/>
          <w:highlight w:val="none"/>
        </w:rPr>
        <w:t>2．施工进度表可采用网络图和（或）横道图表示。</w:t>
      </w:r>
    </w:p>
    <w:p w14:paraId="344A84EF">
      <w:pPr>
        <w:spacing w:before="156" w:beforeLines="50" w:after="312" w:afterLines="100" w:line="420" w:lineRule="exact"/>
        <w:rPr>
          <w:rFonts w:hint="eastAsia" w:ascii="宋体" w:hAnsi="宋体"/>
          <w:sz w:val="24"/>
          <w:szCs w:val="24"/>
          <w:highlight w:val="none"/>
        </w:rPr>
      </w:pPr>
      <w:r>
        <w:rPr>
          <w:rFonts w:ascii="宋体" w:hAnsi="宋体"/>
          <w:szCs w:val="21"/>
          <w:highlight w:val="none"/>
        </w:rPr>
        <w:br w:type="page"/>
      </w:r>
      <w:r>
        <w:rPr>
          <w:rFonts w:hint="eastAsia" w:ascii="宋体" w:hAnsi="宋体"/>
          <w:b/>
          <w:bCs/>
          <w:sz w:val="24"/>
          <w:szCs w:val="24"/>
          <w:highlight w:val="none"/>
        </w:rPr>
        <w:t>附表五：施工总平面图</w:t>
      </w:r>
    </w:p>
    <w:p w14:paraId="3F65492A">
      <w:pPr>
        <w:spacing w:line="420" w:lineRule="exact"/>
        <w:ind w:firstLine="480" w:firstLineChars="200"/>
        <w:rPr>
          <w:rFonts w:hint="eastAsia" w:ascii="宋体" w:hAnsi="宋体"/>
          <w:sz w:val="24"/>
          <w:szCs w:val="24"/>
          <w:highlight w:val="none"/>
        </w:rPr>
      </w:pPr>
      <w:r>
        <w:rPr>
          <w:rFonts w:hint="eastAsia"/>
          <w:sz w:val="24"/>
          <w:szCs w:val="24"/>
          <w:highlight w:val="none"/>
          <w:lang w:eastAsia="zh-CN"/>
        </w:rPr>
        <w:t>供应商</w:t>
      </w:r>
      <w:r>
        <w:rPr>
          <w:rFonts w:hint="eastAsia" w:ascii="宋体" w:hAnsi="宋体"/>
          <w:sz w:val="24"/>
          <w:szCs w:val="24"/>
          <w:highlight w:val="none"/>
        </w:rPr>
        <w:t>应递交一份施工总平面图，绘出现场临时设施布置图表并附文字说明，说明临时设施、加工车间、现场办公、设备及仓储、供电、供水、卫生、生活、道路、消防等设施的情况和布置。</w:t>
      </w:r>
    </w:p>
    <w:p w14:paraId="6F43D268">
      <w:pPr>
        <w:pStyle w:val="3"/>
        <w:numPr>
          <w:ilvl w:val="0"/>
          <w:numId w:val="17"/>
        </w:numPr>
        <w:bidi w:val="0"/>
        <w:rPr>
          <w:rFonts w:hint="eastAsia" w:ascii="宋体" w:hAnsi="宋体" w:eastAsia="宋体" w:cs="Times New Roman"/>
          <w:bCs w:val="0"/>
          <w:color w:val="auto"/>
          <w:szCs w:val="24"/>
          <w:highlight w:val="none"/>
          <w:lang w:val="zh-CN" w:eastAsia="zh-CN"/>
        </w:rPr>
      </w:pPr>
      <w:r>
        <w:rPr>
          <w:rFonts w:ascii="宋体" w:hAnsi="宋体"/>
          <w:szCs w:val="21"/>
          <w:highlight w:val="none"/>
        </w:rPr>
        <w:br w:type="page"/>
      </w:r>
      <w:bookmarkStart w:id="1730" w:name="_Toc8126"/>
      <w:bookmarkStart w:id="1731" w:name="_Toc19669"/>
      <w:r>
        <w:rPr>
          <w:rFonts w:hint="eastAsia" w:ascii="宋体" w:hAnsi="宋体" w:eastAsia="宋体" w:cs="宋体"/>
          <w:bCs/>
          <w:lang w:val="zh-CN" w:eastAsia="zh-CN"/>
        </w:rPr>
        <w:t>项目管理机构</w:t>
      </w:r>
      <w:bookmarkEnd w:id="1730"/>
      <w:bookmarkEnd w:id="1731"/>
    </w:p>
    <w:p w14:paraId="236DA178">
      <w:pPr>
        <w:pStyle w:val="4"/>
        <w:bidi w:val="0"/>
        <w:jc w:val="center"/>
        <w:rPr>
          <w:rFonts w:hint="eastAsia"/>
          <w:lang w:val="en-US" w:eastAsia="zh-CN"/>
        </w:rPr>
      </w:pPr>
      <w:r>
        <w:rPr>
          <w:rFonts w:hint="eastAsia"/>
        </w:rPr>
        <w:t>（一）项目管理机构组成表</w:t>
      </w:r>
    </w:p>
    <w:p w14:paraId="188F6CBC">
      <w:pPr>
        <w:spacing w:line="420" w:lineRule="exact"/>
        <w:rPr>
          <w:rFonts w:ascii="宋体" w:hAnsi="宋体"/>
          <w:szCs w:val="21"/>
          <w:highlight w:val="none"/>
        </w:rPr>
      </w:pPr>
    </w:p>
    <w:tbl>
      <w:tblPr>
        <w:tblStyle w:val="48"/>
        <w:tblW w:w="8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708"/>
        <w:gridCol w:w="708"/>
        <w:gridCol w:w="853"/>
        <w:gridCol w:w="764"/>
        <w:gridCol w:w="890"/>
        <w:gridCol w:w="790"/>
        <w:gridCol w:w="1780"/>
        <w:gridCol w:w="1070"/>
      </w:tblGrid>
      <w:tr w14:paraId="37565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Merge w:val="restart"/>
            <w:tcBorders>
              <w:top w:val="single" w:color="auto" w:sz="4" w:space="0"/>
              <w:left w:val="single" w:color="auto" w:sz="4" w:space="0"/>
              <w:bottom w:val="single" w:color="auto" w:sz="4" w:space="0"/>
              <w:right w:val="single" w:color="auto" w:sz="4" w:space="0"/>
            </w:tcBorders>
            <w:noWrap w:val="0"/>
            <w:vAlign w:val="center"/>
          </w:tcPr>
          <w:p w14:paraId="28B522EE">
            <w:pPr>
              <w:spacing w:line="480" w:lineRule="exact"/>
              <w:jc w:val="center"/>
              <w:textAlignment w:val="center"/>
              <w:rPr>
                <w:rFonts w:ascii="宋体" w:hAnsi="宋体"/>
                <w:sz w:val="24"/>
                <w:szCs w:val="24"/>
              </w:rPr>
            </w:pPr>
            <w:r>
              <w:rPr>
                <w:rFonts w:hint="eastAsia" w:ascii="宋体" w:hAnsi="宋体"/>
                <w:sz w:val="24"/>
                <w:szCs w:val="24"/>
              </w:rPr>
              <w:t>职务</w:t>
            </w:r>
          </w:p>
        </w:tc>
        <w:tc>
          <w:tcPr>
            <w:tcW w:w="708" w:type="dxa"/>
            <w:vMerge w:val="restart"/>
            <w:tcBorders>
              <w:top w:val="single" w:color="auto" w:sz="4" w:space="0"/>
              <w:left w:val="nil"/>
              <w:bottom w:val="single" w:color="auto" w:sz="4" w:space="0"/>
              <w:right w:val="single" w:color="auto" w:sz="4" w:space="0"/>
            </w:tcBorders>
            <w:noWrap w:val="0"/>
            <w:vAlign w:val="center"/>
          </w:tcPr>
          <w:p w14:paraId="27D3FCFD">
            <w:pPr>
              <w:spacing w:line="480" w:lineRule="exact"/>
              <w:jc w:val="center"/>
              <w:textAlignment w:val="center"/>
              <w:rPr>
                <w:rFonts w:ascii="宋体" w:hAnsi="宋体"/>
                <w:sz w:val="24"/>
                <w:szCs w:val="24"/>
              </w:rPr>
            </w:pPr>
            <w:r>
              <w:rPr>
                <w:rFonts w:hint="eastAsia" w:ascii="宋体" w:hAnsi="宋体"/>
                <w:sz w:val="24"/>
                <w:szCs w:val="24"/>
              </w:rPr>
              <w:t>姓名</w:t>
            </w:r>
          </w:p>
        </w:tc>
        <w:tc>
          <w:tcPr>
            <w:tcW w:w="708" w:type="dxa"/>
            <w:vMerge w:val="restart"/>
            <w:tcBorders>
              <w:top w:val="single" w:color="auto" w:sz="4" w:space="0"/>
              <w:left w:val="nil"/>
              <w:bottom w:val="single" w:color="auto" w:sz="4" w:space="0"/>
              <w:right w:val="single" w:color="auto" w:sz="4" w:space="0"/>
            </w:tcBorders>
            <w:noWrap w:val="0"/>
            <w:vAlign w:val="center"/>
          </w:tcPr>
          <w:p w14:paraId="46F54A5A">
            <w:pPr>
              <w:spacing w:line="480" w:lineRule="exact"/>
              <w:jc w:val="center"/>
              <w:textAlignment w:val="center"/>
              <w:rPr>
                <w:rFonts w:ascii="宋体" w:hAnsi="宋体"/>
                <w:sz w:val="24"/>
                <w:szCs w:val="24"/>
              </w:rPr>
            </w:pPr>
            <w:r>
              <w:rPr>
                <w:rFonts w:hint="eastAsia" w:ascii="宋体" w:hAnsi="宋体"/>
                <w:sz w:val="24"/>
                <w:szCs w:val="24"/>
              </w:rPr>
              <w:t>职称</w:t>
            </w:r>
          </w:p>
        </w:tc>
        <w:tc>
          <w:tcPr>
            <w:tcW w:w="5077" w:type="dxa"/>
            <w:gridSpan w:val="5"/>
            <w:tcBorders>
              <w:top w:val="single" w:color="auto" w:sz="4" w:space="0"/>
              <w:left w:val="nil"/>
              <w:bottom w:val="single" w:color="auto" w:sz="4" w:space="0"/>
              <w:right w:val="single" w:color="auto" w:sz="4" w:space="0"/>
            </w:tcBorders>
            <w:noWrap w:val="0"/>
            <w:vAlign w:val="center"/>
          </w:tcPr>
          <w:p w14:paraId="3F7B3CC9">
            <w:pPr>
              <w:spacing w:line="480" w:lineRule="exact"/>
              <w:jc w:val="center"/>
              <w:textAlignment w:val="center"/>
              <w:rPr>
                <w:rFonts w:ascii="宋体" w:hAnsi="宋体"/>
                <w:sz w:val="24"/>
                <w:szCs w:val="24"/>
              </w:rPr>
            </w:pPr>
            <w:r>
              <w:rPr>
                <w:rFonts w:hint="eastAsia" w:ascii="宋体" w:hAnsi="宋体"/>
                <w:sz w:val="24"/>
                <w:szCs w:val="24"/>
              </w:rPr>
              <w:t>执业或职业资格证明</w:t>
            </w:r>
          </w:p>
        </w:tc>
        <w:tc>
          <w:tcPr>
            <w:tcW w:w="1070" w:type="dxa"/>
            <w:vMerge w:val="restart"/>
            <w:tcBorders>
              <w:top w:val="single" w:color="auto" w:sz="4" w:space="0"/>
              <w:left w:val="nil"/>
              <w:bottom w:val="single" w:color="auto" w:sz="4" w:space="0"/>
              <w:right w:val="single" w:color="auto" w:sz="4" w:space="0"/>
            </w:tcBorders>
            <w:noWrap w:val="0"/>
            <w:vAlign w:val="center"/>
          </w:tcPr>
          <w:p w14:paraId="78517A58">
            <w:pPr>
              <w:spacing w:line="480" w:lineRule="exact"/>
              <w:jc w:val="center"/>
              <w:textAlignment w:val="center"/>
              <w:rPr>
                <w:rFonts w:ascii="宋体" w:hAnsi="宋体"/>
                <w:sz w:val="24"/>
                <w:szCs w:val="24"/>
              </w:rPr>
            </w:pPr>
            <w:r>
              <w:rPr>
                <w:rFonts w:hint="eastAsia" w:ascii="宋体" w:hAnsi="宋体"/>
                <w:sz w:val="24"/>
                <w:szCs w:val="24"/>
              </w:rPr>
              <w:t>备注</w:t>
            </w:r>
          </w:p>
        </w:tc>
      </w:tr>
      <w:tr w14:paraId="2441B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Merge w:val="continue"/>
            <w:tcBorders>
              <w:top w:val="single" w:color="auto" w:sz="4" w:space="0"/>
              <w:left w:val="single" w:color="auto" w:sz="4" w:space="0"/>
              <w:bottom w:val="single" w:color="auto" w:sz="4" w:space="0"/>
              <w:right w:val="single" w:color="auto" w:sz="4" w:space="0"/>
            </w:tcBorders>
            <w:noWrap w:val="0"/>
            <w:vAlign w:val="center"/>
          </w:tcPr>
          <w:p w14:paraId="46615783">
            <w:pPr>
              <w:widowControl/>
              <w:jc w:val="left"/>
              <w:rPr>
                <w:rFonts w:ascii="宋体" w:hAnsi="宋体"/>
                <w:sz w:val="24"/>
                <w:szCs w:val="24"/>
              </w:rPr>
            </w:pPr>
          </w:p>
        </w:tc>
        <w:tc>
          <w:tcPr>
            <w:tcW w:w="708" w:type="dxa"/>
            <w:vMerge w:val="continue"/>
            <w:tcBorders>
              <w:top w:val="single" w:color="auto" w:sz="4" w:space="0"/>
              <w:left w:val="nil"/>
              <w:bottom w:val="single" w:color="auto" w:sz="4" w:space="0"/>
              <w:right w:val="single" w:color="auto" w:sz="4" w:space="0"/>
            </w:tcBorders>
            <w:noWrap w:val="0"/>
            <w:vAlign w:val="center"/>
          </w:tcPr>
          <w:p w14:paraId="788BCCCE">
            <w:pPr>
              <w:widowControl/>
              <w:jc w:val="left"/>
              <w:rPr>
                <w:rFonts w:ascii="宋体" w:hAnsi="宋体"/>
                <w:sz w:val="24"/>
                <w:szCs w:val="24"/>
              </w:rPr>
            </w:pPr>
          </w:p>
        </w:tc>
        <w:tc>
          <w:tcPr>
            <w:tcW w:w="708" w:type="dxa"/>
            <w:vMerge w:val="continue"/>
            <w:tcBorders>
              <w:top w:val="single" w:color="auto" w:sz="4" w:space="0"/>
              <w:left w:val="nil"/>
              <w:bottom w:val="single" w:color="auto" w:sz="4" w:space="0"/>
              <w:right w:val="single" w:color="auto" w:sz="4" w:space="0"/>
            </w:tcBorders>
            <w:noWrap w:val="0"/>
            <w:vAlign w:val="center"/>
          </w:tcPr>
          <w:p w14:paraId="2618E0AB">
            <w:pPr>
              <w:widowControl/>
              <w:jc w:val="left"/>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3D26E6A6">
            <w:pPr>
              <w:spacing w:line="480" w:lineRule="exact"/>
              <w:jc w:val="center"/>
              <w:textAlignment w:val="center"/>
              <w:rPr>
                <w:rFonts w:ascii="宋体" w:hAnsi="宋体"/>
                <w:sz w:val="24"/>
                <w:szCs w:val="24"/>
              </w:rPr>
            </w:pPr>
            <w:r>
              <w:rPr>
                <w:rFonts w:hint="eastAsia" w:ascii="宋体" w:hAnsi="宋体"/>
                <w:sz w:val="24"/>
                <w:szCs w:val="24"/>
              </w:rPr>
              <w:t>证书名称</w:t>
            </w:r>
          </w:p>
        </w:tc>
        <w:tc>
          <w:tcPr>
            <w:tcW w:w="764" w:type="dxa"/>
            <w:tcBorders>
              <w:top w:val="single" w:color="auto" w:sz="4" w:space="0"/>
              <w:left w:val="nil"/>
              <w:bottom w:val="single" w:color="auto" w:sz="4" w:space="0"/>
              <w:right w:val="single" w:color="auto" w:sz="4" w:space="0"/>
            </w:tcBorders>
            <w:noWrap w:val="0"/>
            <w:vAlign w:val="center"/>
          </w:tcPr>
          <w:p w14:paraId="50BF3271">
            <w:pPr>
              <w:spacing w:line="480" w:lineRule="exact"/>
              <w:jc w:val="center"/>
              <w:textAlignment w:val="center"/>
              <w:rPr>
                <w:rFonts w:ascii="宋体" w:hAnsi="宋体"/>
                <w:sz w:val="24"/>
                <w:szCs w:val="24"/>
              </w:rPr>
            </w:pPr>
            <w:r>
              <w:rPr>
                <w:rFonts w:hint="eastAsia" w:ascii="宋体" w:hAnsi="宋体"/>
                <w:sz w:val="24"/>
                <w:szCs w:val="24"/>
              </w:rPr>
              <w:t>级别</w:t>
            </w:r>
          </w:p>
        </w:tc>
        <w:tc>
          <w:tcPr>
            <w:tcW w:w="890" w:type="dxa"/>
            <w:tcBorders>
              <w:top w:val="single" w:color="auto" w:sz="4" w:space="0"/>
              <w:left w:val="nil"/>
              <w:bottom w:val="single" w:color="auto" w:sz="4" w:space="0"/>
              <w:right w:val="single" w:color="auto" w:sz="4" w:space="0"/>
            </w:tcBorders>
            <w:noWrap w:val="0"/>
            <w:vAlign w:val="center"/>
          </w:tcPr>
          <w:p w14:paraId="26CDD06D">
            <w:pPr>
              <w:spacing w:line="480" w:lineRule="exact"/>
              <w:jc w:val="center"/>
              <w:textAlignment w:val="center"/>
              <w:rPr>
                <w:rFonts w:ascii="宋体" w:hAnsi="宋体"/>
                <w:sz w:val="24"/>
                <w:szCs w:val="24"/>
              </w:rPr>
            </w:pPr>
            <w:r>
              <w:rPr>
                <w:rFonts w:hint="eastAsia" w:ascii="宋体" w:hAnsi="宋体"/>
                <w:sz w:val="24"/>
                <w:szCs w:val="24"/>
              </w:rPr>
              <w:t>证号</w:t>
            </w:r>
          </w:p>
        </w:tc>
        <w:tc>
          <w:tcPr>
            <w:tcW w:w="790" w:type="dxa"/>
            <w:tcBorders>
              <w:top w:val="single" w:color="auto" w:sz="4" w:space="0"/>
              <w:left w:val="nil"/>
              <w:bottom w:val="single" w:color="auto" w:sz="4" w:space="0"/>
              <w:right w:val="single" w:color="auto" w:sz="4" w:space="0"/>
            </w:tcBorders>
            <w:noWrap w:val="0"/>
            <w:vAlign w:val="center"/>
          </w:tcPr>
          <w:p w14:paraId="5694B229">
            <w:pPr>
              <w:spacing w:line="480" w:lineRule="exact"/>
              <w:jc w:val="center"/>
              <w:textAlignment w:val="center"/>
              <w:rPr>
                <w:rFonts w:ascii="宋体" w:hAnsi="宋体"/>
                <w:sz w:val="24"/>
                <w:szCs w:val="24"/>
              </w:rPr>
            </w:pPr>
            <w:r>
              <w:rPr>
                <w:rFonts w:hint="eastAsia" w:ascii="宋体" w:hAnsi="宋体"/>
                <w:sz w:val="24"/>
                <w:szCs w:val="24"/>
              </w:rPr>
              <w:t>专业</w:t>
            </w:r>
          </w:p>
        </w:tc>
        <w:tc>
          <w:tcPr>
            <w:tcW w:w="1780" w:type="dxa"/>
            <w:tcBorders>
              <w:top w:val="single" w:color="auto" w:sz="4" w:space="0"/>
              <w:left w:val="nil"/>
              <w:bottom w:val="single" w:color="auto" w:sz="4" w:space="0"/>
              <w:right w:val="single" w:color="auto" w:sz="4" w:space="0"/>
            </w:tcBorders>
            <w:noWrap w:val="0"/>
            <w:vAlign w:val="center"/>
          </w:tcPr>
          <w:p w14:paraId="33D6569B">
            <w:pPr>
              <w:spacing w:line="480" w:lineRule="exact"/>
              <w:jc w:val="center"/>
              <w:textAlignment w:val="center"/>
              <w:rPr>
                <w:rFonts w:ascii="宋体" w:hAnsi="宋体"/>
                <w:sz w:val="24"/>
                <w:szCs w:val="24"/>
              </w:rPr>
            </w:pPr>
            <w:r>
              <w:rPr>
                <w:rFonts w:hint="eastAsia" w:ascii="宋体" w:hAnsi="宋体"/>
                <w:sz w:val="24"/>
                <w:szCs w:val="24"/>
              </w:rPr>
              <w:t>养老保险</w:t>
            </w:r>
          </w:p>
          <w:p w14:paraId="189BD07A">
            <w:pPr>
              <w:spacing w:line="480" w:lineRule="exact"/>
              <w:jc w:val="center"/>
              <w:textAlignment w:val="center"/>
              <w:rPr>
                <w:rFonts w:ascii="宋体" w:hAnsi="宋体"/>
                <w:sz w:val="24"/>
                <w:szCs w:val="24"/>
              </w:rPr>
            </w:pPr>
            <w:r>
              <w:rPr>
                <w:rFonts w:hint="eastAsia" w:ascii="宋体" w:hAnsi="宋体"/>
                <w:sz w:val="24"/>
                <w:szCs w:val="24"/>
              </w:rPr>
              <w:t>（是否交纳）</w:t>
            </w:r>
          </w:p>
        </w:tc>
        <w:tc>
          <w:tcPr>
            <w:tcW w:w="1070" w:type="dxa"/>
            <w:vMerge w:val="continue"/>
            <w:tcBorders>
              <w:top w:val="single" w:color="auto" w:sz="4" w:space="0"/>
              <w:left w:val="nil"/>
              <w:bottom w:val="single" w:color="auto" w:sz="4" w:space="0"/>
              <w:right w:val="single" w:color="auto" w:sz="4" w:space="0"/>
            </w:tcBorders>
            <w:noWrap w:val="0"/>
            <w:vAlign w:val="center"/>
          </w:tcPr>
          <w:p w14:paraId="54F5DB24">
            <w:pPr>
              <w:widowControl/>
              <w:jc w:val="left"/>
              <w:rPr>
                <w:rFonts w:ascii="宋体" w:hAnsi="宋体"/>
                <w:sz w:val="24"/>
                <w:szCs w:val="24"/>
              </w:rPr>
            </w:pPr>
          </w:p>
        </w:tc>
      </w:tr>
      <w:tr w14:paraId="3F930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380E6845">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6F6B969A">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0C1BF121">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330EDF7E">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55FED6BC">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11C16A4C">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21C35BD8">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6542F50F">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4BE91DD1">
            <w:pPr>
              <w:spacing w:line="480" w:lineRule="exact"/>
              <w:jc w:val="center"/>
              <w:textAlignment w:val="center"/>
              <w:rPr>
                <w:rFonts w:ascii="宋体" w:hAnsi="宋体"/>
                <w:sz w:val="24"/>
                <w:szCs w:val="24"/>
              </w:rPr>
            </w:pPr>
          </w:p>
        </w:tc>
      </w:tr>
      <w:tr w14:paraId="0224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3E1C6A53">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391E65F2">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62AF591D">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610A7CD6">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09E32334">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04EF8937">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74A829FE">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45F3F4F5">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0C4046FB">
            <w:pPr>
              <w:spacing w:line="480" w:lineRule="exact"/>
              <w:jc w:val="center"/>
              <w:textAlignment w:val="center"/>
              <w:rPr>
                <w:rFonts w:ascii="宋体" w:hAnsi="宋体"/>
                <w:sz w:val="24"/>
                <w:szCs w:val="24"/>
              </w:rPr>
            </w:pPr>
          </w:p>
        </w:tc>
      </w:tr>
      <w:tr w14:paraId="3DDE8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4EF0F24E">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03A6CD7A">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2E3E643D">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2B248594">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6331DF3A">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4538FC5A">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42B635F9">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4E2CC953">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651C99FD">
            <w:pPr>
              <w:spacing w:line="480" w:lineRule="exact"/>
              <w:jc w:val="center"/>
              <w:textAlignment w:val="center"/>
              <w:rPr>
                <w:rFonts w:ascii="宋体" w:hAnsi="宋体"/>
                <w:sz w:val="24"/>
                <w:szCs w:val="24"/>
              </w:rPr>
            </w:pPr>
          </w:p>
        </w:tc>
      </w:tr>
      <w:tr w14:paraId="704F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1E4B0DFF">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779A5E19">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241885EE">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0BC516E2">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3EA01C90">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670DEBA6">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5B117346">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3319E32A">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2BD80D08">
            <w:pPr>
              <w:spacing w:line="480" w:lineRule="exact"/>
              <w:jc w:val="center"/>
              <w:textAlignment w:val="center"/>
              <w:rPr>
                <w:rFonts w:ascii="宋体" w:hAnsi="宋体"/>
                <w:sz w:val="24"/>
                <w:szCs w:val="24"/>
              </w:rPr>
            </w:pPr>
          </w:p>
        </w:tc>
      </w:tr>
      <w:tr w14:paraId="6C52D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06E69171">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5785A224">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7AACCBCE">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5441B49F">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5D2A07BA">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1CF26910">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4B9FE26E">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02B858AE">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4B35150E">
            <w:pPr>
              <w:spacing w:line="480" w:lineRule="exact"/>
              <w:jc w:val="center"/>
              <w:textAlignment w:val="center"/>
              <w:rPr>
                <w:rFonts w:ascii="宋体" w:hAnsi="宋体"/>
                <w:sz w:val="24"/>
                <w:szCs w:val="24"/>
              </w:rPr>
            </w:pPr>
          </w:p>
        </w:tc>
      </w:tr>
      <w:tr w14:paraId="33CAF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5C8A0651">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51D80046">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4103D857">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461B7DB3">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3553B681">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66EDCBC2">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3B08C53B">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523E5293">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3EBA58F5">
            <w:pPr>
              <w:spacing w:line="480" w:lineRule="exact"/>
              <w:jc w:val="center"/>
              <w:textAlignment w:val="center"/>
              <w:rPr>
                <w:rFonts w:ascii="宋体" w:hAnsi="宋体"/>
                <w:sz w:val="24"/>
                <w:szCs w:val="24"/>
              </w:rPr>
            </w:pPr>
          </w:p>
        </w:tc>
      </w:tr>
      <w:tr w14:paraId="64A16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71B688EA">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54E43DDD">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18B539A8">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5E0C0989">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430E3F71">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05146548">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1BE4F36A">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11BE9DDE">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12762356">
            <w:pPr>
              <w:spacing w:line="480" w:lineRule="exact"/>
              <w:jc w:val="center"/>
              <w:textAlignment w:val="center"/>
              <w:rPr>
                <w:rFonts w:ascii="宋体" w:hAnsi="宋体"/>
                <w:sz w:val="24"/>
                <w:szCs w:val="24"/>
              </w:rPr>
            </w:pPr>
          </w:p>
        </w:tc>
      </w:tr>
      <w:tr w14:paraId="3CDC2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24F51C8A">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798BCFBA">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4D5AFA1A">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79BC5711">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12C6A51A">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1F141C5F">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5D19F038">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44550698">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7A7157A1">
            <w:pPr>
              <w:spacing w:line="480" w:lineRule="exact"/>
              <w:jc w:val="center"/>
              <w:textAlignment w:val="center"/>
              <w:rPr>
                <w:rFonts w:ascii="宋体" w:hAnsi="宋体"/>
                <w:sz w:val="24"/>
                <w:szCs w:val="24"/>
              </w:rPr>
            </w:pPr>
          </w:p>
        </w:tc>
      </w:tr>
      <w:tr w14:paraId="7551E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5081AA2F">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2132442A">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4FEA7C1F">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40FD545C">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4790C7E0">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200A96D4">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29F09BE1">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5F775CE1">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1012A3D0">
            <w:pPr>
              <w:spacing w:line="480" w:lineRule="exact"/>
              <w:jc w:val="center"/>
              <w:textAlignment w:val="center"/>
              <w:rPr>
                <w:rFonts w:ascii="宋体" w:hAnsi="宋体"/>
                <w:sz w:val="24"/>
                <w:szCs w:val="24"/>
              </w:rPr>
            </w:pPr>
          </w:p>
        </w:tc>
      </w:tr>
      <w:tr w14:paraId="244CD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272B2EBD">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0A795D0D">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1C5DFF29">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6642F1E6">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12F5145F">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74C8C657">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5156B81F">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727A9D14">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5D59C450">
            <w:pPr>
              <w:spacing w:line="480" w:lineRule="exact"/>
              <w:jc w:val="center"/>
              <w:textAlignment w:val="center"/>
              <w:rPr>
                <w:rFonts w:ascii="宋体" w:hAnsi="宋体"/>
                <w:sz w:val="24"/>
                <w:szCs w:val="24"/>
              </w:rPr>
            </w:pPr>
          </w:p>
        </w:tc>
      </w:tr>
      <w:tr w14:paraId="41686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258E5DBE">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35AD0D0E">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6E491F35">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3F0CA5DA">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563425C8">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12B908D1">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60CCABA6">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1211D004">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13FA048C">
            <w:pPr>
              <w:spacing w:line="480" w:lineRule="exact"/>
              <w:jc w:val="center"/>
              <w:textAlignment w:val="center"/>
              <w:rPr>
                <w:rFonts w:ascii="宋体" w:hAnsi="宋体"/>
                <w:sz w:val="24"/>
                <w:szCs w:val="24"/>
              </w:rPr>
            </w:pPr>
          </w:p>
        </w:tc>
      </w:tr>
      <w:tr w14:paraId="08FA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6AE775BE">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2939019A">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60FA90BC">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31F6D73E">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72D1B00C">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273D5D90">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1B4EDB7B">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434313C7">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525119A7">
            <w:pPr>
              <w:spacing w:line="480" w:lineRule="exact"/>
              <w:jc w:val="center"/>
              <w:textAlignment w:val="center"/>
              <w:rPr>
                <w:rFonts w:ascii="宋体" w:hAnsi="宋体"/>
                <w:sz w:val="24"/>
                <w:szCs w:val="24"/>
              </w:rPr>
            </w:pPr>
          </w:p>
        </w:tc>
      </w:tr>
      <w:tr w14:paraId="0D061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1EC9A8D5">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6BD2C549">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11A2B3E4">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66AB899A">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47640690">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16D90C83">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06C5FA21">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3024184E">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10FABA9F">
            <w:pPr>
              <w:spacing w:line="480" w:lineRule="exact"/>
              <w:jc w:val="center"/>
              <w:textAlignment w:val="center"/>
              <w:rPr>
                <w:rFonts w:ascii="宋体" w:hAnsi="宋体"/>
                <w:sz w:val="24"/>
                <w:szCs w:val="24"/>
              </w:rPr>
            </w:pPr>
          </w:p>
        </w:tc>
      </w:tr>
      <w:tr w14:paraId="1853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7AB85E74">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0B72194E">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38C2E175">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352FCE49">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01346459">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007A1AD2">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3488DBEE">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1FB258A7">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1BD01409">
            <w:pPr>
              <w:spacing w:line="480" w:lineRule="exact"/>
              <w:jc w:val="center"/>
              <w:textAlignment w:val="center"/>
              <w:rPr>
                <w:rFonts w:ascii="宋体" w:hAnsi="宋体"/>
                <w:sz w:val="24"/>
                <w:szCs w:val="24"/>
              </w:rPr>
            </w:pPr>
          </w:p>
        </w:tc>
      </w:tr>
      <w:tr w14:paraId="0F47B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2D7C680F">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1BFFA211">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60031EC0">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49767625">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5C98FB7A">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4556CF20">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4B55344E">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049587B2">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6EFB5AA3">
            <w:pPr>
              <w:spacing w:line="480" w:lineRule="exact"/>
              <w:jc w:val="center"/>
              <w:textAlignment w:val="center"/>
              <w:rPr>
                <w:rFonts w:ascii="宋体" w:hAnsi="宋体"/>
                <w:sz w:val="24"/>
                <w:szCs w:val="24"/>
              </w:rPr>
            </w:pPr>
          </w:p>
        </w:tc>
      </w:tr>
      <w:tr w14:paraId="6385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408E2BE6">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786DA6CE">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7FB65824">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01541B8E">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6048BD45">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5F88EC7F">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4622E71D">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1D33FDB4">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2CFE99F4">
            <w:pPr>
              <w:spacing w:line="480" w:lineRule="exact"/>
              <w:jc w:val="center"/>
              <w:textAlignment w:val="center"/>
              <w:rPr>
                <w:rFonts w:ascii="宋体" w:hAnsi="宋体"/>
                <w:sz w:val="24"/>
                <w:szCs w:val="24"/>
              </w:rPr>
            </w:pPr>
          </w:p>
        </w:tc>
      </w:tr>
      <w:tr w14:paraId="2D5C6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73D9CBCC">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7DD9F6E9">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0D7DB787">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2B77BC60">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4ED2F842">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48D7CFD4">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1BA960E9">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7467D1E6">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1EA89E20">
            <w:pPr>
              <w:spacing w:line="480" w:lineRule="exact"/>
              <w:jc w:val="center"/>
              <w:textAlignment w:val="center"/>
              <w:rPr>
                <w:rFonts w:ascii="宋体" w:hAnsi="宋体"/>
                <w:sz w:val="24"/>
                <w:szCs w:val="24"/>
              </w:rPr>
            </w:pPr>
          </w:p>
        </w:tc>
      </w:tr>
      <w:tr w14:paraId="632D2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22A5C4C0">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22F5E2FE">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00FB9DB8">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65F27A2B">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05DBC926">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2E258B40">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0DA62A24">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1DC7F473">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6252AD67">
            <w:pPr>
              <w:spacing w:line="480" w:lineRule="exact"/>
              <w:jc w:val="center"/>
              <w:textAlignment w:val="center"/>
              <w:rPr>
                <w:rFonts w:ascii="宋体" w:hAnsi="宋体"/>
                <w:sz w:val="24"/>
                <w:szCs w:val="24"/>
              </w:rPr>
            </w:pPr>
          </w:p>
        </w:tc>
      </w:tr>
      <w:tr w14:paraId="24F18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3D0815A2">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38A8C083">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6E63186B">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3454642C">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4D0F351D">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75A44C10">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718EBE6B">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0A622895">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4D15FC51">
            <w:pPr>
              <w:spacing w:line="480" w:lineRule="exact"/>
              <w:jc w:val="center"/>
              <w:textAlignment w:val="center"/>
              <w:rPr>
                <w:rFonts w:ascii="宋体" w:hAnsi="宋体"/>
                <w:sz w:val="24"/>
                <w:szCs w:val="24"/>
              </w:rPr>
            </w:pPr>
          </w:p>
        </w:tc>
      </w:tr>
    </w:tbl>
    <w:p w14:paraId="6EB3EFBC">
      <w:pPr>
        <w:pStyle w:val="4"/>
        <w:bidi w:val="0"/>
        <w:jc w:val="center"/>
        <w:rPr>
          <w:rFonts w:hint="eastAsia" w:ascii="宋体" w:hAnsi="宋体"/>
          <w:highlight w:val="none"/>
        </w:rPr>
      </w:pPr>
      <w:r>
        <w:rPr>
          <w:rFonts w:ascii="宋体" w:hAnsi="宋体"/>
          <w:szCs w:val="21"/>
          <w:highlight w:val="none"/>
        </w:rPr>
        <w:br w:type="page"/>
      </w:r>
      <w:r>
        <w:rPr>
          <w:rFonts w:hint="eastAsia"/>
        </w:rPr>
        <w:t>（二）主要人员简历表</w:t>
      </w:r>
    </w:p>
    <w:p w14:paraId="3C03A11B">
      <w:pPr>
        <w:spacing w:line="420" w:lineRule="exact"/>
        <w:ind w:firstLine="480" w:firstLineChars="200"/>
        <w:rPr>
          <w:rFonts w:hint="eastAsia" w:ascii="宋体" w:hAnsi="宋体"/>
          <w:szCs w:val="21"/>
          <w:highlight w:val="none"/>
        </w:rPr>
      </w:pP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134"/>
        <w:gridCol w:w="1275"/>
        <w:gridCol w:w="1843"/>
        <w:gridCol w:w="2126"/>
      </w:tblGrid>
      <w:tr w14:paraId="3DDD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noWrap w:val="0"/>
            <w:vAlign w:val="center"/>
          </w:tcPr>
          <w:p w14:paraId="19A83C7F">
            <w:pPr>
              <w:jc w:val="center"/>
              <w:rPr>
                <w:rFonts w:hint="eastAsia" w:ascii="宋体" w:hAnsi="宋体"/>
                <w:szCs w:val="21"/>
                <w:highlight w:val="none"/>
              </w:rPr>
            </w:pPr>
            <w:r>
              <w:rPr>
                <w:rFonts w:hint="eastAsia" w:ascii="宋体" w:hAnsi="宋体"/>
                <w:szCs w:val="21"/>
                <w:highlight w:val="none"/>
              </w:rPr>
              <w:t>姓  名</w:t>
            </w:r>
          </w:p>
        </w:tc>
        <w:tc>
          <w:tcPr>
            <w:tcW w:w="1035" w:type="dxa"/>
            <w:noWrap w:val="0"/>
            <w:vAlign w:val="center"/>
          </w:tcPr>
          <w:p w14:paraId="30912B7E">
            <w:pPr>
              <w:jc w:val="center"/>
              <w:rPr>
                <w:rFonts w:hint="eastAsia" w:ascii="宋体" w:hAnsi="宋体"/>
                <w:szCs w:val="21"/>
                <w:highlight w:val="none"/>
              </w:rPr>
            </w:pPr>
          </w:p>
        </w:tc>
        <w:tc>
          <w:tcPr>
            <w:tcW w:w="1134" w:type="dxa"/>
            <w:noWrap w:val="0"/>
            <w:vAlign w:val="center"/>
          </w:tcPr>
          <w:p w14:paraId="3CE4E7ED">
            <w:pPr>
              <w:jc w:val="center"/>
              <w:rPr>
                <w:rFonts w:hint="eastAsia" w:ascii="宋体" w:hAnsi="宋体"/>
                <w:szCs w:val="21"/>
                <w:highlight w:val="none"/>
              </w:rPr>
            </w:pPr>
            <w:r>
              <w:rPr>
                <w:rFonts w:hint="eastAsia" w:ascii="宋体" w:hAnsi="宋体"/>
                <w:szCs w:val="21"/>
                <w:highlight w:val="none"/>
              </w:rPr>
              <w:t>年  龄</w:t>
            </w:r>
          </w:p>
        </w:tc>
        <w:tc>
          <w:tcPr>
            <w:tcW w:w="1275" w:type="dxa"/>
            <w:noWrap w:val="0"/>
            <w:vAlign w:val="center"/>
          </w:tcPr>
          <w:p w14:paraId="693853FF">
            <w:pPr>
              <w:jc w:val="center"/>
              <w:rPr>
                <w:rFonts w:hint="eastAsia" w:ascii="宋体" w:hAnsi="宋体"/>
                <w:szCs w:val="21"/>
                <w:highlight w:val="none"/>
              </w:rPr>
            </w:pPr>
          </w:p>
        </w:tc>
        <w:tc>
          <w:tcPr>
            <w:tcW w:w="1843" w:type="dxa"/>
            <w:noWrap w:val="0"/>
            <w:vAlign w:val="center"/>
          </w:tcPr>
          <w:p w14:paraId="3D49A4EA">
            <w:pPr>
              <w:jc w:val="center"/>
              <w:rPr>
                <w:rFonts w:hint="eastAsia" w:ascii="宋体" w:hAnsi="宋体"/>
                <w:szCs w:val="21"/>
                <w:highlight w:val="none"/>
              </w:rPr>
            </w:pPr>
            <w:r>
              <w:rPr>
                <w:rFonts w:hint="eastAsia" w:ascii="宋体" w:hAnsi="宋体"/>
                <w:szCs w:val="21"/>
                <w:highlight w:val="none"/>
              </w:rPr>
              <w:t>学历</w:t>
            </w:r>
          </w:p>
        </w:tc>
        <w:tc>
          <w:tcPr>
            <w:tcW w:w="2126" w:type="dxa"/>
            <w:noWrap w:val="0"/>
            <w:vAlign w:val="center"/>
          </w:tcPr>
          <w:p w14:paraId="2D92FBA0">
            <w:pPr>
              <w:jc w:val="center"/>
              <w:rPr>
                <w:rFonts w:hint="eastAsia" w:ascii="宋体" w:hAnsi="宋体"/>
                <w:szCs w:val="21"/>
                <w:highlight w:val="none"/>
              </w:rPr>
            </w:pPr>
          </w:p>
        </w:tc>
      </w:tr>
      <w:tr w14:paraId="53AD2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noWrap w:val="0"/>
            <w:vAlign w:val="center"/>
          </w:tcPr>
          <w:p w14:paraId="6982C692">
            <w:pPr>
              <w:jc w:val="center"/>
              <w:rPr>
                <w:rFonts w:hint="eastAsia" w:ascii="宋体" w:hAnsi="宋体"/>
                <w:szCs w:val="21"/>
                <w:highlight w:val="none"/>
              </w:rPr>
            </w:pPr>
            <w:r>
              <w:rPr>
                <w:rFonts w:hint="eastAsia" w:ascii="宋体" w:hAnsi="宋体"/>
                <w:szCs w:val="21"/>
                <w:highlight w:val="none"/>
              </w:rPr>
              <w:t>职  称</w:t>
            </w:r>
          </w:p>
        </w:tc>
        <w:tc>
          <w:tcPr>
            <w:tcW w:w="1035" w:type="dxa"/>
            <w:noWrap w:val="0"/>
            <w:vAlign w:val="center"/>
          </w:tcPr>
          <w:p w14:paraId="375CA603">
            <w:pPr>
              <w:jc w:val="center"/>
              <w:rPr>
                <w:rFonts w:hint="eastAsia" w:ascii="宋体" w:hAnsi="宋体"/>
                <w:szCs w:val="21"/>
                <w:highlight w:val="none"/>
              </w:rPr>
            </w:pPr>
          </w:p>
        </w:tc>
        <w:tc>
          <w:tcPr>
            <w:tcW w:w="1134" w:type="dxa"/>
            <w:noWrap w:val="0"/>
            <w:vAlign w:val="center"/>
          </w:tcPr>
          <w:p w14:paraId="0FB45C4A">
            <w:pPr>
              <w:jc w:val="center"/>
              <w:rPr>
                <w:rFonts w:hint="eastAsia" w:ascii="宋体" w:hAnsi="宋体"/>
                <w:szCs w:val="21"/>
                <w:highlight w:val="none"/>
              </w:rPr>
            </w:pPr>
            <w:r>
              <w:rPr>
                <w:rFonts w:hint="eastAsia" w:ascii="宋体" w:hAnsi="宋体"/>
                <w:szCs w:val="21"/>
                <w:highlight w:val="none"/>
              </w:rPr>
              <w:t>职  务</w:t>
            </w:r>
          </w:p>
        </w:tc>
        <w:tc>
          <w:tcPr>
            <w:tcW w:w="1275" w:type="dxa"/>
            <w:noWrap w:val="0"/>
            <w:vAlign w:val="center"/>
          </w:tcPr>
          <w:p w14:paraId="12754607">
            <w:pPr>
              <w:jc w:val="center"/>
              <w:rPr>
                <w:rFonts w:hint="eastAsia" w:ascii="宋体" w:hAnsi="宋体"/>
                <w:szCs w:val="21"/>
                <w:highlight w:val="none"/>
              </w:rPr>
            </w:pPr>
          </w:p>
        </w:tc>
        <w:tc>
          <w:tcPr>
            <w:tcW w:w="1843" w:type="dxa"/>
            <w:noWrap w:val="0"/>
            <w:vAlign w:val="center"/>
          </w:tcPr>
          <w:p w14:paraId="137896A5">
            <w:pPr>
              <w:jc w:val="center"/>
              <w:rPr>
                <w:rFonts w:hint="eastAsia" w:ascii="宋体" w:hAnsi="宋体"/>
                <w:szCs w:val="21"/>
                <w:highlight w:val="none"/>
              </w:rPr>
            </w:pPr>
            <w:r>
              <w:rPr>
                <w:rFonts w:hint="eastAsia" w:ascii="宋体" w:hAnsi="宋体"/>
                <w:szCs w:val="21"/>
                <w:highlight w:val="none"/>
              </w:rPr>
              <w:t>拟在本工程任职</w:t>
            </w:r>
          </w:p>
        </w:tc>
        <w:tc>
          <w:tcPr>
            <w:tcW w:w="2126" w:type="dxa"/>
            <w:noWrap w:val="0"/>
            <w:vAlign w:val="center"/>
          </w:tcPr>
          <w:p w14:paraId="2E64285F">
            <w:pPr>
              <w:jc w:val="center"/>
              <w:rPr>
                <w:rFonts w:hint="eastAsia" w:ascii="宋体" w:hAnsi="宋体"/>
                <w:szCs w:val="21"/>
                <w:highlight w:val="none"/>
              </w:rPr>
            </w:pPr>
          </w:p>
        </w:tc>
      </w:tr>
      <w:tr w14:paraId="0F67F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1" w:type="dxa"/>
            <w:gridSpan w:val="3"/>
            <w:noWrap w:val="0"/>
            <w:vAlign w:val="center"/>
          </w:tcPr>
          <w:p w14:paraId="70FFA141">
            <w:pPr>
              <w:jc w:val="center"/>
              <w:rPr>
                <w:rFonts w:hint="eastAsia" w:ascii="宋体" w:hAnsi="宋体"/>
                <w:szCs w:val="21"/>
                <w:highlight w:val="none"/>
              </w:rPr>
            </w:pPr>
            <w:r>
              <w:rPr>
                <w:rFonts w:hint="eastAsia" w:cs="宋体"/>
                <w:szCs w:val="21"/>
                <w:highlight w:val="none"/>
                <w:lang w:eastAsia="zh-CN"/>
              </w:rPr>
              <w:t>证书</w:t>
            </w:r>
            <w:r>
              <w:rPr>
                <w:rFonts w:hint="eastAsia" w:ascii="宋体" w:hAnsi="宋体" w:eastAsia="宋体" w:cs="宋体"/>
                <w:szCs w:val="21"/>
                <w:highlight w:val="none"/>
              </w:rPr>
              <w:t>等级</w:t>
            </w:r>
          </w:p>
        </w:tc>
        <w:tc>
          <w:tcPr>
            <w:tcW w:w="5244" w:type="dxa"/>
            <w:gridSpan w:val="3"/>
            <w:noWrap w:val="0"/>
            <w:vAlign w:val="center"/>
          </w:tcPr>
          <w:p w14:paraId="2D8FB1B7">
            <w:pPr>
              <w:jc w:val="center"/>
              <w:rPr>
                <w:rFonts w:hint="eastAsia" w:ascii="宋体" w:hAnsi="宋体"/>
                <w:szCs w:val="21"/>
                <w:highlight w:val="none"/>
              </w:rPr>
            </w:pPr>
            <w:r>
              <w:rPr>
                <w:rFonts w:hint="eastAsia" w:ascii="宋体" w:hAnsi="宋体"/>
                <w:szCs w:val="21"/>
                <w:highlight w:val="none"/>
              </w:rPr>
              <w:t xml:space="preserve">      </w:t>
            </w:r>
          </w:p>
        </w:tc>
      </w:tr>
      <w:tr w14:paraId="2D157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noWrap w:val="0"/>
            <w:vAlign w:val="center"/>
          </w:tcPr>
          <w:p w14:paraId="43A1A78B">
            <w:pPr>
              <w:jc w:val="center"/>
              <w:rPr>
                <w:rFonts w:hint="eastAsia" w:ascii="宋体" w:hAnsi="宋体"/>
                <w:szCs w:val="21"/>
                <w:highlight w:val="none"/>
              </w:rPr>
            </w:pPr>
            <w:r>
              <w:rPr>
                <w:rFonts w:hint="eastAsia" w:ascii="宋体" w:hAnsi="宋体"/>
                <w:szCs w:val="21"/>
                <w:highlight w:val="none"/>
              </w:rPr>
              <w:t>毕业</w:t>
            </w:r>
          </w:p>
          <w:p w14:paraId="7268178F">
            <w:pPr>
              <w:jc w:val="center"/>
              <w:rPr>
                <w:rFonts w:hint="eastAsia" w:ascii="宋体" w:hAnsi="宋体"/>
                <w:szCs w:val="21"/>
                <w:highlight w:val="none"/>
              </w:rPr>
            </w:pPr>
            <w:r>
              <w:rPr>
                <w:rFonts w:hint="eastAsia" w:ascii="宋体" w:hAnsi="宋体"/>
                <w:szCs w:val="21"/>
                <w:highlight w:val="none"/>
              </w:rPr>
              <w:t>学校</w:t>
            </w:r>
          </w:p>
        </w:tc>
        <w:tc>
          <w:tcPr>
            <w:tcW w:w="7413" w:type="dxa"/>
            <w:gridSpan w:val="5"/>
            <w:noWrap w:val="0"/>
            <w:vAlign w:val="center"/>
          </w:tcPr>
          <w:p w14:paraId="02DA9C12">
            <w:pPr>
              <w:ind w:firstLine="960" w:firstLineChars="400"/>
              <w:rPr>
                <w:rFonts w:hint="eastAsia" w:ascii="宋体" w:hAnsi="宋体"/>
                <w:szCs w:val="21"/>
                <w:highlight w:val="none"/>
              </w:rPr>
            </w:pPr>
            <w:r>
              <w:rPr>
                <w:rFonts w:hint="eastAsia" w:ascii="宋体" w:hAnsi="宋体"/>
                <w:szCs w:val="21"/>
                <w:highlight w:val="none"/>
              </w:rPr>
              <w:t>年毕业于                  学校            专业</w:t>
            </w:r>
          </w:p>
        </w:tc>
      </w:tr>
      <w:tr w14:paraId="0F6BF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5" w:type="dxa"/>
            <w:gridSpan w:val="6"/>
            <w:noWrap w:val="0"/>
            <w:vAlign w:val="center"/>
          </w:tcPr>
          <w:p w14:paraId="7D5208EB">
            <w:pPr>
              <w:jc w:val="center"/>
              <w:rPr>
                <w:rFonts w:hint="eastAsia" w:ascii="宋体" w:hAnsi="宋体"/>
                <w:szCs w:val="21"/>
                <w:highlight w:val="none"/>
              </w:rPr>
            </w:pPr>
            <w:r>
              <w:rPr>
                <w:rFonts w:hint="eastAsia" w:ascii="宋体" w:hAnsi="宋体"/>
                <w:szCs w:val="21"/>
                <w:highlight w:val="none"/>
              </w:rPr>
              <w:t>主要工作经历</w:t>
            </w:r>
          </w:p>
        </w:tc>
      </w:tr>
      <w:tr w14:paraId="7E424B62">
        <w:tblPrEx>
          <w:tblCellMar>
            <w:top w:w="0" w:type="dxa"/>
            <w:left w:w="108" w:type="dxa"/>
            <w:bottom w:w="0" w:type="dxa"/>
            <w:right w:w="108" w:type="dxa"/>
          </w:tblCellMar>
        </w:tblPrEx>
        <w:trPr>
          <w:trHeight w:val="454" w:hRule="atLeast"/>
          <w:jc w:val="center"/>
        </w:trPr>
        <w:tc>
          <w:tcPr>
            <w:tcW w:w="1092" w:type="dxa"/>
            <w:noWrap w:val="0"/>
            <w:vAlign w:val="center"/>
          </w:tcPr>
          <w:p w14:paraId="6FF03BD0">
            <w:pPr>
              <w:jc w:val="center"/>
              <w:rPr>
                <w:rFonts w:hint="eastAsia" w:ascii="宋体" w:hAnsi="宋体"/>
                <w:szCs w:val="21"/>
                <w:highlight w:val="none"/>
              </w:rPr>
            </w:pPr>
            <w:r>
              <w:rPr>
                <w:rFonts w:hint="eastAsia" w:ascii="宋体" w:hAnsi="宋体"/>
                <w:szCs w:val="21"/>
                <w:highlight w:val="none"/>
              </w:rPr>
              <w:t>时  间</w:t>
            </w:r>
          </w:p>
        </w:tc>
        <w:tc>
          <w:tcPr>
            <w:tcW w:w="3444" w:type="dxa"/>
            <w:gridSpan w:val="3"/>
            <w:noWrap w:val="0"/>
            <w:vAlign w:val="center"/>
          </w:tcPr>
          <w:p w14:paraId="495D39D3">
            <w:pPr>
              <w:jc w:val="center"/>
              <w:rPr>
                <w:rFonts w:hint="eastAsia" w:ascii="宋体" w:hAnsi="宋体"/>
                <w:szCs w:val="21"/>
                <w:highlight w:val="none"/>
              </w:rPr>
            </w:pPr>
            <w:r>
              <w:rPr>
                <w:rFonts w:hint="eastAsia" w:ascii="宋体" w:hAnsi="宋体"/>
                <w:szCs w:val="21"/>
                <w:highlight w:val="none"/>
              </w:rPr>
              <w:t>参加过的类似项目名称</w:t>
            </w:r>
          </w:p>
        </w:tc>
        <w:tc>
          <w:tcPr>
            <w:tcW w:w="1843" w:type="dxa"/>
            <w:noWrap w:val="0"/>
            <w:vAlign w:val="center"/>
          </w:tcPr>
          <w:p w14:paraId="0B3C0968">
            <w:pPr>
              <w:jc w:val="center"/>
              <w:rPr>
                <w:rFonts w:hint="eastAsia" w:ascii="宋体" w:hAnsi="宋体"/>
                <w:szCs w:val="21"/>
                <w:highlight w:val="none"/>
              </w:rPr>
            </w:pPr>
            <w:r>
              <w:rPr>
                <w:rFonts w:hint="eastAsia" w:ascii="宋体" w:hAnsi="宋体"/>
                <w:szCs w:val="21"/>
                <w:highlight w:val="none"/>
              </w:rPr>
              <w:t>工程概况说明</w:t>
            </w:r>
          </w:p>
        </w:tc>
        <w:tc>
          <w:tcPr>
            <w:tcW w:w="2126" w:type="dxa"/>
            <w:noWrap w:val="0"/>
            <w:vAlign w:val="center"/>
          </w:tcPr>
          <w:p w14:paraId="6DA38243">
            <w:pPr>
              <w:jc w:val="center"/>
              <w:rPr>
                <w:rFonts w:hint="eastAsia" w:ascii="宋体" w:hAnsi="宋体"/>
                <w:szCs w:val="21"/>
                <w:highlight w:val="none"/>
              </w:rPr>
            </w:pPr>
            <w:r>
              <w:rPr>
                <w:rFonts w:hint="eastAsia" w:ascii="宋体" w:hAnsi="宋体"/>
                <w:szCs w:val="21"/>
                <w:highlight w:val="none"/>
              </w:rPr>
              <w:t>发包人及联系电话</w:t>
            </w:r>
          </w:p>
        </w:tc>
      </w:tr>
      <w:tr w14:paraId="0F2D1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457829CB">
            <w:pPr>
              <w:jc w:val="center"/>
              <w:rPr>
                <w:rFonts w:hint="eastAsia" w:ascii="宋体" w:hAnsi="宋体"/>
                <w:szCs w:val="21"/>
                <w:highlight w:val="none"/>
              </w:rPr>
            </w:pPr>
          </w:p>
        </w:tc>
        <w:tc>
          <w:tcPr>
            <w:tcW w:w="1035" w:type="dxa"/>
            <w:noWrap w:val="0"/>
            <w:vAlign w:val="center"/>
          </w:tcPr>
          <w:p w14:paraId="34D3016C">
            <w:pPr>
              <w:jc w:val="center"/>
              <w:rPr>
                <w:rFonts w:hint="eastAsia" w:ascii="宋体" w:hAnsi="宋体"/>
                <w:szCs w:val="21"/>
                <w:highlight w:val="none"/>
              </w:rPr>
            </w:pPr>
          </w:p>
        </w:tc>
        <w:tc>
          <w:tcPr>
            <w:tcW w:w="1134" w:type="dxa"/>
            <w:noWrap w:val="0"/>
            <w:vAlign w:val="center"/>
          </w:tcPr>
          <w:p w14:paraId="32630394">
            <w:pPr>
              <w:jc w:val="center"/>
              <w:rPr>
                <w:rFonts w:hint="eastAsia" w:ascii="宋体" w:hAnsi="宋体"/>
                <w:szCs w:val="21"/>
                <w:highlight w:val="none"/>
              </w:rPr>
            </w:pPr>
          </w:p>
        </w:tc>
        <w:tc>
          <w:tcPr>
            <w:tcW w:w="1275" w:type="dxa"/>
            <w:noWrap w:val="0"/>
            <w:vAlign w:val="center"/>
          </w:tcPr>
          <w:p w14:paraId="133D9DAF">
            <w:pPr>
              <w:jc w:val="center"/>
              <w:rPr>
                <w:rFonts w:hint="eastAsia" w:ascii="宋体" w:hAnsi="宋体"/>
                <w:szCs w:val="21"/>
                <w:highlight w:val="none"/>
              </w:rPr>
            </w:pPr>
          </w:p>
        </w:tc>
        <w:tc>
          <w:tcPr>
            <w:tcW w:w="1843" w:type="dxa"/>
            <w:noWrap w:val="0"/>
            <w:vAlign w:val="center"/>
          </w:tcPr>
          <w:p w14:paraId="7403E2C7">
            <w:pPr>
              <w:jc w:val="center"/>
              <w:rPr>
                <w:rFonts w:hint="eastAsia" w:ascii="宋体" w:hAnsi="宋体"/>
                <w:szCs w:val="21"/>
                <w:highlight w:val="none"/>
              </w:rPr>
            </w:pPr>
          </w:p>
        </w:tc>
        <w:tc>
          <w:tcPr>
            <w:tcW w:w="2126" w:type="dxa"/>
            <w:noWrap w:val="0"/>
            <w:vAlign w:val="center"/>
          </w:tcPr>
          <w:p w14:paraId="21C2031F">
            <w:pPr>
              <w:jc w:val="center"/>
              <w:rPr>
                <w:rFonts w:hint="eastAsia" w:ascii="宋体" w:hAnsi="宋体"/>
                <w:szCs w:val="21"/>
                <w:highlight w:val="none"/>
              </w:rPr>
            </w:pPr>
          </w:p>
        </w:tc>
      </w:tr>
      <w:tr w14:paraId="61662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0601315C">
            <w:pPr>
              <w:jc w:val="center"/>
              <w:rPr>
                <w:rFonts w:hint="eastAsia" w:ascii="宋体" w:hAnsi="宋体"/>
                <w:szCs w:val="21"/>
                <w:highlight w:val="none"/>
              </w:rPr>
            </w:pPr>
          </w:p>
        </w:tc>
        <w:tc>
          <w:tcPr>
            <w:tcW w:w="1035" w:type="dxa"/>
            <w:noWrap w:val="0"/>
            <w:vAlign w:val="center"/>
          </w:tcPr>
          <w:p w14:paraId="4A07B28E">
            <w:pPr>
              <w:jc w:val="center"/>
              <w:rPr>
                <w:rFonts w:hint="eastAsia" w:ascii="宋体" w:hAnsi="宋体"/>
                <w:szCs w:val="21"/>
                <w:highlight w:val="none"/>
              </w:rPr>
            </w:pPr>
          </w:p>
        </w:tc>
        <w:tc>
          <w:tcPr>
            <w:tcW w:w="1134" w:type="dxa"/>
            <w:noWrap w:val="0"/>
            <w:vAlign w:val="center"/>
          </w:tcPr>
          <w:p w14:paraId="4D20F847">
            <w:pPr>
              <w:jc w:val="center"/>
              <w:rPr>
                <w:rFonts w:hint="eastAsia" w:ascii="宋体" w:hAnsi="宋体"/>
                <w:szCs w:val="21"/>
                <w:highlight w:val="none"/>
              </w:rPr>
            </w:pPr>
          </w:p>
        </w:tc>
        <w:tc>
          <w:tcPr>
            <w:tcW w:w="1275" w:type="dxa"/>
            <w:noWrap w:val="0"/>
            <w:vAlign w:val="center"/>
          </w:tcPr>
          <w:p w14:paraId="51E0CEFE">
            <w:pPr>
              <w:jc w:val="center"/>
              <w:rPr>
                <w:rFonts w:hint="eastAsia" w:ascii="宋体" w:hAnsi="宋体"/>
                <w:szCs w:val="21"/>
                <w:highlight w:val="none"/>
              </w:rPr>
            </w:pPr>
          </w:p>
        </w:tc>
        <w:tc>
          <w:tcPr>
            <w:tcW w:w="1843" w:type="dxa"/>
            <w:noWrap w:val="0"/>
            <w:vAlign w:val="center"/>
          </w:tcPr>
          <w:p w14:paraId="0830C609">
            <w:pPr>
              <w:jc w:val="center"/>
              <w:rPr>
                <w:rFonts w:hint="eastAsia" w:ascii="宋体" w:hAnsi="宋体"/>
                <w:szCs w:val="21"/>
                <w:highlight w:val="none"/>
              </w:rPr>
            </w:pPr>
          </w:p>
        </w:tc>
        <w:tc>
          <w:tcPr>
            <w:tcW w:w="2126" w:type="dxa"/>
            <w:noWrap w:val="0"/>
            <w:vAlign w:val="center"/>
          </w:tcPr>
          <w:p w14:paraId="5366E159">
            <w:pPr>
              <w:jc w:val="center"/>
              <w:rPr>
                <w:rFonts w:hint="eastAsia" w:ascii="宋体" w:hAnsi="宋体"/>
                <w:szCs w:val="21"/>
                <w:highlight w:val="none"/>
              </w:rPr>
            </w:pPr>
          </w:p>
        </w:tc>
      </w:tr>
      <w:tr w14:paraId="531BC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27C80F20">
            <w:pPr>
              <w:jc w:val="center"/>
              <w:rPr>
                <w:rFonts w:hint="eastAsia" w:ascii="宋体" w:hAnsi="宋体"/>
                <w:szCs w:val="21"/>
                <w:highlight w:val="none"/>
              </w:rPr>
            </w:pPr>
          </w:p>
        </w:tc>
        <w:tc>
          <w:tcPr>
            <w:tcW w:w="1035" w:type="dxa"/>
            <w:noWrap w:val="0"/>
            <w:vAlign w:val="center"/>
          </w:tcPr>
          <w:p w14:paraId="544DF912">
            <w:pPr>
              <w:jc w:val="center"/>
              <w:rPr>
                <w:rFonts w:hint="eastAsia" w:ascii="宋体" w:hAnsi="宋体"/>
                <w:szCs w:val="21"/>
                <w:highlight w:val="none"/>
              </w:rPr>
            </w:pPr>
          </w:p>
        </w:tc>
        <w:tc>
          <w:tcPr>
            <w:tcW w:w="1134" w:type="dxa"/>
            <w:noWrap w:val="0"/>
            <w:vAlign w:val="center"/>
          </w:tcPr>
          <w:p w14:paraId="18A0FCF5">
            <w:pPr>
              <w:jc w:val="center"/>
              <w:rPr>
                <w:rFonts w:hint="eastAsia" w:ascii="宋体" w:hAnsi="宋体"/>
                <w:szCs w:val="21"/>
                <w:highlight w:val="none"/>
              </w:rPr>
            </w:pPr>
          </w:p>
        </w:tc>
        <w:tc>
          <w:tcPr>
            <w:tcW w:w="1275" w:type="dxa"/>
            <w:noWrap w:val="0"/>
            <w:vAlign w:val="center"/>
          </w:tcPr>
          <w:p w14:paraId="03901158">
            <w:pPr>
              <w:jc w:val="center"/>
              <w:rPr>
                <w:rFonts w:hint="eastAsia" w:ascii="宋体" w:hAnsi="宋体"/>
                <w:szCs w:val="21"/>
                <w:highlight w:val="none"/>
              </w:rPr>
            </w:pPr>
          </w:p>
        </w:tc>
        <w:tc>
          <w:tcPr>
            <w:tcW w:w="1843" w:type="dxa"/>
            <w:noWrap w:val="0"/>
            <w:vAlign w:val="center"/>
          </w:tcPr>
          <w:p w14:paraId="41751E36">
            <w:pPr>
              <w:jc w:val="center"/>
              <w:rPr>
                <w:rFonts w:hint="eastAsia" w:ascii="宋体" w:hAnsi="宋体"/>
                <w:szCs w:val="21"/>
                <w:highlight w:val="none"/>
              </w:rPr>
            </w:pPr>
          </w:p>
        </w:tc>
        <w:tc>
          <w:tcPr>
            <w:tcW w:w="2126" w:type="dxa"/>
            <w:noWrap w:val="0"/>
            <w:vAlign w:val="center"/>
          </w:tcPr>
          <w:p w14:paraId="004960AD">
            <w:pPr>
              <w:jc w:val="center"/>
              <w:rPr>
                <w:rFonts w:hint="eastAsia" w:ascii="宋体" w:hAnsi="宋体"/>
                <w:szCs w:val="21"/>
                <w:highlight w:val="none"/>
              </w:rPr>
            </w:pPr>
          </w:p>
        </w:tc>
      </w:tr>
      <w:tr w14:paraId="5393A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458AE88C">
            <w:pPr>
              <w:jc w:val="center"/>
              <w:rPr>
                <w:rFonts w:hint="eastAsia" w:ascii="宋体" w:hAnsi="宋体"/>
                <w:szCs w:val="21"/>
                <w:highlight w:val="none"/>
              </w:rPr>
            </w:pPr>
          </w:p>
        </w:tc>
        <w:tc>
          <w:tcPr>
            <w:tcW w:w="1035" w:type="dxa"/>
            <w:noWrap w:val="0"/>
            <w:vAlign w:val="center"/>
          </w:tcPr>
          <w:p w14:paraId="57A5FC8E">
            <w:pPr>
              <w:jc w:val="center"/>
              <w:rPr>
                <w:rFonts w:hint="eastAsia" w:ascii="宋体" w:hAnsi="宋体"/>
                <w:szCs w:val="21"/>
                <w:highlight w:val="none"/>
              </w:rPr>
            </w:pPr>
          </w:p>
        </w:tc>
        <w:tc>
          <w:tcPr>
            <w:tcW w:w="1134" w:type="dxa"/>
            <w:noWrap w:val="0"/>
            <w:vAlign w:val="center"/>
          </w:tcPr>
          <w:p w14:paraId="489BB18C">
            <w:pPr>
              <w:jc w:val="center"/>
              <w:rPr>
                <w:rFonts w:hint="eastAsia" w:ascii="宋体" w:hAnsi="宋体"/>
                <w:szCs w:val="21"/>
                <w:highlight w:val="none"/>
              </w:rPr>
            </w:pPr>
          </w:p>
        </w:tc>
        <w:tc>
          <w:tcPr>
            <w:tcW w:w="1275" w:type="dxa"/>
            <w:noWrap w:val="0"/>
            <w:vAlign w:val="center"/>
          </w:tcPr>
          <w:p w14:paraId="563F8266">
            <w:pPr>
              <w:jc w:val="center"/>
              <w:rPr>
                <w:rFonts w:hint="eastAsia" w:ascii="宋体" w:hAnsi="宋体"/>
                <w:szCs w:val="21"/>
                <w:highlight w:val="none"/>
              </w:rPr>
            </w:pPr>
          </w:p>
        </w:tc>
        <w:tc>
          <w:tcPr>
            <w:tcW w:w="1843" w:type="dxa"/>
            <w:noWrap w:val="0"/>
            <w:vAlign w:val="center"/>
          </w:tcPr>
          <w:p w14:paraId="3A8A2622">
            <w:pPr>
              <w:jc w:val="center"/>
              <w:rPr>
                <w:rFonts w:hint="eastAsia" w:ascii="宋体" w:hAnsi="宋体"/>
                <w:szCs w:val="21"/>
                <w:highlight w:val="none"/>
              </w:rPr>
            </w:pPr>
          </w:p>
        </w:tc>
        <w:tc>
          <w:tcPr>
            <w:tcW w:w="2126" w:type="dxa"/>
            <w:noWrap w:val="0"/>
            <w:vAlign w:val="center"/>
          </w:tcPr>
          <w:p w14:paraId="5C12C3AA">
            <w:pPr>
              <w:jc w:val="center"/>
              <w:rPr>
                <w:rFonts w:hint="eastAsia" w:ascii="宋体" w:hAnsi="宋体"/>
                <w:szCs w:val="21"/>
                <w:highlight w:val="none"/>
              </w:rPr>
            </w:pPr>
          </w:p>
        </w:tc>
      </w:tr>
      <w:tr w14:paraId="39200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200C2782">
            <w:pPr>
              <w:jc w:val="center"/>
              <w:rPr>
                <w:rFonts w:hint="eastAsia" w:ascii="宋体" w:hAnsi="宋体"/>
                <w:szCs w:val="21"/>
                <w:highlight w:val="none"/>
              </w:rPr>
            </w:pPr>
          </w:p>
        </w:tc>
        <w:tc>
          <w:tcPr>
            <w:tcW w:w="1035" w:type="dxa"/>
            <w:noWrap w:val="0"/>
            <w:vAlign w:val="center"/>
          </w:tcPr>
          <w:p w14:paraId="5F7ADDE3">
            <w:pPr>
              <w:jc w:val="center"/>
              <w:rPr>
                <w:rFonts w:hint="eastAsia" w:ascii="宋体" w:hAnsi="宋体"/>
                <w:szCs w:val="21"/>
                <w:highlight w:val="none"/>
              </w:rPr>
            </w:pPr>
          </w:p>
        </w:tc>
        <w:tc>
          <w:tcPr>
            <w:tcW w:w="1134" w:type="dxa"/>
            <w:noWrap w:val="0"/>
            <w:vAlign w:val="center"/>
          </w:tcPr>
          <w:p w14:paraId="78318544">
            <w:pPr>
              <w:jc w:val="center"/>
              <w:rPr>
                <w:rFonts w:hint="eastAsia" w:ascii="宋体" w:hAnsi="宋体"/>
                <w:szCs w:val="21"/>
                <w:highlight w:val="none"/>
              </w:rPr>
            </w:pPr>
          </w:p>
        </w:tc>
        <w:tc>
          <w:tcPr>
            <w:tcW w:w="1275" w:type="dxa"/>
            <w:noWrap w:val="0"/>
            <w:vAlign w:val="center"/>
          </w:tcPr>
          <w:p w14:paraId="5696B31A">
            <w:pPr>
              <w:jc w:val="center"/>
              <w:rPr>
                <w:rFonts w:hint="eastAsia" w:ascii="宋体" w:hAnsi="宋体"/>
                <w:szCs w:val="21"/>
                <w:highlight w:val="none"/>
              </w:rPr>
            </w:pPr>
          </w:p>
        </w:tc>
        <w:tc>
          <w:tcPr>
            <w:tcW w:w="1843" w:type="dxa"/>
            <w:noWrap w:val="0"/>
            <w:vAlign w:val="center"/>
          </w:tcPr>
          <w:p w14:paraId="442D33E7">
            <w:pPr>
              <w:jc w:val="center"/>
              <w:rPr>
                <w:rFonts w:hint="eastAsia" w:ascii="宋体" w:hAnsi="宋体"/>
                <w:szCs w:val="21"/>
                <w:highlight w:val="none"/>
              </w:rPr>
            </w:pPr>
          </w:p>
        </w:tc>
        <w:tc>
          <w:tcPr>
            <w:tcW w:w="2126" w:type="dxa"/>
            <w:noWrap w:val="0"/>
            <w:vAlign w:val="center"/>
          </w:tcPr>
          <w:p w14:paraId="026524D8">
            <w:pPr>
              <w:jc w:val="center"/>
              <w:rPr>
                <w:rFonts w:hint="eastAsia" w:ascii="宋体" w:hAnsi="宋体"/>
                <w:szCs w:val="21"/>
                <w:highlight w:val="none"/>
              </w:rPr>
            </w:pPr>
          </w:p>
        </w:tc>
      </w:tr>
      <w:tr w14:paraId="7B6C3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71B4237B">
            <w:pPr>
              <w:jc w:val="center"/>
              <w:rPr>
                <w:rFonts w:hint="eastAsia" w:ascii="宋体" w:hAnsi="宋体"/>
                <w:szCs w:val="21"/>
                <w:highlight w:val="none"/>
              </w:rPr>
            </w:pPr>
          </w:p>
        </w:tc>
        <w:tc>
          <w:tcPr>
            <w:tcW w:w="1035" w:type="dxa"/>
            <w:noWrap w:val="0"/>
            <w:vAlign w:val="center"/>
          </w:tcPr>
          <w:p w14:paraId="73BFE8D8">
            <w:pPr>
              <w:jc w:val="center"/>
              <w:rPr>
                <w:rFonts w:hint="eastAsia" w:ascii="宋体" w:hAnsi="宋体"/>
                <w:szCs w:val="21"/>
                <w:highlight w:val="none"/>
              </w:rPr>
            </w:pPr>
          </w:p>
        </w:tc>
        <w:tc>
          <w:tcPr>
            <w:tcW w:w="1134" w:type="dxa"/>
            <w:noWrap w:val="0"/>
            <w:vAlign w:val="center"/>
          </w:tcPr>
          <w:p w14:paraId="37DD118D">
            <w:pPr>
              <w:jc w:val="center"/>
              <w:rPr>
                <w:rFonts w:hint="eastAsia" w:ascii="宋体" w:hAnsi="宋体"/>
                <w:szCs w:val="21"/>
                <w:highlight w:val="none"/>
              </w:rPr>
            </w:pPr>
          </w:p>
        </w:tc>
        <w:tc>
          <w:tcPr>
            <w:tcW w:w="1275" w:type="dxa"/>
            <w:noWrap w:val="0"/>
            <w:vAlign w:val="center"/>
          </w:tcPr>
          <w:p w14:paraId="613F3A3F">
            <w:pPr>
              <w:jc w:val="center"/>
              <w:rPr>
                <w:rFonts w:hint="eastAsia" w:ascii="宋体" w:hAnsi="宋体"/>
                <w:szCs w:val="21"/>
                <w:highlight w:val="none"/>
              </w:rPr>
            </w:pPr>
          </w:p>
        </w:tc>
        <w:tc>
          <w:tcPr>
            <w:tcW w:w="1843" w:type="dxa"/>
            <w:noWrap w:val="0"/>
            <w:vAlign w:val="center"/>
          </w:tcPr>
          <w:p w14:paraId="70D2149C">
            <w:pPr>
              <w:jc w:val="center"/>
              <w:rPr>
                <w:rFonts w:hint="eastAsia" w:ascii="宋体" w:hAnsi="宋体"/>
                <w:szCs w:val="21"/>
                <w:highlight w:val="none"/>
              </w:rPr>
            </w:pPr>
          </w:p>
        </w:tc>
        <w:tc>
          <w:tcPr>
            <w:tcW w:w="2126" w:type="dxa"/>
            <w:noWrap w:val="0"/>
            <w:vAlign w:val="center"/>
          </w:tcPr>
          <w:p w14:paraId="612E12F1">
            <w:pPr>
              <w:jc w:val="center"/>
              <w:rPr>
                <w:rFonts w:hint="eastAsia" w:ascii="宋体" w:hAnsi="宋体"/>
                <w:szCs w:val="21"/>
                <w:highlight w:val="none"/>
              </w:rPr>
            </w:pPr>
          </w:p>
        </w:tc>
      </w:tr>
      <w:tr w14:paraId="1680E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7FD9A2B4">
            <w:pPr>
              <w:jc w:val="center"/>
              <w:rPr>
                <w:rFonts w:hint="eastAsia" w:ascii="宋体" w:hAnsi="宋体"/>
                <w:szCs w:val="21"/>
                <w:highlight w:val="none"/>
              </w:rPr>
            </w:pPr>
          </w:p>
        </w:tc>
        <w:tc>
          <w:tcPr>
            <w:tcW w:w="1035" w:type="dxa"/>
            <w:noWrap w:val="0"/>
            <w:vAlign w:val="center"/>
          </w:tcPr>
          <w:p w14:paraId="7AE003CA">
            <w:pPr>
              <w:jc w:val="center"/>
              <w:rPr>
                <w:rFonts w:hint="eastAsia" w:ascii="宋体" w:hAnsi="宋体"/>
                <w:szCs w:val="21"/>
                <w:highlight w:val="none"/>
              </w:rPr>
            </w:pPr>
          </w:p>
        </w:tc>
        <w:tc>
          <w:tcPr>
            <w:tcW w:w="1134" w:type="dxa"/>
            <w:noWrap w:val="0"/>
            <w:vAlign w:val="center"/>
          </w:tcPr>
          <w:p w14:paraId="3B67C043">
            <w:pPr>
              <w:jc w:val="center"/>
              <w:rPr>
                <w:rFonts w:hint="eastAsia" w:ascii="宋体" w:hAnsi="宋体"/>
                <w:szCs w:val="21"/>
                <w:highlight w:val="none"/>
              </w:rPr>
            </w:pPr>
          </w:p>
        </w:tc>
        <w:tc>
          <w:tcPr>
            <w:tcW w:w="1275" w:type="dxa"/>
            <w:noWrap w:val="0"/>
            <w:vAlign w:val="center"/>
          </w:tcPr>
          <w:p w14:paraId="2454612E">
            <w:pPr>
              <w:jc w:val="center"/>
              <w:rPr>
                <w:rFonts w:hint="eastAsia" w:ascii="宋体" w:hAnsi="宋体"/>
                <w:szCs w:val="21"/>
                <w:highlight w:val="none"/>
              </w:rPr>
            </w:pPr>
          </w:p>
        </w:tc>
        <w:tc>
          <w:tcPr>
            <w:tcW w:w="1843" w:type="dxa"/>
            <w:noWrap w:val="0"/>
            <w:vAlign w:val="center"/>
          </w:tcPr>
          <w:p w14:paraId="6138F352">
            <w:pPr>
              <w:jc w:val="center"/>
              <w:rPr>
                <w:rFonts w:hint="eastAsia" w:ascii="宋体" w:hAnsi="宋体"/>
                <w:szCs w:val="21"/>
                <w:highlight w:val="none"/>
              </w:rPr>
            </w:pPr>
          </w:p>
        </w:tc>
        <w:tc>
          <w:tcPr>
            <w:tcW w:w="2126" w:type="dxa"/>
            <w:noWrap w:val="0"/>
            <w:vAlign w:val="center"/>
          </w:tcPr>
          <w:p w14:paraId="2C45638E">
            <w:pPr>
              <w:jc w:val="center"/>
              <w:rPr>
                <w:rFonts w:hint="eastAsia" w:ascii="宋体" w:hAnsi="宋体"/>
                <w:szCs w:val="21"/>
                <w:highlight w:val="none"/>
              </w:rPr>
            </w:pPr>
          </w:p>
        </w:tc>
      </w:tr>
      <w:tr w14:paraId="6C7F5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0823A0AA">
            <w:pPr>
              <w:jc w:val="center"/>
              <w:rPr>
                <w:rFonts w:hint="eastAsia" w:ascii="宋体" w:hAnsi="宋体"/>
                <w:szCs w:val="21"/>
                <w:highlight w:val="none"/>
              </w:rPr>
            </w:pPr>
          </w:p>
        </w:tc>
        <w:tc>
          <w:tcPr>
            <w:tcW w:w="1035" w:type="dxa"/>
            <w:noWrap w:val="0"/>
            <w:vAlign w:val="center"/>
          </w:tcPr>
          <w:p w14:paraId="3249883A">
            <w:pPr>
              <w:jc w:val="center"/>
              <w:rPr>
                <w:rFonts w:hint="eastAsia" w:ascii="宋体" w:hAnsi="宋体"/>
                <w:szCs w:val="21"/>
                <w:highlight w:val="none"/>
              </w:rPr>
            </w:pPr>
          </w:p>
        </w:tc>
        <w:tc>
          <w:tcPr>
            <w:tcW w:w="1134" w:type="dxa"/>
            <w:noWrap w:val="0"/>
            <w:vAlign w:val="center"/>
          </w:tcPr>
          <w:p w14:paraId="2CA4F359">
            <w:pPr>
              <w:jc w:val="center"/>
              <w:rPr>
                <w:rFonts w:hint="eastAsia" w:ascii="宋体" w:hAnsi="宋体"/>
                <w:szCs w:val="21"/>
                <w:highlight w:val="none"/>
              </w:rPr>
            </w:pPr>
          </w:p>
        </w:tc>
        <w:tc>
          <w:tcPr>
            <w:tcW w:w="1275" w:type="dxa"/>
            <w:noWrap w:val="0"/>
            <w:vAlign w:val="center"/>
          </w:tcPr>
          <w:p w14:paraId="7BE29184">
            <w:pPr>
              <w:jc w:val="center"/>
              <w:rPr>
                <w:rFonts w:hint="eastAsia" w:ascii="宋体" w:hAnsi="宋体"/>
                <w:szCs w:val="21"/>
                <w:highlight w:val="none"/>
              </w:rPr>
            </w:pPr>
          </w:p>
        </w:tc>
        <w:tc>
          <w:tcPr>
            <w:tcW w:w="1843" w:type="dxa"/>
            <w:noWrap w:val="0"/>
            <w:vAlign w:val="center"/>
          </w:tcPr>
          <w:p w14:paraId="6E4E2CE9">
            <w:pPr>
              <w:jc w:val="center"/>
              <w:rPr>
                <w:rFonts w:hint="eastAsia" w:ascii="宋体" w:hAnsi="宋体"/>
                <w:szCs w:val="21"/>
                <w:highlight w:val="none"/>
              </w:rPr>
            </w:pPr>
          </w:p>
        </w:tc>
        <w:tc>
          <w:tcPr>
            <w:tcW w:w="2126" w:type="dxa"/>
            <w:noWrap w:val="0"/>
            <w:vAlign w:val="center"/>
          </w:tcPr>
          <w:p w14:paraId="59F36A83">
            <w:pPr>
              <w:jc w:val="center"/>
              <w:rPr>
                <w:rFonts w:hint="eastAsia" w:ascii="宋体" w:hAnsi="宋体"/>
                <w:szCs w:val="21"/>
                <w:highlight w:val="none"/>
              </w:rPr>
            </w:pPr>
          </w:p>
        </w:tc>
      </w:tr>
      <w:tr w14:paraId="5975E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396D4296">
            <w:pPr>
              <w:jc w:val="center"/>
              <w:rPr>
                <w:rFonts w:hint="eastAsia" w:ascii="宋体" w:hAnsi="宋体"/>
                <w:szCs w:val="21"/>
                <w:highlight w:val="none"/>
              </w:rPr>
            </w:pPr>
          </w:p>
        </w:tc>
        <w:tc>
          <w:tcPr>
            <w:tcW w:w="1035" w:type="dxa"/>
            <w:noWrap w:val="0"/>
            <w:vAlign w:val="center"/>
          </w:tcPr>
          <w:p w14:paraId="5D71BCBF">
            <w:pPr>
              <w:jc w:val="center"/>
              <w:rPr>
                <w:rFonts w:hint="eastAsia" w:ascii="宋体" w:hAnsi="宋体"/>
                <w:szCs w:val="21"/>
                <w:highlight w:val="none"/>
              </w:rPr>
            </w:pPr>
          </w:p>
        </w:tc>
        <w:tc>
          <w:tcPr>
            <w:tcW w:w="1134" w:type="dxa"/>
            <w:noWrap w:val="0"/>
            <w:vAlign w:val="center"/>
          </w:tcPr>
          <w:p w14:paraId="7412D338">
            <w:pPr>
              <w:jc w:val="center"/>
              <w:rPr>
                <w:rFonts w:hint="eastAsia" w:ascii="宋体" w:hAnsi="宋体"/>
                <w:szCs w:val="21"/>
                <w:highlight w:val="none"/>
              </w:rPr>
            </w:pPr>
          </w:p>
        </w:tc>
        <w:tc>
          <w:tcPr>
            <w:tcW w:w="1275" w:type="dxa"/>
            <w:noWrap w:val="0"/>
            <w:vAlign w:val="center"/>
          </w:tcPr>
          <w:p w14:paraId="42FE17A3">
            <w:pPr>
              <w:jc w:val="center"/>
              <w:rPr>
                <w:rFonts w:hint="eastAsia" w:ascii="宋体" w:hAnsi="宋体"/>
                <w:szCs w:val="21"/>
                <w:highlight w:val="none"/>
              </w:rPr>
            </w:pPr>
          </w:p>
        </w:tc>
        <w:tc>
          <w:tcPr>
            <w:tcW w:w="1843" w:type="dxa"/>
            <w:noWrap w:val="0"/>
            <w:vAlign w:val="center"/>
          </w:tcPr>
          <w:p w14:paraId="25310094">
            <w:pPr>
              <w:jc w:val="center"/>
              <w:rPr>
                <w:rFonts w:hint="eastAsia" w:ascii="宋体" w:hAnsi="宋体"/>
                <w:szCs w:val="21"/>
                <w:highlight w:val="none"/>
              </w:rPr>
            </w:pPr>
          </w:p>
        </w:tc>
        <w:tc>
          <w:tcPr>
            <w:tcW w:w="2126" w:type="dxa"/>
            <w:noWrap w:val="0"/>
            <w:vAlign w:val="center"/>
          </w:tcPr>
          <w:p w14:paraId="3A98B211">
            <w:pPr>
              <w:jc w:val="center"/>
              <w:rPr>
                <w:rFonts w:hint="eastAsia" w:ascii="宋体" w:hAnsi="宋体"/>
                <w:szCs w:val="21"/>
                <w:highlight w:val="none"/>
              </w:rPr>
            </w:pPr>
          </w:p>
        </w:tc>
      </w:tr>
      <w:tr w14:paraId="428B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232082B0">
            <w:pPr>
              <w:jc w:val="center"/>
              <w:rPr>
                <w:rFonts w:hint="eastAsia" w:ascii="宋体" w:hAnsi="宋体"/>
                <w:szCs w:val="21"/>
                <w:highlight w:val="none"/>
              </w:rPr>
            </w:pPr>
          </w:p>
        </w:tc>
        <w:tc>
          <w:tcPr>
            <w:tcW w:w="1035" w:type="dxa"/>
            <w:noWrap w:val="0"/>
            <w:vAlign w:val="center"/>
          </w:tcPr>
          <w:p w14:paraId="6F8F3BCC">
            <w:pPr>
              <w:jc w:val="center"/>
              <w:rPr>
                <w:rFonts w:hint="eastAsia" w:ascii="宋体" w:hAnsi="宋体"/>
                <w:szCs w:val="21"/>
                <w:highlight w:val="none"/>
              </w:rPr>
            </w:pPr>
          </w:p>
        </w:tc>
        <w:tc>
          <w:tcPr>
            <w:tcW w:w="1134" w:type="dxa"/>
            <w:noWrap w:val="0"/>
            <w:vAlign w:val="center"/>
          </w:tcPr>
          <w:p w14:paraId="056D7549">
            <w:pPr>
              <w:jc w:val="center"/>
              <w:rPr>
                <w:rFonts w:hint="eastAsia" w:ascii="宋体" w:hAnsi="宋体"/>
                <w:szCs w:val="21"/>
                <w:highlight w:val="none"/>
              </w:rPr>
            </w:pPr>
          </w:p>
        </w:tc>
        <w:tc>
          <w:tcPr>
            <w:tcW w:w="1275" w:type="dxa"/>
            <w:noWrap w:val="0"/>
            <w:vAlign w:val="center"/>
          </w:tcPr>
          <w:p w14:paraId="6EE43A7A">
            <w:pPr>
              <w:jc w:val="center"/>
              <w:rPr>
                <w:rFonts w:hint="eastAsia" w:ascii="宋体" w:hAnsi="宋体"/>
                <w:szCs w:val="21"/>
                <w:highlight w:val="none"/>
              </w:rPr>
            </w:pPr>
          </w:p>
        </w:tc>
        <w:tc>
          <w:tcPr>
            <w:tcW w:w="1843" w:type="dxa"/>
            <w:noWrap w:val="0"/>
            <w:vAlign w:val="center"/>
          </w:tcPr>
          <w:p w14:paraId="1F9F671D">
            <w:pPr>
              <w:jc w:val="center"/>
              <w:rPr>
                <w:rFonts w:hint="eastAsia" w:ascii="宋体" w:hAnsi="宋体"/>
                <w:szCs w:val="21"/>
                <w:highlight w:val="none"/>
              </w:rPr>
            </w:pPr>
          </w:p>
        </w:tc>
        <w:tc>
          <w:tcPr>
            <w:tcW w:w="2126" w:type="dxa"/>
            <w:noWrap w:val="0"/>
            <w:vAlign w:val="center"/>
          </w:tcPr>
          <w:p w14:paraId="3E4AD24B">
            <w:pPr>
              <w:jc w:val="center"/>
              <w:rPr>
                <w:rFonts w:hint="eastAsia" w:ascii="宋体" w:hAnsi="宋体"/>
                <w:szCs w:val="21"/>
                <w:highlight w:val="none"/>
              </w:rPr>
            </w:pPr>
          </w:p>
        </w:tc>
      </w:tr>
    </w:tbl>
    <w:p w14:paraId="3EBDC7AF">
      <w:pPr>
        <w:spacing w:line="420" w:lineRule="exact"/>
        <w:rPr>
          <w:rFonts w:ascii="宋体" w:hAnsi="宋体"/>
          <w:szCs w:val="21"/>
          <w:highlight w:val="none"/>
        </w:rPr>
      </w:pPr>
    </w:p>
    <w:p w14:paraId="47B04A8A">
      <w:pPr>
        <w:pStyle w:val="23"/>
        <w:ind w:left="0" w:leftChars="0" w:firstLine="0" w:firstLineChars="0"/>
      </w:pPr>
    </w:p>
    <w:p w14:paraId="1524AF74">
      <w:pPr>
        <w:pStyle w:val="3"/>
        <w:numPr>
          <w:ilvl w:val="0"/>
          <w:numId w:val="17"/>
        </w:numPr>
        <w:bidi w:val="0"/>
        <w:rPr>
          <w:rFonts w:hint="eastAsia" w:ascii="宋体" w:hAnsi="宋体" w:eastAsia="宋体" w:cs="宋体"/>
          <w:bCs/>
          <w:lang w:val="zh-CN" w:eastAsia="zh-CN"/>
        </w:rPr>
      </w:pPr>
      <w:bookmarkStart w:id="1732" w:name="_Toc8604"/>
      <w:r>
        <w:rPr>
          <w:rFonts w:hint="eastAsia" w:ascii="宋体" w:hAnsi="宋体" w:eastAsia="宋体" w:cs="宋体"/>
          <w:bCs/>
          <w:lang w:val="zh-CN" w:eastAsia="zh-CN"/>
        </w:rPr>
        <w:br w:type="page"/>
      </w:r>
      <w:r>
        <w:rPr>
          <w:rFonts w:hint="eastAsia" w:ascii="宋体" w:hAnsi="宋体" w:eastAsia="宋体" w:cs="宋体"/>
          <w:bCs/>
          <w:lang w:val="zh-CN" w:eastAsia="zh-CN"/>
        </w:rPr>
        <w:t>供应商基本情况资料</w:t>
      </w:r>
    </w:p>
    <w:p w14:paraId="59792C02">
      <w:pPr>
        <w:pStyle w:val="4"/>
        <w:bidi w:val="0"/>
        <w:jc w:val="center"/>
      </w:pPr>
      <w:bookmarkStart w:id="1733" w:name="_Toc392837523"/>
      <w:bookmarkEnd w:id="1733"/>
      <w:r>
        <w:rPr>
          <w:rFonts w:hint="eastAsia"/>
        </w:rPr>
        <w:t>（一）</w:t>
      </w:r>
      <w:r>
        <w:rPr>
          <w:rFonts w:hint="eastAsia"/>
          <w:lang w:eastAsia="zh-CN"/>
        </w:rPr>
        <w:t>供应商</w:t>
      </w:r>
      <w:r>
        <w:rPr>
          <w:rFonts w:hint="eastAsia"/>
        </w:rPr>
        <w:t>基本情况表</w:t>
      </w:r>
    </w:p>
    <w:tbl>
      <w:tblPr>
        <w:tblStyle w:val="48"/>
        <w:tblW w:w="8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1225"/>
        <w:gridCol w:w="1013"/>
        <w:gridCol w:w="1192"/>
        <w:gridCol w:w="69"/>
        <w:gridCol w:w="1287"/>
        <w:gridCol w:w="409"/>
        <w:gridCol w:w="798"/>
        <w:gridCol w:w="1173"/>
      </w:tblGrid>
      <w:tr w14:paraId="481EC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533" w:type="dxa"/>
            <w:tcBorders>
              <w:top w:val="single" w:color="auto" w:sz="4" w:space="0"/>
              <w:left w:val="single" w:color="auto" w:sz="4" w:space="0"/>
              <w:bottom w:val="single" w:color="auto" w:sz="4" w:space="0"/>
              <w:right w:val="single" w:color="auto" w:sz="4" w:space="0"/>
            </w:tcBorders>
            <w:noWrap w:val="0"/>
            <w:vAlign w:val="center"/>
          </w:tcPr>
          <w:p w14:paraId="7F21862C">
            <w:pPr>
              <w:jc w:val="center"/>
              <w:rPr>
                <w:rFonts w:ascii="宋体" w:hAnsi="宋体"/>
                <w:szCs w:val="21"/>
              </w:rPr>
            </w:pPr>
            <w:r>
              <w:rPr>
                <w:rFonts w:hint="eastAsia" w:ascii="宋体" w:hAnsi="宋体"/>
                <w:lang w:eastAsia="zh-CN"/>
              </w:rPr>
              <w:t>供应商</w:t>
            </w:r>
            <w:r>
              <w:rPr>
                <w:rFonts w:hint="eastAsia" w:ascii="宋体" w:hAnsi="宋体"/>
              </w:rPr>
              <w:t>名称</w:t>
            </w:r>
          </w:p>
        </w:tc>
        <w:tc>
          <w:tcPr>
            <w:tcW w:w="7166" w:type="dxa"/>
            <w:gridSpan w:val="8"/>
            <w:tcBorders>
              <w:top w:val="single" w:color="auto" w:sz="4" w:space="0"/>
              <w:left w:val="nil"/>
              <w:bottom w:val="single" w:color="auto" w:sz="4" w:space="0"/>
              <w:right w:val="single" w:color="auto" w:sz="4" w:space="0"/>
            </w:tcBorders>
            <w:noWrap w:val="0"/>
            <w:vAlign w:val="center"/>
          </w:tcPr>
          <w:p w14:paraId="7F841332">
            <w:pPr>
              <w:jc w:val="center"/>
              <w:rPr>
                <w:rFonts w:ascii="宋体" w:hAnsi="宋体"/>
                <w:szCs w:val="21"/>
              </w:rPr>
            </w:pPr>
          </w:p>
        </w:tc>
      </w:tr>
      <w:tr w14:paraId="38B9C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33" w:type="dxa"/>
            <w:tcBorders>
              <w:top w:val="single" w:color="auto" w:sz="4" w:space="0"/>
              <w:left w:val="single" w:color="auto" w:sz="4" w:space="0"/>
              <w:bottom w:val="single" w:color="auto" w:sz="4" w:space="0"/>
              <w:right w:val="single" w:color="auto" w:sz="4" w:space="0"/>
            </w:tcBorders>
            <w:noWrap w:val="0"/>
            <w:vAlign w:val="center"/>
          </w:tcPr>
          <w:p w14:paraId="024F60E9">
            <w:pPr>
              <w:jc w:val="center"/>
              <w:rPr>
                <w:rFonts w:ascii="宋体" w:hAnsi="宋体"/>
                <w:szCs w:val="21"/>
              </w:rPr>
            </w:pPr>
            <w:r>
              <w:rPr>
                <w:rFonts w:hint="eastAsia" w:ascii="宋体" w:hAnsi="宋体"/>
              </w:rPr>
              <w:t>注册地址</w:t>
            </w:r>
          </w:p>
        </w:tc>
        <w:tc>
          <w:tcPr>
            <w:tcW w:w="3499" w:type="dxa"/>
            <w:gridSpan w:val="4"/>
            <w:tcBorders>
              <w:top w:val="single" w:color="auto" w:sz="4" w:space="0"/>
              <w:left w:val="nil"/>
              <w:bottom w:val="single" w:color="auto" w:sz="4" w:space="0"/>
              <w:right w:val="single" w:color="auto" w:sz="4" w:space="0"/>
            </w:tcBorders>
            <w:noWrap w:val="0"/>
            <w:vAlign w:val="center"/>
          </w:tcPr>
          <w:p w14:paraId="3C5F6809">
            <w:pPr>
              <w:jc w:val="center"/>
              <w:rPr>
                <w:rFonts w:ascii="宋体" w:hAnsi="宋体"/>
                <w:szCs w:val="21"/>
              </w:rPr>
            </w:pPr>
          </w:p>
        </w:tc>
        <w:tc>
          <w:tcPr>
            <w:tcW w:w="1287" w:type="dxa"/>
            <w:tcBorders>
              <w:top w:val="single" w:color="auto" w:sz="4" w:space="0"/>
              <w:left w:val="nil"/>
              <w:bottom w:val="single" w:color="auto" w:sz="4" w:space="0"/>
              <w:right w:val="single" w:color="auto" w:sz="4" w:space="0"/>
            </w:tcBorders>
            <w:noWrap w:val="0"/>
            <w:vAlign w:val="center"/>
          </w:tcPr>
          <w:p w14:paraId="52A33576">
            <w:pPr>
              <w:jc w:val="center"/>
              <w:rPr>
                <w:rFonts w:ascii="宋体" w:hAnsi="宋体"/>
                <w:szCs w:val="21"/>
              </w:rPr>
            </w:pPr>
            <w:r>
              <w:rPr>
                <w:rFonts w:hint="eastAsia" w:ascii="宋体" w:hAnsi="宋体"/>
              </w:rPr>
              <w:t>邮政编码</w:t>
            </w:r>
          </w:p>
        </w:tc>
        <w:tc>
          <w:tcPr>
            <w:tcW w:w="2380" w:type="dxa"/>
            <w:gridSpan w:val="3"/>
            <w:tcBorders>
              <w:top w:val="single" w:color="auto" w:sz="4" w:space="0"/>
              <w:left w:val="nil"/>
              <w:bottom w:val="single" w:color="auto" w:sz="4" w:space="0"/>
              <w:right w:val="single" w:color="auto" w:sz="4" w:space="0"/>
            </w:tcBorders>
            <w:noWrap w:val="0"/>
            <w:vAlign w:val="center"/>
          </w:tcPr>
          <w:p w14:paraId="402F0A38">
            <w:pPr>
              <w:jc w:val="center"/>
              <w:rPr>
                <w:rFonts w:ascii="宋体" w:hAnsi="宋体"/>
                <w:szCs w:val="21"/>
              </w:rPr>
            </w:pPr>
          </w:p>
        </w:tc>
      </w:tr>
      <w:tr w14:paraId="788C1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33" w:type="dxa"/>
            <w:vMerge w:val="restart"/>
            <w:tcBorders>
              <w:top w:val="nil"/>
              <w:left w:val="single" w:color="auto" w:sz="4" w:space="0"/>
              <w:bottom w:val="single" w:color="auto" w:sz="4" w:space="0"/>
              <w:right w:val="single" w:color="auto" w:sz="4" w:space="0"/>
            </w:tcBorders>
            <w:noWrap w:val="0"/>
            <w:vAlign w:val="center"/>
          </w:tcPr>
          <w:p w14:paraId="40CC0F96">
            <w:pPr>
              <w:jc w:val="center"/>
              <w:rPr>
                <w:rFonts w:ascii="宋体" w:hAnsi="宋体"/>
                <w:szCs w:val="21"/>
              </w:rPr>
            </w:pPr>
            <w:r>
              <w:rPr>
                <w:rFonts w:hint="eastAsia" w:ascii="宋体" w:hAnsi="宋体"/>
              </w:rPr>
              <w:t>联系方式</w:t>
            </w:r>
          </w:p>
        </w:tc>
        <w:tc>
          <w:tcPr>
            <w:tcW w:w="1225" w:type="dxa"/>
            <w:tcBorders>
              <w:top w:val="single" w:color="auto" w:sz="4" w:space="0"/>
              <w:left w:val="nil"/>
              <w:bottom w:val="single" w:color="auto" w:sz="4" w:space="0"/>
              <w:right w:val="single" w:color="auto" w:sz="4" w:space="0"/>
            </w:tcBorders>
            <w:noWrap w:val="0"/>
            <w:vAlign w:val="center"/>
          </w:tcPr>
          <w:p w14:paraId="0E1542F1">
            <w:pPr>
              <w:jc w:val="center"/>
              <w:rPr>
                <w:rFonts w:ascii="宋体" w:hAnsi="宋体"/>
                <w:szCs w:val="21"/>
              </w:rPr>
            </w:pPr>
            <w:r>
              <w:rPr>
                <w:rFonts w:hint="eastAsia" w:ascii="宋体" w:hAnsi="宋体"/>
              </w:rPr>
              <w:t>联系人</w:t>
            </w:r>
          </w:p>
        </w:tc>
        <w:tc>
          <w:tcPr>
            <w:tcW w:w="2274" w:type="dxa"/>
            <w:gridSpan w:val="3"/>
            <w:tcBorders>
              <w:top w:val="single" w:color="auto" w:sz="4" w:space="0"/>
              <w:left w:val="nil"/>
              <w:bottom w:val="single" w:color="auto" w:sz="4" w:space="0"/>
              <w:right w:val="single" w:color="auto" w:sz="4" w:space="0"/>
            </w:tcBorders>
            <w:noWrap w:val="0"/>
            <w:vAlign w:val="center"/>
          </w:tcPr>
          <w:p w14:paraId="5FE2B98B">
            <w:pPr>
              <w:jc w:val="center"/>
              <w:rPr>
                <w:rFonts w:ascii="宋体" w:hAnsi="宋体"/>
                <w:szCs w:val="21"/>
              </w:rPr>
            </w:pPr>
          </w:p>
        </w:tc>
        <w:tc>
          <w:tcPr>
            <w:tcW w:w="1287" w:type="dxa"/>
            <w:tcBorders>
              <w:top w:val="single" w:color="auto" w:sz="4" w:space="0"/>
              <w:left w:val="nil"/>
              <w:bottom w:val="single" w:color="auto" w:sz="4" w:space="0"/>
              <w:right w:val="single" w:color="auto" w:sz="4" w:space="0"/>
            </w:tcBorders>
            <w:noWrap w:val="0"/>
            <w:vAlign w:val="center"/>
          </w:tcPr>
          <w:p w14:paraId="455D54BB">
            <w:pPr>
              <w:jc w:val="center"/>
              <w:rPr>
                <w:rFonts w:ascii="宋体" w:hAnsi="宋体"/>
                <w:szCs w:val="21"/>
              </w:rPr>
            </w:pPr>
            <w:r>
              <w:rPr>
                <w:rFonts w:hint="eastAsia" w:ascii="宋体" w:hAnsi="宋体"/>
              </w:rPr>
              <w:t>电  话</w:t>
            </w:r>
          </w:p>
        </w:tc>
        <w:tc>
          <w:tcPr>
            <w:tcW w:w="2380" w:type="dxa"/>
            <w:gridSpan w:val="3"/>
            <w:tcBorders>
              <w:top w:val="single" w:color="auto" w:sz="4" w:space="0"/>
              <w:left w:val="nil"/>
              <w:bottom w:val="single" w:color="auto" w:sz="4" w:space="0"/>
              <w:right w:val="single" w:color="auto" w:sz="4" w:space="0"/>
            </w:tcBorders>
            <w:noWrap w:val="0"/>
            <w:vAlign w:val="center"/>
          </w:tcPr>
          <w:p w14:paraId="088A0486">
            <w:pPr>
              <w:jc w:val="center"/>
              <w:rPr>
                <w:rFonts w:ascii="宋体" w:hAnsi="宋体"/>
                <w:szCs w:val="21"/>
              </w:rPr>
            </w:pPr>
          </w:p>
        </w:tc>
      </w:tr>
      <w:tr w14:paraId="26928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33" w:type="dxa"/>
            <w:vMerge w:val="continue"/>
            <w:tcBorders>
              <w:top w:val="nil"/>
              <w:left w:val="single" w:color="auto" w:sz="4" w:space="0"/>
              <w:bottom w:val="single" w:color="auto" w:sz="4" w:space="0"/>
              <w:right w:val="single" w:color="auto" w:sz="4" w:space="0"/>
            </w:tcBorders>
            <w:noWrap w:val="0"/>
            <w:vAlign w:val="center"/>
          </w:tcPr>
          <w:p w14:paraId="4B0A4886">
            <w:pPr>
              <w:widowControl/>
              <w:jc w:val="left"/>
              <w:rPr>
                <w:rFonts w:ascii="宋体" w:hAnsi="宋体"/>
                <w:szCs w:val="21"/>
              </w:rPr>
            </w:pPr>
          </w:p>
        </w:tc>
        <w:tc>
          <w:tcPr>
            <w:tcW w:w="1225" w:type="dxa"/>
            <w:tcBorders>
              <w:top w:val="single" w:color="auto" w:sz="4" w:space="0"/>
              <w:left w:val="nil"/>
              <w:bottom w:val="single" w:color="auto" w:sz="4" w:space="0"/>
              <w:right w:val="single" w:color="auto" w:sz="4" w:space="0"/>
            </w:tcBorders>
            <w:noWrap w:val="0"/>
            <w:vAlign w:val="center"/>
          </w:tcPr>
          <w:p w14:paraId="277DCDB6">
            <w:pPr>
              <w:jc w:val="center"/>
              <w:rPr>
                <w:rFonts w:ascii="宋体" w:hAnsi="宋体"/>
                <w:szCs w:val="21"/>
              </w:rPr>
            </w:pPr>
            <w:r>
              <w:rPr>
                <w:rFonts w:hint="eastAsia" w:ascii="宋体" w:hAnsi="宋体"/>
              </w:rPr>
              <w:t>电子邮件</w:t>
            </w:r>
          </w:p>
        </w:tc>
        <w:tc>
          <w:tcPr>
            <w:tcW w:w="5941" w:type="dxa"/>
            <w:gridSpan w:val="7"/>
            <w:tcBorders>
              <w:top w:val="single" w:color="auto" w:sz="4" w:space="0"/>
              <w:left w:val="nil"/>
              <w:bottom w:val="single" w:color="auto" w:sz="4" w:space="0"/>
              <w:right w:val="single" w:color="auto" w:sz="4" w:space="0"/>
            </w:tcBorders>
            <w:noWrap w:val="0"/>
            <w:vAlign w:val="center"/>
          </w:tcPr>
          <w:p w14:paraId="4459C297">
            <w:pPr>
              <w:jc w:val="center"/>
              <w:rPr>
                <w:rFonts w:ascii="宋体" w:hAnsi="宋体"/>
                <w:szCs w:val="21"/>
              </w:rPr>
            </w:pPr>
          </w:p>
        </w:tc>
      </w:tr>
      <w:tr w14:paraId="3CF09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33" w:type="dxa"/>
            <w:tcBorders>
              <w:top w:val="single" w:color="auto" w:sz="4" w:space="0"/>
              <w:left w:val="single" w:color="auto" w:sz="4" w:space="0"/>
              <w:bottom w:val="single" w:color="auto" w:sz="4" w:space="0"/>
              <w:right w:val="single" w:color="auto" w:sz="4" w:space="0"/>
            </w:tcBorders>
            <w:noWrap w:val="0"/>
            <w:vAlign w:val="center"/>
          </w:tcPr>
          <w:p w14:paraId="29CDD4DD">
            <w:pPr>
              <w:jc w:val="center"/>
              <w:rPr>
                <w:rFonts w:ascii="宋体" w:hAnsi="宋体"/>
                <w:szCs w:val="21"/>
              </w:rPr>
            </w:pPr>
            <w:r>
              <w:rPr>
                <w:rFonts w:hint="eastAsia" w:ascii="宋体" w:hAnsi="宋体"/>
              </w:rPr>
              <w:t>组织机构</w:t>
            </w:r>
          </w:p>
        </w:tc>
        <w:tc>
          <w:tcPr>
            <w:tcW w:w="7166" w:type="dxa"/>
            <w:gridSpan w:val="8"/>
            <w:tcBorders>
              <w:top w:val="single" w:color="auto" w:sz="4" w:space="0"/>
              <w:left w:val="nil"/>
              <w:bottom w:val="single" w:color="auto" w:sz="4" w:space="0"/>
              <w:right w:val="single" w:color="auto" w:sz="4" w:space="0"/>
            </w:tcBorders>
            <w:noWrap w:val="0"/>
            <w:vAlign w:val="center"/>
          </w:tcPr>
          <w:p w14:paraId="42236227">
            <w:pPr>
              <w:jc w:val="center"/>
              <w:rPr>
                <w:rFonts w:ascii="宋体" w:hAnsi="宋体"/>
                <w:szCs w:val="21"/>
              </w:rPr>
            </w:pPr>
          </w:p>
        </w:tc>
      </w:tr>
      <w:tr w14:paraId="36EB6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33" w:type="dxa"/>
            <w:tcBorders>
              <w:top w:val="single" w:color="auto" w:sz="4" w:space="0"/>
              <w:left w:val="single" w:color="auto" w:sz="4" w:space="0"/>
              <w:bottom w:val="single" w:color="auto" w:sz="4" w:space="0"/>
              <w:right w:val="single" w:color="auto" w:sz="4" w:space="0"/>
            </w:tcBorders>
            <w:noWrap w:val="0"/>
            <w:vAlign w:val="center"/>
          </w:tcPr>
          <w:p w14:paraId="363D30C4">
            <w:pPr>
              <w:jc w:val="center"/>
              <w:rPr>
                <w:rFonts w:ascii="宋体" w:hAnsi="宋体"/>
                <w:szCs w:val="21"/>
              </w:rPr>
            </w:pPr>
            <w:r>
              <w:rPr>
                <w:rFonts w:hint="eastAsia" w:ascii="宋体" w:hAnsi="宋体"/>
              </w:rPr>
              <w:t>法定代表人</w:t>
            </w:r>
          </w:p>
        </w:tc>
        <w:tc>
          <w:tcPr>
            <w:tcW w:w="1225" w:type="dxa"/>
            <w:tcBorders>
              <w:top w:val="single" w:color="auto" w:sz="4" w:space="0"/>
              <w:left w:val="nil"/>
              <w:bottom w:val="single" w:color="auto" w:sz="4" w:space="0"/>
              <w:right w:val="single" w:color="auto" w:sz="4" w:space="0"/>
            </w:tcBorders>
            <w:noWrap w:val="0"/>
            <w:vAlign w:val="center"/>
          </w:tcPr>
          <w:p w14:paraId="3D3C0216">
            <w:pPr>
              <w:jc w:val="center"/>
              <w:rPr>
                <w:rFonts w:ascii="宋体" w:hAnsi="宋体"/>
                <w:szCs w:val="21"/>
              </w:rPr>
            </w:pPr>
            <w:r>
              <w:rPr>
                <w:rFonts w:hint="eastAsia" w:ascii="宋体" w:hAnsi="宋体"/>
              </w:rPr>
              <w:t>姓名</w:t>
            </w:r>
          </w:p>
        </w:tc>
        <w:tc>
          <w:tcPr>
            <w:tcW w:w="1013" w:type="dxa"/>
            <w:tcBorders>
              <w:top w:val="single" w:color="auto" w:sz="4" w:space="0"/>
              <w:left w:val="nil"/>
              <w:bottom w:val="single" w:color="auto" w:sz="4" w:space="0"/>
              <w:right w:val="single" w:color="auto" w:sz="4" w:space="0"/>
            </w:tcBorders>
            <w:noWrap w:val="0"/>
            <w:vAlign w:val="center"/>
          </w:tcPr>
          <w:p w14:paraId="33F49814">
            <w:pPr>
              <w:jc w:val="center"/>
              <w:rPr>
                <w:rFonts w:ascii="宋体" w:hAnsi="宋体"/>
                <w:szCs w:val="21"/>
              </w:rPr>
            </w:pPr>
          </w:p>
        </w:tc>
        <w:tc>
          <w:tcPr>
            <w:tcW w:w="1261" w:type="dxa"/>
            <w:gridSpan w:val="2"/>
            <w:tcBorders>
              <w:top w:val="single" w:color="auto" w:sz="4" w:space="0"/>
              <w:left w:val="nil"/>
              <w:bottom w:val="single" w:color="auto" w:sz="4" w:space="0"/>
              <w:right w:val="single" w:color="auto" w:sz="4" w:space="0"/>
            </w:tcBorders>
            <w:noWrap w:val="0"/>
            <w:vAlign w:val="center"/>
          </w:tcPr>
          <w:p w14:paraId="187EDB52">
            <w:pPr>
              <w:jc w:val="center"/>
              <w:rPr>
                <w:rFonts w:ascii="宋体" w:hAnsi="宋体"/>
                <w:szCs w:val="21"/>
              </w:rPr>
            </w:pPr>
            <w:r>
              <w:rPr>
                <w:rFonts w:hint="eastAsia" w:ascii="宋体" w:hAnsi="宋体"/>
              </w:rPr>
              <w:t>技术职称</w:t>
            </w:r>
          </w:p>
        </w:tc>
        <w:tc>
          <w:tcPr>
            <w:tcW w:w="1696" w:type="dxa"/>
            <w:gridSpan w:val="2"/>
            <w:tcBorders>
              <w:top w:val="single" w:color="auto" w:sz="4" w:space="0"/>
              <w:left w:val="nil"/>
              <w:bottom w:val="single" w:color="auto" w:sz="4" w:space="0"/>
              <w:right w:val="single" w:color="auto" w:sz="4" w:space="0"/>
            </w:tcBorders>
            <w:noWrap w:val="0"/>
            <w:vAlign w:val="center"/>
          </w:tcPr>
          <w:p w14:paraId="01239591">
            <w:pPr>
              <w:jc w:val="center"/>
              <w:rPr>
                <w:rFonts w:ascii="宋体" w:hAnsi="宋体"/>
                <w:szCs w:val="21"/>
              </w:rPr>
            </w:pPr>
          </w:p>
        </w:tc>
        <w:tc>
          <w:tcPr>
            <w:tcW w:w="798" w:type="dxa"/>
            <w:tcBorders>
              <w:top w:val="single" w:color="auto" w:sz="4" w:space="0"/>
              <w:left w:val="nil"/>
              <w:bottom w:val="single" w:color="auto" w:sz="4" w:space="0"/>
              <w:right w:val="single" w:color="auto" w:sz="4" w:space="0"/>
            </w:tcBorders>
            <w:noWrap w:val="0"/>
            <w:vAlign w:val="center"/>
          </w:tcPr>
          <w:p w14:paraId="0F0E1354">
            <w:pPr>
              <w:jc w:val="center"/>
              <w:rPr>
                <w:rFonts w:ascii="宋体" w:hAnsi="宋体"/>
                <w:szCs w:val="21"/>
              </w:rPr>
            </w:pPr>
            <w:r>
              <w:rPr>
                <w:rFonts w:hint="eastAsia" w:ascii="宋体" w:hAnsi="宋体"/>
              </w:rPr>
              <w:t>电话</w:t>
            </w:r>
          </w:p>
        </w:tc>
        <w:tc>
          <w:tcPr>
            <w:tcW w:w="1173" w:type="dxa"/>
            <w:tcBorders>
              <w:top w:val="single" w:color="auto" w:sz="4" w:space="0"/>
              <w:left w:val="nil"/>
              <w:bottom w:val="single" w:color="auto" w:sz="4" w:space="0"/>
              <w:right w:val="single" w:color="auto" w:sz="4" w:space="0"/>
            </w:tcBorders>
            <w:noWrap w:val="0"/>
            <w:vAlign w:val="center"/>
          </w:tcPr>
          <w:p w14:paraId="29602AF9">
            <w:pPr>
              <w:jc w:val="center"/>
              <w:rPr>
                <w:rFonts w:ascii="宋体" w:hAnsi="宋体"/>
                <w:szCs w:val="21"/>
              </w:rPr>
            </w:pPr>
          </w:p>
        </w:tc>
      </w:tr>
      <w:tr w14:paraId="1566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33" w:type="dxa"/>
            <w:tcBorders>
              <w:top w:val="single" w:color="auto" w:sz="4" w:space="0"/>
              <w:left w:val="single" w:color="auto" w:sz="4" w:space="0"/>
              <w:bottom w:val="single" w:color="auto" w:sz="4" w:space="0"/>
              <w:right w:val="single" w:color="auto" w:sz="4" w:space="0"/>
            </w:tcBorders>
            <w:noWrap w:val="0"/>
            <w:vAlign w:val="center"/>
          </w:tcPr>
          <w:p w14:paraId="412E05CD">
            <w:pPr>
              <w:jc w:val="center"/>
              <w:rPr>
                <w:rFonts w:hint="eastAsia" w:ascii="宋体" w:hAnsi="宋体" w:eastAsia="宋体"/>
                <w:szCs w:val="21"/>
                <w:lang w:eastAsia="zh-CN"/>
              </w:rPr>
            </w:pPr>
            <w:r>
              <w:rPr>
                <w:rFonts w:hint="eastAsia" w:ascii="宋体" w:hAnsi="宋体"/>
                <w:lang w:eastAsia="zh-CN"/>
              </w:rPr>
              <w:t>项目总工</w:t>
            </w:r>
          </w:p>
        </w:tc>
        <w:tc>
          <w:tcPr>
            <w:tcW w:w="1225" w:type="dxa"/>
            <w:tcBorders>
              <w:top w:val="single" w:color="auto" w:sz="4" w:space="0"/>
              <w:left w:val="nil"/>
              <w:bottom w:val="single" w:color="auto" w:sz="4" w:space="0"/>
              <w:right w:val="single" w:color="auto" w:sz="4" w:space="0"/>
            </w:tcBorders>
            <w:noWrap w:val="0"/>
            <w:vAlign w:val="center"/>
          </w:tcPr>
          <w:p w14:paraId="29E6B1B7">
            <w:pPr>
              <w:jc w:val="center"/>
              <w:rPr>
                <w:rFonts w:ascii="宋体" w:hAnsi="宋体"/>
                <w:szCs w:val="21"/>
              </w:rPr>
            </w:pPr>
            <w:r>
              <w:rPr>
                <w:rFonts w:hint="eastAsia" w:ascii="宋体" w:hAnsi="宋体"/>
              </w:rPr>
              <w:t>姓名</w:t>
            </w:r>
          </w:p>
        </w:tc>
        <w:tc>
          <w:tcPr>
            <w:tcW w:w="1013" w:type="dxa"/>
            <w:tcBorders>
              <w:top w:val="single" w:color="auto" w:sz="4" w:space="0"/>
              <w:left w:val="nil"/>
              <w:bottom w:val="single" w:color="auto" w:sz="4" w:space="0"/>
              <w:right w:val="single" w:color="auto" w:sz="4" w:space="0"/>
            </w:tcBorders>
            <w:noWrap w:val="0"/>
            <w:vAlign w:val="center"/>
          </w:tcPr>
          <w:p w14:paraId="002A445F">
            <w:pPr>
              <w:jc w:val="center"/>
              <w:rPr>
                <w:rFonts w:ascii="宋体" w:hAnsi="宋体"/>
                <w:szCs w:val="21"/>
              </w:rPr>
            </w:pPr>
          </w:p>
        </w:tc>
        <w:tc>
          <w:tcPr>
            <w:tcW w:w="1261" w:type="dxa"/>
            <w:gridSpan w:val="2"/>
            <w:tcBorders>
              <w:top w:val="single" w:color="auto" w:sz="4" w:space="0"/>
              <w:left w:val="nil"/>
              <w:bottom w:val="single" w:color="auto" w:sz="4" w:space="0"/>
              <w:right w:val="single" w:color="auto" w:sz="4" w:space="0"/>
            </w:tcBorders>
            <w:noWrap w:val="0"/>
            <w:vAlign w:val="center"/>
          </w:tcPr>
          <w:p w14:paraId="296C3B5E">
            <w:pPr>
              <w:jc w:val="center"/>
              <w:rPr>
                <w:rFonts w:ascii="宋体" w:hAnsi="宋体"/>
                <w:szCs w:val="21"/>
              </w:rPr>
            </w:pPr>
            <w:r>
              <w:rPr>
                <w:rFonts w:hint="eastAsia" w:ascii="宋体" w:hAnsi="宋体"/>
              </w:rPr>
              <w:t>技术职称</w:t>
            </w:r>
          </w:p>
        </w:tc>
        <w:tc>
          <w:tcPr>
            <w:tcW w:w="1696" w:type="dxa"/>
            <w:gridSpan w:val="2"/>
            <w:tcBorders>
              <w:top w:val="single" w:color="auto" w:sz="4" w:space="0"/>
              <w:left w:val="nil"/>
              <w:bottom w:val="single" w:color="auto" w:sz="4" w:space="0"/>
              <w:right w:val="single" w:color="auto" w:sz="4" w:space="0"/>
            </w:tcBorders>
            <w:noWrap w:val="0"/>
            <w:vAlign w:val="center"/>
          </w:tcPr>
          <w:p w14:paraId="173AAC8E">
            <w:pPr>
              <w:jc w:val="center"/>
              <w:rPr>
                <w:rFonts w:ascii="宋体" w:hAnsi="宋体"/>
                <w:szCs w:val="21"/>
              </w:rPr>
            </w:pPr>
          </w:p>
        </w:tc>
        <w:tc>
          <w:tcPr>
            <w:tcW w:w="798" w:type="dxa"/>
            <w:tcBorders>
              <w:top w:val="single" w:color="auto" w:sz="4" w:space="0"/>
              <w:left w:val="nil"/>
              <w:bottom w:val="single" w:color="auto" w:sz="4" w:space="0"/>
              <w:right w:val="single" w:color="auto" w:sz="4" w:space="0"/>
            </w:tcBorders>
            <w:noWrap w:val="0"/>
            <w:vAlign w:val="center"/>
          </w:tcPr>
          <w:p w14:paraId="16418AFC">
            <w:pPr>
              <w:jc w:val="center"/>
              <w:rPr>
                <w:rFonts w:ascii="宋体" w:hAnsi="宋体"/>
                <w:szCs w:val="21"/>
              </w:rPr>
            </w:pPr>
            <w:r>
              <w:rPr>
                <w:rFonts w:hint="eastAsia" w:ascii="宋体" w:hAnsi="宋体"/>
              </w:rPr>
              <w:t>电话</w:t>
            </w:r>
          </w:p>
        </w:tc>
        <w:tc>
          <w:tcPr>
            <w:tcW w:w="1173" w:type="dxa"/>
            <w:tcBorders>
              <w:top w:val="single" w:color="auto" w:sz="4" w:space="0"/>
              <w:left w:val="nil"/>
              <w:bottom w:val="single" w:color="auto" w:sz="4" w:space="0"/>
              <w:right w:val="single" w:color="auto" w:sz="4" w:space="0"/>
            </w:tcBorders>
            <w:noWrap w:val="0"/>
            <w:vAlign w:val="center"/>
          </w:tcPr>
          <w:p w14:paraId="3B862A88">
            <w:pPr>
              <w:jc w:val="center"/>
              <w:rPr>
                <w:rFonts w:ascii="宋体" w:hAnsi="宋体"/>
                <w:szCs w:val="21"/>
              </w:rPr>
            </w:pPr>
          </w:p>
        </w:tc>
      </w:tr>
      <w:tr w14:paraId="6474E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33" w:type="dxa"/>
            <w:tcBorders>
              <w:top w:val="single" w:color="auto" w:sz="4" w:space="0"/>
              <w:left w:val="single" w:color="auto" w:sz="4" w:space="0"/>
              <w:bottom w:val="single" w:color="auto" w:sz="4" w:space="0"/>
              <w:right w:val="single" w:color="auto" w:sz="4" w:space="0"/>
            </w:tcBorders>
            <w:noWrap w:val="0"/>
            <w:vAlign w:val="center"/>
          </w:tcPr>
          <w:p w14:paraId="2D8B13DD">
            <w:pPr>
              <w:jc w:val="center"/>
              <w:rPr>
                <w:rFonts w:ascii="宋体" w:hAnsi="宋体"/>
                <w:szCs w:val="21"/>
              </w:rPr>
            </w:pPr>
            <w:r>
              <w:rPr>
                <w:rFonts w:hint="eastAsia" w:ascii="宋体" w:hAnsi="宋体"/>
              </w:rPr>
              <w:t>成立时间</w:t>
            </w:r>
          </w:p>
        </w:tc>
        <w:tc>
          <w:tcPr>
            <w:tcW w:w="2238" w:type="dxa"/>
            <w:gridSpan w:val="2"/>
            <w:tcBorders>
              <w:top w:val="single" w:color="auto" w:sz="4" w:space="0"/>
              <w:left w:val="nil"/>
              <w:bottom w:val="single" w:color="auto" w:sz="4" w:space="0"/>
              <w:right w:val="single" w:color="auto" w:sz="4" w:space="0"/>
            </w:tcBorders>
            <w:noWrap w:val="0"/>
            <w:vAlign w:val="center"/>
          </w:tcPr>
          <w:p w14:paraId="7F0C4A97">
            <w:pPr>
              <w:jc w:val="center"/>
              <w:rPr>
                <w:rFonts w:ascii="宋体" w:hAnsi="宋体"/>
                <w:szCs w:val="21"/>
              </w:rPr>
            </w:pPr>
          </w:p>
        </w:tc>
        <w:tc>
          <w:tcPr>
            <w:tcW w:w="4928" w:type="dxa"/>
            <w:gridSpan w:val="6"/>
            <w:tcBorders>
              <w:top w:val="single" w:color="auto" w:sz="4" w:space="0"/>
              <w:left w:val="nil"/>
              <w:bottom w:val="single" w:color="auto" w:sz="4" w:space="0"/>
              <w:right w:val="single" w:color="auto" w:sz="4" w:space="0"/>
            </w:tcBorders>
            <w:noWrap w:val="0"/>
            <w:vAlign w:val="center"/>
          </w:tcPr>
          <w:p w14:paraId="6E78EE71">
            <w:pPr>
              <w:jc w:val="center"/>
              <w:rPr>
                <w:rFonts w:ascii="宋体" w:hAnsi="宋体"/>
                <w:szCs w:val="21"/>
              </w:rPr>
            </w:pPr>
            <w:r>
              <w:rPr>
                <w:rFonts w:hint="eastAsia" w:ascii="宋体" w:hAnsi="宋体"/>
              </w:rPr>
              <w:t>员工总人数：</w:t>
            </w:r>
          </w:p>
        </w:tc>
      </w:tr>
      <w:tr w14:paraId="7601B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33" w:type="dxa"/>
            <w:tcBorders>
              <w:top w:val="single" w:color="auto" w:sz="4" w:space="0"/>
              <w:left w:val="single" w:color="auto" w:sz="4" w:space="0"/>
              <w:bottom w:val="single" w:color="auto" w:sz="4" w:space="0"/>
              <w:right w:val="single" w:color="auto" w:sz="4" w:space="0"/>
            </w:tcBorders>
            <w:noWrap w:val="0"/>
            <w:vAlign w:val="center"/>
          </w:tcPr>
          <w:p w14:paraId="563484A5">
            <w:pPr>
              <w:jc w:val="center"/>
              <w:rPr>
                <w:rFonts w:ascii="宋体" w:hAnsi="宋体"/>
                <w:szCs w:val="21"/>
              </w:rPr>
            </w:pPr>
            <w:r>
              <w:rPr>
                <w:rFonts w:hint="eastAsia" w:ascii="宋体" w:hAnsi="宋体"/>
              </w:rPr>
              <w:t>企业资质等级</w:t>
            </w:r>
          </w:p>
        </w:tc>
        <w:tc>
          <w:tcPr>
            <w:tcW w:w="1225" w:type="dxa"/>
            <w:tcBorders>
              <w:top w:val="single" w:color="auto" w:sz="4" w:space="0"/>
              <w:left w:val="nil"/>
              <w:bottom w:val="single" w:color="auto" w:sz="4" w:space="0"/>
              <w:right w:val="single" w:color="auto" w:sz="4" w:space="0"/>
            </w:tcBorders>
            <w:noWrap w:val="0"/>
            <w:vAlign w:val="center"/>
          </w:tcPr>
          <w:p w14:paraId="121ECCC1">
            <w:pPr>
              <w:jc w:val="center"/>
              <w:rPr>
                <w:rFonts w:ascii="宋体" w:hAnsi="宋体"/>
                <w:szCs w:val="21"/>
              </w:rPr>
            </w:pPr>
          </w:p>
        </w:tc>
        <w:tc>
          <w:tcPr>
            <w:tcW w:w="1013" w:type="dxa"/>
            <w:tcBorders>
              <w:top w:val="single" w:color="auto" w:sz="4" w:space="0"/>
              <w:left w:val="nil"/>
              <w:bottom w:val="single" w:color="auto" w:sz="4" w:space="0"/>
              <w:right w:val="single" w:color="auto" w:sz="4" w:space="0"/>
            </w:tcBorders>
            <w:noWrap w:val="0"/>
            <w:vAlign w:val="center"/>
          </w:tcPr>
          <w:p w14:paraId="178A6E34">
            <w:pPr>
              <w:jc w:val="center"/>
              <w:rPr>
                <w:rFonts w:ascii="宋体" w:hAnsi="宋体"/>
                <w:szCs w:val="21"/>
              </w:rPr>
            </w:pPr>
          </w:p>
        </w:tc>
        <w:tc>
          <w:tcPr>
            <w:tcW w:w="1192" w:type="dxa"/>
            <w:vMerge w:val="restart"/>
            <w:tcBorders>
              <w:top w:val="single" w:color="auto" w:sz="4" w:space="0"/>
              <w:left w:val="nil"/>
              <w:bottom w:val="single" w:color="auto" w:sz="4" w:space="0"/>
              <w:right w:val="single" w:color="auto" w:sz="4" w:space="0"/>
            </w:tcBorders>
            <w:noWrap w:val="0"/>
            <w:vAlign w:val="center"/>
          </w:tcPr>
          <w:p w14:paraId="5239745C">
            <w:pPr>
              <w:jc w:val="center"/>
              <w:rPr>
                <w:rFonts w:ascii="宋体" w:hAnsi="宋体"/>
                <w:szCs w:val="21"/>
              </w:rPr>
            </w:pPr>
            <w:r>
              <w:rPr>
                <w:rFonts w:hint="eastAsia" w:ascii="宋体" w:hAnsi="宋体"/>
              </w:rPr>
              <w:t>其中</w:t>
            </w:r>
          </w:p>
        </w:tc>
        <w:tc>
          <w:tcPr>
            <w:tcW w:w="1765" w:type="dxa"/>
            <w:gridSpan w:val="3"/>
            <w:tcBorders>
              <w:top w:val="single" w:color="auto" w:sz="4" w:space="0"/>
              <w:left w:val="nil"/>
              <w:bottom w:val="single" w:color="auto" w:sz="4" w:space="0"/>
              <w:right w:val="single" w:color="auto" w:sz="4" w:space="0"/>
            </w:tcBorders>
            <w:noWrap w:val="0"/>
            <w:vAlign w:val="center"/>
          </w:tcPr>
          <w:p w14:paraId="5F4580A0">
            <w:pPr>
              <w:jc w:val="center"/>
              <w:rPr>
                <w:rFonts w:hint="eastAsia" w:ascii="宋体" w:hAnsi="宋体" w:eastAsia="宋体"/>
                <w:szCs w:val="21"/>
                <w:lang w:eastAsia="zh-CN"/>
              </w:rPr>
            </w:pPr>
            <w:r>
              <w:rPr>
                <w:rFonts w:hint="eastAsia" w:ascii="宋体" w:hAnsi="宋体"/>
              </w:rPr>
              <w:t>拟派</w:t>
            </w:r>
            <w:r>
              <w:rPr>
                <w:rFonts w:hint="eastAsia" w:ascii="宋体" w:hAnsi="宋体"/>
                <w:lang w:eastAsia="zh-CN"/>
              </w:rPr>
              <w:t>项目经理</w:t>
            </w:r>
          </w:p>
        </w:tc>
        <w:tc>
          <w:tcPr>
            <w:tcW w:w="1971" w:type="dxa"/>
            <w:gridSpan w:val="2"/>
            <w:tcBorders>
              <w:top w:val="single" w:color="auto" w:sz="4" w:space="0"/>
              <w:left w:val="nil"/>
              <w:bottom w:val="single" w:color="auto" w:sz="4" w:space="0"/>
              <w:right w:val="single" w:color="auto" w:sz="4" w:space="0"/>
            </w:tcBorders>
            <w:noWrap w:val="0"/>
            <w:vAlign w:val="center"/>
          </w:tcPr>
          <w:p w14:paraId="328439F8">
            <w:pPr>
              <w:jc w:val="center"/>
              <w:rPr>
                <w:rFonts w:ascii="宋体" w:hAnsi="宋体"/>
                <w:szCs w:val="21"/>
              </w:rPr>
            </w:pPr>
          </w:p>
        </w:tc>
      </w:tr>
      <w:tr w14:paraId="46DBA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33" w:type="dxa"/>
            <w:tcBorders>
              <w:top w:val="single" w:color="auto" w:sz="4" w:space="0"/>
              <w:left w:val="single" w:color="auto" w:sz="4" w:space="0"/>
              <w:bottom w:val="single" w:color="auto" w:sz="4" w:space="0"/>
              <w:right w:val="single" w:color="auto" w:sz="4" w:space="0"/>
            </w:tcBorders>
            <w:noWrap w:val="0"/>
            <w:vAlign w:val="center"/>
          </w:tcPr>
          <w:p w14:paraId="412D60D3">
            <w:pPr>
              <w:jc w:val="center"/>
              <w:rPr>
                <w:rFonts w:ascii="宋体" w:hAnsi="宋体"/>
                <w:szCs w:val="21"/>
              </w:rPr>
            </w:pPr>
            <w:r>
              <w:rPr>
                <w:rFonts w:hint="eastAsia" w:ascii="宋体" w:hAnsi="宋体"/>
              </w:rPr>
              <w:t>营业执照号</w:t>
            </w:r>
          </w:p>
        </w:tc>
        <w:tc>
          <w:tcPr>
            <w:tcW w:w="1225" w:type="dxa"/>
            <w:tcBorders>
              <w:top w:val="single" w:color="auto" w:sz="4" w:space="0"/>
              <w:left w:val="nil"/>
              <w:bottom w:val="single" w:color="auto" w:sz="4" w:space="0"/>
              <w:right w:val="single" w:color="auto" w:sz="4" w:space="0"/>
            </w:tcBorders>
            <w:noWrap w:val="0"/>
            <w:vAlign w:val="center"/>
          </w:tcPr>
          <w:p w14:paraId="10674728">
            <w:pPr>
              <w:jc w:val="center"/>
              <w:rPr>
                <w:rFonts w:ascii="宋体" w:hAnsi="宋体"/>
                <w:szCs w:val="21"/>
              </w:rPr>
            </w:pPr>
          </w:p>
        </w:tc>
        <w:tc>
          <w:tcPr>
            <w:tcW w:w="1013" w:type="dxa"/>
            <w:tcBorders>
              <w:top w:val="single" w:color="auto" w:sz="4" w:space="0"/>
              <w:left w:val="nil"/>
              <w:bottom w:val="single" w:color="auto" w:sz="4" w:space="0"/>
              <w:right w:val="single" w:color="auto" w:sz="4" w:space="0"/>
            </w:tcBorders>
            <w:noWrap w:val="0"/>
            <w:vAlign w:val="center"/>
          </w:tcPr>
          <w:p w14:paraId="73786027">
            <w:pPr>
              <w:jc w:val="center"/>
              <w:rPr>
                <w:rFonts w:ascii="宋体" w:hAnsi="宋体"/>
                <w:szCs w:val="21"/>
              </w:rPr>
            </w:pPr>
          </w:p>
        </w:tc>
        <w:tc>
          <w:tcPr>
            <w:tcW w:w="1192" w:type="dxa"/>
            <w:vMerge w:val="continue"/>
            <w:tcBorders>
              <w:top w:val="single" w:color="auto" w:sz="4" w:space="0"/>
              <w:left w:val="nil"/>
              <w:bottom w:val="single" w:color="auto" w:sz="4" w:space="0"/>
              <w:right w:val="single" w:color="auto" w:sz="4" w:space="0"/>
            </w:tcBorders>
            <w:noWrap w:val="0"/>
            <w:vAlign w:val="center"/>
          </w:tcPr>
          <w:p w14:paraId="241A4627">
            <w:pPr>
              <w:widowControl/>
              <w:jc w:val="left"/>
              <w:rPr>
                <w:rFonts w:ascii="宋体" w:hAnsi="宋体"/>
                <w:szCs w:val="21"/>
              </w:rPr>
            </w:pPr>
          </w:p>
        </w:tc>
        <w:tc>
          <w:tcPr>
            <w:tcW w:w="1765" w:type="dxa"/>
            <w:gridSpan w:val="3"/>
            <w:tcBorders>
              <w:top w:val="single" w:color="auto" w:sz="4" w:space="0"/>
              <w:left w:val="nil"/>
              <w:bottom w:val="single" w:color="auto" w:sz="4" w:space="0"/>
              <w:right w:val="single" w:color="auto" w:sz="4" w:space="0"/>
            </w:tcBorders>
            <w:noWrap w:val="0"/>
            <w:vAlign w:val="center"/>
          </w:tcPr>
          <w:p w14:paraId="330A83E0">
            <w:pPr>
              <w:jc w:val="center"/>
              <w:rPr>
                <w:rFonts w:ascii="宋体" w:hAnsi="宋体"/>
                <w:szCs w:val="21"/>
              </w:rPr>
            </w:pPr>
            <w:r>
              <w:rPr>
                <w:rFonts w:hint="eastAsia" w:ascii="宋体" w:hAnsi="宋体"/>
              </w:rPr>
              <w:t>高级职称人员</w:t>
            </w:r>
          </w:p>
        </w:tc>
        <w:tc>
          <w:tcPr>
            <w:tcW w:w="1971" w:type="dxa"/>
            <w:gridSpan w:val="2"/>
            <w:tcBorders>
              <w:top w:val="single" w:color="auto" w:sz="4" w:space="0"/>
              <w:left w:val="nil"/>
              <w:bottom w:val="single" w:color="auto" w:sz="4" w:space="0"/>
              <w:right w:val="single" w:color="auto" w:sz="4" w:space="0"/>
            </w:tcBorders>
            <w:noWrap w:val="0"/>
            <w:vAlign w:val="center"/>
          </w:tcPr>
          <w:p w14:paraId="4D42B00C">
            <w:pPr>
              <w:jc w:val="center"/>
              <w:rPr>
                <w:rFonts w:ascii="宋体" w:hAnsi="宋体"/>
                <w:szCs w:val="21"/>
              </w:rPr>
            </w:pPr>
          </w:p>
        </w:tc>
      </w:tr>
      <w:tr w14:paraId="50AC2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33" w:type="dxa"/>
            <w:tcBorders>
              <w:top w:val="single" w:color="auto" w:sz="4" w:space="0"/>
              <w:left w:val="single" w:color="auto" w:sz="4" w:space="0"/>
              <w:bottom w:val="single" w:color="auto" w:sz="4" w:space="0"/>
              <w:right w:val="single" w:color="auto" w:sz="4" w:space="0"/>
            </w:tcBorders>
            <w:noWrap w:val="0"/>
            <w:vAlign w:val="center"/>
          </w:tcPr>
          <w:p w14:paraId="0BB1D859">
            <w:pPr>
              <w:jc w:val="center"/>
              <w:rPr>
                <w:rFonts w:ascii="宋体" w:hAnsi="宋体"/>
                <w:szCs w:val="21"/>
              </w:rPr>
            </w:pPr>
            <w:r>
              <w:rPr>
                <w:rFonts w:hint="eastAsia" w:ascii="宋体" w:hAnsi="宋体"/>
              </w:rPr>
              <w:t>注册资金</w:t>
            </w:r>
          </w:p>
        </w:tc>
        <w:tc>
          <w:tcPr>
            <w:tcW w:w="1225" w:type="dxa"/>
            <w:tcBorders>
              <w:top w:val="single" w:color="auto" w:sz="4" w:space="0"/>
              <w:left w:val="nil"/>
              <w:bottom w:val="single" w:color="auto" w:sz="4" w:space="0"/>
              <w:right w:val="single" w:color="auto" w:sz="4" w:space="0"/>
            </w:tcBorders>
            <w:noWrap w:val="0"/>
            <w:vAlign w:val="center"/>
          </w:tcPr>
          <w:p w14:paraId="48EB25DB">
            <w:pPr>
              <w:jc w:val="center"/>
              <w:rPr>
                <w:rFonts w:ascii="宋体" w:hAnsi="宋体"/>
                <w:szCs w:val="21"/>
              </w:rPr>
            </w:pPr>
          </w:p>
        </w:tc>
        <w:tc>
          <w:tcPr>
            <w:tcW w:w="1013" w:type="dxa"/>
            <w:tcBorders>
              <w:top w:val="single" w:color="auto" w:sz="4" w:space="0"/>
              <w:left w:val="nil"/>
              <w:bottom w:val="single" w:color="auto" w:sz="4" w:space="0"/>
              <w:right w:val="single" w:color="auto" w:sz="4" w:space="0"/>
            </w:tcBorders>
            <w:noWrap w:val="0"/>
            <w:vAlign w:val="center"/>
          </w:tcPr>
          <w:p w14:paraId="23C32210">
            <w:pPr>
              <w:jc w:val="center"/>
              <w:rPr>
                <w:rFonts w:ascii="宋体" w:hAnsi="宋体"/>
                <w:szCs w:val="21"/>
              </w:rPr>
            </w:pPr>
          </w:p>
        </w:tc>
        <w:tc>
          <w:tcPr>
            <w:tcW w:w="1192" w:type="dxa"/>
            <w:vMerge w:val="continue"/>
            <w:tcBorders>
              <w:top w:val="single" w:color="auto" w:sz="4" w:space="0"/>
              <w:left w:val="nil"/>
              <w:bottom w:val="single" w:color="auto" w:sz="4" w:space="0"/>
              <w:right w:val="single" w:color="auto" w:sz="4" w:space="0"/>
            </w:tcBorders>
            <w:noWrap w:val="0"/>
            <w:vAlign w:val="center"/>
          </w:tcPr>
          <w:p w14:paraId="5A9D58D3">
            <w:pPr>
              <w:widowControl/>
              <w:jc w:val="left"/>
              <w:rPr>
                <w:rFonts w:ascii="宋体" w:hAnsi="宋体"/>
                <w:szCs w:val="21"/>
              </w:rPr>
            </w:pPr>
          </w:p>
        </w:tc>
        <w:tc>
          <w:tcPr>
            <w:tcW w:w="1765" w:type="dxa"/>
            <w:gridSpan w:val="3"/>
            <w:tcBorders>
              <w:top w:val="single" w:color="auto" w:sz="4" w:space="0"/>
              <w:left w:val="nil"/>
              <w:bottom w:val="single" w:color="auto" w:sz="4" w:space="0"/>
              <w:right w:val="single" w:color="auto" w:sz="4" w:space="0"/>
            </w:tcBorders>
            <w:noWrap w:val="0"/>
            <w:vAlign w:val="center"/>
          </w:tcPr>
          <w:p w14:paraId="63347648">
            <w:pPr>
              <w:jc w:val="center"/>
              <w:rPr>
                <w:rFonts w:ascii="宋体" w:hAnsi="宋体"/>
                <w:szCs w:val="21"/>
              </w:rPr>
            </w:pPr>
            <w:r>
              <w:rPr>
                <w:rFonts w:hint="eastAsia" w:ascii="宋体" w:hAnsi="宋体"/>
              </w:rPr>
              <w:t>中级职称人员</w:t>
            </w:r>
          </w:p>
        </w:tc>
        <w:tc>
          <w:tcPr>
            <w:tcW w:w="1971" w:type="dxa"/>
            <w:gridSpan w:val="2"/>
            <w:tcBorders>
              <w:top w:val="single" w:color="auto" w:sz="4" w:space="0"/>
              <w:left w:val="nil"/>
              <w:bottom w:val="single" w:color="auto" w:sz="4" w:space="0"/>
              <w:right w:val="single" w:color="auto" w:sz="4" w:space="0"/>
            </w:tcBorders>
            <w:noWrap w:val="0"/>
            <w:vAlign w:val="center"/>
          </w:tcPr>
          <w:p w14:paraId="3816DF97">
            <w:pPr>
              <w:jc w:val="center"/>
              <w:rPr>
                <w:rFonts w:ascii="宋体" w:hAnsi="宋体"/>
                <w:szCs w:val="21"/>
              </w:rPr>
            </w:pPr>
          </w:p>
        </w:tc>
      </w:tr>
      <w:tr w14:paraId="0EC5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33" w:type="dxa"/>
            <w:tcBorders>
              <w:top w:val="single" w:color="auto" w:sz="4" w:space="0"/>
              <w:left w:val="single" w:color="auto" w:sz="4" w:space="0"/>
              <w:bottom w:val="single" w:color="auto" w:sz="4" w:space="0"/>
              <w:right w:val="single" w:color="auto" w:sz="4" w:space="0"/>
            </w:tcBorders>
            <w:noWrap w:val="0"/>
            <w:vAlign w:val="center"/>
          </w:tcPr>
          <w:p w14:paraId="128A7D9C">
            <w:pPr>
              <w:jc w:val="center"/>
              <w:rPr>
                <w:rFonts w:ascii="宋体" w:hAnsi="宋体"/>
                <w:szCs w:val="21"/>
              </w:rPr>
            </w:pPr>
            <w:r>
              <w:rPr>
                <w:rFonts w:hint="eastAsia" w:ascii="宋体" w:hAnsi="宋体"/>
              </w:rPr>
              <w:t>开户银行</w:t>
            </w:r>
          </w:p>
        </w:tc>
        <w:tc>
          <w:tcPr>
            <w:tcW w:w="1225" w:type="dxa"/>
            <w:tcBorders>
              <w:top w:val="single" w:color="auto" w:sz="4" w:space="0"/>
              <w:left w:val="nil"/>
              <w:bottom w:val="single" w:color="auto" w:sz="4" w:space="0"/>
              <w:right w:val="single" w:color="auto" w:sz="4" w:space="0"/>
            </w:tcBorders>
            <w:noWrap w:val="0"/>
            <w:vAlign w:val="center"/>
          </w:tcPr>
          <w:p w14:paraId="47250FDF">
            <w:pPr>
              <w:jc w:val="center"/>
              <w:rPr>
                <w:rFonts w:ascii="宋体" w:hAnsi="宋体"/>
                <w:szCs w:val="21"/>
              </w:rPr>
            </w:pPr>
          </w:p>
        </w:tc>
        <w:tc>
          <w:tcPr>
            <w:tcW w:w="1013" w:type="dxa"/>
            <w:tcBorders>
              <w:top w:val="single" w:color="auto" w:sz="4" w:space="0"/>
              <w:left w:val="nil"/>
              <w:bottom w:val="single" w:color="auto" w:sz="4" w:space="0"/>
              <w:right w:val="single" w:color="auto" w:sz="4" w:space="0"/>
            </w:tcBorders>
            <w:noWrap w:val="0"/>
            <w:vAlign w:val="center"/>
          </w:tcPr>
          <w:p w14:paraId="43C37372">
            <w:pPr>
              <w:jc w:val="center"/>
              <w:rPr>
                <w:rFonts w:ascii="宋体" w:hAnsi="宋体"/>
                <w:szCs w:val="21"/>
              </w:rPr>
            </w:pPr>
          </w:p>
        </w:tc>
        <w:tc>
          <w:tcPr>
            <w:tcW w:w="1192" w:type="dxa"/>
            <w:vMerge w:val="continue"/>
            <w:tcBorders>
              <w:top w:val="single" w:color="auto" w:sz="4" w:space="0"/>
              <w:left w:val="nil"/>
              <w:bottom w:val="single" w:color="auto" w:sz="4" w:space="0"/>
              <w:right w:val="single" w:color="auto" w:sz="4" w:space="0"/>
            </w:tcBorders>
            <w:noWrap w:val="0"/>
            <w:vAlign w:val="center"/>
          </w:tcPr>
          <w:p w14:paraId="218A6588">
            <w:pPr>
              <w:widowControl/>
              <w:jc w:val="left"/>
              <w:rPr>
                <w:rFonts w:ascii="宋体" w:hAnsi="宋体"/>
                <w:szCs w:val="21"/>
              </w:rPr>
            </w:pPr>
          </w:p>
        </w:tc>
        <w:tc>
          <w:tcPr>
            <w:tcW w:w="1765" w:type="dxa"/>
            <w:gridSpan w:val="3"/>
            <w:tcBorders>
              <w:top w:val="single" w:color="auto" w:sz="4" w:space="0"/>
              <w:left w:val="nil"/>
              <w:bottom w:val="single" w:color="auto" w:sz="4" w:space="0"/>
              <w:right w:val="single" w:color="auto" w:sz="4" w:space="0"/>
            </w:tcBorders>
            <w:noWrap w:val="0"/>
            <w:vAlign w:val="center"/>
          </w:tcPr>
          <w:p w14:paraId="314F5BBA">
            <w:pPr>
              <w:jc w:val="center"/>
              <w:rPr>
                <w:rFonts w:ascii="宋体" w:hAnsi="宋体"/>
                <w:szCs w:val="21"/>
              </w:rPr>
            </w:pPr>
            <w:r>
              <w:rPr>
                <w:rFonts w:hint="eastAsia" w:ascii="宋体" w:hAnsi="宋体"/>
              </w:rPr>
              <w:t>初级职称人员</w:t>
            </w:r>
          </w:p>
        </w:tc>
        <w:tc>
          <w:tcPr>
            <w:tcW w:w="1971" w:type="dxa"/>
            <w:gridSpan w:val="2"/>
            <w:tcBorders>
              <w:top w:val="single" w:color="auto" w:sz="4" w:space="0"/>
              <w:left w:val="nil"/>
              <w:bottom w:val="single" w:color="auto" w:sz="4" w:space="0"/>
              <w:right w:val="single" w:color="auto" w:sz="4" w:space="0"/>
            </w:tcBorders>
            <w:noWrap w:val="0"/>
            <w:vAlign w:val="center"/>
          </w:tcPr>
          <w:p w14:paraId="195D8728">
            <w:pPr>
              <w:jc w:val="center"/>
              <w:rPr>
                <w:rFonts w:ascii="宋体" w:hAnsi="宋体"/>
                <w:szCs w:val="21"/>
              </w:rPr>
            </w:pPr>
          </w:p>
        </w:tc>
      </w:tr>
      <w:tr w14:paraId="6D065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33" w:type="dxa"/>
            <w:tcBorders>
              <w:top w:val="single" w:color="auto" w:sz="4" w:space="0"/>
              <w:left w:val="single" w:color="auto" w:sz="4" w:space="0"/>
              <w:bottom w:val="single" w:color="auto" w:sz="4" w:space="0"/>
              <w:right w:val="single" w:color="auto" w:sz="4" w:space="0"/>
            </w:tcBorders>
            <w:noWrap w:val="0"/>
            <w:vAlign w:val="center"/>
          </w:tcPr>
          <w:p w14:paraId="5C251D9D">
            <w:pPr>
              <w:jc w:val="center"/>
              <w:rPr>
                <w:rFonts w:ascii="宋体" w:hAnsi="宋体"/>
                <w:szCs w:val="21"/>
              </w:rPr>
            </w:pPr>
            <w:r>
              <w:rPr>
                <w:rFonts w:hint="eastAsia" w:ascii="宋体" w:hAnsi="宋体"/>
              </w:rPr>
              <w:t>账号</w:t>
            </w:r>
          </w:p>
        </w:tc>
        <w:tc>
          <w:tcPr>
            <w:tcW w:w="1225" w:type="dxa"/>
            <w:tcBorders>
              <w:top w:val="single" w:color="auto" w:sz="4" w:space="0"/>
              <w:left w:val="nil"/>
              <w:bottom w:val="single" w:color="auto" w:sz="4" w:space="0"/>
              <w:right w:val="single" w:color="auto" w:sz="4" w:space="0"/>
            </w:tcBorders>
            <w:noWrap w:val="0"/>
            <w:vAlign w:val="center"/>
          </w:tcPr>
          <w:p w14:paraId="03A3CF79">
            <w:pPr>
              <w:jc w:val="center"/>
              <w:rPr>
                <w:rFonts w:ascii="宋体" w:hAnsi="宋体"/>
                <w:szCs w:val="21"/>
              </w:rPr>
            </w:pPr>
          </w:p>
        </w:tc>
        <w:tc>
          <w:tcPr>
            <w:tcW w:w="1013" w:type="dxa"/>
            <w:tcBorders>
              <w:top w:val="single" w:color="auto" w:sz="4" w:space="0"/>
              <w:left w:val="nil"/>
              <w:bottom w:val="single" w:color="auto" w:sz="4" w:space="0"/>
              <w:right w:val="single" w:color="auto" w:sz="4" w:space="0"/>
            </w:tcBorders>
            <w:noWrap w:val="0"/>
            <w:vAlign w:val="center"/>
          </w:tcPr>
          <w:p w14:paraId="46086C93">
            <w:pPr>
              <w:jc w:val="center"/>
              <w:rPr>
                <w:rFonts w:ascii="宋体" w:hAnsi="宋体"/>
                <w:szCs w:val="21"/>
              </w:rPr>
            </w:pPr>
          </w:p>
        </w:tc>
        <w:tc>
          <w:tcPr>
            <w:tcW w:w="1192" w:type="dxa"/>
            <w:vMerge w:val="continue"/>
            <w:tcBorders>
              <w:top w:val="single" w:color="auto" w:sz="4" w:space="0"/>
              <w:left w:val="nil"/>
              <w:bottom w:val="single" w:color="auto" w:sz="4" w:space="0"/>
              <w:right w:val="single" w:color="auto" w:sz="4" w:space="0"/>
            </w:tcBorders>
            <w:noWrap w:val="0"/>
            <w:vAlign w:val="center"/>
          </w:tcPr>
          <w:p w14:paraId="38183BEF">
            <w:pPr>
              <w:widowControl/>
              <w:jc w:val="left"/>
              <w:rPr>
                <w:rFonts w:ascii="宋体" w:hAnsi="宋体"/>
                <w:szCs w:val="21"/>
              </w:rPr>
            </w:pPr>
          </w:p>
        </w:tc>
        <w:tc>
          <w:tcPr>
            <w:tcW w:w="1765" w:type="dxa"/>
            <w:gridSpan w:val="3"/>
            <w:tcBorders>
              <w:top w:val="single" w:color="auto" w:sz="4" w:space="0"/>
              <w:left w:val="nil"/>
              <w:bottom w:val="single" w:color="auto" w:sz="4" w:space="0"/>
              <w:right w:val="single" w:color="auto" w:sz="4" w:space="0"/>
            </w:tcBorders>
            <w:noWrap w:val="0"/>
            <w:vAlign w:val="center"/>
          </w:tcPr>
          <w:p w14:paraId="35FD741C">
            <w:pPr>
              <w:jc w:val="center"/>
              <w:rPr>
                <w:rFonts w:ascii="宋体" w:hAnsi="宋体"/>
                <w:szCs w:val="21"/>
              </w:rPr>
            </w:pPr>
            <w:r>
              <w:rPr>
                <w:rFonts w:hint="eastAsia" w:ascii="宋体" w:hAnsi="宋体"/>
              </w:rPr>
              <w:t>技  工</w:t>
            </w:r>
          </w:p>
        </w:tc>
        <w:tc>
          <w:tcPr>
            <w:tcW w:w="1971" w:type="dxa"/>
            <w:gridSpan w:val="2"/>
            <w:tcBorders>
              <w:top w:val="single" w:color="auto" w:sz="4" w:space="0"/>
              <w:left w:val="nil"/>
              <w:bottom w:val="single" w:color="auto" w:sz="4" w:space="0"/>
              <w:right w:val="single" w:color="auto" w:sz="4" w:space="0"/>
            </w:tcBorders>
            <w:noWrap w:val="0"/>
            <w:vAlign w:val="center"/>
          </w:tcPr>
          <w:p w14:paraId="4D61EBBA">
            <w:pPr>
              <w:jc w:val="center"/>
              <w:rPr>
                <w:rFonts w:ascii="宋体" w:hAnsi="宋体"/>
                <w:szCs w:val="21"/>
              </w:rPr>
            </w:pPr>
          </w:p>
        </w:tc>
      </w:tr>
      <w:tr w14:paraId="21B81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jc w:val="center"/>
        </w:trPr>
        <w:tc>
          <w:tcPr>
            <w:tcW w:w="1533" w:type="dxa"/>
            <w:tcBorders>
              <w:top w:val="single" w:color="auto" w:sz="4" w:space="0"/>
              <w:left w:val="single" w:color="auto" w:sz="4" w:space="0"/>
              <w:bottom w:val="single" w:color="auto" w:sz="4" w:space="0"/>
              <w:right w:val="single" w:color="auto" w:sz="4" w:space="0"/>
            </w:tcBorders>
            <w:noWrap w:val="0"/>
            <w:vAlign w:val="center"/>
          </w:tcPr>
          <w:p w14:paraId="4386D6FA">
            <w:pPr>
              <w:jc w:val="center"/>
              <w:rPr>
                <w:rFonts w:ascii="宋体" w:hAnsi="宋体"/>
                <w:szCs w:val="21"/>
              </w:rPr>
            </w:pPr>
            <w:r>
              <w:rPr>
                <w:rFonts w:hint="eastAsia" w:ascii="宋体" w:hAnsi="宋体"/>
              </w:rPr>
              <w:t>经营范围</w:t>
            </w:r>
          </w:p>
        </w:tc>
        <w:tc>
          <w:tcPr>
            <w:tcW w:w="7166" w:type="dxa"/>
            <w:gridSpan w:val="8"/>
            <w:tcBorders>
              <w:top w:val="single" w:color="auto" w:sz="4" w:space="0"/>
              <w:left w:val="nil"/>
              <w:bottom w:val="single" w:color="auto" w:sz="4" w:space="0"/>
              <w:right w:val="single" w:color="auto" w:sz="4" w:space="0"/>
            </w:tcBorders>
            <w:noWrap w:val="0"/>
            <w:vAlign w:val="center"/>
          </w:tcPr>
          <w:p w14:paraId="5A5A054F">
            <w:pPr>
              <w:jc w:val="center"/>
              <w:rPr>
                <w:rFonts w:ascii="宋体" w:hAnsi="宋体"/>
                <w:szCs w:val="21"/>
              </w:rPr>
            </w:pPr>
          </w:p>
        </w:tc>
      </w:tr>
      <w:tr w14:paraId="7BDD4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33" w:type="dxa"/>
            <w:tcBorders>
              <w:top w:val="single" w:color="auto" w:sz="4" w:space="0"/>
              <w:left w:val="single" w:color="auto" w:sz="4" w:space="0"/>
              <w:bottom w:val="single" w:color="auto" w:sz="4" w:space="0"/>
              <w:right w:val="single" w:color="auto" w:sz="4" w:space="0"/>
            </w:tcBorders>
            <w:noWrap w:val="0"/>
            <w:vAlign w:val="center"/>
          </w:tcPr>
          <w:p w14:paraId="5B64D039">
            <w:pPr>
              <w:jc w:val="center"/>
              <w:rPr>
                <w:rFonts w:ascii="宋体" w:hAnsi="宋体"/>
                <w:szCs w:val="21"/>
              </w:rPr>
            </w:pPr>
            <w:r>
              <w:rPr>
                <w:rFonts w:hint="eastAsia" w:ascii="宋体" w:hAnsi="宋体"/>
              </w:rPr>
              <w:t>备注</w:t>
            </w:r>
          </w:p>
        </w:tc>
        <w:tc>
          <w:tcPr>
            <w:tcW w:w="7166" w:type="dxa"/>
            <w:gridSpan w:val="8"/>
            <w:tcBorders>
              <w:top w:val="single" w:color="auto" w:sz="4" w:space="0"/>
              <w:left w:val="nil"/>
              <w:bottom w:val="single" w:color="auto" w:sz="4" w:space="0"/>
              <w:right w:val="single" w:color="auto" w:sz="4" w:space="0"/>
            </w:tcBorders>
            <w:noWrap w:val="0"/>
            <w:vAlign w:val="center"/>
          </w:tcPr>
          <w:p w14:paraId="6B0098FA">
            <w:pPr>
              <w:jc w:val="center"/>
              <w:rPr>
                <w:rFonts w:ascii="宋体" w:hAnsi="宋体"/>
                <w:szCs w:val="21"/>
              </w:rPr>
            </w:pPr>
          </w:p>
        </w:tc>
      </w:tr>
    </w:tbl>
    <w:p w14:paraId="574DD29D">
      <w:pPr>
        <w:spacing w:line="440" w:lineRule="exact"/>
        <w:ind w:firstLine="240" w:firstLineChars="100"/>
        <w:rPr>
          <w:rFonts w:ascii="宋体" w:hAnsi="宋体"/>
          <w:szCs w:val="21"/>
        </w:rPr>
      </w:pPr>
      <w:r>
        <w:rPr>
          <w:rFonts w:hint="eastAsia" w:ascii="宋体" w:hAnsi="宋体"/>
        </w:rPr>
        <w:t>备注：本表后应附企业法人营业执照、企业资质证书等材料的扫描件。</w:t>
      </w:r>
    </w:p>
    <w:p w14:paraId="553D3C80">
      <w:pPr>
        <w:spacing w:line="440" w:lineRule="exact"/>
        <w:ind w:firstLine="240" w:firstLineChars="100"/>
        <w:rPr>
          <w:rFonts w:ascii="宋体" w:hAnsi="宋体"/>
          <w:szCs w:val="21"/>
        </w:rPr>
      </w:pPr>
    </w:p>
    <w:p w14:paraId="5DB8AAA5">
      <w:pPr>
        <w:pStyle w:val="4"/>
        <w:bidi w:val="0"/>
        <w:jc w:val="center"/>
      </w:pPr>
      <w:r>
        <w:rPr>
          <w:rFonts w:hint="eastAsia"/>
        </w:rPr>
        <w:br w:type="page"/>
      </w:r>
      <w:r>
        <w:rPr>
          <w:rFonts w:hint="eastAsia"/>
        </w:rPr>
        <w:t>（二）近年财务状况表</w:t>
      </w:r>
    </w:p>
    <w:p w14:paraId="1A4C02D6">
      <w:pPr>
        <w:spacing w:line="520" w:lineRule="exact"/>
        <w:ind w:firstLine="480" w:firstLineChars="200"/>
        <w:rPr>
          <w:rFonts w:ascii="宋体" w:hAnsi="宋体"/>
          <w:sz w:val="24"/>
          <w:szCs w:val="24"/>
        </w:rPr>
      </w:pPr>
      <w:r>
        <w:rPr>
          <w:rFonts w:hint="eastAsia" w:ascii="宋体" w:hAnsi="宋体"/>
          <w:sz w:val="24"/>
          <w:szCs w:val="24"/>
        </w:rPr>
        <w:t>备注：具体年份要求见</w:t>
      </w:r>
      <w:r>
        <w:rPr>
          <w:rFonts w:hint="eastAsia" w:ascii="宋体" w:hAnsi="宋体"/>
          <w:sz w:val="24"/>
          <w:szCs w:val="24"/>
          <w:lang w:eastAsia="zh-CN"/>
        </w:rPr>
        <w:t>供应商</w:t>
      </w:r>
      <w:r>
        <w:rPr>
          <w:rFonts w:hint="eastAsia" w:ascii="宋体" w:hAnsi="宋体"/>
          <w:sz w:val="24"/>
          <w:szCs w:val="24"/>
        </w:rPr>
        <w:t>须知表。</w:t>
      </w:r>
    </w:p>
    <w:p w14:paraId="761111A6">
      <w:pPr>
        <w:pStyle w:val="3"/>
        <w:keepNext/>
        <w:keepLines/>
        <w:pageBreakBefore w:val="0"/>
        <w:widowControl w:val="0"/>
        <w:numPr>
          <w:ilvl w:val="0"/>
          <w:numId w:val="17"/>
        </w:numPr>
        <w:kinsoku/>
        <w:wordWrap w:val="0"/>
        <w:overflowPunct/>
        <w:topLinePunct/>
        <w:autoSpaceDE/>
        <w:autoSpaceDN/>
        <w:bidi w:val="0"/>
        <w:adjustRightInd/>
        <w:snapToGrid/>
        <w:ind w:left="0" w:firstLine="0"/>
        <w:textAlignment w:val="auto"/>
        <w:rPr>
          <w:rFonts w:hint="eastAsia" w:ascii="宋体" w:hAnsi="宋体" w:eastAsia="宋体"/>
          <w:color w:val="auto"/>
          <w:szCs w:val="24"/>
          <w:highlight w:val="none"/>
        </w:rPr>
      </w:pPr>
      <w:r>
        <w:rPr>
          <w:rFonts w:hint="eastAsia" w:ascii="宋体" w:hAnsi="宋体"/>
        </w:rPr>
        <w:br w:type="page"/>
      </w:r>
      <w:bookmarkEnd w:id="1729"/>
      <w:bookmarkEnd w:id="1732"/>
      <w:bookmarkStart w:id="1734" w:name="_Toc9591"/>
      <w:bookmarkStart w:id="1735" w:name="_Toc7238"/>
      <w:bookmarkStart w:id="1736" w:name="_Toc20487"/>
      <w:bookmarkStart w:id="1737" w:name="_Toc339972632"/>
      <w:bookmarkStart w:id="1738" w:name="_Toc28100"/>
      <w:bookmarkStart w:id="1739" w:name="_Toc275795959"/>
      <w:bookmarkStart w:id="1740" w:name="_Toc355809725"/>
      <w:r>
        <w:rPr>
          <w:rFonts w:hint="eastAsia"/>
          <w:color w:val="auto"/>
          <w:szCs w:val="24"/>
          <w:highlight w:val="none"/>
          <w:lang w:val="en-US" w:eastAsia="zh-CN"/>
        </w:rPr>
        <w:t>商务标证明文件</w:t>
      </w:r>
    </w:p>
    <w:p w14:paraId="6EFDF7EC">
      <w:pPr>
        <w:pStyle w:val="4"/>
        <w:keepNext/>
        <w:keepLines/>
        <w:pageBreakBefore w:val="0"/>
        <w:widowControl w:val="0"/>
        <w:numPr>
          <w:ilvl w:val="0"/>
          <w:numId w:val="22"/>
        </w:numPr>
        <w:kinsoku/>
        <w:wordWrap w:val="0"/>
        <w:overflowPunct/>
        <w:topLinePunct/>
        <w:autoSpaceDE/>
        <w:autoSpaceDN/>
        <w:bidi w:val="0"/>
        <w:adjustRightInd/>
        <w:snapToGrid/>
        <w:ind w:left="0" w:leftChars="0" w:firstLine="420" w:firstLineChars="0"/>
        <w:jc w:val="center"/>
        <w:textAlignment w:val="auto"/>
        <w:rPr>
          <w:rFonts w:hint="eastAsia"/>
          <w:lang w:val="en-US" w:eastAsia="zh-CN"/>
        </w:rPr>
      </w:pPr>
      <w:r>
        <w:rPr>
          <w:rFonts w:hint="eastAsia"/>
          <w:lang w:val="en-US" w:eastAsia="zh-CN"/>
        </w:rPr>
        <w:t>主要人员</w:t>
      </w:r>
    </w:p>
    <w:p w14:paraId="6F847980">
      <w:pPr>
        <w:bidi w:val="0"/>
        <w:rPr>
          <w:rFonts w:hint="eastAsia"/>
          <w:lang w:val="en-US" w:eastAsia="zh-CN"/>
        </w:rPr>
      </w:pPr>
    </w:p>
    <w:p w14:paraId="5582AA0A">
      <w:pPr>
        <w:numPr>
          <w:ilvl w:val="0"/>
          <w:numId w:val="0"/>
        </w:numPr>
        <w:bidi w:val="0"/>
        <w:ind w:left="420" w:leftChars="0"/>
        <w:rPr>
          <w:rFonts w:hint="eastAsia" w:ascii="宋体" w:hAnsi="宋体" w:eastAsia="宋体" w:cs="仿宋_GB2312"/>
          <w:color w:val="auto"/>
          <w:kern w:val="0"/>
          <w:sz w:val="24"/>
          <w:szCs w:val="24"/>
          <w:highlight w:val="none"/>
          <w:lang w:val="en-US" w:eastAsia="zh-CN"/>
        </w:rPr>
      </w:pPr>
    </w:p>
    <w:p w14:paraId="43151044">
      <w:pPr>
        <w:bidi w:val="0"/>
        <w:ind w:firstLine="240" w:firstLineChars="100"/>
        <w:rPr>
          <w:rFonts w:hint="eastAsia" w:ascii="宋体" w:hAnsi="宋体" w:eastAsia="宋体" w:cs="仿宋_GB2312"/>
          <w:b w:val="0"/>
          <w:bCs w:val="0"/>
          <w:color w:val="auto"/>
          <w:kern w:val="0"/>
          <w:sz w:val="24"/>
          <w:szCs w:val="24"/>
          <w:highlight w:val="none"/>
          <w:lang w:val="en-US" w:eastAsia="zh-CN" w:bidi="ar-SA"/>
        </w:rPr>
      </w:pPr>
      <w:r>
        <w:rPr>
          <w:rFonts w:hint="eastAsia"/>
          <w:lang w:val="en-US" w:eastAsia="zh-CN"/>
        </w:rPr>
        <w:t>按第三章评审办法、商务标评分因素及标准提供</w:t>
      </w:r>
      <w:r>
        <w:rPr>
          <w:rFonts w:hint="eastAsia" w:ascii="宋体" w:hAnsi="宋体" w:eastAsia="宋体" w:cs="仿宋_GB2312"/>
          <w:b w:val="0"/>
          <w:bCs w:val="0"/>
          <w:color w:val="auto"/>
          <w:kern w:val="0"/>
          <w:sz w:val="24"/>
          <w:szCs w:val="24"/>
          <w:highlight w:val="none"/>
          <w:lang w:val="en-US" w:eastAsia="zh-CN" w:bidi="ar-SA"/>
        </w:rPr>
        <w:t>。</w:t>
      </w:r>
    </w:p>
    <w:p w14:paraId="0E7FFE61">
      <w:pPr>
        <w:bidi w:val="0"/>
        <w:ind w:firstLine="480" w:firstLineChars="200"/>
        <w:rPr>
          <w:rFonts w:hint="eastAsia"/>
          <w:lang w:val="en-US" w:eastAsia="zh-CN"/>
        </w:rPr>
      </w:pPr>
    </w:p>
    <w:p w14:paraId="1F098E27">
      <w:pPr>
        <w:pStyle w:val="4"/>
        <w:numPr>
          <w:ilvl w:val="0"/>
          <w:numId w:val="22"/>
        </w:numPr>
        <w:bidi w:val="0"/>
        <w:jc w:val="center"/>
        <w:rPr>
          <w:rFonts w:hint="eastAsia" w:ascii="宋体" w:hAnsi="宋体" w:eastAsia="宋体" w:cs="宋体"/>
          <w:b/>
          <w:bCs/>
          <w:lang w:val="en-US" w:eastAsia="zh-CN"/>
        </w:rPr>
      </w:pPr>
      <w:r>
        <w:rPr>
          <w:rFonts w:hint="eastAsia" w:ascii="宋体" w:hAnsi="宋体" w:eastAsia="宋体" w:cs="仿宋_GB2312"/>
          <w:color w:val="auto"/>
          <w:kern w:val="0"/>
          <w:sz w:val="24"/>
          <w:szCs w:val="24"/>
          <w:highlight w:val="none"/>
          <w:lang w:val="en-US" w:eastAsia="zh-CN"/>
        </w:rPr>
        <w:br w:type="page"/>
      </w:r>
      <w:r>
        <w:rPr>
          <w:rFonts w:hint="eastAsia" w:ascii="宋体" w:hAnsi="宋体" w:eastAsia="宋体" w:cs="宋体"/>
          <w:b/>
          <w:bCs/>
          <w:kern w:val="2"/>
          <w:sz w:val="28"/>
          <w:szCs w:val="21"/>
          <w:lang w:val="en-US" w:eastAsia="zh-CN" w:bidi="ar-SA"/>
        </w:rPr>
        <w:t>企业业绩</w:t>
      </w:r>
    </w:p>
    <w:p w14:paraId="44BFC06B">
      <w:pPr>
        <w:rPr>
          <w:rFonts w:hint="eastAsia"/>
          <w:lang w:val="en-US" w:eastAsia="zh-CN"/>
        </w:rPr>
      </w:pPr>
    </w:p>
    <w:p w14:paraId="562742E9">
      <w:pPr>
        <w:bidi w:val="0"/>
        <w:jc w:val="center"/>
        <w:rPr>
          <w:rFonts w:hint="eastAsia"/>
          <w:b/>
          <w:bCs/>
          <w:sz w:val="24"/>
          <w:szCs w:val="21"/>
          <w:lang w:val="zh-CN" w:eastAsia="zh-CN"/>
        </w:rPr>
      </w:pPr>
      <w:bookmarkStart w:id="1741" w:name="_Toc14785"/>
      <w:r>
        <w:rPr>
          <w:rFonts w:hint="eastAsia"/>
          <w:b/>
          <w:bCs/>
          <w:sz w:val="24"/>
          <w:szCs w:val="21"/>
          <w:lang w:val="zh-CN" w:eastAsia="zh-CN"/>
        </w:rPr>
        <w:t>近年完成的类似项目清单</w:t>
      </w:r>
      <w:bookmarkEnd w:id="1741"/>
    </w:p>
    <w:p w14:paraId="249EE860">
      <w:pPr>
        <w:bidi w:val="0"/>
        <w:jc w:val="center"/>
        <w:rPr>
          <w:rFonts w:hint="eastAsia"/>
          <w:b/>
          <w:bCs/>
          <w:sz w:val="24"/>
          <w:szCs w:val="21"/>
          <w:lang w:val="zh-CN" w:eastAsia="zh-CN"/>
        </w:rPr>
      </w:pP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6655"/>
      </w:tblGrid>
      <w:tr w14:paraId="07E6A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noWrap w:val="0"/>
            <w:vAlign w:val="center"/>
          </w:tcPr>
          <w:p w14:paraId="23A44B62">
            <w:pPr>
              <w:jc w:val="center"/>
              <w:rPr>
                <w:rFonts w:hint="eastAsia" w:ascii="宋体" w:hAnsi="宋体"/>
                <w:szCs w:val="21"/>
                <w:highlight w:val="none"/>
              </w:rPr>
            </w:pPr>
            <w:r>
              <w:rPr>
                <w:rFonts w:hint="eastAsia" w:ascii="宋体" w:hAnsi="宋体"/>
                <w:szCs w:val="21"/>
                <w:highlight w:val="none"/>
              </w:rPr>
              <w:t>项目名称</w:t>
            </w:r>
          </w:p>
        </w:tc>
        <w:tc>
          <w:tcPr>
            <w:tcW w:w="6655" w:type="dxa"/>
            <w:noWrap w:val="0"/>
            <w:vAlign w:val="center"/>
          </w:tcPr>
          <w:p w14:paraId="531A23C1">
            <w:pPr>
              <w:jc w:val="center"/>
              <w:rPr>
                <w:rFonts w:hint="eastAsia" w:ascii="宋体" w:hAnsi="宋体"/>
                <w:szCs w:val="21"/>
                <w:highlight w:val="none"/>
              </w:rPr>
            </w:pPr>
          </w:p>
        </w:tc>
      </w:tr>
      <w:tr w14:paraId="7E68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noWrap w:val="0"/>
            <w:vAlign w:val="center"/>
          </w:tcPr>
          <w:p w14:paraId="14E4F164">
            <w:pPr>
              <w:jc w:val="center"/>
              <w:rPr>
                <w:rFonts w:hint="eastAsia" w:ascii="宋体" w:hAnsi="宋体"/>
                <w:szCs w:val="21"/>
                <w:highlight w:val="none"/>
              </w:rPr>
            </w:pPr>
            <w:r>
              <w:rPr>
                <w:rFonts w:hint="eastAsia" w:ascii="宋体" w:hAnsi="宋体"/>
                <w:szCs w:val="21"/>
                <w:highlight w:val="none"/>
              </w:rPr>
              <w:t>项目所在地</w:t>
            </w:r>
          </w:p>
        </w:tc>
        <w:tc>
          <w:tcPr>
            <w:tcW w:w="6655" w:type="dxa"/>
            <w:noWrap w:val="0"/>
            <w:vAlign w:val="center"/>
          </w:tcPr>
          <w:p w14:paraId="33B44751">
            <w:pPr>
              <w:jc w:val="center"/>
              <w:rPr>
                <w:rFonts w:hint="eastAsia" w:ascii="宋体" w:hAnsi="宋体"/>
                <w:szCs w:val="21"/>
                <w:highlight w:val="none"/>
              </w:rPr>
            </w:pPr>
          </w:p>
        </w:tc>
      </w:tr>
      <w:tr w14:paraId="64FFA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noWrap w:val="0"/>
            <w:vAlign w:val="center"/>
          </w:tcPr>
          <w:p w14:paraId="64726965">
            <w:pPr>
              <w:jc w:val="center"/>
              <w:rPr>
                <w:rFonts w:hint="eastAsia" w:ascii="宋体" w:hAnsi="宋体"/>
                <w:szCs w:val="21"/>
                <w:highlight w:val="none"/>
              </w:rPr>
            </w:pPr>
            <w:r>
              <w:rPr>
                <w:rFonts w:hint="eastAsia" w:ascii="宋体" w:hAnsi="宋体"/>
                <w:szCs w:val="21"/>
                <w:highlight w:val="none"/>
              </w:rPr>
              <w:t>发包人名称</w:t>
            </w:r>
          </w:p>
        </w:tc>
        <w:tc>
          <w:tcPr>
            <w:tcW w:w="6655" w:type="dxa"/>
            <w:noWrap w:val="0"/>
            <w:vAlign w:val="center"/>
          </w:tcPr>
          <w:p w14:paraId="7E766217">
            <w:pPr>
              <w:jc w:val="center"/>
              <w:rPr>
                <w:rFonts w:hint="eastAsia" w:ascii="宋体" w:hAnsi="宋体"/>
                <w:szCs w:val="21"/>
                <w:highlight w:val="none"/>
              </w:rPr>
            </w:pPr>
          </w:p>
        </w:tc>
      </w:tr>
      <w:tr w14:paraId="18FE0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noWrap w:val="0"/>
            <w:vAlign w:val="center"/>
          </w:tcPr>
          <w:p w14:paraId="2D092CA2">
            <w:pPr>
              <w:jc w:val="center"/>
              <w:rPr>
                <w:rFonts w:hint="eastAsia" w:ascii="宋体" w:hAnsi="宋体"/>
                <w:szCs w:val="21"/>
                <w:highlight w:val="none"/>
              </w:rPr>
            </w:pPr>
            <w:r>
              <w:rPr>
                <w:rFonts w:hint="eastAsia" w:ascii="宋体" w:hAnsi="宋体"/>
                <w:szCs w:val="21"/>
                <w:highlight w:val="none"/>
              </w:rPr>
              <w:t>发包人地址</w:t>
            </w:r>
          </w:p>
        </w:tc>
        <w:tc>
          <w:tcPr>
            <w:tcW w:w="6655" w:type="dxa"/>
            <w:noWrap w:val="0"/>
            <w:vAlign w:val="center"/>
          </w:tcPr>
          <w:p w14:paraId="6C60338F">
            <w:pPr>
              <w:jc w:val="center"/>
              <w:rPr>
                <w:rFonts w:hint="eastAsia" w:ascii="宋体" w:hAnsi="宋体"/>
                <w:szCs w:val="21"/>
                <w:highlight w:val="none"/>
              </w:rPr>
            </w:pPr>
          </w:p>
        </w:tc>
      </w:tr>
      <w:tr w14:paraId="511E3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noWrap w:val="0"/>
            <w:vAlign w:val="center"/>
          </w:tcPr>
          <w:p w14:paraId="4CBBBDC3">
            <w:pPr>
              <w:jc w:val="center"/>
              <w:rPr>
                <w:rFonts w:hint="eastAsia" w:ascii="宋体" w:hAnsi="宋体"/>
                <w:szCs w:val="21"/>
                <w:highlight w:val="none"/>
              </w:rPr>
            </w:pPr>
            <w:r>
              <w:rPr>
                <w:rFonts w:hint="eastAsia" w:ascii="宋体" w:hAnsi="宋体"/>
                <w:szCs w:val="21"/>
                <w:highlight w:val="none"/>
              </w:rPr>
              <w:t>发包人联系人及电话</w:t>
            </w:r>
          </w:p>
        </w:tc>
        <w:tc>
          <w:tcPr>
            <w:tcW w:w="6655" w:type="dxa"/>
            <w:noWrap w:val="0"/>
            <w:vAlign w:val="center"/>
          </w:tcPr>
          <w:p w14:paraId="444E3294">
            <w:pPr>
              <w:jc w:val="center"/>
              <w:rPr>
                <w:rFonts w:hint="eastAsia" w:ascii="宋体" w:hAnsi="宋体"/>
                <w:szCs w:val="21"/>
                <w:highlight w:val="none"/>
              </w:rPr>
            </w:pPr>
          </w:p>
        </w:tc>
      </w:tr>
      <w:tr w14:paraId="0FF76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noWrap w:val="0"/>
            <w:vAlign w:val="center"/>
          </w:tcPr>
          <w:p w14:paraId="4CEC4088">
            <w:pPr>
              <w:jc w:val="center"/>
              <w:rPr>
                <w:rFonts w:hint="eastAsia" w:ascii="宋体" w:hAnsi="宋体"/>
                <w:szCs w:val="21"/>
                <w:highlight w:val="none"/>
              </w:rPr>
            </w:pPr>
            <w:r>
              <w:rPr>
                <w:rFonts w:hint="eastAsia" w:ascii="宋体" w:hAnsi="宋体"/>
                <w:szCs w:val="21"/>
                <w:highlight w:val="none"/>
              </w:rPr>
              <w:t>合同价格</w:t>
            </w:r>
          </w:p>
        </w:tc>
        <w:tc>
          <w:tcPr>
            <w:tcW w:w="6655" w:type="dxa"/>
            <w:noWrap w:val="0"/>
            <w:vAlign w:val="center"/>
          </w:tcPr>
          <w:p w14:paraId="46B02C31">
            <w:pPr>
              <w:jc w:val="center"/>
              <w:rPr>
                <w:rFonts w:hint="eastAsia" w:ascii="宋体" w:hAnsi="宋体"/>
                <w:szCs w:val="21"/>
                <w:highlight w:val="none"/>
              </w:rPr>
            </w:pPr>
          </w:p>
        </w:tc>
      </w:tr>
      <w:tr w14:paraId="5210E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noWrap w:val="0"/>
            <w:vAlign w:val="center"/>
          </w:tcPr>
          <w:p w14:paraId="48AD79E9">
            <w:pPr>
              <w:jc w:val="center"/>
              <w:rPr>
                <w:rFonts w:hint="eastAsia" w:ascii="宋体" w:hAnsi="宋体"/>
                <w:szCs w:val="21"/>
                <w:highlight w:val="none"/>
              </w:rPr>
            </w:pPr>
            <w:r>
              <w:rPr>
                <w:rFonts w:hint="eastAsia" w:ascii="宋体" w:hAnsi="宋体"/>
                <w:szCs w:val="21"/>
                <w:highlight w:val="none"/>
              </w:rPr>
              <w:t>开工日期</w:t>
            </w:r>
          </w:p>
        </w:tc>
        <w:tc>
          <w:tcPr>
            <w:tcW w:w="6655" w:type="dxa"/>
            <w:noWrap w:val="0"/>
            <w:vAlign w:val="center"/>
          </w:tcPr>
          <w:p w14:paraId="21E4B808">
            <w:pPr>
              <w:jc w:val="center"/>
              <w:rPr>
                <w:rFonts w:hint="eastAsia" w:ascii="宋体" w:hAnsi="宋体"/>
                <w:szCs w:val="21"/>
                <w:highlight w:val="none"/>
              </w:rPr>
            </w:pPr>
          </w:p>
        </w:tc>
      </w:tr>
      <w:tr w14:paraId="63EC5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noWrap w:val="0"/>
            <w:vAlign w:val="center"/>
          </w:tcPr>
          <w:p w14:paraId="4FBBF70C">
            <w:pPr>
              <w:jc w:val="center"/>
              <w:rPr>
                <w:rFonts w:hint="eastAsia" w:ascii="宋体" w:hAnsi="宋体"/>
                <w:szCs w:val="21"/>
                <w:highlight w:val="none"/>
              </w:rPr>
            </w:pPr>
            <w:r>
              <w:rPr>
                <w:rFonts w:hint="eastAsia" w:ascii="宋体" w:hAnsi="宋体"/>
                <w:szCs w:val="21"/>
                <w:highlight w:val="none"/>
              </w:rPr>
              <w:t>竣工日期</w:t>
            </w:r>
          </w:p>
        </w:tc>
        <w:tc>
          <w:tcPr>
            <w:tcW w:w="6655" w:type="dxa"/>
            <w:noWrap w:val="0"/>
            <w:vAlign w:val="center"/>
          </w:tcPr>
          <w:p w14:paraId="097BC77F">
            <w:pPr>
              <w:jc w:val="center"/>
              <w:rPr>
                <w:rFonts w:hint="eastAsia" w:ascii="宋体" w:hAnsi="宋体"/>
                <w:szCs w:val="21"/>
                <w:highlight w:val="none"/>
              </w:rPr>
            </w:pPr>
          </w:p>
        </w:tc>
      </w:tr>
      <w:tr w14:paraId="69133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noWrap w:val="0"/>
            <w:vAlign w:val="center"/>
          </w:tcPr>
          <w:p w14:paraId="63F8AF63">
            <w:pPr>
              <w:jc w:val="center"/>
              <w:rPr>
                <w:rFonts w:hint="eastAsia" w:ascii="宋体" w:hAnsi="宋体"/>
                <w:szCs w:val="21"/>
                <w:highlight w:val="none"/>
              </w:rPr>
            </w:pPr>
            <w:r>
              <w:rPr>
                <w:rFonts w:hint="eastAsia" w:ascii="宋体" w:hAnsi="宋体"/>
                <w:szCs w:val="21"/>
                <w:highlight w:val="none"/>
              </w:rPr>
              <w:t>承担的工作</w:t>
            </w:r>
          </w:p>
        </w:tc>
        <w:tc>
          <w:tcPr>
            <w:tcW w:w="6655" w:type="dxa"/>
            <w:noWrap w:val="0"/>
            <w:vAlign w:val="center"/>
          </w:tcPr>
          <w:p w14:paraId="6665EBB4">
            <w:pPr>
              <w:jc w:val="center"/>
              <w:rPr>
                <w:rFonts w:hint="eastAsia" w:ascii="宋体" w:hAnsi="宋体"/>
                <w:szCs w:val="21"/>
                <w:highlight w:val="none"/>
              </w:rPr>
            </w:pPr>
          </w:p>
        </w:tc>
      </w:tr>
      <w:tr w14:paraId="0E2C6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noWrap w:val="0"/>
            <w:vAlign w:val="center"/>
          </w:tcPr>
          <w:p w14:paraId="163F9D48">
            <w:pPr>
              <w:jc w:val="center"/>
              <w:rPr>
                <w:rFonts w:hint="eastAsia" w:ascii="宋体" w:hAnsi="宋体"/>
                <w:szCs w:val="21"/>
                <w:highlight w:val="none"/>
              </w:rPr>
            </w:pPr>
            <w:r>
              <w:rPr>
                <w:rFonts w:hint="eastAsia" w:ascii="宋体" w:hAnsi="宋体"/>
                <w:szCs w:val="21"/>
                <w:highlight w:val="none"/>
              </w:rPr>
              <w:t>工程质量</w:t>
            </w:r>
          </w:p>
        </w:tc>
        <w:tc>
          <w:tcPr>
            <w:tcW w:w="6655" w:type="dxa"/>
            <w:noWrap w:val="0"/>
            <w:vAlign w:val="center"/>
          </w:tcPr>
          <w:p w14:paraId="3AB8E346">
            <w:pPr>
              <w:jc w:val="center"/>
              <w:rPr>
                <w:rFonts w:hint="eastAsia" w:ascii="宋体" w:hAnsi="宋体"/>
                <w:szCs w:val="21"/>
                <w:highlight w:val="none"/>
              </w:rPr>
            </w:pPr>
          </w:p>
        </w:tc>
      </w:tr>
      <w:tr w14:paraId="55A27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noWrap w:val="0"/>
            <w:vAlign w:val="center"/>
          </w:tcPr>
          <w:p w14:paraId="6B6101F8">
            <w:pPr>
              <w:jc w:val="center"/>
              <w:rPr>
                <w:rFonts w:hint="eastAsia" w:ascii="宋体" w:hAnsi="宋体" w:eastAsia="宋体"/>
                <w:szCs w:val="21"/>
                <w:highlight w:val="none"/>
                <w:lang w:eastAsia="zh-CN"/>
              </w:rPr>
            </w:pPr>
            <w:r>
              <w:rPr>
                <w:rFonts w:hint="eastAsia" w:ascii="宋体" w:hAnsi="宋体"/>
                <w:szCs w:val="21"/>
                <w:highlight w:val="none"/>
              </w:rPr>
              <w:t>项目</w:t>
            </w:r>
            <w:r>
              <w:rPr>
                <w:rFonts w:hint="eastAsia"/>
                <w:szCs w:val="21"/>
                <w:highlight w:val="none"/>
                <w:lang w:val="en-US" w:eastAsia="zh-CN"/>
              </w:rPr>
              <w:t>负责人</w:t>
            </w:r>
          </w:p>
        </w:tc>
        <w:tc>
          <w:tcPr>
            <w:tcW w:w="6655" w:type="dxa"/>
            <w:noWrap w:val="0"/>
            <w:vAlign w:val="center"/>
          </w:tcPr>
          <w:p w14:paraId="2496FD83">
            <w:pPr>
              <w:jc w:val="center"/>
              <w:rPr>
                <w:rFonts w:hint="eastAsia" w:ascii="宋体" w:hAnsi="宋体"/>
                <w:szCs w:val="21"/>
                <w:highlight w:val="none"/>
              </w:rPr>
            </w:pPr>
          </w:p>
        </w:tc>
      </w:tr>
      <w:tr w14:paraId="474F2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noWrap w:val="0"/>
            <w:vAlign w:val="center"/>
          </w:tcPr>
          <w:p w14:paraId="57FFC563">
            <w:pPr>
              <w:jc w:val="center"/>
              <w:rPr>
                <w:rFonts w:hint="eastAsia" w:ascii="宋体" w:hAnsi="宋体"/>
                <w:szCs w:val="21"/>
                <w:highlight w:val="none"/>
              </w:rPr>
            </w:pPr>
            <w:r>
              <w:rPr>
                <w:rFonts w:hint="eastAsia" w:ascii="宋体" w:hAnsi="宋体"/>
                <w:szCs w:val="21"/>
                <w:highlight w:val="none"/>
              </w:rPr>
              <w:t>技术负责人</w:t>
            </w:r>
          </w:p>
        </w:tc>
        <w:tc>
          <w:tcPr>
            <w:tcW w:w="6655" w:type="dxa"/>
            <w:noWrap w:val="0"/>
            <w:vAlign w:val="center"/>
          </w:tcPr>
          <w:p w14:paraId="66CA08A2">
            <w:pPr>
              <w:jc w:val="center"/>
              <w:rPr>
                <w:rFonts w:hint="eastAsia" w:ascii="宋体" w:hAnsi="宋体"/>
                <w:szCs w:val="21"/>
                <w:highlight w:val="none"/>
              </w:rPr>
            </w:pPr>
          </w:p>
        </w:tc>
      </w:tr>
      <w:tr w14:paraId="2802B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noWrap w:val="0"/>
            <w:vAlign w:val="center"/>
          </w:tcPr>
          <w:p w14:paraId="2FF6B88D">
            <w:pPr>
              <w:jc w:val="center"/>
              <w:rPr>
                <w:rFonts w:hint="eastAsia" w:ascii="宋体" w:hAnsi="宋体"/>
                <w:szCs w:val="21"/>
                <w:highlight w:val="none"/>
              </w:rPr>
            </w:pPr>
            <w:r>
              <w:rPr>
                <w:rFonts w:hint="eastAsia" w:ascii="宋体" w:hAnsi="宋体"/>
                <w:szCs w:val="21"/>
                <w:highlight w:val="none"/>
              </w:rPr>
              <w:t>总监理工程师及电话</w:t>
            </w:r>
          </w:p>
        </w:tc>
        <w:tc>
          <w:tcPr>
            <w:tcW w:w="6655" w:type="dxa"/>
            <w:noWrap w:val="0"/>
            <w:vAlign w:val="center"/>
          </w:tcPr>
          <w:p w14:paraId="71B49DD2">
            <w:pPr>
              <w:jc w:val="center"/>
              <w:rPr>
                <w:rFonts w:hint="eastAsia" w:ascii="宋体" w:hAnsi="宋体"/>
                <w:szCs w:val="21"/>
                <w:highlight w:val="none"/>
              </w:rPr>
            </w:pPr>
          </w:p>
        </w:tc>
      </w:tr>
      <w:tr w14:paraId="733D7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jc w:val="center"/>
        </w:trPr>
        <w:tc>
          <w:tcPr>
            <w:tcW w:w="2411" w:type="dxa"/>
            <w:noWrap w:val="0"/>
            <w:vAlign w:val="center"/>
          </w:tcPr>
          <w:p w14:paraId="64FF3945">
            <w:pPr>
              <w:jc w:val="center"/>
              <w:rPr>
                <w:rFonts w:hint="eastAsia" w:ascii="宋体" w:hAnsi="宋体"/>
                <w:szCs w:val="21"/>
                <w:highlight w:val="none"/>
              </w:rPr>
            </w:pPr>
            <w:r>
              <w:rPr>
                <w:rFonts w:hint="eastAsia" w:ascii="宋体" w:hAnsi="宋体"/>
                <w:szCs w:val="21"/>
                <w:highlight w:val="none"/>
              </w:rPr>
              <w:t>项目描述</w:t>
            </w:r>
          </w:p>
        </w:tc>
        <w:tc>
          <w:tcPr>
            <w:tcW w:w="6655" w:type="dxa"/>
            <w:noWrap w:val="0"/>
            <w:vAlign w:val="center"/>
          </w:tcPr>
          <w:p w14:paraId="67C668CD">
            <w:pPr>
              <w:jc w:val="center"/>
              <w:rPr>
                <w:rFonts w:hint="eastAsia" w:ascii="宋体" w:hAnsi="宋体"/>
                <w:szCs w:val="21"/>
                <w:highlight w:val="none"/>
              </w:rPr>
            </w:pPr>
          </w:p>
        </w:tc>
      </w:tr>
      <w:tr w14:paraId="0CA29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noWrap w:val="0"/>
            <w:vAlign w:val="center"/>
          </w:tcPr>
          <w:p w14:paraId="41F5EBC2">
            <w:pPr>
              <w:jc w:val="center"/>
              <w:rPr>
                <w:rFonts w:hint="eastAsia" w:ascii="宋体" w:hAnsi="宋体"/>
                <w:szCs w:val="21"/>
                <w:highlight w:val="none"/>
              </w:rPr>
            </w:pPr>
            <w:r>
              <w:rPr>
                <w:rFonts w:hint="eastAsia" w:ascii="宋体" w:hAnsi="宋体"/>
                <w:szCs w:val="21"/>
                <w:highlight w:val="none"/>
              </w:rPr>
              <w:t>备注</w:t>
            </w:r>
          </w:p>
        </w:tc>
        <w:tc>
          <w:tcPr>
            <w:tcW w:w="6655" w:type="dxa"/>
            <w:noWrap w:val="0"/>
            <w:vAlign w:val="center"/>
          </w:tcPr>
          <w:p w14:paraId="6641F1F6">
            <w:pPr>
              <w:jc w:val="center"/>
              <w:rPr>
                <w:rFonts w:hint="eastAsia" w:ascii="宋体" w:hAnsi="宋体"/>
                <w:szCs w:val="21"/>
                <w:highlight w:val="none"/>
              </w:rPr>
            </w:pPr>
          </w:p>
        </w:tc>
      </w:tr>
    </w:tbl>
    <w:p w14:paraId="2E767C67">
      <w:pPr>
        <w:spacing w:line="440" w:lineRule="exact"/>
        <w:ind w:left="10" w:firstLine="708" w:firstLineChars="295"/>
        <w:rPr>
          <w:rFonts w:ascii="宋体" w:hAnsi="宋体"/>
          <w:szCs w:val="21"/>
        </w:rPr>
      </w:pPr>
      <w:r>
        <w:rPr>
          <w:rFonts w:hint="eastAsia" w:ascii="宋体" w:hAnsi="宋体"/>
          <w:szCs w:val="21"/>
          <w:highlight w:val="none"/>
        </w:rPr>
        <w:t>备注</w:t>
      </w:r>
      <w:r>
        <w:rPr>
          <w:rFonts w:hint="eastAsia" w:ascii="宋体" w:hAnsi="宋体"/>
          <w:color w:val="auto"/>
          <w:szCs w:val="21"/>
          <w:highlight w:val="none"/>
        </w:rPr>
        <w:t>：1、</w:t>
      </w:r>
      <w:r>
        <w:rPr>
          <w:rFonts w:hint="eastAsia" w:ascii="宋体" w:hAnsi="宋体"/>
        </w:rPr>
        <w:t xml:space="preserve"> 本表后附合同协议书的原件扫描件，具体年份要求见</w:t>
      </w:r>
      <w:r>
        <w:rPr>
          <w:rFonts w:hint="eastAsia"/>
          <w:lang w:eastAsia="zh-CN"/>
        </w:rPr>
        <w:t>供应商</w:t>
      </w:r>
      <w:r>
        <w:rPr>
          <w:rFonts w:hint="eastAsia" w:ascii="宋体" w:hAnsi="宋体"/>
        </w:rPr>
        <w:t>须知前附表。每张表格只填写一个项目，并标明序号。</w:t>
      </w:r>
    </w:p>
    <w:p w14:paraId="4946EABD">
      <w:pPr>
        <w:pStyle w:val="4"/>
        <w:numPr>
          <w:ilvl w:val="0"/>
          <w:numId w:val="22"/>
        </w:numPr>
        <w:bidi w:val="0"/>
        <w:ind w:left="0" w:leftChars="0" w:firstLine="420" w:firstLineChars="0"/>
        <w:jc w:val="center"/>
        <w:rPr>
          <w:rFonts w:hint="eastAsia" w:ascii="宋体" w:hAnsi="宋体" w:eastAsia="宋体" w:cs="宋体"/>
          <w:b/>
          <w:bCs/>
          <w:lang w:val="en-US" w:eastAsia="zh-CN"/>
        </w:rPr>
      </w:pPr>
      <w:r>
        <w:rPr>
          <w:rFonts w:hint="eastAsia" w:ascii="宋体" w:hAnsi="宋体" w:eastAsia="宋体" w:cs="宋体"/>
          <w:b/>
          <w:bCs/>
          <w:lang w:val="en-US" w:eastAsia="zh-CN"/>
        </w:rPr>
        <w:br w:type="page"/>
      </w:r>
      <w:r>
        <w:rPr>
          <w:rFonts w:hint="eastAsia"/>
          <w:lang w:val="zh-CN" w:eastAsia="zh-CN"/>
        </w:rPr>
        <w:t>服务承诺</w:t>
      </w:r>
      <w:bookmarkEnd w:id="1734"/>
      <w:bookmarkEnd w:id="1735"/>
    </w:p>
    <w:p w14:paraId="17F2DEE2">
      <w:pPr>
        <w:bidi w:val="0"/>
        <w:rPr>
          <w:rFonts w:hint="eastAsia" w:ascii="宋体" w:hAnsi="宋体" w:eastAsia="宋体" w:cs="仿宋_GB2312"/>
          <w:b w:val="0"/>
          <w:bCs w:val="0"/>
          <w:color w:val="auto"/>
          <w:kern w:val="0"/>
          <w:sz w:val="24"/>
          <w:szCs w:val="24"/>
          <w:highlight w:val="none"/>
          <w:lang w:val="en-US" w:eastAsia="zh-CN" w:bidi="ar-SA"/>
        </w:rPr>
      </w:pPr>
    </w:p>
    <w:p w14:paraId="2D965F55">
      <w:pPr>
        <w:bidi w:val="0"/>
        <w:ind w:firstLine="240" w:firstLineChars="100"/>
        <w:rPr>
          <w:rFonts w:hint="eastAsia" w:ascii="宋体" w:hAnsi="宋体" w:eastAsia="宋体" w:cs="仿宋_GB2312"/>
          <w:b w:val="0"/>
          <w:bCs w:val="0"/>
          <w:color w:val="auto"/>
          <w:kern w:val="0"/>
          <w:sz w:val="24"/>
          <w:szCs w:val="24"/>
          <w:highlight w:val="none"/>
          <w:lang w:val="en-US" w:eastAsia="zh-CN" w:bidi="ar-SA"/>
        </w:rPr>
      </w:pPr>
    </w:p>
    <w:p w14:paraId="321323DE">
      <w:pPr>
        <w:bidi w:val="0"/>
        <w:ind w:firstLine="240" w:firstLineChars="100"/>
        <w:rPr>
          <w:rFonts w:hint="eastAsia" w:ascii="宋体" w:hAnsi="宋体" w:eastAsia="宋体" w:cs="仿宋_GB2312"/>
          <w:b w:val="0"/>
          <w:bCs w:val="0"/>
          <w:color w:val="auto"/>
          <w:kern w:val="0"/>
          <w:sz w:val="24"/>
          <w:szCs w:val="24"/>
          <w:highlight w:val="none"/>
          <w:lang w:val="en-US" w:eastAsia="zh-CN" w:bidi="ar-SA"/>
        </w:rPr>
      </w:pPr>
      <w:r>
        <w:rPr>
          <w:rFonts w:hint="eastAsia"/>
          <w:lang w:val="en-US" w:eastAsia="zh-CN"/>
        </w:rPr>
        <w:t>按第三章评审办法、商务标评分因素及标准提供</w:t>
      </w:r>
      <w:r>
        <w:rPr>
          <w:rFonts w:hint="eastAsia" w:ascii="宋体" w:hAnsi="宋体" w:eastAsia="宋体" w:cs="仿宋_GB2312"/>
          <w:b w:val="0"/>
          <w:bCs w:val="0"/>
          <w:color w:val="auto"/>
          <w:kern w:val="0"/>
          <w:sz w:val="24"/>
          <w:szCs w:val="24"/>
          <w:highlight w:val="none"/>
          <w:lang w:val="en-US" w:eastAsia="zh-CN" w:bidi="ar-SA"/>
        </w:rPr>
        <w:t>。</w:t>
      </w:r>
    </w:p>
    <w:p w14:paraId="5ED23017">
      <w:pPr>
        <w:pStyle w:val="3"/>
        <w:keepNext/>
        <w:keepLines/>
        <w:pageBreakBefore w:val="0"/>
        <w:widowControl w:val="0"/>
        <w:numPr>
          <w:ilvl w:val="0"/>
          <w:numId w:val="17"/>
        </w:numPr>
        <w:kinsoku/>
        <w:wordWrap w:val="0"/>
        <w:overflowPunct/>
        <w:topLinePunct/>
        <w:autoSpaceDE/>
        <w:autoSpaceDN/>
        <w:bidi w:val="0"/>
        <w:adjustRightInd w:val="0"/>
        <w:snapToGrid/>
        <w:ind w:left="0" w:firstLine="0"/>
        <w:textAlignment w:val="auto"/>
        <w:rPr>
          <w:rFonts w:hint="eastAsia" w:ascii="宋体" w:hAnsi="宋体" w:eastAsia="宋体" w:cs="宋体"/>
          <w:bCs/>
          <w:color w:val="auto"/>
          <w:szCs w:val="24"/>
          <w:highlight w:val="none"/>
          <w:lang w:val="en-US" w:eastAsia="zh-CN"/>
        </w:rPr>
      </w:pPr>
      <w:r>
        <w:rPr>
          <w:rFonts w:hint="eastAsia" w:ascii="宋体" w:hAnsi="宋体" w:eastAsia="宋体" w:cs="Times New Roman"/>
          <w:bCs w:val="0"/>
          <w:color w:val="auto"/>
          <w:szCs w:val="24"/>
          <w:highlight w:val="none"/>
          <w:lang w:val="zh-CN" w:eastAsia="zh-CN"/>
        </w:rPr>
        <w:br w:type="page"/>
      </w:r>
      <w:bookmarkEnd w:id="1736"/>
      <w:bookmarkEnd w:id="1737"/>
      <w:bookmarkEnd w:id="1738"/>
      <w:bookmarkEnd w:id="1739"/>
      <w:bookmarkEnd w:id="1740"/>
      <w:bookmarkStart w:id="1742" w:name="_Toc15983"/>
      <w:bookmarkStart w:id="1743" w:name="_Toc207"/>
      <w:bookmarkStart w:id="1744" w:name="_Toc7544"/>
      <w:r>
        <w:rPr>
          <w:rFonts w:hint="eastAsia" w:ascii="宋体" w:hAnsi="宋体" w:eastAsia="宋体" w:cs="宋体"/>
          <w:bCs/>
          <w:color w:val="auto"/>
          <w:szCs w:val="24"/>
          <w:highlight w:val="none"/>
          <w:lang w:val="en-US" w:eastAsia="zh-CN"/>
        </w:rPr>
        <w:t>中小企业证明文件</w:t>
      </w:r>
    </w:p>
    <w:p w14:paraId="31379A41">
      <w:pPr>
        <w:pStyle w:val="4"/>
        <w:keepNext/>
        <w:keepLines/>
        <w:pageBreakBefore w:val="0"/>
        <w:widowControl w:val="0"/>
        <w:numPr>
          <w:ilvl w:val="0"/>
          <w:numId w:val="23"/>
        </w:numPr>
        <w:kinsoku/>
        <w:wordWrap w:val="0"/>
        <w:overflowPunct/>
        <w:topLinePunct/>
        <w:autoSpaceDE/>
        <w:autoSpaceDN/>
        <w:bidi w:val="0"/>
        <w:adjustRightInd w:val="0"/>
        <w:snapToGrid/>
        <w:ind w:left="0" w:leftChars="0" w:firstLine="0" w:firstLineChars="0"/>
        <w:jc w:val="center"/>
        <w:textAlignment w:val="auto"/>
        <w:rPr>
          <w:rFonts w:hint="eastAsia"/>
        </w:rPr>
      </w:pPr>
      <w:r>
        <w:rPr>
          <w:rFonts w:hint="eastAsia"/>
          <w:lang w:val="zh-CN" w:eastAsia="zh-CN"/>
        </w:rPr>
        <w:t>中小企业声明函</w:t>
      </w:r>
      <w:bookmarkEnd w:id="1742"/>
      <w:bookmarkEnd w:id="1743"/>
      <w:bookmarkEnd w:id="1744"/>
    </w:p>
    <w:p w14:paraId="19900A9F">
      <w:pPr>
        <w:rPr>
          <w:rFonts w:hint="eastAsia"/>
          <w:color w:val="auto"/>
          <w:highlight w:val="none"/>
        </w:rPr>
      </w:pPr>
    </w:p>
    <w:p w14:paraId="1CF7665C">
      <w:pPr>
        <w:keepNext w:val="0"/>
        <w:keepLines w:val="0"/>
        <w:pageBreakBefore w:val="0"/>
        <w:widowControl/>
        <w:suppressLineNumbers w:val="0"/>
        <w:kinsoku/>
        <w:wordWrap/>
        <w:overflowPunct/>
        <w:topLinePunct w:val="0"/>
        <w:autoSpaceDE/>
        <w:autoSpaceDN/>
        <w:bidi w:val="0"/>
        <w:adjustRightInd/>
        <w:snapToGrid/>
        <w:spacing w:line="336" w:lineRule="auto"/>
        <w:ind w:firstLine="480" w:firstLineChars="200"/>
        <w:jc w:val="left"/>
        <w:textAlignment w:val="auto"/>
        <w:rPr>
          <w:rFonts w:hint="eastAsia" w:ascii="宋体" w:hAnsi="宋体" w:eastAsia="宋体" w:cs="宋体"/>
          <w:i w:val="0"/>
          <w:iCs w:val="0"/>
          <w:color w:val="auto"/>
          <w:sz w:val="24"/>
          <w:szCs w:val="24"/>
          <w:highlight w:val="none"/>
        </w:rPr>
      </w:pPr>
      <w:bookmarkStart w:id="1745" w:name="_Toc9983"/>
      <w:bookmarkStart w:id="1746" w:name="_Toc28975"/>
      <w:r>
        <w:rPr>
          <w:rFonts w:hint="eastAsia" w:ascii="宋体" w:hAnsi="宋体" w:eastAsia="宋体" w:cs="宋体"/>
          <w:i w:val="0"/>
          <w:iCs w:val="0"/>
          <w:color w:val="auto"/>
          <w:kern w:val="0"/>
          <w:sz w:val="24"/>
          <w:szCs w:val="24"/>
          <w:highlight w:val="none"/>
          <w:lang w:val="en-US" w:eastAsia="zh-CN" w:bidi="ar"/>
        </w:rPr>
        <w:t>本公司（联合体）郑重声明，根据《政府采购促进中小 企业发展管理办法》（财库﹝2020﹞46 号）的规定，本公司（联合体）参加</w:t>
      </w:r>
      <w:r>
        <w:rPr>
          <w:rFonts w:hint="eastAsia" w:ascii="宋体" w:hAnsi="宋体" w:eastAsia="宋体" w:cs="宋体"/>
          <w:i w:val="0"/>
          <w:iCs w:val="0"/>
          <w:color w:val="auto"/>
          <w:kern w:val="0"/>
          <w:sz w:val="24"/>
          <w:szCs w:val="24"/>
          <w:highlight w:val="none"/>
          <w:u w:val="single"/>
          <w:lang w:val="en-US" w:eastAsia="zh-CN" w:bidi="ar"/>
        </w:rPr>
        <w:t>（单位名称）</w:t>
      </w:r>
      <w:r>
        <w:rPr>
          <w:rFonts w:hint="eastAsia" w:ascii="宋体" w:hAnsi="宋体" w:eastAsia="宋体" w:cs="宋体"/>
          <w:i w:val="0"/>
          <w:iCs w:val="0"/>
          <w:color w:val="auto"/>
          <w:kern w:val="0"/>
          <w:sz w:val="24"/>
          <w:szCs w:val="24"/>
          <w:highlight w:val="none"/>
          <w:lang w:val="en-US" w:eastAsia="zh-CN" w:bidi="ar"/>
        </w:rPr>
        <w:t>的</w:t>
      </w:r>
      <w:r>
        <w:rPr>
          <w:rFonts w:hint="eastAsia" w:ascii="宋体" w:hAnsi="宋体" w:eastAsia="宋体" w:cs="宋体"/>
          <w:i w:val="0"/>
          <w:iCs w:val="0"/>
          <w:color w:val="auto"/>
          <w:kern w:val="0"/>
          <w:sz w:val="24"/>
          <w:szCs w:val="24"/>
          <w:highlight w:val="none"/>
          <w:u w:val="single"/>
          <w:lang w:val="en-US" w:eastAsia="zh-CN" w:bidi="ar"/>
        </w:rPr>
        <w:t>（项目名称）</w:t>
      </w:r>
      <w:r>
        <w:rPr>
          <w:rFonts w:hint="eastAsia" w:ascii="宋体" w:hAnsi="宋体" w:eastAsia="宋体" w:cs="宋体"/>
          <w:i w:val="0"/>
          <w:iCs w:val="0"/>
          <w:color w:val="auto"/>
          <w:kern w:val="0"/>
          <w:sz w:val="24"/>
          <w:szCs w:val="24"/>
          <w:highlight w:val="none"/>
          <w:lang w:val="en-US" w:eastAsia="zh-CN" w:bidi="ar"/>
        </w:rPr>
        <w:t>采购活动，工程的施工单位全部为符合政策要求的中小企业。相关企业（含联合体中的中小企业、签订分包意向协议的中小企业）的具体情况如下：</w:t>
      </w:r>
    </w:p>
    <w:p w14:paraId="3A1B50D2">
      <w:pPr>
        <w:keepNext w:val="0"/>
        <w:keepLines w:val="0"/>
        <w:pageBreakBefore w:val="0"/>
        <w:widowControl/>
        <w:suppressLineNumbers w:val="0"/>
        <w:kinsoku/>
        <w:wordWrap/>
        <w:overflowPunct/>
        <w:topLinePunct w:val="0"/>
        <w:autoSpaceDE/>
        <w:autoSpaceDN/>
        <w:bidi w:val="0"/>
        <w:adjustRightInd/>
        <w:snapToGrid/>
        <w:spacing w:line="336" w:lineRule="auto"/>
        <w:ind w:firstLine="480" w:firstLineChars="200"/>
        <w:jc w:val="lef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1.</w:t>
      </w:r>
      <w:r>
        <w:rPr>
          <w:rFonts w:hint="eastAsia" w:ascii="宋体" w:hAnsi="宋体" w:eastAsia="宋体" w:cs="宋体"/>
          <w:i w:val="0"/>
          <w:iCs w:val="0"/>
          <w:color w:val="auto"/>
          <w:kern w:val="0"/>
          <w:sz w:val="24"/>
          <w:szCs w:val="24"/>
          <w:highlight w:val="none"/>
          <w:u w:val="single"/>
          <w:lang w:val="en-US" w:eastAsia="zh-CN" w:bidi="ar"/>
        </w:rPr>
        <w:t xml:space="preserve">（标的名称） </w:t>
      </w:r>
      <w:r>
        <w:rPr>
          <w:rFonts w:hint="eastAsia" w:ascii="宋体" w:hAnsi="宋体" w:eastAsia="宋体" w:cs="宋体"/>
          <w:i w:val="0"/>
          <w:iCs w:val="0"/>
          <w:color w:val="auto"/>
          <w:kern w:val="0"/>
          <w:sz w:val="24"/>
          <w:szCs w:val="24"/>
          <w:highlight w:val="none"/>
          <w:lang w:val="en-US" w:eastAsia="zh-CN" w:bidi="ar"/>
        </w:rPr>
        <w:t>，属于</w:t>
      </w:r>
      <w:r>
        <w:rPr>
          <w:rFonts w:hint="eastAsia" w:ascii="宋体" w:hAnsi="宋体" w:eastAsia="宋体" w:cs="宋体"/>
          <w:i w:val="0"/>
          <w:iCs w:val="0"/>
          <w:color w:val="auto"/>
          <w:kern w:val="0"/>
          <w:sz w:val="24"/>
          <w:szCs w:val="24"/>
          <w:highlight w:val="none"/>
          <w:u w:val="single"/>
          <w:lang w:val="en-US" w:eastAsia="zh-CN" w:bidi="ar"/>
        </w:rPr>
        <w:t>（采购文件中明确的所属行业）</w:t>
      </w:r>
      <w:r>
        <w:rPr>
          <w:rFonts w:hint="eastAsia" w:ascii="宋体" w:hAnsi="宋体" w:eastAsia="宋体" w:cs="宋体"/>
          <w:i w:val="0"/>
          <w:iCs w:val="0"/>
          <w:color w:val="auto"/>
          <w:kern w:val="0"/>
          <w:sz w:val="24"/>
          <w:szCs w:val="24"/>
          <w:highlight w:val="none"/>
          <w:lang w:val="en-US" w:eastAsia="zh-CN" w:bidi="ar"/>
        </w:rPr>
        <w:t>； 承建（承接）企业为</w:t>
      </w:r>
      <w:r>
        <w:rPr>
          <w:rFonts w:hint="eastAsia" w:ascii="宋体" w:hAnsi="宋体" w:eastAsia="宋体" w:cs="宋体"/>
          <w:i w:val="0"/>
          <w:iCs w:val="0"/>
          <w:color w:val="auto"/>
          <w:kern w:val="0"/>
          <w:sz w:val="24"/>
          <w:szCs w:val="24"/>
          <w:highlight w:val="none"/>
          <w:u w:val="single"/>
          <w:lang w:val="en-US" w:eastAsia="zh-CN" w:bidi="ar"/>
        </w:rPr>
        <w:t>（企业名称）</w:t>
      </w:r>
      <w:r>
        <w:rPr>
          <w:rFonts w:hint="eastAsia" w:ascii="宋体" w:hAnsi="宋体" w:eastAsia="宋体" w:cs="宋体"/>
          <w:i w:val="0"/>
          <w:iCs w:val="0"/>
          <w:color w:val="auto"/>
          <w:kern w:val="0"/>
          <w:sz w:val="24"/>
          <w:szCs w:val="24"/>
          <w:highlight w:val="none"/>
          <w:lang w:val="en-US" w:eastAsia="zh-CN" w:bidi="ar"/>
        </w:rPr>
        <w:t>，从业人员</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人，营业收入为</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万元，资产总额为</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万元，属于</w:t>
      </w:r>
      <w:r>
        <w:rPr>
          <w:rFonts w:hint="eastAsia" w:ascii="宋体" w:hAnsi="宋体" w:eastAsia="宋体" w:cs="宋体"/>
          <w:i w:val="0"/>
          <w:iCs w:val="0"/>
          <w:color w:val="auto"/>
          <w:kern w:val="0"/>
          <w:sz w:val="24"/>
          <w:szCs w:val="24"/>
          <w:highlight w:val="none"/>
          <w:u w:val="single"/>
          <w:lang w:val="en-US" w:eastAsia="zh-CN" w:bidi="ar"/>
        </w:rPr>
        <w:t>（中型企业、 小型企业、微型企业）</w:t>
      </w:r>
      <w:r>
        <w:rPr>
          <w:rFonts w:hint="eastAsia" w:ascii="宋体" w:hAnsi="宋体" w:eastAsia="宋体" w:cs="宋体"/>
          <w:i w:val="0"/>
          <w:iCs w:val="0"/>
          <w:color w:val="auto"/>
          <w:kern w:val="0"/>
          <w:sz w:val="24"/>
          <w:szCs w:val="24"/>
          <w:highlight w:val="none"/>
          <w:lang w:val="en-US" w:eastAsia="zh-CN" w:bidi="ar"/>
        </w:rPr>
        <w:t xml:space="preserve">； </w:t>
      </w:r>
    </w:p>
    <w:p w14:paraId="2EEE10B1">
      <w:pPr>
        <w:keepNext w:val="0"/>
        <w:keepLines w:val="0"/>
        <w:pageBreakBefore w:val="0"/>
        <w:widowControl/>
        <w:suppressLineNumbers w:val="0"/>
        <w:kinsoku/>
        <w:wordWrap/>
        <w:overflowPunct/>
        <w:topLinePunct w:val="0"/>
        <w:autoSpaceDE/>
        <w:autoSpaceDN/>
        <w:bidi w:val="0"/>
        <w:adjustRightInd/>
        <w:snapToGrid/>
        <w:spacing w:line="336" w:lineRule="auto"/>
        <w:ind w:firstLine="480" w:firstLineChars="200"/>
        <w:jc w:val="lef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2.</w:t>
      </w:r>
      <w:r>
        <w:rPr>
          <w:rFonts w:hint="eastAsia" w:ascii="宋体" w:hAnsi="宋体" w:eastAsia="宋体" w:cs="宋体"/>
          <w:i w:val="0"/>
          <w:iCs w:val="0"/>
          <w:color w:val="auto"/>
          <w:kern w:val="0"/>
          <w:sz w:val="24"/>
          <w:szCs w:val="24"/>
          <w:highlight w:val="none"/>
          <w:u w:val="single"/>
          <w:lang w:val="en-US" w:eastAsia="zh-CN" w:bidi="ar"/>
        </w:rPr>
        <w:t xml:space="preserve">（标的名称） </w:t>
      </w:r>
      <w:r>
        <w:rPr>
          <w:rFonts w:hint="eastAsia" w:ascii="宋体" w:hAnsi="宋体" w:eastAsia="宋体" w:cs="宋体"/>
          <w:i w:val="0"/>
          <w:iCs w:val="0"/>
          <w:color w:val="auto"/>
          <w:kern w:val="0"/>
          <w:sz w:val="24"/>
          <w:szCs w:val="24"/>
          <w:highlight w:val="none"/>
          <w:lang w:val="en-US" w:eastAsia="zh-CN" w:bidi="ar"/>
        </w:rPr>
        <w:t>，属于</w:t>
      </w:r>
      <w:r>
        <w:rPr>
          <w:rFonts w:hint="eastAsia" w:ascii="宋体" w:hAnsi="宋体" w:eastAsia="宋体" w:cs="宋体"/>
          <w:i w:val="0"/>
          <w:iCs w:val="0"/>
          <w:color w:val="auto"/>
          <w:kern w:val="0"/>
          <w:sz w:val="24"/>
          <w:szCs w:val="24"/>
          <w:highlight w:val="none"/>
          <w:u w:val="single"/>
          <w:lang w:val="en-US" w:eastAsia="zh-CN" w:bidi="ar"/>
        </w:rPr>
        <w:t>（采购文件中明确的所属行业）</w:t>
      </w:r>
      <w:r>
        <w:rPr>
          <w:rFonts w:hint="eastAsia" w:ascii="宋体" w:hAnsi="宋体" w:eastAsia="宋体" w:cs="宋体"/>
          <w:i w:val="0"/>
          <w:iCs w:val="0"/>
          <w:color w:val="auto"/>
          <w:kern w:val="0"/>
          <w:sz w:val="24"/>
          <w:szCs w:val="24"/>
          <w:highlight w:val="none"/>
          <w:lang w:val="en-US" w:eastAsia="zh-CN" w:bidi="ar"/>
        </w:rPr>
        <w:t>； 承建（承接）企业为</w:t>
      </w:r>
      <w:r>
        <w:rPr>
          <w:rFonts w:hint="eastAsia" w:ascii="宋体" w:hAnsi="宋体" w:eastAsia="宋体" w:cs="宋体"/>
          <w:i w:val="0"/>
          <w:iCs w:val="0"/>
          <w:color w:val="auto"/>
          <w:kern w:val="0"/>
          <w:sz w:val="24"/>
          <w:szCs w:val="24"/>
          <w:highlight w:val="none"/>
          <w:u w:val="single"/>
          <w:lang w:val="en-US" w:eastAsia="zh-CN" w:bidi="ar"/>
        </w:rPr>
        <w:t>（企业名称）</w:t>
      </w:r>
      <w:r>
        <w:rPr>
          <w:rFonts w:hint="eastAsia" w:ascii="宋体" w:hAnsi="宋体" w:eastAsia="宋体" w:cs="宋体"/>
          <w:i w:val="0"/>
          <w:iCs w:val="0"/>
          <w:color w:val="auto"/>
          <w:kern w:val="0"/>
          <w:sz w:val="24"/>
          <w:szCs w:val="24"/>
          <w:highlight w:val="none"/>
          <w:lang w:val="en-US" w:eastAsia="zh-CN" w:bidi="ar"/>
        </w:rPr>
        <w:t>，从业人员</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人，营业收入为</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万元，资产总额为</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万元，属于</w:t>
      </w:r>
      <w:r>
        <w:rPr>
          <w:rFonts w:hint="eastAsia" w:ascii="宋体" w:hAnsi="宋体" w:eastAsia="宋体" w:cs="宋体"/>
          <w:i w:val="0"/>
          <w:iCs w:val="0"/>
          <w:color w:val="auto"/>
          <w:kern w:val="0"/>
          <w:sz w:val="24"/>
          <w:szCs w:val="24"/>
          <w:highlight w:val="none"/>
          <w:u w:val="single"/>
          <w:lang w:val="en-US" w:eastAsia="zh-CN" w:bidi="ar"/>
        </w:rPr>
        <w:t>（中型企业、 小型企业、微型企业）</w:t>
      </w:r>
      <w:r>
        <w:rPr>
          <w:rFonts w:hint="eastAsia" w:ascii="宋体" w:hAnsi="宋体" w:eastAsia="宋体" w:cs="宋体"/>
          <w:i w:val="0"/>
          <w:iCs w:val="0"/>
          <w:color w:val="auto"/>
          <w:kern w:val="0"/>
          <w:sz w:val="24"/>
          <w:szCs w:val="24"/>
          <w:highlight w:val="none"/>
          <w:lang w:val="en-US" w:eastAsia="zh-CN" w:bidi="ar"/>
        </w:rPr>
        <w:t xml:space="preserve">； </w:t>
      </w:r>
    </w:p>
    <w:p w14:paraId="271FAB32">
      <w:pPr>
        <w:keepNext w:val="0"/>
        <w:keepLines w:val="0"/>
        <w:pageBreakBefore w:val="0"/>
        <w:widowControl/>
        <w:suppressLineNumbers w:val="0"/>
        <w:kinsoku/>
        <w:wordWrap/>
        <w:overflowPunct/>
        <w:topLinePunct w:val="0"/>
        <w:autoSpaceDE/>
        <w:autoSpaceDN/>
        <w:bidi w:val="0"/>
        <w:adjustRightInd/>
        <w:snapToGrid/>
        <w:spacing w:line="336" w:lineRule="auto"/>
        <w:jc w:val="lef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w:t>
      </w:r>
    </w:p>
    <w:p w14:paraId="12E9FD8F">
      <w:pPr>
        <w:keepNext w:val="0"/>
        <w:keepLines w:val="0"/>
        <w:pageBreakBefore w:val="0"/>
        <w:widowControl/>
        <w:suppressLineNumbers w:val="0"/>
        <w:kinsoku/>
        <w:wordWrap/>
        <w:overflowPunct/>
        <w:topLinePunct w:val="0"/>
        <w:autoSpaceDE/>
        <w:autoSpaceDN/>
        <w:bidi w:val="0"/>
        <w:adjustRightInd/>
        <w:snapToGrid/>
        <w:spacing w:line="336"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以上企业，不属于大企业的分支机构，不存在控股股东 为大企业的情形，也不存在与大企业的负责人为同一人的情形。</w:t>
      </w:r>
    </w:p>
    <w:p w14:paraId="3311D062">
      <w:pPr>
        <w:keepNext w:val="0"/>
        <w:keepLines w:val="0"/>
        <w:pageBreakBefore w:val="0"/>
        <w:widowControl/>
        <w:suppressLineNumbers w:val="0"/>
        <w:kinsoku/>
        <w:wordWrap/>
        <w:overflowPunct/>
        <w:topLinePunct w:val="0"/>
        <w:autoSpaceDE/>
        <w:autoSpaceDN/>
        <w:bidi w:val="0"/>
        <w:adjustRightInd/>
        <w:snapToGrid/>
        <w:spacing w:line="336"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本企业对上述声明内容的真实性负责。如有虚假，将依法承担相应责任。 </w:t>
      </w:r>
    </w:p>
    <w:p w14:paraId="4FEAD5B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18"/>
          <w:szCs w:val="18"/>
          <w:highlight w:val="none"/>
          <w:lang w:val="en-US" w:eastAsia="zh-CN" w:bidi="ar"/>
        </w:rPr>
      </w:pPr>
    </w:p>
    <w:p w14:paraId="4A1F27E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w:t>
      </w:r>
    </w:p>
    <w:p w14:paraId="38837DF5">
      <w:pPr>
        <w:keepNext w:val="0"/>
        <w:keepLines w:val="0"/>
        <w:pageBreakBefore w:val="0"/>
        <w:widowControl/>
        <w:suppressLineNumbers w:val="0"/>
        <w:kinsoku/>
        <w:wordWrap/>
        <w:overflowPunct/>
        <w:topLinePunct w:val="0"/>
        <w:autoSpaceDE/>
        <w:autoSpaceDN/>
        <w:bidi w:val="0"/>
        <w:adjustRightInd/>
        <w:snapToGrid/>
        <w:spacing w:line="360" w:lineRule="auto"/>
        <w:ind w:firstLine="5760" w:firstLineChars="24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企业名称（盖章）： </w:t>
      </w:r>
    </w:p>
    <w:p w14:paraId="07089165">
      <w:pPr>
        <w:keepNext w:val="0"/>
        <w:keepLines w:val="0"/>
        <w:pageBreakBefore w:val="0"/>
        <w:widowControl/>
        <w:suppressLineNumbers w:val="0"/>
        <w:kinsoku/>
        <w:wordWrap/>
        <w:overflowPunct/>
        <w:topLinePunct w:val="0"/>
        <w:autoSpaceDE/>
        <w:autoSpaceDN/>
        <w:bidi w:val="0"/>
        <w:adjustRightInd/>
        <w:snapToGrid/>
        <w:spacing w:line="360" w:lineRule="auto"/>
        <w:ind w:firstLine="5760" w:firstLineChars="24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日 期： </w:t>
      </w:r>
    </w:p>
    <w:p w14:paraId="5FD9D14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注：</w:t>
      </w:r>
      <w:r>
        <w:rPr>
          <w:rFonts w:hint="eastAsia" w:ascii="宋体" w:hAnsi="宋体" w:eastAsia="宋体" w:cs="宋体"/>
          <w:color w:val="auto"/>
          <w:kern w:val="0"/>
          <w:sz w:val="24"/>
          <w:szCs w:val="24"/>
          <w:highlight w:val="none"/>
          <w:lang w:val="en-US" w:eastAsia="en-US" w:bidi="ar"/>
        </w:rPr>
        <w:t>①</w:t>
      </w:r>
      <w:r>
        <w:rPr>
          <w:rFonts w:hint="eastAsia" w:ascii="宋体" w:hAnsi="宋体" w:eastAsia="宋体" w:cs="宋体"/>
          <w:color w:val="auto"/>
          <w:kern w:val="0"/>
          <w:sz w:val="24"/>
          <w:szCs w:val="24"/>
          <w:highlight w:val="none"/>
          <w:lang w:val="en-US" w:eastAsia="zh-CN" w:bidi="ar"/>
        </w:rPr>
        <w:t xml:space="preserve">从业人员、营业收入、资产总额填报上一年度数据，无上一年度数据的新成立企业可不填报。 </w:t>
      </w:r>
    </w:p>
    <w:p w14:paraId="743EFD4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lang w:val="en-US" w:eastAsia="en-US"/>
        </w:rPr>
        <w:t>②</w:t>
      </w:r>
      <w:r>
        <w:rPr>
          <w:rFonts w:hint="eastAsia" w:ascii="宋体" w:hAnsi="宋体" w:eastAsia="宋体" w:cs="宋体"/>
          <w:color w:val="auto"/>
          <w:kern w:val="0"/>
          <w:sz w:val="24"/>
          <w:szCs w:val="24"/>
          <w:highlight w:val="none"/>
          <w:lang w:val="en-US" w:eastAsia="zh-CN" w:bidi="ar"/>
        </w:rPr>
        <w:t xml:space="preserve">以联合体形式参加政府采购活动，联合体各方均为中小企业的，联合体视同中小企业。其中，联合体各方均为小微企业的，联合体视同小微企业。 </w:t>
      </w:r>
    </w:p>
    <w:p w14:paraId="755D66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en-US" w:bidi="ar"/>
        </w:rPr>
        <w:t>③</w:t>
      </w:r>
      <w:r>
        <w:rPr>
          <w:rFonts w:hint="eastAsia" w:ascii="宋体" w:hAnsi="宋体" w:eastAsia="宋体" w:cs="宋体"/>
          <w:color w:val="auto"/>
          <w:kern w:val="0"/>
          <w:sz w:val="24"/>
          <w:szCs w:val="24"/>
          <w:highlight w:val="none"/>
          <w:lang w:val="en-US" w:eastAsia="zh-CN" w:bidi="ar"/>
        </w:rPr>
        <w:t>在政府采购活动中，供应商提供的工程工程由中小企业承建，即工程施工单位为中小企业的，才能享受《政府采购促进中小企业发展管理办法》规定的中小企业扶持政策。</w:t>
      </w:r>
    </w:p>
    <w:p w14:paraId="0728F16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④在工程采购项目中，工程应当由中小企业承建，不对其中涉及的货物的制造商和服务的承接商作出要求。</w:t>
      </w:r>
    </w:p>
    <w:p w14:paraId="54446922">
      <w:pPr>
        <w:pStyle w:val="4"/>
        <w:numPr>
          <w:ilvl w:val="0"/>
          <w:numId w:val="23"/>
        </w:numPr>
        <w:bidi w:val="0"/>
        <w:ind w:left="0" w:leftChars="0" w:firstLine="420" w:firstLineChars="0"/>
        <w:jc w:val="center"/>
        <w:rPr>
          <w:rFonts w:hint="eastAsia"/>
          <w:lang w:val="en-US" w:eastAsia="zh-CN"/>
        </w:rPr>
      </w:pPr>
      <w:bookmarkStart w:id="1747" w:name="_Toc14029"/>
      <w:bookmarkStart w:id="1748" w:name="_Toc21261"/>
      <w:bookmarkStart w:id="1749" w:name="_Toc23233"/>
      <w:bookmarkStart w:id="1750" w:name="_Toc28627"/>
      <w:bookmarkStart w:id="1751" w:name="_Toc1950"/>
      <w:bookmarkStart w:id="1752" w:name="OLE_LINK14"/>
      <w:bookmarkStart w:id="1753" w:name="OLE_LINK13"/>
      <w:r>
        <w:rPr>
          <w:rFonts w:hint="eastAsia"/>
          <w:lang w:val="en-US" w:eastAsia="zh-CN"/>
        </w:rPr>
        <w:t>残疾人福利性单位声明函</w:t>
      </w:r>
      <w:bookmarkEnd w:id="1747"/>
      <w:bookmarkEnd w:id="1748"/>
      <w:bookmarkEnd w:id="1749"/>
      <w:r>
        <w:rPr>
          <w:rFonts w:hint="eastAsia"/>
          <w:lang w:val="en-US" w:eastAsia="zh-CN"/>
        </w:rPr>
        <w:t>（如有）</w:t>
      </w:r>
      <w:bookmarkEnd w:id="1750"/>
      <w:bookmarkEnd w:id="1751"/>
    </w:p>
    <w:bookmarkEnd w:id="1752"/>
    <w:bookmarkEnd w:id="1753"/>
    <w:p w14:paraId="61A12565">
      <w:pPr>
        <w:spacing w:line="360" w:lineRule="auto"/>
        <w:rPr>
          <w:rFonts w:hint="eastAsia" w:ascii="宋体" w:hAnsi="宋体" w:cs="宋体"/>
          <w:b/>
          <w:color w:val="auto"/>
          <w:spacing w:val="6"/>
          <w:szCs w:val="21"/>
          <w:highlight w:val="none"/>
        </w:rPr>
      </w:pPr>
    </w:p>
    <w:p w14:paraId="1C621EB5">
      <w:pPr>
        <w:spacing w:line="360" w:lineRule="auto"/>
        <w:ind w:firstLine="504" w:firstLineChars="200"/>
        <w:rPr>
          <w:rFonts w:hint="eastAsia" w:ascii="宋体" w:hAnsi="宋体" w:cs="宋体"/>
          <w:color w:val="auto"/>
          <w:spacing w:val="6"/>
          <w:sz w:val="24"/>
          <w:szCs w:val="24"/>
          <w:highlight w:val="none"/>
        </w:rPr>
      </w:pPr>
      <w:r>
        <w:rPr>
          <w:rFonts w:hint="eastAsia" w:ascii="宋体" w:hAnsi="宋体" w:cs="宋体"/>
          <w:color w:val="auto"/>
          <w:spacing w:val="6"/>
          <w:sz w:val="24"/>
          <w:szCs w:val="24"/>
          <w:highlight w:val="none"/>
        </w:rPr>
        <w:t>本单位郑重声明，根据《财政部 民政部 中国残疾人联合会关于促进残疾人就业政府采购政策的通知》（财库</w:t>
      </w:r>
      <w:r>
        <w:rPr>
          <w:rFonts w:hint="eastAsia" w:ascii="宋体" w:hAnsi="宋体" w:cs="宋体"/>
          <w:color w:val="auto"/>
          <w:sz w:val="24"/>
          <w:szCs w:val="24"/>
          <w:highlight w:val="none"/>
        </w:rPr>
        <w:t>〔2017〕 141</w:t>
      </w:r>
      <w:r>
        <w:rPr>
          <w:rFonts w:hint="eastAsia" w:ascii="宋体" w:hAnsi="宋体" w:cs="宋体"/>
          <w:color w:val="auto"/>
          <w:spacing w:val="6"/>
          <w:sz w:val="24"/>
          <w:szCs w:val="24"/>
          <w:highlight w:val="none"/>
        </w:rPr>
        <w:t>号）的规定，本单位为符合条件的残疾人福利性单位，且本单位参加</w:t>
      </w:r>
      <w:r>
        <w:rPr>
          <w:rFonts w:hint="eastAsia" w:ascii="宋体" w:hAnsi="宋体" w:cs="宋体"/>
          <w:color w:val="auto"/>
          <w:spacing w:val="6"/>
          <w:sz w:val="24"/>
          <w:szCs w:val="24"/>
          <w:highlight w:val="none"/>
          <w:u w:val="single"/>
        </w:rPr>
        <w:t xml:space="preserve">       </w:t>
      </w:r>
      <w:r>
        <w:rPr>
          <w:rFonts w:hint="eastAsia" w:ascii="宋体" w:hAnsi="宋体" w:cs="宋体"/>
          <w:color w:val="auto"/>
          <w:spacing w:val="6"/>
          <w:sz w:val="24"/>
          <w:szCs w:val="24"/>
          <w:highlight w:val="none"/>
        </w:rPr>
        <w:t>单位的</w:t>
      </w:r>
      <w:r>
        <w:rPr>
          <w:rFonts w:hint="eastAsia" w:ascii="宋体" w:hAnsi="宋体" w:cs="宋体"/>
          <w:color w:val="auto"/>
          <w:spacing w:val="6"/>
          <w:sz w:val="24"/>
          <w:szCs w:val="24"/>
          <w:highlight w:val="none"/>
          <w:u w:val="single"/>
        </w:rPr>
        <w:t xml:space="preserve">      </w:t>
      </w:r>
      <w:r>
        <w:rPr>
          <w:rFonts w:hint="eastAsia" w:ascii="宋体" w:hAnsi="宋体" w:cs="宋体"/>
          <w:color w:val="auto"/>
          <w:spacing w:val="6"/>
          <w:sz w:val="24"/>
          <w:szCs w:val="24"/>
          <w:highlight w:val="none"/>
        </w:rPr>
        <w:t>项目采购活动提供本单位制造的货物（由本单位承担工程/提供服务），或者提供其他残疾人福利性单位制造的货物（不包括使用非残疾人福利性单位注册商标的货物）。</w:t>
      </w:r>
    </w:p>
    <w:p w14:paraId="12E9CF6E">
      <w:pPr>
        <w:spacing w:line="360" w:lineRule="auto"/>
        <w:ind w:firstLine="504" w:firstLineChars="200"/>
        <w:rPr>
          <w:rFonts w:hint="eastAsia" w:ascii="宋体" w:hAnsi="宋体" w:cs="宋体"/>
          <w:color w:val="auto"/>
          <w:spacing w:val="6"/>
          <w:sz w:val="24"/>
          <w:szCs w:val="24"/>
          <w:highlight w:val="none"/>
        </w:rPr>
      </w:pPr>
      <w:r>
        <w:rPr>
          <w:rFonts w:hint="eastAsia" w:ascii="宋体" w:hAnsi="宋体" w:cs="宋体"/>
          <w:color w:val="auto"/>
          <w:spacing w:val="6"/>
          <w:sz w:val="24"/>
          <w:szCs w:val="24"/>
          <w:highlight w:val="none"/>
        </w:rPr>
        <w:t>本单位对上述声明的真实性负责。如有虚假，将依法承担相应责任。</w:t>
      </w:r>
    </w:p>
    <w:p w14:paraId="0FD55201">
      <w:pPr>
        <w:spacing w:line="360" w:lineRule="auto"/>
        <w:ind w:firstLine="504" w:firstLineChars="200"/>
        <w:rPr>
          <w:rFonts w:hint="eastAsia" w:ascii="宋体" w:hAnsi="宋体" w:cs="宋体"/>
          <w:color w:val="auto"/>
          <w:spacing w:val="6"/>
          <w:sz w:val="24"/>
          <w:szCs w:val="24"/>
          <w:highlight w:val="none"/>
        </w:rPr>
      </w:pPr>
    </w:p>
    <w:p w14:paraId="6CB57A62">
      <w:pPr>
        <w:spacing w:line="360" w:lineRule="auto"/>
        <w:ind w:firstLine="504" w:firstLineChars="200"/>
        <w:rPr>
          <w:rFonts w:hint="eastAsia" w:ascii="宋体" w:hAnsi="宋体" w:cs="宋体"/>
          <w:color w:val="auto"/>
          <w:spacing w:val="6"/>
          <w:sz w:val="24"/>
          <w:szCs w:val="24"/>
          <w:highlight w:val="none"/>
        </w:rPr>
      </w:pPr>
    </w:p>
    <w:p w14:paraId="150657AF">
      <w:pPr>
        <w:tabs>
          <w:tab w:val="left" w:pos="4860"/>
        </w:tabs>
        <w:spacing w:line="360" w:lineRule="auto"/>
        <w:ind w:right="1560" w:firstLine="504" w:firstLineChars="200"/>
        <w:jc w:val="center"/>
        <w:rPr>
          <w:rFonts w:hint="eastAsia" w:ascii="宋体" w:hAnsi="宋体" w:cs="宋体"/>
          <w:color w:val="auto"/>
          <w:spacing w:val="6"/>
          <w:sz w:val="24"/>
          <w:szCs w:val="24"/>
          <w:highlight w:val="none"/>
        </w:rPr>
      </w:pPr>
      <w:r>
        <w:rPr>
          <w:rFonts w:hint="eastAsia" w:ascii="宋体" w:hAnsi="宋体" w:cs="宋体"/>
          <w:color w:val="auto"/>
          <w:spacing w:val="6"/>
          <w:sz w:val="24"/>
          <w:szCs w:val="24"/>
          <w:highlight w:val="none"/>
        </w:rPr>
        <w:t xml:space="preserve">               单位名称（盖章）：</w:t>
      </w:r>
    </w:p>
    <w:p w14:paraId="11A5869B">
      <w:pPr>
        <w:tabs>
          <w:tab w:val="left" w:pos="4860"/>
        </w:tabs>
        <w:spacing w:line="360" w:lineRule="auto"/>
        <w:ind w:right="1560" w:firstLine="504" w:firstLineChars="200"/>
        <w:jc w:val="center"/>
        <w:rPr>
          <w:rFonts w:hint="eastAsia" w:ascii="宋体" w:hAnsi="宋体" w:cs="宋体"/>
          <w:color w:val="auto"/>
          <w:spacing w:val="6"/>
          <w:sz w:val="24"/>
          <w:szCs w:val="24"/>
          <w:highlight w:val="none"/>
        </w:rPr>
      </w:pPr>
      <w:r>
        <w:rPr>
          <w:rFonts w:hint="eastAsia" w:ascii="宋体" w:hAnsi="宋体" w:cs="宋体"/>
          <w:color w:val="auto"/>
          <w:spacing w:val="6"/>
          <w:sz w:val="24"/>
          <w:szCs w:val="24"/>
          <w:highlight w:val="none"/>
        </w:rPr>
        <w:t xml:space="preserve">       日  期：</w:t>
      </w:r>
    </w:p>
    <w:p w14:paraId="62BC2EE8">
      <w:pPr>
        <w:tabs>
          <w:tab w:val="left" w:pos="840"/>
        </w:tabs>
        <w:autoSpaceDE w:val="0"/>
        <w:autoSpaceDN w:val="0"/>
        <w:adjustRightInd w:val="0"/>
        <w:spacing w:line="360" w:lineRule="auto"/>
        <w:jc w:val="center"/>
        <w:rPr>
          <w:rFonts w:hint="eastAsia" w:ascii="宋体" w:hAnsi="宋体"/>
          <w:b/>
          <w:color w:val="auto"/>
          <w:sz w:val="24"/>
          <w:szCs w:val="24"/>
          <w:highlight w:val="none"/>
        </w:rPr>
      </w:pPr>
    </w:p>
    <w:p w14:paraId="1192A9CF">
      <w:pPr>
        <w:spacing w:line="360" w:lineRule="auto"/>
        <w:rPr>
          <w:rFonts w:hint="eastAsia"/>
          <w:color w:val="auto"/>
          <w:sz w:val="24"/>
          <w:szCs w:val="24"/>
          <w:highlight w:val="none"/>
        </w:rPr>
      </w:pPr>
      <w:r>
        <w:rPr>
          <w:rFonts w:hint="eastAsia"/>
          <w:color w:val="auto"/>
          <w:sz w:val="24"/>
          <w:szCs w:val="24"/>
          <w:highlight w:val="none"/>
        </w:rPr>
        <w:t>《财政部民政部中国残疾人联合会关于促进残疾人就业政府采购政策的通知》（财库（2017〔141〕号）的规定：</w:t>
      </w:r>
    </w:p>
    <w:p w14:paraId="1C73AA9D">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 享受政府采购支持政策的残疾人福利性单位应当同时满足以下条件：</w:t>
      </w:r>
    </w:p>
    <w:p w14:paraId="428D250B">
      <w:pPr>
        <w:spacing w:line="360" w:lineRule="auto"/>
        <w:rPr>
          <w:rFonts w:hint="eastAsia"/>
          <w:color w:val="auto"/>
          <w:sz w:val="24"/>
          <w:szCs w:val="24"/>
          <w:highlight w:val="none"/>
        </w:rPr>
      </w:pPr>
      <w:r>
        <w:rPr>
          <w:rFonts w:hint="eastAsia"/>
          <w:color w:val="auto"/>
          <w:sz w:val="24"/>
          <w:szCs w:val="24"/>
          <w:highlight w:val="none"/>
        </w:rPr>
        <w:t>（1）安置的残疾人占本单位在职职工人数的比例不低于25%（含25%），并且安置的残疾人人数不少于10人（含10人）；</w:t>
      </w:r>
    </w:p>
    <w:p w14:paraId="50C24097">
      <w:pPr>
        <w:spacing w:line="360" w:lineRule="auto"/>
        <w:rPr>
          <w:rFonts w:hint="eastAsia"/>
          <w:color w:val="auto"/>
          <w:sz w:val="24"/>
          <w:szCs w:val="24"/>
          <w:highlight w:val="none"/>
        </w:rPr>
      </w:pPr>
      <w:r>
        <w:rPr>
          <w:rFonts w:hint="eastAsia"/>
          <w:color w:val="auto"/>
          <w:sz w:val="24"/>
          <w:szCs w:val="24"/>
          <w:highlight w:val="none"/>
        </w:rPr>
        <w:t>（2）依法与安置的每位残疾人签订了一年以上（含一年）的劳动合同或服务协议；</w:t>
      </w:r>
    </w:p>
    <w:p w14:paraId="2BD1FA11">
      <w:pPr>
        <w:spacing w:line="360" w:lineRule="auto"/>
        <w:rPr>
          <w:rFonts w:hint="eastAsia"/>
          <w:color w:val="auto"/>
          <w:sz w:val="24"/>
          <w:szCs w:val="24"/>
          <w:highlight w:val="none"/>
        </w:rPr>
      </w:pPr>
      <w:r>
        <w:rPr>
          <w:rFonts w:hint="eastAsia"/>
          <w:color w:val="auto"/>
          <w:sz w:val="24"/>
          <w:szCs w:val="24"/>
          <w:highlight w:val="none"/>
        </w:rPr>
        <w:t>（3）为安置的每位残疾人按月足额缴纳了基本养老保险、基本医疗保险、失业保险、工伤保险和生育保险等社会保险费；</w:t>
      </w:r>
    </w:p>
    <w:p w14:paraId="1F25CD08">
      <w:pPr>
        <w:spacing w:line="360" w:lineRule="auto"/>
        <w:rPr>
          <w:rFonts w:hint="eastAsia"/>
          <w:color w:val="auto"/>
          <w:sz w:val="24"/>
          <w:szCs w:val="24"/>
          <w:highlight w:val="none"/>
        </w:rPr>
      </w:pPr>
      <w:r>
        <w:rPr>
          <w:rFonts w:hint="eastAsia"/>
          <w:color w:val="auto"/>
          <w:sz w:val="24"/>
          <w:szCs w:val="24"/>
          <w:highlight w:val="none"/>
        </w:rPr>
        <w:t>（4）通过银行等金融机构向安置的每位残疾人，按月支付了不低于单位所在区县适用的经省级人民政府批准的月最低工资标准的工资；</w:t>
      </w:r>
    </w:p>
    <w:p w14:paraId="05F9DB4E">
      <w:pPr>
        <w:spacing w:line="360" w:lineRule="auto"/>
        <w:rPr>
          <w:rFonts w:hint="eastAsia"/>
          <w:color w:val="auto"/>
          <w:sz w:val="24"/>
          <w:szCs w:val="24"/>
          <w:highlight w:val="none"/>
        </w:rPr>
      </w:pPr>
      <w:r>
        <w:rPr>
          <w:rFonts w:hint="eastAsia"/>
          <w:color w:val="auto"/>
          <w:sz w:val="24"/>
          <w:szCs w:val="24"/>
          <w:highlight w:val="none"/>
        </w:rPr>
        <w:t>（5）提供本单位制造的货物、承担的工程或者服务（以下简称产品），或者提供其他残疾人福利性单位制造的货物（不包括使用非残疾人福利性单位注册商标的货物）。</w:t>
      </w:r>
    </w:p>
    <w:p w14:paraId="1E900917">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2. </w:t>
      </w:r>
      <w:r>
        <w:rPr>
          <w:rFonts w:hint="eastAsia" w:ascii="宋体" w:hAnsi="宋体" w:cs="宋体"/>
          <w:color w:val="auto"/>
          <w:sz w:val="24"/>
          <w:szCs w:val="24"/>
          <w:highlight w:val="none"/>
          <w:lang w:eastAsia="zh-CN"/>
        </w:rPr>
        <w:t>成交人</w:t>
      </w:r>
      <w:r>
        <w:rPr>
          <w:rFonts w:hint="eastAsia" w:ascii="宋体" w:hAnsi="宋体" w:cs="宋体"/>
          <w:color w:val="auto"/>
          <w:sz w:val="24"/>
          <w:szCs w:val="24"/>
          <w:highlight w:val="none"/>
        </w:rPr>
        <w:t>为残疾人福利性单位的，采购人或者其委托的采购代理机构应当随成交结果同时公告其《残疾人福利性单位声明函》，接受社会监督。</w:t>
      </w:r>
    </w:p>
    <w:p w14:paraId="73E6C13C">
      <w:pPr>
        <w:bidi w:val="0"/>
        <w:rPr>
          <w:rFonts w:hint="eastAsia"/>
          <w:sz w:val="24"/>
          <w:szCs w:val="24"/>
          <w:lang w:val="en-US" w:eastAsia="zh-CN"/>
        </w:rPr>
      </w:pPr>
    </w:p>
    <w:p w14:paraId="5685AB44">
      <w:pPr>
        <w:pStyle w:val="4"/>
        <w:numPr>
          <w:ilvl w:val="0"/>
          <w:numId w:val="23"/>
        </w:numPr>
        <w:bidi w:val="0"/>
        <w:ind w:left="0" w:leftChars="0" w:firstLine="420" w:firstLineChars="0"/>
        <w:jc w:val="center"/>
        <w:rPr>
          <w:rFonts w:hint="eastAsia"/>
          <w:lang w:val="en-GB" w:eastAsia="zh-CN"/>
        </w:rPr>
      </w:pPr>
      <w:bookmarkStart w:id="1754" w:name="_Toc2700"/>
      <w:bookmarkStart w:id="1755" w:name="_Toc28634"/>
      <w:r>
        <w:rPr>
          <w:rFonts w:hint="eastAsia" w:cs="Times New Roman"/>
          <w:bCs w:val="0"/>
          <w:color w:val="auto"/>
          <w:szCs w:val="24"/>
          <w:highlight w:val="none"/>
          <w:lang w:val="en-US" w:eastAsia="zh-CN"/>
        </w:rPr>
        <w:br w:type="page"/>
      </w:r>
      <w:bookmarkStart w:id="1756" w:name="_Toc8844"/>
      <w:r>
        <w:rPr>
          <w:rFonts w:hint="eastAsia"/>
          <w:lang w:val="en-GB" w:eastAsia="zh-CN"/>
        </w:rPr>
        <w:t>监狱企业证明材料</w:t>
      </w:r>
      <w:bookmarkEnd w:id="1754"/>
      <w:r>
        <w:rPr>
          <w:rFonts w:hint="eastAsia"/>
          <w:lang w:val="en-GB" w:eastAsia="zh-CN"/>
        </w:rPr>
        <w:t>（如有）</w:t>
      </w:r>
      <w:bookmarkEnd w:id="1755"/>
      <w:bookmarkEnd w:id="1756"/>
    </w:p>
    <w:p w14:paraId="4F09E07F">
      <w:pPr>
        <w:bidi w:val="0"/>
        <w:rPr>
          <w:rFonts w:hint="eastAsia"/>
          <w:lang w:val="en-GB" w:eastAsia="zh-CN"/>
        </w:rPr>
      </w:pPr>
    </w:p>
    <w:p w14:paraId="71031381">
      <w:pPr>
        <w:bidi w:val="0"/>
        <w:rPr>
          <w:rFonts w:hint="eastAsia"/>
          <w:lang w:val="en-GB" w:eastAsia="zh-CN"/>
        </w:rPr>
      </w:pPr>
    </w:p>
    <w:p w14:paraId="7BA058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GB" w:eastAsia="zh-CN"/>
        </w:rPr>
      </w:pPr>
      <w:r>
        <w:rPr>
          <w:rFonts w:hint="eastAsia"/>
          <w:color w:val="auto"/>
          <w:sz w:val="24"/>
          <w:szCs w:val="24"/>
          <w:highlight w:val="none"/>
          <w:lang w:val="en-GB" w:eastAsia="zh-CN"/>
        </w:rPr>
        <w:t>监狱企业参加政府采购活动时，应当提供由省级以上监狱管理局、戒毒管理局（含新疆生产建设兵团）出具的属于监狱企业的证明文件。</w:t>
      </w:r>
    </w:p>
    <w:p w14:paraId="1DDDF097">
      <w:pPr>
        <w:rPr>
          <w:rFonts w:hint="eastAsia"/>
          <w:color w:val="auto"/>
          <w:highlight w:val="none"/>
          <w:lang w:val="en-GB" w:eastAsia="zh-CN"/>
        </w:rPr>
      </w:pPr>
    </w:p>
    <w:p w14:paraId="0417BB8E">
      <w:pPr>
        <w:bidi w:val="0"/>
        <w:rPr>
          <w:rFonts w:hint="eastAsia"/>
          <w:color w:val="auto"/>
          <w:highlight w:val="none"/>
          <w:lang w:val="en-GB" w:eastAsia="zh-CN"/>
        </w:rPr>
      </w:pPr>
    </w:p>
    <w:p w14:paraId="7503DFBD">
      <w:pPr>
        <w:bidi w:val="0"/>
        <w:rPr>
          <w:rFonts w:hint="eastAsia"/>
          <w:highlight w:val="none"/>
          <w:lang w:val="en-US" w:eastAsia="zh-CN"/>
        </w:rPr>
      </w:pPr>
    </w:p>
    <w:p w14:paraId="6EB0C496">
      <w:pPr>
        <w:pStyle w:val="3"/>
        <w:numPr>
          <w:ilvl w:val="0"/>
          <w:numId w:val="17"/>
        </w:numPr>
        <w:bidi w:val="0"/>
        <w:rPr>
          <w:rFonts w:hint="eastAsia" w:ascii="宋体" w:hAnsi="宋体" w:eastAsia="宋体" w:cs="Times New Roman"/>
          <w:bCs w:val="0"/>
          <w:color w:val="auto"/>
          <w:szCs w:val="24"/>
          <w:highlight w:val="none"/>
          <w:lang w:val="en-US" w:eastAsia="zh-CN"/>
        </w:rPr>
      </w:pPr>
      <w:r>
        <w:rPr>
          <w:rFonts w:hint="eastAsia" w:ascii="宋体" w:hAnsi="宋体" w:eastAsia="宋体" w:cs="Times New Roman"/>
          <w:bCs w:val="0"/>
          <w:color w:val="auto"/>
          <w:szCs w:val="24"/>
          <w:highlight w:val="none"/>
          <w:lang w:val="en-US" w:eastAsia="zh-CN"/>
        </w:rPr>
        <w:br w:type="page"/>
      </w:r>
      <w:bookmarkStart w:id="1757" w:name="_Toc21534"/>
      <w:bookmarkStart w:id="1758" w:name="_Toc2167"/>
      <w:r>
        <w:rPr>
          <w:rFonts w:hint="eastAsia" w:ascii="宋体" w:hAnsi="宋体" w:eastAsia="宋体" w:cs="宋体"/>
          <w:bCs/>
          <w:color w:val="auto"/>
          <w:szCs w:val="21"/>
          <w:highlight w:val="none"/>
          <w:lang w:val="en-US" w:eastAsia="zh-CN"/>
        </w:rPr>
        <w:t>其他</w:t>
      </w:r>
      <w:bookmarkEnd w:id="1745"/>
      <w:r>
        <w:rPr>
          <w:rFonts w:hint="eastAsia" w:ascii="宋体" w:hAnsi="宋体" w:eastAsia="宋体" w:cs="宋体"/>
          <w:bCs/>
          <w:color w:val="auto"/>
          <w:szCs w:val="21"/>
          <w:highlight w:val="none"/>
          <w:lang w:val="en-US" w:eastAsia="zh-CN"/>
        </w:rPr>
        <w:t>资料</w:t>
      </w:r>
      <w:bookmarkEnd w:id="1746"/>
      <w:bookmarkEnd w:id="1757"/>
      <w:bookmarkEnd w:id="1758"/>
    </w:p>
    <w:p w14:paraId="5E582318">
      <w:pPr>
        <w:pStyle w:val="4"/>
        <w:numPr>
          <w:ilvl w:val="0"/>
          <w:numId w:val="24"/>
        </w:numPr>
        <w:bidi w:val="0"/>
        <w:ind w:left="0" w:leftChars="0" w:firstLine="420" w:firstLineChars="0"/>
        <w:jc w:val="center"/>
        <w:rPr>
          <w:rFonts w:hint="eastAsia"/>
          <w:lang w:val="zh-CN" w:eastAsia="zh-CN"/>
        </w:rPr>
      </w:pPr>
      <w:bookmarkStart w:id="1759" w:name="_Toc9042"/>
      <w:bookmarkStart w:id="1760" w:name="_Toc17257"/>
      <w:r>
        <w:rPr>
          <w:rFonts w:hint="eastAsia"/>
          <w:lang w:val="zh-CN" w:eastAsia="zh-CN"/>
        </w:rPr>
        <w:t>反商业贿赂承诺书</w:t>
      </w:r>
      <w:bookmarkEnd w:id="1759"/>
      <w:bookmarkEnd w:id="1760"/>
    </w:p>
    <w:p w14:paraId="41A3AC66">
      <w:pPr>
        <w:rPr>
          <w:rFonts w:hint="eastAsia"/>
        </w:rPr>
      </w:pPr>
    </w:p>
    <w:p w14:paraId="3C33980D">
      <w:pPr>
        <w:spacing w:line="480" w:lineRule="exact"/>
        <w:rPr>
          <w:rFonts w:hint="eastAsia" w:ascii="宋体" w:hAnsi="宋体"/>
          <w:color w:val="auto"/>
          <w:sz w:val="24"/>
          <w:szCs w:val="24"/>
          <w:highlight w:val="none"/>
        </w:rPr>
      </w:pPr>
      <w:r>
        <w:rPr>
          <w:rFonts w:hint="eastAsia" w:ascii="宋体" w:hAnsi="宋体"/>
          <w:color w:val="auto"/>
          <w:sz w:val="24"/>
          <w:szCs w:val="24"/>
          <w:highlight w:val="none"/>
        </w:rPr>
        <w:t>我公司承诺：</w:t>
      </w:r>
    </w:p>
    <w:p w14:paraId="2BE5B1B8">
      <w:pPr>
        <w:spacing w:line="480" w:lineRule="exact"/>
        <w:ind w:firstLine="555"/>
        <w:rPr>
          <w:rFonts w:hint="eastAsia" w:ascii="宋体" w:hAnsi="宋体"/>
          <w:color w:val="auto"/>
          <w:sz w:val="24"/>
          <w:szCs w:val="24"/>
          <w:highlight w:val="none"/>
        </w:rPr>
      </w:pPr>
      <w:r>
        <w:rPr>
          <w:rFonts w:hint="eastAsia" w:ascii="宋体" w:hAnsi="宋体"/>
          <w:color w:val="auto"/>
          <w:sz w:val="24"/>
          <w:szCs w:val="24"/>
          <w:highlight w:val="none"/>
        </w:rPr>
        <w:t>在</w:t>
      </w:r>
      <w:r>
        <w:rPr>
          <w:rFonts w:hint="eastAsia" w:ascii="宋体" w:hAnsi="宋体"/>
          <w:color w:val="auto"/>
          <w:sz w:val="24"/>
          <w:szCs w:val="24"/>
          <w:highlight w:val="none"/>
          <w:u w:val="single"/>
        </w:rPr>
        <w:t xml:space="preserve"> </w:t>
      </w:r>
      <w:r>
        <w:rPr>
          <w:rFonts w:hint="eastAsia"/>
          <w:color w:val="auto"/>
          <w:sz w:val="24"/>
          <w:szCs w:val="24"/>
          <w:highlight w:val="none"/>
          <w:u w:val="single"/>
          <w:lang w:val="en-US" w:eastAsia="zh-CN"/>
        </w:rPr>
        <w:t xml:space="preserve">        </w:t>
      </w:r>
      <w:r>
        <w:rPr>
          <w:rFonts w:hint="eastAsia" w:ascii="宋体" w:hAnsi="宋体"/>
          <w:color w:val="auto"/>
          <w:sz w:val="24"/>
          <w:szCs w:val="24"/>
          <w:highlight w:val="none"/>
          <w:u w:val="single"/>
        </w:rPr>
        <w:t>（采购项目名称）</w:t>
      </w:r>
      <w:r>
        <w:rPr>
          <w:rFonts w:hint="eastAsia" w:ascii="宋体" w:hAnsi="宋体"/>
          <w:color w:val="auto"/>
          <w:sz w:val="24"/>
          <w:szCs w:val="24"/>
          <w:highlight w:val="none"/>
        </w:rPr>
        <w:t>采购活动中，我公司保证做到：</w:t>
      </w:r>
    </w:p>
    <w:p w14:paraId="59DF94AF">
      <w:pPr>
        <w:spacing w:line="480" w:lineRule="exact"/>
        <w:ind w:firstLine="555"/>
        <w:rPr>
          <w:rFonts w:hint="eastAsia" w:ascii="宋体" w:hAnsi="宋体"/>
          <w:color w:val="auto"/>
          <w:sz w:val="24"/>
          <w:szCs w:val="24"/>
          <w:highlight w:val="none"/>
        </w:rPr>
      </w:pPr>
      <w:r>
        <w:rPr>
          <w:rFonts w:hint="eastAsia" w:ascii="宋体" w:hAnsi="宋体"/>
          <w:color w:val="auto"/>
          <w:sz w:val="24"/>
          <w:szCs w:val="24"/>
          <w:highlight w:val="none"/>
        </w:rPr>
        <w:t>1. 公平竞争参加本次采购活动。</w:t>
      </w:r>
    </w:p>
    <w:p w14:paraId="1AC8F699">
      <w:pPr>
        <w:spacing w:line="480" w:lineRule="exact"/>
        <w:ind w:firstLine="556"/>
        <w:rPr>
          <w:rFonts w:hint="eastAsia" w:ascii="宋体" w:hAnsi="宋体"/>
          <w:color w:val="auto"/>
          <w:sz w:val="24"/>
          <w:szCs w:val="24"/>
          <w:highlight w:val="none"/>
        </w:rPr>
      </w:pPr>
      <w:r>
        <w:rPr>
          <w:rFonts w:hint="eastAsia" w:ascii="宋体" w:hAnsi="宋体"/>
          <w:color w:val="auto"/>
          <w:sz w:val="24"/>
          <w:szCs w:val="24"/>
          <w:highlight w:val="none"/>
        </w:rPr>
        <w:t>2. 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59DE9AA2">
      <w:pPr>
        <w:spacing w:line="480" w:lineRule="exact"/>
        <w:ind w:firstLine="556"/>
        <w:rPr>
          <w:rFonts w:hint="eastAsia" w:ascii="宋体" w:hAnsi="宋体"/>
          <w:color w:val="auto"/>
          <w:sz w:val="24"/>
          <w:szCs w:val="24"/>
          <w:highlight w:val="none"/>
        </w:rPr>
      </w:pPr>
      <w:r>
        <w:rPr>
          <w:rFonts w:hint="eastAsia" w:ascii="宋体" w:hAnsi="宋体"/>
          <w:color w:val="auto"/>
          <w:sz w:val="24"/>
          <w:szCs w:val="24"/>
          <w:highlight w:val="none"/>
        </w:rPr>
        <w:t>3. 若出现上述行为，我公司及参与</w:t>
      </w:r>
      <w:r>
        <w:rPr>
          <w:rFonts w:hint="eastAsia"/>
          <w:color w:val="auto"/>
          <w:sz w:val="24"/>
          <w:szCs w:val="24"/>
          <w:highlight w:val="none"/>
          <w:lang w:eastAsia="zh-CN"/>
        </w:rPr>
        <w:t>磋商</w:t>
      </w:r>
      <w:r>
        <w:rPr>
          <w:rFonts w:hint="eastAsia" w:ascii="宋体" w:hAnsi="宋体"/>
          <w:color w:val="auto"/>
          <w:sz w:val="24"/>
          <w:szCs w:val="24"/>
          <w:highlight w:val="none"/>
        </w:rPr>
        <w:t>的工作人员愿意接受按照国家法律法规等有关规定给予的处罚。</w:t>
      </w:r>
    </w:p>
    <w:p w14:paraId="71789B1A">
      <w:pPr>
        <w:spacing w:line="480" w:lineRule="exact"/>
        <w:ind w:firstLine="555"/>
        <w:rPr>
          <w:rFonts w:hint="eastAsia" w:ascii="宋体" w:hAnsi="宋体"/>
          <w:color w:val="auto"/>
          <w:sz w:val="24"/>
          <w:szCs w:val="24"/>
          <w:highlight w:val="none"/>
        </w:rPr>
      </w:pPr>
    </w:p>
    <w:p w14:paraId="6A8E1CE1">
      <w:pPr>
        <w:spacing w:line="480" w:lineRule="exact"/>
        <w:ind w:firstLine="2880"/>
        <w:rPr>
          <w:rFonts w:hint="eastAsia" w:ascii="宋体" w:hAnsi="宋体"/>
          <w:color w:val="auto"/>
          <w:sz w:val="24"/>
          <w:szCs w:val="24"/>
          <w:highlight w:val="none"/>
        </w:rPr>
      </w:pPr>
      <w:r>
        <w:rPr>
          <w:rFonts w:hint="eastAsia"/>
          <w:color w:val="auto"/>
          <w:sz w:val="24"/>
          <w:szCs w:val="24"/>
          <w:highlight w:val="none"/>
          <w:lang w:eastAsia="zh-CN"/>
        </w:rPr>
        <w:t>供应商</w:t>
      </w:r>
      <w:r>
        <w:rPr>
          <w:rFonts w:hint="eastAsia" w:ascii="宋体" w:hAnsi="宋体"/>
          <w:color w:val="auto"/>
          <w:sz w:val="24"/>
          <w:szCs w:val="24"/>
          <w:highlight w:val="none"/>
        </w:rPr>
        <w:t>（公章）：</w:t>
      </w:r>
      <w:r>
        <w:rPr>
          <w:rFonts w:hint="eastAsia"/>
          <w:color w:val="auto"/>
          <w:sz w:val="24"/>
          <w:szCs w:val="24"/>
          <w:highlight w:val="none"/>
          <w:u w:val="single"/>
          <w:lang w:val="en-US" w:eastAsia="zh-CN"/>
        </w:rPr>
        <w:t xml:space="preserve">                         </w:t>
      </w:r>
    </w:p>
    <w:p w14:paraId="57AD1438">
      <w:pPr>
        <w:spacing w:line="480" w:lineRule="exact"/>
        <w:ind w:firstLine="2880"/>
        <w:rPr>
          <w:rFonts w:hint="eastAsia" w:ascii="宋体" w:hAnsi="宋体"/>
          <w:color w:val="auto"/>
          <w:sz w:val="24"/>
          <w:szCs w:val="24"/>
          <w:highlight w:val="none"/>
        </w:rPr>
      </w:pPr>
      <w:r>
        <w:rPr>
          <w:rFonts w:hint="eastAsia" w:ascii="宋体" w:hAnsi="宋体"/>
          <w:color w:val="auto"/>
          <w:sz w:val="24"/>
          <w:szCs w:val="24"/>
          <w:highlight w:val="none"/>
          <w:lang w:val="en-US" w:eastAsia="zh-CN"/>
        </w:rPr>
        <w:t>法定代表人</w:t>
      </w:r>
      <w:r>
        <w:rPr>
          <w:rFonts w:hint="eastAsia" w:ascii="宋体" w:hAnsi="宋体"/>
          <w:color w:val="auto"/>
          <w:sz w:val="24"/>
          <w:szCs w:val="24"/>
          <w:highlight w:val="none"/>
        </w:rPr>
        <w:t>（</w:t>
      </w:r>
      <w:r>
        <w:rPr>
          <w:rFonts w:hint="eastAsia"/>
          <w:color w:val="auto"/>
          <w:sz w:val="24"/>
          <w:szCs w:val="24"/>
          <w:highlight w:val="none"/>
          <w:lang w:val="en-US" w:eastAsia="zh-CN"/>
        </w:rPr>
        <w:t>电子签章</w:t>
      </w:r>
      <w:r>
        <w:rPr>
          <w:rFonts w:hint="eastAsia" w:ascii="宋体" w:hAnsi="宋体"/>
          <w:color w:val="auto"/>
          <w:sz w:val="24"/>
          <w:szCs w:val="24"/>
          <w:highlight w:val="none"/>
        </w:rPr>
        <w:t>）：</w:t>
      </w:r>
      <w:r>
        <w:rPr>
          <w:rFonts w:hint="eastAsia"/>
          <w:color w:val="auto"/>
          <w:sz w:val="24"/>
          <w:szCs w:val="24"/>
          <w:highlight w:val="none"/>
          <w:u w:val="single"/>
          <w:lang w:val="en-US" w:eastAsia="zh-CN"/>
        </w:rPr>
        <w:t xml:space="preserve">               </w:t>
      </w:r>
    </w:p>
    <w:p w14:paraId="7BEAAA8A">
      <w:pPr>
        <w:spacing w:line="480" w:lineRule="exact"/>
        <w:ind w:firstLine="555"/>
        <w:rPr>
          <w:rFonts w:hint="eastAsia" w:ascii="宋体" w:hAnsi="宋体"/>
          <w:color w:val="auto"/>
          <w:sz w:val="24"/>
          <w:szCs w:val="2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年  月  日</w:t>
      </w:r>
    </w:p>
    <w:p w14:paraId="0A7BA227">
      <w:pPr>
        <w:rPr>
          <w:rFonts w:ascii="宋体" w:hAnsi="宋体"/>
          <w:color w:val="auto"/>
          <w:szCs w:val="21"/>
          <w:highlight w:val="none"/>
        </w:rPr>
      </w:pPr>
    </w:p>
    <w:p w14:paraId="62F11B04">
      <w:pPr>
        <w:pStyle w:val="4"/>
        <w:numPr>
          <w:ilvl w:val="0"/>
          <w:numId w:val="24"/>
        </w:numPr>
        <w:bidi w:val="0"/>
        <w:ind w:left="0" w:leftChars="0" w:firstLine="420" w:firstLineChars="0"/>
        <w:jc w:val="center"/>
        <w:rPr>
          <w:rFonts w:hint="eastAsia"/>
        </w:rPr>
      </w:pPr>
      <w:r>
        <w:rPr>
          <w:rFonts w:hint="eastAsia"/>
          <w:lang w:val="en-US" w:eastAsia="zh-CN"/>
        </w:rPr>
        <w:br w:type="page"/>
      </w:r>
      <w:r>
        <w:rPr>
          <w:rFonts w:hint="eastAsia"/>
        </w:rPr>
        <w:t>缴纳农民工工资保证金承诺</w:t>
      </w:r>
    </w:p>
    <w:p w14:paraId="0E44047A">
      <w:pPr>
        <w:rPr>
          <w:rFonts w:hint="eastAsia"/>
        </w:rPr>
      </w:pPr>
    </w:p>
    <w:p w14:paraId="2CB2093A">
      <w:pPr>
        <w:jc w:val="center"/>
        <w:rPr>
          <w:rFonts w:hint="eastAsia" w:ascii="宋体" w:hAnsi="宋体"/>
          <w:b/>
          <w:bCs/>
          <w:sz w:val="24"/>
          <w:szCs w:val="24"/>
        </w:rPr>
      </w:pPr>
    </w:p>
    <w:p w14:paraId="07EF9BE7">
      <w:pPr>
        <w:jc w:val="center"/>
        <w:rPr>
          <w:rFonts w:ascii="宋体" w:hAnsi="宋体"/>
          <w:b/>
          <w:sz w:val="24"/>
          <w:szCs w:val="24"/>
        </w:rPr>
      </w:pPr>
      <w:r>
        <w:rPr>
          <w:rFonts w:hint="eastAsia" w:ascii="宋体" w:hAnsi="宋体"/>
          <w:b/>
          <w:bCs/>
          <w:sz w:val="24"/>
          <w:szCs w:val="24"/>
        </w:rPr>
        <w:t>缴纳</w:t>
      </w:r>
      <w:r>
        <w:rPr>
          <w:rFonts w:hint="eastAsia" w:ascii="宋体" w:hAnsi="宋体"/>
          <w:b/>
          <w:sz w:val="24"/>
          <w:szCs w:val="24"/>
        </w:rPr>
        <w:t>农民工工资保证金承诺书</w:t>
      </w:r>
    </w:p>
    <w:p w14:paraId="20DDD7B3">
      <w:pPr>
        <w:widowControl/>
        <w:spacing w:after="200" w:line="276" w:lineRule="auto"/>
        <w:rPr>
          <w:rFonts w:hint="eastAsia" w:cs="宋体"/>
          <w:kern w:val="0"/>
          <w:sz w:val="24"/>
          <w:szCs w:val="24"/>
          <w:lang w:val="en-US" w:eastAsia="zh-CN"/>
        </w:rPr>
      </w:pPr>
    </w:p>
    <w:p w14:paraId="4AB38144">
      <w:pPr>
        <w:keepNext w:val="0"/>
        <w:keepLines w:val="0"/>
        <w:pageBreakBefore w:val="0"/>
        <w:widowControl/>
        <w:kinsoku/>
        <w:wordWrap w:val="0"/>
        <w:overflowPunct/>
        <w:topLinePunct/>
        <w:autoSpaceDE/>
        <w:autoSpaceDN/>
        <w:bidi w:val="0"/>
        <w:adjustRightInd/>
        <w:snapToGrid w:val="0"/>
        <w:spacing w:after="200" w:line="276" w:lineRule="auto"/>
        <w:textAlignment w:val="auto"/>
        <w:rPr>
          <w:rFonts w:hint="eastAsia" w:ascii="宋体" w:hAnsi="宋体" w:cs="宋体"/>
          <w:kern w:val="0"/>
          <w:sz w:val="24"/>
          <w:szCs w:val="24"/>
          <w:u w:val="single"/>
        </w:rPr>
      </w:pPr>
      <w:r>
        <w:rPr>
          <w:rFonts w:hint="eastAsia" w:cs="宋体"/>
          <w:kern w:val="0"/>
          <w:sz w:val="24"/>
          <w:szCs w:val="24"/>
          <w:lang w:val="en-US" w:eastAsia="zh-CN"/>
        </w:rPr>
        <w:t xml:space="preserve"> </w:t>
      </w:r>
      <w:r>
        <w:rPr>
          <w:rFonts w:hint="eastAsia" w:cs="宋体"/>
          <w:kern w:val="0"/>
          <w:sz w:val="24"/>
          <w:szCs w:val="24"/>
          <w:u w:val="single"/>
          <w:lang w:val="en-US" w:eastAsia="zh-CN"/>
        </w:rPr>
        <w:t xml:space="preserve">             </w:t>
      </w:r>
      <w:r>
        <w:rPr>
          <w:rFonts w:hint="eastAsia" w:ascii="宋体" w:hAnsi="宋体" w:cs="宋体"/>
          <w:kern w:val="0"/>
          <w:sz w:val="24"/>
          <w:szCs w:val="24"/>
          <w:u w:val="single"/>
        </w:rPr>
        <w:t>（</w:t>
      </w:r>
      <w:r>
        <w:rPr>
          <w:rFonts w:hint="eastAsia" w:cs="宋体"/>
          <w:kern w:val="0"/>
          <w:sz w:val="24"/>
          <w:szCs w:val="24"/>
          <w:u w:val="single"/>
          <w:lang w:val="en-US" w:eastAsia="zh-CN"/>
        </w:rPr>
        <w:t>采购人</w:t>
      </w:r>
      <w:r>
        <w:rPr>
          <w:rFonts w:hint="eastAsia" w:ascii="宋体" w:hAnsi="宋体" w:cs="宋体"/>
          <w:kern w:val="0"/>
          <w:sz w:val="24"/>
          <w:szCs w:val="24"/>
          <w:u w:val="single"/>
        </w:rPr>
        <w:t>名称）：</w:t>
      </w:r>
    </w:p>
    <w:p w14:paraId="39168DF0">
      <w:pPr>
        <w:keepNext w:val="0"/>
        <w:keepLines w:val="0"/>
        <w:pageBreakBefore w:val="0"/>
        <w:widowControl/>
        <w:kinsoku/>
        <w:wordWrap w:val="0"/>
        <w:overflowPunct/>
        <w:topLinePunct/>
        <w:autoSpaceDE/>
        <w:autoSpaceDN/>
        <w:bidi w:val="0"/>
        <w:adjustRightInd/>
        <w:snapToGrid w:val="0"/>
        <w:spacing w:after="200" w:line="276" w:lineRule="auto"/>
        <w:ind w:firstLine="720" w:firstLineChars="300"/>
        <w:textAlignment w:val="auto"/>
        <w:rPr>
          <w:rFonts w:ascii="宋体" w:hAnsi="宋体" w:cs="宋体"/>
          <w:kern w:val="0"/>
          <w:sz w:val="24"/>
          <w:szCs w:val="24"/>
        </w:rPr>
      </w:pPr>
      <w:r>
        <w:rPr>
          <w:rFonts w:hint="eastAsia" w:ascii="宋体" w:hAnsi="宋体" w:cs="宋体"/>
          <w:kern w:val="0"/>
          <w:sz w:val="24"/>
          <w:szCs w:val="24"/>
        </w:rPr>
        <w:t>我方在此声明，</w:t>
      </w:r>
      <w:r>
        <w:rPr>
          <w:rFonts w:hint="eastAsia" w:cs="宋体"/>
          <w:kern w:val="0"/>
          <w:sz w:val="24"/>
          <w:szCs w:val="24"/>
          <w:lang w:val="en-US" w:eastAsia="zh-CN"/>
        </w:rPr>
        <w:t>成交</w:t>
      </w:r>
      <w:r>
        <w:rPr>
          <w:rFonts w:hint="eastAsia" w:ascii="宋体" w:hAnsi="宋体" w:cs="宋体"/>
          <w:kern w:val="0"/>
          <w:sz w:val="24"/>
          <w:szCs w:val="24"/>
        </w:rPr>
        <w:t>后按豫人社规｛2022｝4号文件规定缴纳农</w:t>
      </w:r>
      <w:r>
        <w:rPr>
          <w:rFonts w:ascii="宋体" w:hAnsi="宋体" w:cs="宋体"/>
          <w:kern w:val="0"/>
          <w:sz w:val="24"/>
          <w:szCs w:val="24"/>
        </w:rPr>
        <w:t>民工工资</w:t>
      </w:r>
      <w:r>
        <w:rPr>
          <w:rFonts w:hint="eastAsia" w:ascii="宋体" w:hAnsi="宋体" w:cs="宋体"/>
          <w:kern w:val="0"/>
          <w:sz w:val="24"/>
          <w:szCs w:val="24"/>
        </w:rPr>
        <w:t>保证金</w:t>
      </w:r>
      <w:r>
        <w:rPr>
          <w:rFonts w:ascii="宋体" w:hAnsi="宋体" w:cs="宋体"/>
          <w:kern w:val="0"/>
          <w:sz w:val="24"/>
          <w:szCs w:val="24"/>
        </w:rPr>
        <w:t>。</w:t>
      </w:r>
    </w:p>
    <w:p w14:paraId="53910F8C">
      <w:pPr>
        <w:keepNext w:val="0"/>
        <w:keepLines w:val="0"/>
        <w:pageBreakBefore w:val="0"/>
        <w:widowControl/>
        <w:kinsoku/>
        <w:wordWrap w:val="0"/>
        <w:overflowPunct/>
        <w:topLinePunct/>
        <w:autoSpaceDE/>
        <w:autoSpaceDN/>
        <w:bidi w:val="0"/>
        <w:adjustRightInd/>
        <w:snapToGrid w:val="0"/>
        <w:spacing w:after="200" w:line="276" w:lineRule="auto"/>
        <w:jc w:val="center"/>
        <w:textAlignment w:val="auto"/>
        <w:rPr>
          <w:rFonts w:ascii="宋体" w:hAnsi="宋体" w:cs="宋体"/>
          <w:kern w:val="0"/>
          <w:sz w:val="24"/>
          <w:szCs w:val="24"/>
        </w:rPr>
      </w:pPr>
    </w:p>
    <w:p w14:paraId="1BA55D43">
      <w:pPr>
        <w:keepNext w:val="0"/>
        <w:keepLines w:val="0"/>
        <w:pageBreakBefore w:val="0"/>
        <w:widowControl/>
        <w:kinsoku/>
        <w:wordWrap w:val="0"/>
        <w:overflowPunct/>
        <w:topLinePunct/>
        <w:autoSpaceDE/>
        <w:autoSpaceDN/>
        <w:bidi w:val="0"/>
        <w:adjustRightInd/>
        <w:snapToGrid w:val="0"/>
        <w:spacing w:after="200" w:line="276" w:lineRule="auto"/>
        <w:ind w:firstLine="720" w:firstLineChars="300"/>
        <w:textAlignment w:val="auto"/>
        <w:rPr>
          <w:rFonts w:hint="eastAsia" w:ascii="宋体" w:hAnsi="宋体" w:eastAsia="宋体" w:cs="宋体"/>
          <w:kern w:val="0"/>
          <w:sz w:val="24"/>
          <w:szCs w:val="24"/>
          <w:lang w:eastAsia="zh-CN"/>
        </w:rPr>
      </w:pPr>
      <w:r>
        <w:rPr>
          <w:rFonts w:hint="eastAsia" w:ascii="宋体" w:hAnsi="宋体" w:cs="宋体"/>
          <w:kern w:val="0"/>
          <w:sz w:val="24"/>
          <w:szCs w:val="24"/>
        </w:rPr>
        <w:t>特此承诺</w:t>
      </w:r>
      <w:r>
        <w:rPr>
          <w:rFonts w:hint="eastAsia" w:cs="宋体"/>
          <w:kern w:val="0"/>
          <w:sz w:val="24"/>
          <w:szCs w:val="24"/>
          <w:lang w:eastAsia="zh-CN"/>
        </w:rPr>
        <w:t>，</w:t>
      </w:r>
    </w:p>
    <w:p w14:paraId="1ABAF1E8">
      <w:pPr>
        <w:widowControl/>
        <w:spacing w:after="200" w:line="276" w:lineRule="auto"/>
        <w:jc w:val="center"/>
        <w:rPr>
          <w:rFonts w:ascii="宋体" w:hAnsi="宋体" w:cs="宋体"/>
          <w:kern w:val="0"/>
          <w:sz w:val="24"/>
          <w:szCs w:val="24"/>
        </w:rPr>
      </w:pPr>
    </w:p>
    <w:p w14:paraId="63D32653">
      <w:pPr>
        <w:widowControl/>
        <w:spacing w:after="200" w:line="276" w:lineRule="auto"/>
        <w:jc w:val="center"/>
        <w:rPr>
          <w:rFonts w:ascii="宋体" w:hAnsi="宋体" w:cs="宋体"/>
          <w:kern w:val="0"/>
          <w:sz w:val="24"/>
          <w:szCs w:val="24"/>
        </w:rPr>
      </w:pPr>
    </w:p>
    <w:p w14:paraId="45937CB6">
      <w:pPr>
        <w:widowControl/>
        <w:spacing w:after="200" w:line="276" w:lineRule="auto"/>
        <w:jc w:val="center"/>
        <w:rPr>
          <w:rFonts w:hint="default" w:ascii="宋体" w:hAnsi="宋体" w:eastAsia="宋体" w:cs="宋体"/>
          <w:kern w:val="0"/>
          <w:sz w:val="24"/>
          <w:szCs w:val="24"/>
          <w:lang w:val="en-US" w:eastAsia="zh-CN"/>
        </w:rPr>
      </w:pPr>
      <w:r>
        <w:rPr>
          <w:rFonts w:hint="eastAsia" w:ascii="宋体" w:hAnsi="宋体" w:cs="宋体"/>
          <w:kern w:val="0"/>
          <w:sz w:val="24"/>
          <w:szCs w:val="24"/>
        </w:rPr>
        <w:t xml:space="preserve"> 　　　　　　　　　　　　　</w:t>
      </w:r>
      <w:r>
        <w:rPr>
          <w:rFonts w:hint="eastAsia" w:cs="宋体"/>
          <w:kern w:val="0"/>
          <w:sz w:val="24"/>
          <w:szCs w:val="24"/>
          <w:lang w:val="en-US" w:eastAsia="zh-CN"/>
        </w:rPr>
        <w:t>供应商</w:t>
      </w:r>
      <w:r>
        <w:rPr>
          <w:rFonts w:hint="eastAsia" w:ascii="宋体" w:hAnsi="宋体" w:cs="宋体"/>
          <w:kern w:val="0"/>
          <w:sz w:val="24"/>
          <w:szCs w:val="24"/>
        </w:rPr>
        <w:t>（</w:t>
      </w:r>
      <w:r>
        <w:rPr>
          <w:rFonts w:hint="eastAsia" w:ascii="宋体" w:hAnsi="Courier New"/>
          <w:kern w:val="0"/>
          <w:sz w:val="24"/>
          <w:szCs w:val="24"/>
        </w:rPr>
        <w:t>盖单位章</w:t>
      </w:r>
      <w:r>
        <w:rPr>
          <w:rFonts w:hint="eastAsia" w:ascii="宋体" w:hAnsi="宋体" w:cs="宋体"/>
          <w:kern w:val="0"/>
          <w:sz w:val="24"/>
          <w:szCs w:val="24"/>
        </w:rPr>
        <w:t>）：</w:t>
      </w:r>
      <w:r>
        <w:rPr>
          <w:rFonts w:hint="eastAsia" w:cs="宋体"/>
          <w:kern w:val="0"/>
          <w:sz w:val="24"/>
          <w:szCs w:val="24"/>
          <w:lang w:val="en-US" w:eastAsia="zh-CN"/>
        </w:rPr>
        <w:t xml:space="preserve"> </w:t>
      </w:r>
      <w:r>
        <w:rPr>
          <w:rFonts w:hint="eastAsia" w:cs="宋体"/>
          <w:kern w:val="0"/>
          <w:sz w:val="24"/>
          <w:szCs w:val="24"/>
          <w:u w:val="single"/>
          <w:lang w:val="en-US" w:eastAsia="zh-CN"/>
        </w:rPr>
        <w:t xml:space="preserve">             </w:t>
      </w:r>
    </w:p>
    <w:p w14:paraId="5BB80A7D">
      <w:pPr>
        <w:widowControl/>
        <w:spacing w:after="200" w:line="276" w:lineRule="auto"/>
        <w:jc w:val="center"/>
        <w:rPr>
          <w:rFonts w:hint="eastAsia" w:ascii="宋体" w:hAnsi="宋体" w:cs="宋体"/>
          <w:kern w:val="0"/>
          <w:szCs w:val="21"/>
        </w:rPr>
      </w:pPr>
      <w:r>
        <w:rPr>
          <w:rFonts w:hint="eastAsia" w:ascii="宋体" w:hAnsi="宋体" w:cs="宋体"/>
          <w:kern w:val="0"/>
          <w:sz w:val="24"/>
          <w:szCs w:val="24"/>
        </w:rPr>
        <w:t xml:space="preserve">                        年   月   日</w:t>
      </w:r>
    </w:p>
    <w:p w14:paraId="6FFEB7F7">
      <w:pPr>
        <w:pStyle w:val="4"/>
        <w:numPr>
          <w:ilvl w:val="0"/>
          <w:numId w:val="24"/>
        </w:numPr>
        <w:bidi w:val="0"/>
        <w:ind w:left="0" w:leftChars="0" w:firstLine="420" w:firstLineChars="0"/>
        <w:jc w:val="center"/>
        <w:rPr>
          <w:rFonts w:hint="default" w:ascii="宋体" w:hAnsi="宋体" w:eastAsia="宋体"/>
          <w:b/>
          <w:color w:val="auto"/>
          <w:szCs w:val="21"/>
          <w:highlight w:val="none"/>
          <w:lang w:val="en-US" w:eastAsia="zh-CN"/>
        </w:rPr>
      </w:pPr>
      <w:r>
        <w:rPr>
          <w:rFonts w:hint="eastAsia" w:ascii="宋体" w:hAnsi="宋体"/>
          <w:b/>
          <w:color w:val="auto"/>
          <w:szCs w:val="21"/>
          <w:highlight w:val="none"/>
        </w:rPr>
        <w:br w:type="page"/>
      </w:r>
      <w:r>
        <w:rPr>
          <w:rFonts w:hint="eastAsia"/>
          <w:b/>
          <w:color w:val="auto"/>
          <w:szCs w:val="21"/>
          <w:highlight w:val="none"/>
          <w:lang w:val="en-US" w:eastAsia="zh-CN"/>
        </w:rPr>
        <w:t>其他资料</w:t>
      </w:r>
    </w:p>
    <w:p w14:paraId="13863A31">
      <w:pPr>
        <w:rPr>
          <w:rFonts w:hint="eastAsia"/>
          <w:color w:val="auto"/>
          <w:highlight w:val="none"/>
        </w:rPr>
      </w:pPr>
    </w:p>
    <w:p w14:paraId="043C4164">
      <w:pPr>
        <w:pStyle w:val="23"/>
        <w:spacing w:line="500" w:lineRule="exact"/>
        <w:ind w:left="0" w:leftChars="0" w:firstLine="0" w:firstLineChars="0"/>
        <w:jc w:val="both"/>
        <w:rPr>
          <w:rFonts w:hint="eastAsia" w:ascii="宋体" w:hAnsi="宋体"/>
          <w:b/>
          <w:color w:val="auto"/>
          <w:szCs w:val="21"/>
          <w:highlight w:val="none"/>
        </w:rPr>
      </w:pPr>
    </w:p>
    <w:bookmarkEnd w:id="1723"/>
    <w:p w14:paraId="308274B2">
      <w:pPr>
        <w:rPr>
          <w:color w:val="auto"/>
          <w:highlight w:val="none"/>
        </w:rPr>
      </w:pPr>
    </w:p>
    <w:p w14:paraId="5261CDC6">
      <w:pPr>
        <w:pStyle w:val="47"/>
        <w:rPr>
          <w:color w:val="auto"/>
          <w:highlight w:val="none"/>
        </w:rPr>
      </w:pPr>
    </w:p>
    <w:p w14:paraId="1999B0A0">
      <w:pPr>
        <w:pStyle w:val="91"/>
        <w:rPr>
          <w:color w:val="auto"/>
          <w:highlight w:val="none"/>
        </w:rPr>
      </w:pPr>
    </w:p>
    <w:p w14:paraId="0CD4D410">
      <w:pPr>
        <w:rPr>
          <w:color w:val="auto"/>
          <w:highlight w:val="none"/>
        </w:rPr>
      </w:pPr>
    </w:p>
    <w:p w14:paraId="5A64B972">
      <w:pPr>
        <w:pStyle w:val="47"/>
        <w:rPr>
          <w:color w:val="auto"/>
          <w:highlight w:val="none"/>
        </w:rPr>
      </w:pPr>
    </w:p>
    <w:p w14:paraId="56EC39EB">
      <w:pPr>
        <w:pStyle w:val="91"/>
        <w:rPr>
          <w:color w:val="auto"/>
          <w:highlight w:val="none"/>
        </w:rPr>
      </w:pPr>
    </w:p>
    <w:p w14:paraId="70D51CCA">
      <w:pPr>
        <w:rPr>
          <w:color w:val="auto"/>
          <w:highlight w:val="none"/>
        </w:rPr>
      </w:pPr>
    </w:p>
    <w:p w14:paraId="73BBFE12">
      <w:pPr>
        <w:pStyle w:val="47"/>
        <w:rPr>
          <w:color w:val="auto"/>
          <w:highlight w:val="none"/>
        </w:rPr>
      </w:pPr>
    </w:p>
    <w:p w14:paraId="63C82733">
      <w:pPr>
        <w:pStyle w:val="91"/>
        <w:rPr>
          <w:color w:val="auto"/>
          <w:highlight w:val="none"/>
        </w:rPr>
      </w:pPr>
    </w:p>
    <w:p w14:paraId="4ACF6DD6">
      <w:pPr>
        <w:rPr>
          <w:color w:val="auto"/>
          <w:highlight w:val="none"/>
        </w:rPr>
      </w:pPr>
    </w:p>
    <w:p w14:paraId="7CE754CE">
      <w:pPr>
        <w:pStyle w:val="47"/>
        <w:rPr>
          <w:color w:val="auto"/>
          <w:highlight w:val="none"/>
        </w:rPr>
      </w:pPr>
    </w:p>
    <w:p w14:paraId="02F7A925">
      <w:pPr>
        <w:pStyle w:val="91"/>
        <w:rPr>
          <w:color w:val="auto"/>
          <w:highlight w:val="none"/>
        </w:rPr>
      </w:pPr>
    </w:p>
    <w:p w14:paraId="61AFE15B">
      <w:pPr>
        <w:rPr>
          <w:color w:val="auto"/>
          <w:highlight w:val="none"/>
        </w:rPr>
      </w:pPr>
    </w:p>
    <w:p w14:paraId="537E0913">
      <w:pPr>
        <w:pStyle w:val="47"/>
        <w:rPr>
          <w:rFonts w:hint="default"/>
          <w:color w:val="auto"/>
          <w:highlight w:val="none"/>
          <w:lang w:val="en-US" w:eastAsia="zh-CN"/>
        </w:rPr>
      </w:pPr>
    </w:p>
    <w:sectPr>
      <w:pgSz w:w="11907" w:h="16840"/>
      <w:pgMar w:top="1400" w:right="1418" w:bottom="1089" w:left="1418" w:header="850" w:footer="850" w:gutter="0"/>
      <w:paperSrc/>
      <w:pgBorders>
        <w:top w:val="none" w:sz="0" w:space="0"/>
        <w:left w:val="none" w:sz="0" w:space="0"/>
        <w:bottom w:val="none" w:sz="0" w:space="0"/>
        <w:right w:val="none" w:sz="0" w:space="0"/>
      </w:pgBorders>
      <w:pgNumType w:fmt="decimal"/>
      <w:cols w:space="720" w:num="1"/>
      <w:rtlGutter w:val="0"/>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_GB2312">
    <w:panose1 w:val="0201060903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40001" w:csb1="00000000"/>
  </w:font>
  <w:font w:name="幼圆">
    <w:altName w:val="宋体"/>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C3AF0">
    <w:pPr>
      <w:spacing w:line="172" w:lineRule="auto"/>
      <w:ind w:left="4699"/>
      <w:rPr>
        <w:rFonts w:eastAsia="Times New Roman"/>
        <w:sz w:val="14"/>
        <w:szCs w:val="14"/>
      </w:rPr>
    </w:pPr>
    <w:r>
      <w:rPr>
        <w:sz w:val="14"/>
      </w:rPr>
      <mc:AlternateContent>
        <mc:Choice Requires="wps">
          <w:drawing>
            <wp:anchor distT="0" distB="0" distL="114300" distR="114300" simplePos="0" relativeHeight="251662336" behindDoc="0" locked="0" layoutInCell="1" allowOverlap="1">
              <wp:simplePos x="0" y="0"/>
              <wp:positionH relativeFrom="margin">
                <wp:posOffset>2853055</wp:posOffset>
              </wp:positionH>
              <wp:positionV relativeFrom="paragraph">
                <wp:posOffset>-175895</wp:posOffset>
              </wp:positionV>
              <wp:extent cx="1828800" cy="1828800"/>
              <wp:effectExtent l="0" t="0" r="0" b="0"/>
              <wp:wrapNone/>
              <wp:docPr id="7"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2FDECC">
                          <w:pPr>
                            <w:pStyle w:val="32"/>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35" o:spid="_x0000_s1026" o:spt="202" type="#_x0000_t202" style="position:absolute;left:0pt;margin-left:224.65pt;margin-top:-13.85pt;height:144pt;width:144pt;mso-position-horizontal-relative:margin;mso-wrap-style:none;z-index:251662336;mso-width-relative:page;mso-height-relative:page;" filled="f" stroked="f" coordsize="21600,21600" o:gfxdata="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fha/nYAAAACwEAAA8A&#10;AAAAAAAAAQAgAAAAIgAAAGRycy9kb3ducmV2LnhtbFBLAQIUABQAAAAIAIdO4kCqh8Ug3gEAAL8D&#10;AAAOAAAAAAAAAAEAIAAAACcBAABkcnMvZTJvRG9jLnhtbFBLBQYAAAAABgAGAFkBAAB3BQAAAAA=&#10;">
              <v:fill on="f" focussize="0,0"/>
              <v:stroke on="f"/>
              <v:imagedata o:title=""/>
              <o:lock v:ext="edit" aspectratio="f"/>
              <v:textbox inset="0mm,0mm,0mm,0mm" style="mso-fit-shape-to-text:t;">
                <w:txbxContent>
                  <w:p w14:paraId="162FDECC">
                    <w:pPr>
                      <w:pStyle w:val="3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E33FC">
    <w:pPr>
      <w:spacing w:line="169" w:lineRule="auto"/>
      <w:ind w:left="4709"/>
      <w:rPr>
        <w:rFonts w:ascii="宋体" w:hAnsi="宋体" w:cs="宋体"/>
        <w:sz w:val="14"/>
        <w:szCs w:val="14"/>
      </w:rPr>
    </w:pPr>
    <w:r>
      <w:rPr>
        <w:sz w:val="1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0B4979">
                          <w:pPr>
                            <w:pStyle w:val="32"/>
                          </w:pPr>
                          <w:r>
                            <w:fldChar w:fldCharType="begin"/>
                          </w:r>
                          <w:r>
                            <w:instrText xml:space="preserve"> PAGE  \* MERGEFORMAT </w:instrText>
                          </w:r>
                          <w:r>
                            <w:fldChar w:fldCharType="separate"/>
                          </w:r>
                          <w:r>
                            <w:t>74</w:t>
                          </w:r>
                          <w:r>
                            <w:fldChar w:fldCharType="end"/>
                          </w:r>
                        </w:p>
                      </w:txbxContent>
                    </wps:txbx>
                    <wps:bodyPr vert="horz" wrap="none" lIns="0" tIns="0" rIns="0" bIns="0" anchor="t" anchorCtr="0" upright="0">
                      <a:spAutoFit/>
                    </wps:bodyPr>
                  </wps:wsp>
                </a:graphicData>
              </a:graphic>
            </wp:anchor>
          </w:drawing>
        </mc:Choice>
        <mc:Fallback>
          <w:pict>
            <v:shape id="文本框 3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jFSjP3gEAAL8DAAAOAAAAAAAA&#10;AAEAIAAAAB4BAABkcnMvZTJvRG9jLnhtbFBLBQYAAAAABgAGAFkBAABuBQAAAAA=&#10;">
              <v:fill on="f" focussize="0,0"/>
              <v:stroke on="f"/>
              <v:imagedata o:title=""/>
              <o:lock v:ext="edit" aspectratio="f"/>
              <v:textbox inset="0mm,0mm,0mm,0mm" style="mso-fit-shape-to-text:t;">
                <w:txbxContent>
                  <w:p w14:paraId="7E0B4979">
                    <w:pPr>
                      <w:pStyle w:val="32"/>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A34F0">
    <w:pPr>
      <w:pStyle w:val="32"/>
      <w:pBdr>
        <w:top w:val="none" w:color="auto" w:sz="0" w:space="1"/>
        <w:left w:val="none" w:color="auto" w:sz="0" w:space="0"/>
        <w:bottom w:val="none" w:color="auto" w:sz="0" w:space="0"/>
        <w:right w:val="none" w:color="auto" w:sz="0" w:space="0"/>
        <w:between w:val="none" w:color="auto" w:sz="0" w:space="0"/>
      </w:pBdr>
      <w:ind w:right="360"/>
      <w:jc w:val="center"/>
      <w:rPr>
        <w:rStyle w:val="52"/>
        <w:rFonts w:hint="eastAsia" w:ascii="宋体" w:hAnsi="宋体"/>
        <w:sz w:val="24"/>
        <w:szCs w:val="24"/>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88B83D">
                          <w:pPr>
                            <w:pStyle w:val="32"/>
                            <w:keepNext w:val="0"/>
                            <w:keepLines w:val="0"/>
                            <w:pageBreakBefore w:val="0"/>
                            <w:widowControl w:val="0"/>
                            <w:kinsoku/>
                            <w:wordWrap w:val="0"/>
                            <w:overflowPunct/>
                            <w:topLinePunct/>
                            <w:bidi w:val="0"/>
                            <w:adjustRightInd/>
                            <w:snapToGrid w:val="0"/>
                            <w:ind w:left="120" w:leftChars="50" w:right="120" w:rightChars="50"/>
                            <w:textAlignment w:val="auto"/>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3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X35joN8BAAC/AwAADgAAAAAA&#10;AAABACAAAAAeAQAAZHJzL2Uyb0RvYy54bWxQSwUGAAAAAAYABgBZAQAAbwUAAAAA&#10;">
              <v:fill on="f" focussize="0,0"/>
              <v:stroke on="f"/>
              <v:imagedata o:title=""/>
              <o:lock v:ext="edit" aspectratio="f"/>
              <v:textbox inset="0mm,0mm,0mm,0mm" style="mso-fit-shape-to-text:t;">
                <w:txbxContent>
                  <w:p w14:paraId="0688B83D">
                    <w:pPr>
                      <w:pStyle w:val="32"/>
                      <w:keepNext w:val="0"/>
                      <w:keepLines w:val="0"/>
                      <w:pageBreakBefore w:val="0"/>
                      <w:widowControl w:val="0"/>
                      <w:kinsoku/>
                      <w:wordWrap w:val="0"/>
                      <w:overflowPunct/>
                      <w:topLinePunct/>
                      <w:bidi w:val="0"/>
                      <w:adjustRightInd/>
                      <w:snapToGrid w:val="0"/>
                      <w:ind w:left="120" w:leftChars="50" w:right="120" w:rightChars="50"/>
                      <w:textAlignment w:val="auto"/>
                    </w:pPr>
                    <w:r>
                      <w:fldChar w:fldCharType="begin"/>
                    </w:r>
                    <w:r>
                      <w:instrText xml:space="preserve"> PAGE  \* MERGEFORMAT </w:instrText>
                    </w:r>
                    <w:r>
                      <w:fldChar w:fldCharType="separate"/>
                    </w:r>
                    <w:r>
                      <w:t>1</w:t>
                    </w:r>
                    <w:r>
                      <w:fldChar w:fldCharType="end"/>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14A7C6">
                          <w:pPr>
                            <w:pStyle w:val="32"/>
                            <w:keepNext w:val="0"/>
                            <w:keepLines w:val="0"/>
                            <w:pageBreakBefore w:val="0"/>
                            <w:widowControl w:val="0"/>
                            <w:kinsoku/>
                            <w:wordWrap w:val="0"/>
                            <w:overflowPunct/>
                            <w:topLinePunct/>
                            <w:bidi w:val="0"/>
                            <w:adjustRightInd/>
                            <w:snapToGrid w:val="0"/>
                            <w:jc w:val="center"/>
                            <w:textAlignment w:val="auto"/>
                            <w:rPr>
                              <w:rFonts w:hint="eastAsia" w:eastAsia="宋体"/>
                              <w:lang w:eastAsia="zh-CN"/>
                            </w:rPr>
                          </w:pPr>
                        </w:p>
                      </w:txbxContent>
                    </wps:txbx>
                    <wps:bodyPr wrap="none" lIns="0" tIns="0" rIns="0" bIns="0" upright="0">
                      <a:spAutoFit/>
                    </wps:bodyPr>
                  </wps:wsp>
                </a:graphicData>
              </a:graphic>
            </wp:anchor>
          </w:drawing>
        </mc:Choice>
        <mc:Fallback>
          <w:pict>
            <v:shape id="文本框 33"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KqpTMoBAACaAwAADgAAAGRycy9lMm9Eb2MueG1srVPNjtMwEL4j8Q6W&#10;79TZLkJ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19T4rjFgZ9/fD///H3+9Y1c&#10;X2d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wKqpTMoBAACaAwAADgAAAAAAAAABACAAAAAeAQAAZHJzL2Uyb0Rv&#10;Yy54bWxQSwUGAAAAAAYABgBZAQAAWgUAAAAA&#10;">
              <v:fill on="f" focussize="0,0"/>
              <v:stroke on="f"/>
              <v:imagedata o:title=""/>
              <o:lock v:ext="edit" aspectratio="f"/>
              <v:textbox inset="0mm,0mm,0mm,0mm" style="mso-fit-shape-to-text:t;">
                <w:txbxContent>
                  <w:p w14:paraId="7D14A7C6">
                    <w:pPr>
                      <w:pStyle w:val="32"/>
                      <w:keepNext w:val="0"/>
                      <w:keepLines w:val="0"/>
                      <w:pageBreakBefore w:val="0"/>
                      <w:widowControl w:val="0"/>
                      <w:kinsoku/>
                      <w:wordWrap w:val="0"/>
                      <w:overflowPunct/>
                      <w:topLinePunct/>
                      <w:bidi w:val="0"/>
                      <w:adjustRightInd/>
                      <w:snapToGrid w:val="0"/>
                      <w:jc w:val="center"/>
                      <w:textAlignment w:val="auto"/>
                      <w:rPr>
                        <w:rFonts w:hint="eastAsia" w:eastAsia="宋体"/>
                        <w:lang w:eastAsia="zh-CN"/>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A6DF4">
    <w:pPr>
      <w:pStyle w:val="3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A97D1E">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3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7dgfAd8BAAC/AwAADgAAAAAA&#10;AAABACAAAAAeAQAAZHJzL2Uyb0RvYy54bWxQSwUGAAAAAAYABgBZAQAAbwUAAAAA&#10;">
              <v:fill on="f" focussize="0,0"/>
              <v:stroke on="f"/>
              <v:imagedata o:title=""/>
              <o:lock v:ext="edit" aspectratio="f"/>
              <v:textbox inset="0mm,0mm,0mm,0mm" style="mso-fit-shape-to-text:t;">
                <w:txbxContent>
                  <w:p w14:paraId="34A97D1E">
                    <w:pPr>
                      <w:pStyle w:val="3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6CDA4">
    <w:pPr>
      <w:widowControl w:val="0"/>
      <w:pBdr>
        <w:top w:val="none" w:color="auto" w:sz="0" w:space="1"/>
        <w:left w:val="none" w:color="auto" w:sz="0" w:space="4"/>
        <w:bottom w:val="single" w:color="auto" w:sz="4" w:space="1"/>
        <w:right w:val="none" w:color="auto" w:sz="0" w:space="4"/>
        <w:between w:val="none" w:color="auto" w:sz="0" w:space="0"/>
      </w:pBdr>
      <w:tabs>
        <w:tab w:val="left" w:pos="7567"/>
      </w:tabs>
      <w:wordWrap w:val="0"/>
      <w:topLinePunct/>
      <w:jc w:val="left"/>
      <w:rPr>
        <w:rFonts w:hint="eastAsia" w:ascii="宋体" w:hAnsi="宋体" w:eastAsia="宋体" w:cs="宋体"/>
        <w:color w:val="000000"/>
        <w:kern w:val="2"/>
        <w:sz w:val="18"/>
        <w:szCs w:val="21"/>
        <w:lang w:val="en-US" w:eastAsia="zh-CN" w:bidi="ar-SA"/>
      </w:rPr>
    </w:pPr>
    <w:r>
      <w:rPr>
        <w:rFonts w:hint="eastAsia" w:ascii="宋体" w:hAnsi="宋体" w:eastAsia="宋体" w:cs="宋体"/>
        <w:color w:val="000000"/>
        <w:kern w:val="2"/>
        <w:sz w:val="18"/>
        <w:szCs w:val="21"/>
        <w:lang w:val="en-US" w:eastAsia="zh-CN" w:bidi="ar-SA"/>
      </w:rPr>
      <w:t>陕州区S312线桥头沟大桥预防性养护项目竞争性磋商文件</w:t>
    </w:r>
  </w:p>
  <w:p w14:paraId="1FC5746C">
    <w:pPr>
      <w:pStyle w:val="33"/>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val="0"/>
      <w:overflowPunct/>
      <w:topLinePunct/>
      <w:bidi w:val="0"/>
      <w:adjustRightInd w:val="0"/>
      <w:snapToGrid w:val="0"/>
      <w:spacing w:line="240" w:lineRule="auto"/>
      <w:ind w:firstLine="0" w:firstLineChars="0"/>
      <w:textAlignment w:val="auto"/>
      <w:rPr>
        <w:rFonts w:hint="eastAsia" w:ascii="仿宋" w:hAnsi="仿宋" w:eastAsia="仿宋" w:cs="仿宋"/>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BE422">
    <w:pPr>
      <w:pStyle w:val="33"/>
      <w:pBdr>
        <w:top w:val="none" w:color="auto" w:sz="0" w:space="0"/>
        <w:left w:val="none" w:color="auto" w:sz="0" w:space="0"/>
        <w:bottom w:val="none" w:color="auto" w:sz="0" w:space="1"/>
        <w:right w:val="none" w:color="auto" w:sz="0" w:space="0"/>
        <w:between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12193">
    <w:pPr>
      <w:widowControl w:val="0"/>
      <w:pBdr>
        <w:top w:val="none" w:color="auto" w:sz="0" w:space="1"/>
        <w:left w:val="none" w:color="auto" w:sz="0" w:space="4"/>
        <w:bottom w:val="single" w:color="auto" w:sz="4" w:space="1"/>
        <w:right w:val="none" w:color="auto" w:sz="0" w:space="4"/>
        <w:between w:val="none" w:color="auto" w:sz="0" w:space="0"/>
      </w:pBdr>
      <w:tabs>
        <w:tab w:val="left" w:pos="7567"/>
      </w:tabs>
      <w:wordWrap w:val="0"/>
      <w:topLinePunct/>
      <w:jc w:val="left"/>
      <w:rPr>
        <w:rFonts w:hint="eastAsia" w:ascii="宋体" w:hAnsi="宋体" w:eastAsia="宋体" w:cs="宋体"/>
        <w:color w:val="000000"/>
        <w:kern w:val="2"/>
        <w:sz w:val="18"/>
        <w:szCs w:val="21"/>
        <w:lang w:val="en-US" w:eastAsia="zh-CN" w:bidi="ar-SA"/>
      </w:rPr>
    </w:pPr>
    <w:r>
      <w:rPr>
        <w:rFonts w:hint="eastAsia" w:ascii="宋体" w:hAnsi="宋体" w:eastAsia="宋体" w:cs="宋体"/>
        <w:color w:val="000000"/>
        <w:kern w:val="2"/>
        <w:sz w:val="18"/>
        <w:szCs w:val="21"/>
        <w:lang w:val="en-US" w:eastAsia="zh-CN" w:bidi="ar-SA"/>
      </w:rPr>
      <w:t>陕州区S312线桥头沟大桥预防性养护项目竞争性磋商文件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EA3F9">
    <w:pPr>
      <w:pStyle w:val="33"/>
      <w:widowControl w:val="0"/>
      <w:pBdr>
        <w:top w:val="none" w:color="auto" w:sz="0" w:space="1"/>
        <w:left w:val="none" w:color="auto" w:sz="0" w:space="4"/>
        <w:bottom w:val="single" w:color="auto" w:sz="4" w:space="1"/>
        <w:right w:val="none" w:color="auto" w:sz="0" w:space="4"/>
        <w:between w:val="none" w:color="auto" w:sz="0" w:space="0"/>
      </w:pBdr>
      <w:wordWrap w:val="0"/>
      <w:topLinePunct/>
      <w:snapToGrid w:val="0"/>
      <w:jc w:val="both"/>
      <w:rPr>
        <w:rFonts w:hint="eastAsia" w:eastAsia="宋体"/>
        <w:lang w:eastAsia="zh-CN"/>
      </w:rPr>
    </w:pPr>
    <w:r>
      <w:rPr>
        <w:rFonts w:hint="eastAsia"/>
        <w:lang w:eastAsia="zh-CN"/>
      </w:rPr>
      <w:t>陕州区S312线桥头沟大桥预防性养护项目竞争性磋商文件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ACAC66"/>
    <w:multiLevelType w:val="singleLevel"/>
    <w:tmpl w:val="81ACAC66"/>
    <w:lvl w:ilvl="0" w:tentative="0">
      <w:start w:val="1"/>
      <w:numFmt w:val="chineseCounting"/>
      <w:suff w:val="nothing"/>
      <w:lvlText w:val="%1、"/>
      <w:lvlJc w:val="left"/>
      <w:rPr>
        <w:rFonts w:hint="eastAsia"/>
      </w:rPr>
    </w:lvl>
  </w:abstractNum>
  <w:abstractNum w:abstractNumId="1">
    <w:nsid w:val="8A961AF3"/>
    <w:multiLevelType w:val="singleLevel"/>
    <w:tmpl w:val="8A961AF3"/>
    <w:lvl w:ilvl="0" w:tentative="0">
      <w:start w:val="1"/>
      <w:numFmt w:val="decimal"/>
      <w:suff w:val="space"/>
      <w:lvlText w:val="(%1)"/>
      <w:lvlJc w:val="left"/>
      <w:pPr>
        <w:ind w:left="1385" w:hanging="425"/>
      </w:pPr>
      <w:rPr>
        <w:rFonts w:hint="default"/>
      </w:rPr>
    </w:lvl>
  </w:abstractNum>
  <w:abstractNum w:abstractNumId="2">
    <w:nsid w:val="8D78B508"/>
    <w:multiLevelType w:val="singleLevel"/>
    <w:tmpl w:val="8D78B508"/>
    <w:lvl w:ilvl="0" w:tentative="0">
      <w:start w:val="1"/>
      <w:numFmt w:val="chineseCounting"/>
      <w:suff w:val="nothing"/>
      <w:lvlText w:val="（%1）"/>
      <w:lvlJc w:val="left"/>
      <w:pPr>
        <w:ind w:left="0" w:firstLine="420"/>
      </w:pPr>
      <w:rPr>
        <w:rFonts w:hint="eastAsia"/>
      </w:rPr>
    </w:lvl>
  </w:abstractNum>
  <w:abstractNum w:abstractNumId="3">
    <w:nsid w:val="A0647C4F"/>
    <w:multiLevelType w:val="multilevel"/>
    <w:tmpl w:val="A0647C4F"/>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ascii="宋体" w:hAnsi="宋体" w:eastAsia="宋体" w:cs="宋体"/>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AEB4568E"/>
    <w:multiLevelType w:val="singleLevel"/>
    <w:tmpl w:val="AEB4568E"/>
    <w:lvl w:ilvl="0" w:tentative="0">
      <w:start w:val="3"/>
      <w:numFmt w:val="chineseCounting"/>
      <w:suff w:val="space"/>
      <w:lvlText w:val="第%1章"/>
      <w:lvlJc w:val="left"/>
      <w:rPr>
        <w:rFonts w:hint="eastAsia"/>
      </w:rPr>
    </w:lvl>
  </w:abstractNum>
  <w:abstractNum w:abstractNumId="5">
    <w:nsid w:val="B4E65505"/>
    <w:multiLevelType w:val="singleLevel"/>
    <w:tmpl w:val="B4E65505"/>
    <w:lvl w:ilvl="0" w:tentative="0">
      <w:start w:val="1"/>
      <w:numFmt w:val="decimal"/>
      <w:lvlText w:val="%1."/>
      <w:lvlJc w:val="left"/>
      <w:pPr>
        <w:tabs>
          <w:tab w:val="left" w:pos="312"/>
        </w:tabs>
      </w:pPr>
    </w:lvl>
  </w:abstractNum>
  <w:abstractNum w:abstractNumId="6">
    <w:nsid w:val="BE9B0E44"/>
    <w:multiLevelType w:val="singleLevel"/>
    <w:tmpl w:val="BE9B0E44"/>
    <w:lvl w:ilvl="0" w:tentative="0">
      <w:start w:val="1"/>
      <w:numFmt w:val="decimal"/>
      <w:suff w:val="space"/>
      <w:lvlText w:val="(%1)"/>
      <w:lvlJc w:val="left"/>
      <w:pPr>
        <w:ind w:left="425" w:hanging="425"/>
      </w:pPr>
      <w:rPr>
        <w:rFonts w:hint="default"/>
      </w:rPr>
    </w:lvl>
  </w:abstractNum>
  <w:abstractNum w:abstractNumId="7">
    <w:nsid w:val="CB1D8D4A"/>
    <w:multiLevelType w:val="singleLevel"/>
    <w:tmpl w:val="CB1D8D4A"/>
    <w:lvl w:ilvl="0" w:tentative="0">
      <w:start w:val="1"/>
      <w:numFmt w:val="decimal"/>
      <w:suff w:val="space"/>
      <w:lvlText w:val="(%1)"/>
      <w:lvlJc w:val="left"/>
      <w:pPr>
        <w:ind w:left="425" w:hanging="425"/>
      </w:pPr>
      <w:rPr>
        <w:rFonts w:hint="default"/>
      </w:rPr>
    </w:lvl>
  </w:abstractNum>
  <w:abstractNum w:abstractNumId="8">
    <w:nsid w:val="E6718CB8"/>
    <w:multiLevelType w:val="singleLevel"/>
    <w:tmpl w:val="E6718CB8"/>
    <w:lvl w:ilvl="0" w:tentative="0">
      <w:start w:val="1"/>
      <w:numFmt w:val="chineseCounting"/>
      <w:suff w:val="nothing"/>
      <w:lvlText w:val="（%1）"/>
      <w:lvlJc w:val="left"/>
      <w:rPr>
        <w:rFonts w:hint="eastAsia"/>
      </w:rPr>
    </w:lvl>
  </w:abstractNum>
  <w:abstractNum w:abstractNumId="9">
    <w:nsid w:val="F3F79CC7"/>
    <w:multiLevelType w:val="singleLevel"/>
    <w:tmpl w:val="F3F79CC7"/>
    <w:lvl w:ilvl="0" w:tentative="0">
      <w:start w:val="1"/>
      <w:numFmt w:val="decimal"/>
      <w:lvlText w:val="(%1)"/>
      <w:lvlJc w:val="left"/>
      <w:pPr>
        <w:ind w:left="425" w:hanging="425"/>
      </w:pPr>
      <w:rPr>
        <w:rFonts w:hint="default"/>
      </w:rPr>
    </w:lvl>
  </w:abstractNum>
  <w:abstractNum w:abstractNumId="10">
    <w:nsid w:val="FC9098F0"/>
    <w:multiLevelType w:val="multilevel"/>
    <w:tmpl w:val="FC9098F0"/>
    <w:lvl w:ilvl="0" w:tentative="0">
      <w:start w:val="1"/>
      <w:numFmt w:val="decimal"/>
      <w:suff w:val="nothing"/>
      <w:lvlText w:val="%1."/>
      <w:lvlJc w:val="left"/>
      <w:pPr>
        <w:ind w:left="425" w:hanging="425"/>
      </w:pPr>
      <w:rPr>
        <w:rFonts w:hint="default"/>
      </w:rPr>
    </w:lvl>
    <w:lvl w:ilvl="1" w:tentative="0">
      <w:start w:val="1"/>
      <w:numFmt w:val="decimal"/>
      <w:suff w:val="space"/>
      <w:lvlText w:val="%1.%2"/>
      <w:lvlJc w:val="left"/>
      <w:pPr>
        <w:ind w:left="0" w:firstLine="0"/>
      </w:pPr>
      <w:rPr>
        <w:rFonts w:hint="default" w:ascii="宋体" w:hAnsi="宋体" w:eastAsia="宋体" w:cs="宋体"/>
        <w:b/>
        <w:bCs/>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1">
    <w:nsid w:val="FCC59B67"/>
    <w:multiLevelType w:val="singleLevel"/>
    <w:tmpl w:val="FCC59B67"/>
    <w:lvl w:ilvl="0" w:tentative="0">
      <w:start w:val="1"/>
      <w:numFmt w:val="decimal"/>
      <w:lvlText w:val="(%1)"/>
      <w:lvlJc w:val="left"/>
      <w:pPr>
        <w:ind w:left="425" w:hanging="425"/>
      </w:pPr>
      <w:rPr>
        <w:rFonts w:hint="default" w:ascii="宋体" w:hAnsi="宋体" w:eastAsia="宋体" w:cs="宋体"/>
        <w:sz w:val="21"/>
        <w:szCs w:val="21"/>
      </w:rPr>
    </w:lvl>
  </w:abstractNum>
  <w:abstractNum w:abstractNumId="12">
    <w:nsid w:val="0000000E"/>
    <w:multiLevelType w:val="multilevel"/>
    <w:tmpl w:val="0000000E"/>
    <w:lvl w:ilvl="0" w:tentative="0">
      <w:start w:val="1"/>
      <w:numFmt w:val="decimal"/>
      <w:pStyle w:val="148"/>
      <w:lvlText w:val="%1"/>
      <w:lvlJc w:val="left"/>
      <w:pPr>
        <w:tabs>
          <w:tab w:val="left" w:pos="432"/>
        </w:tabs>
        <w:ind w:left="432" w:hanging="432"/>
      </w:pPr>
      <w:rPr>
        <w:rFonts w:hint="eastAsia"/>
      </w:rPr>
    </w:lvl>
    <w:lvl w:ilvl="1" w:tentative="0">
      <w:start w:val="1"/>
      <w:numFmt w:val="decimal"/>
      <w:pStyle w:val="149"/>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3">
    <w:nsid w:val="063B2C10"/>
    <w:multiLevelType w:val="multilevel"/>
    <w:tmpl w:val="063B2C10"/>
    <w:lvl w:ilvl="0" w:tentative="0">
      <w:start w:val="1"/>
      <w:numFmt w:val="decimal"/>
      <w:lvlText w:val="（%1）"/>
      <w:lvlJc w:val="left"/>
      <w:pPr>
        <w:tabs>
          <w:tab w:val="left" w:pos="720"/>
        </w:tabs>
        <w:ind w:left="720" w:hanging="720"/>
      </w:pPr>
      <w:rPr>
        <w:rFonts w:hint="default"/>
      </w:rPr>
    </w:lvl>
    <w:lvl w:ilvl="1" w:tentative="0">
      <w:start w:val="1"/>
      <w:numFmt w:val="upperLetter"/>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1298A380"/>
    <w:multiLevelType w:val="singleLevel"/>
    <w:tmpl w:val="1298A380"/>
    <w:lvl w:ilvl="0" w:tentative="0">
      <w:start w:val="1"/>
      <w:numFmt w:val="decimal"/>
      <w:suff w:val="space"/>
      <w:lvlText w:val="(%1)"/>
      <w:lvlJc w:val="left"/>
      <w:pPr>
        <w:ind w:left="425" w:hanging="425"/>
      </w:pPr>
      <w:rPr>
        <w:rFonts w:hint="default"/>
      </w:rPr>
    </w:lvl>
  </w:abstractNum>
  <w:abstractNum w:abstractNumId="15">
    <w:nsid w:val="17DCB180"/>
    <w:multiLevelType w:val="singleLevel"/>
    <w:tmpl w:val="17DCB180"/>
    <w:lvl w:ilvl="0" w:tentative="0">
      <w:start w:val="1"/>
      <w:numFmt w:val="decimal"/>
      <w:lvlText w:val="%1."/>
      <w:lvlJc w:val="left"/>
      <w:pPr>
        <w:tabs>
          <w:tab w:val="left" w:pos="312"/>
        </w:tabs>
      </w:pPr>
    </w:lvl>
  </w:abstractNum>
  <w:abstractNum w:abstractNumId="16">
    <w:nsid w:val="19A91DF7"/>
    <w:multiLevelType w:val="singleLevel"/>
    <w:tmpl w:val="19A91DF7"/>
    <w:lvl w:ilvl="0" w:tentative="0">
      <w:start w:val="1"/>
      <w:numFmt w:val="decimal"/>
      <w:suff w:val="nothing"/>
      <w:lvlText w:val="(%1)"/>
      <w:lvlJc w:val="left"/>
      <w:pPr>
        <w:ind w:left="425" w:hanging="425"/>
      </w:pPr>
      <w:rPr>
        <w:rFonts w:hint="default"/>
      </w:rPr>
    </w:lvl>
  </w:abstractNum>
  <w:abstractNum w:abstractNumId="17">
    <w:nsid w:val="3489695D"/>
    <w:multiLevelType w:val="singleLevel"/>
    <w:tmpl w:val="3489695D"/>
    <w:lvl w:ilvl="0" w:tentative="0">
      <w:start w:val="1"/>
      <w:numFmt w:val="decimal"/>
      <w:lvlText w:val="%1."/>
      <w:lvlJc w:val="left"/>
      <w:pPr>
        <w:tabs>
          <w:tab w:val="left" w:pos="312"/>
        </w:tabs>
      </w:pPr>
    </w:lvl>
  </w:abstractNum>
  <w:abstractNum w:abstractNumId="18">
    <w:nsid w:val="4790B35F"/>
    <w:multiLevelType w:val="singleLevel"/>
    <w:tmpl w:val="4790B35F"/>
    <w:lvl w:ilvl="0" w:tentative="0">
      <w:start w:val="1"/>
      <w:numFmt w:val="chineseCounting"/>
      <w:suff w:val="nothing"/>
      <w:lvlText w:val="（%1）"/>
      <w:lvlJc w:val="left"/>
      <w:pPr>
        <w:ind w:left="0" w:firstLine="420"/>
      </w:pPr>
      <w:rPr>
        <w:rFonts w:hint="eastAsia"/>
      </w:rPr>
    </w:lvl>
  </w:abstractNum>
  <w:abstractNum w:abstractNumId="19">
    <w:nsid w:val="4F3FF634"/>
    <w:multiLevelType w:val="singleLevel"/>
    <w:tmpl w:val="4F3FF634"/>
    <w:lvl w:ilvl="0" w:tentative="0">
      <w:start w:val="2"/>
      <w:numFmt w:val="decimal"/>
      <w:lvlText w:val="%1."/>
      <w:lvlJc w:val="left"/>
      <w:pPr>
        <w:tabs>
          <w:tab w:val="left" w:pos="312"/>
        </w:tabs>
      </w:pPr>
    </w:lvl>
  </w:abstractNum>
  <w:abstractNum w:abstractNumId="20">
    <w:nsid w:val="53DA77C0"/>
    <w:multiLevelType w:val="singleLevel"/>
    <w:tmpl w:val="53DA77C0"/>
    <w:lvl w:ilvl="0" w:tentative="0">
      <w:start w:val="2"/>
      <w:numFmt w:val="chineseCounting"/>
      <w:suff w:val="nothing"/>
      <w:lvlText w:val="（%1）"/>
      <w:lvlJc w:val="left"/>
      <w:rPr>
        <w:rFonts w:hint="eastAsia"/>
      </w:rPr>
    </w:lvl>
  </w:abstractNum>
  <w:abstractNum w:abstractNumId="21">
    <w:nsid w:val="5EFF9968"/>
    <w:multiLevelType w:val="multilevel"/>
    <w:tmpl w:val="5EFF9968"/>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2">
    <w:nsid w:val="6D9F63AE"/>
    <w:multiLevelType w:val="singleLevel"/>
    <w:tmpl w:val="6D9F63AE"/>
    <w:lvl w:ilvl="0" w:tentative="0">
      <w:start w:val="1"/>
      <w:numFmt w:val="chineseCounting"/>
      <w:suff w:val="nothing"/>
      <w:lvlText w:val="（%1）"/>
      <w:lvlJc w:val="left"/>
      <w:pPr>
        <w:ind w:left="0" w:firstLine="420"/>
      </w:pPr>
      <w:rPr>
        <w:rFonts w:hint="eastAsia"/>
      </w:rPr>
    </w:lvl>
  </w:abstractNum>
  <w:abstractNum w:abstractNumId="23">
    <w:nsid w:val="754F5E40"/>
    <w:multiLevelType w:val="singleLevel"/>
    <w:tmpl w:val="754F5E40"/>
    <w:lvl w:ilvl="0" w:tentative="0">
      <w:start w:val="1"/>
      <w:numFmt w:val="chineseCounting"/>
      <w:suff w:val="nothing"/>
      <w:lvlText w:val="（%1）"/>
      <w:lvlJc w:val="left"/>
      <w:pPr>
        <w:ind w:left="0" w:firstLine="420"/>
      </w:pPr>
      <w:rPr>
        <w:rFonts w:hint="eastAsia"/>
      </w:rPr>
    </w:lvl>
  </w:abstractNum>
  <w:num w:numId="1">
    <w:abstractNumId w:val="12"/>
  </w:num>
  <w:num w:numId="2">
    <w:abstractNumId w:val="0"/>
  </w:num>
  <w:num w:numId="3">
    <w:abstractNumId w:val="15"/>
  </w:num>
  <w:num w:numId="4">
    <w:abstractNumId w:val="10"/>
  </w:num>
  <w:num w:numId="5">
    <w:abstractNumId w:val="3"/>
  </w:num>
  <w:num w:numId="6">
    <w:abstractNumId w:val="14"/>
  </w:num>
  <w:num w:numId="7">
    <w:abstractNumId w:val="6"/>
  </w:num>
  <w:num w:numId="8">
    <w:abstractNumId w:val="1"/>
  </w:num>
  <w:num w:numId="9">
    <w:abstractNumId w:val="9"/>
  </w:num>
  <w:num w:numId="10">
    <w:abstractNumId w:val="11"/>
  </w:num>
  <w:num w:numId="11">
    <w:abstractNumId w:val="7"/>
  </w:num>
  <w:num w:numId="12">
    <w:abstractNumId w:val="19"/>
  </w:num>
  <w:num w:numId="13">
    <w:abstractNumId w:val="4"/>
  </w:num>
  <w:num w:numId="14">
    <w:abstractNumId w:val="17"/>
  </w:num>
  <w:num w:numId="15">
    <w:abstractNumId w:val="13"/>
  </w:num>
  <w:num w:numId="16">
    <w:abstractNumId w:val="5"/>
  </w:num>
  <w:num w:numId="17">
    <w:abstractNumId w:val="21"/>
  </w:num>
  <w:num w:numId="18">
    <w:abstractNumId w:val="8"/>
  </w:num>
  <w:num w:numId="19">
    <w:abstractNumId w:val="20"/>
  </w:num>
  <w:num w:numId="20">
    <w:abstractNumId w:val="18"/>
  </w:num>
  <w:num w:numId="21">
    <w:abstractNumId w:val="16"/>
  </w:num>
  <w:num w:numId="22">
    <w:abstractNumId w:val="2"/>
  </w:num>
  <w:num w:numId="23">
    <w:abstractNumId w:val="23"/>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FlZDY4ZmI3YTNhNzVlZjkwYzk1MTAwOWM1N2U5MjIifQ=="/>
  </w:docVars>
  <w:rsids>
    <w:rsidRoot w:val="00172A27"/>
    <w:rsid w:val="000000E3"/>
    <w:rsid w:val="000008AB"/>
    <w:rsid w:val="0000102C"/>
    <w:rsid w:val="00001E66"/>
    <w:rsid w:val="000022E6"/>
    <w:rsid w:val="000026C2"/>
    <w:rsid w:val="0000408E"/>
    <w:rsid w:val="0000548F"/>
    <w:rsid w:val="00005AC8"/>
    <w:rsid w:val="0000610D"/>
    <w:rsid w:val="000065BD"/>
    <w:rsid w:val="0000761F"/>
    <w:rsid w:val="00007813"/>
    <w:rsid w:val="00011697"/>
    <w:rsid w:val="00013107"/>
    <w:rsid w:val="00015B27"/>
    <w:rsid w:val="00015BEE"/>
    <w:rsid w:val="0001646E"/>
    <w:rsid w:val="000179C3"/>
    <w:rsid w:val="00021A08"/>
    <w:rsid w:val="00022533"/>
    <w:rsid w:val="00023554"/>
    <w:rsid w:val="0002561E"/>
    <w:rsid w:val="00027C6E"/>
    <w:rsid w:val="00032C41"/>
    <w:rsid w:val="00041546"/>
    <w:rsid w:val="0004256A"/>
    <w:rsid w:val="000428CD"/>
    <w:rsid w:val="00044D61"/>
    <w:rsid w:val="00047FA8"/>
    <w:rsid w:val="00050154"/>
    <w:rsid w:val="0005169F"/>
    <w:rsid w:val="00053098"/>
    <w:rsid w:val="0005458A"/>
    <w:rsid w:val="000551FC"/>
    <w:rsid w:val="00056346"/>
    <w:rsid w:val="00060B81"/>
    <w:rsid w:val="00061A6E"/>
    <w:rsid w:val="000631F4"/>
    <w:rsid w:val="00063446"/>
    <w:rsid w:val="00067C3F"/>
    <w:rsid w:val="00070FB5"/>
    <w:rsid w:val="00074E87"/>
    <w:rsid w:val="00076A33"/>
    <w:rsid w:val="00077759"/>
    <w:rsid w:val="00080DB4"/>
    <w:rsid w:val="00082E76"/>
    <w:rsid w:val="00085CCB"/>
    <w:rsid w:val="00086F7C"/>
    <w:rsid w:val="00087257"/>
    <w:rsid w:val="0009042D"/>
    <w:rsid w:val="00090BC9"/>
    <w:rsid w:val="000931C9"/>
    <w:rsid w:val="0009364E"/>
    <w:rsid w:val="00093762"/>
    <w:rsid w:val="000948EF"/>
    <w:rsid w:val="00094945"/>
    <w:rsid w:val="0009511B"/>
    <w:rsid w:val="000954B2"/>
    <w:rsid w:val="000A1EFD"/>
    <w:rsid w:val="000A3DB2"/>
    <w:rsid w:val="000A4B07"/>
    <w:rsid w:val="000A5B68"/>
    <w:rsid w:val="000A5BCE"/>
    <w:rsid w:val="000A7D43"/>
    <w:rsid w:val="000B131C"/>
    <w:rsid w:val="000B3FEE"/>
    <w:rsid w:val="000B4842"/>
    <w:rsid w:val="000B709D"/>
    <w:rsid w:val="000B73C6"/>
    <w:rsid w:val="000C3822"/>
    <w:rsid w:val="000C5A29"/>
    <w:rsid w:val="000C5EC5"/>
    <w:rsid w:val="000D6DD8"/>
    <w:rsid w:val="000E01DD"/>
    <w:rsid w:val="000E1419"/>
    <w:rsid w:val="000E2276"/>
    <w:rsid w:val="000E35E3"/>
    <w:rsid w:val="000E3EF7"/>
    <w:rsid w:val="000E3F16"/>
    <w:rsid w:val="000E4AD5"/>
    <w:rsid w:val="000E62D8"/>
    <w:rsid w:val="000E63C5"/>
    <w:rsid w:val="000E7B10"/>
    <w:rsid w:val="000F02C9"/>
    <w:rsid w:val="000F1307"/>
    <w:rsid w:val="000F5B2A"/>
    <w:rsid w:val="000F5D6C"/>
    <w:rsid w:val="000F6040"/>
    <w:rsid w:val="000F646F"/>
    <w:rsid w:val="00107CD4"/>
    <w:rsid w:val="00110E23"/>
    <w:rsid w:val="001124B4"/>
    <w:rsid w:val="00114047"/>
    <w:rsid w:val="00120DCD"/>
    <w:rsid w:val="0012271C"/>
    <w:rsid w:val="0012527B"/>
    <w:rsid w:val="001271AF"/>
    <w:rsid w:val="00127B0D"/>
    <w:rsid w:val="00130FB4"/>
    <w:rsid w:val="001340FE"/>
    <w:rsid w:val="0013415A"/>
    <w:rsid w:val="00141177"/>
    <w:rsid w:val="00142815"/>
    <w:rsid w:val="00143089"/>
    <w:rsid w:val="0014361D"/>
    <w:rsid w:val="001456B5"/>
    <w:rsid w:val="00150050"/>
    <w:rsid w:val="00151FBE"/>
    <w:rsid w:val="0015201C"/>
    <w:rsid w:val="001534CF"/>
    <w:rsid w:val="00153772"/>
    <w:rsid w:val="0015417B"/>
    <w:rsid w:val="0015539F"/>
    <w:rsid w:val="00160670"/>
    <w:rsid w:val="001619C7"/>
    <w:rsid w:val="00161A8E"/>
    <w:rsid w:val="00162BC3"/>
    <w:rsid w:val="00163FAE"/>
    <w:rsid w:val="00165BDA"/>
    <w:rsid w:val="00165E68"/>
    <w:rsid w:val="00170931"/>
    <w:rsid w:val="00174D2C"/>
    <w:rsid w:val="001753C5"/>
    <w:rsid w:val="00176111"/>
    <w:rsid w:val="00180069"/>
    <w:rsid w:val="00181823"/>
    <w:rsid w:val="00181F3F"/>
    <w:rsid w:val="00182517"/>
    <w:rsid w:val="00184182"/>
    <w:rsid w:val="00186C72"/>
    <w:rsid w:val="001872F8"/>
    <w:rsid w:val="001905A5"/>
    <w:rsid w:val="00194721"/>
    <w:rsid w:val="00194851"/>
    <w:rsid w:val="00194AD9"/>
    <w:rsid w:val="00195A86"/>
    <w:rsid w:val="001A07EE"/>
    <w:rsid w:val="001A31DB"/>
    <w:rsid w:val="001A3BED"/>
    <w:rsid w:val="001A4332"/>
    <w:rsid w:val="001A6641"/>
    <w:rsid w:val="001A6FFF"/>
    <w:rsid w:val="001A73C1"/>
    <w:rsid w:val="001A7C2A"/>
    <w:rsid w:val="001B03F9"/>
    <w:rsid w:val="001C04FA"/>
    <w:rsid w:val="001C185A"/>
    <w:rsid w:val="001C25E0"/>
    <w:rsid w:val="001C52FD"/>
    <w:rsid w:val="001C6A94"/>
    <w:rsid w:val="001D0970"/>
    <w:rsid w:val="001D0FEA"/>
    <w:rsid w:val="001D1490"/>
    <w:rsid w:val="001D43B3"/>
    <w:rsid w:val="001D48B8"/>
    <w:rsid w:val="001D63DE"/>
    <w:rsid w:val="001E0328"/>
    <w:rsid w:val="001E20B2"/>
    <w:rsid w:val="001E3CF8"/>
    <w:rsid w:val="001E6EDA"/>
    <w:rsid w:val="001E716F"/>
    <w:rsid w:val="001F0FCC"/>
    <w:rsid w:val="001F1A5C"/>
    <w:rsid w:val="001F5971"/>
    <w:rsid w:val="001F696E"/>
    <w:rsid w:val="00204968"/>
    <w:rsid w:val="00205375"/>
    <w:rsid w:val="0020779A"/>
    <w:rsid w:val="00207853"/>
    <w:rsid w:val="002117D0"/>
    <w:rsid w:val="00211B98"/>
    <w:rsid w:val="00213CD0"/>
    <w:rsid w:val="0022067F"/>
    <w:rsid w:val="00221707"/>
    <w:rsid w:val="00224DCC"/>
    <w:rsid w:val="0022553D"/>
    <w:rsid w:val="00226ADB"/>
    <w:rsid w:val="002272A9"/>
    <w:rsid w:val="00227AF5"/>
    <w:rsid w:val="0023018B"/>
    <w:rsid w:val="00230473"/>
    <w:rsid w:val="002317DB"/>
    <w:rsid w:val="00231B3E"/>
    <w:rsid w:val="00231EC7"/>
    <w:rsid w:val="00231F06"/>
    <w:rsid w:val="0023325F"/>
    <w:rsid w:val="00234D36"/>
    <w:rsid w:val="00236AC2"/>
    <w:rsid w:val="00236F1C"/>
    <w:rsid w:val="0024018A"/>
    <w:rsid w:val="00240F10"/>
    <w:rsid w:val="0024198C"/>
    <w:rsid w:val="00241B28"/>
    <w:rsid w:val="00242038"/>
    <w:rsid w:val="002509D3"/>
    <w:rsid w:val="00251950"/>
    <w:rsid w:val="00253A7A"/>
    <w:rsid w:val="00254B34"/>
    <w:rsid w:val="00255644"/>
    <w:rsid w:val="00256C45"/>
    <w:rsid w:val="00257191"/>
    <w:rsid w:val="002610FA"/>
    <w:rsid w:val="0026614C"/>
    <w:rsid w:val="0026664F"/>
    <w:rsid w:val="00267851"/>
    <w:rsid w:val="00270CBE"/>
    <w:rsid w:val="00272305"/>
    <w:rsid w:val="002738A8"/>
    <w:rsid w:val="00273C2F"/>
    <w:rsid w:val="00275BDB"/>
    <w:rsid w:val="002776FC"/>
    <w:rsid w:val="00280E0F"/>
    <w:rsid w:val="00280FE9"/>
    <w:rsid w:val="002817EB"/>
    <w:rsid w:val="0028225A"/>
    <w:rsid w:val="002858FB"/>
    <w:rsid w:val="0028594A"/>
    <w:rsid w:val="00286315"/>
    <w:rsid w:val="00290388"/>
    <w:rsid w:val="00290B6A"/>
    <w:rsid w:val="00292B5F"/>
    <w:rsid w:val="0029370D"/>
    <w:rsid w:val="00295604"/>
    <w:rsid w:val="00296990"/>
    <w:rsid w:val="002A04ED"/>
    <w:rsid w:val="002A083F"/>
    <w:rsid w:val="002A23E2"/>
    <w:rsid w:val="002A2B48"/>
    <w:rsid w:val="002A2EC9"/>
    <w:rsid w:val="002A4CCB"/>
    <w:rsid w:val="002A4DDE"/>
    <w:rsid w:val="002A6E74"/>
    <w:rsid w:val="002B0047"/>
    <w:rsid w:val="002B11CA"/>
    <w:rsid w:val="002B2547"/>
    <w:rsid w:val="002B3450"/>
    <w:rsid w:val="002B3FD9"/>
    <w:rsid w:val="002B4628"/>
    <w:rsid w:val="002B6C8D"/>
    <w:rsid w:val="002C0AC9"/>
    <w:rsid w:val="002C1511"/>
    <w:rsid w:val="002C37A1"/>
    <w:rsid w:val="002C5CF0"/>
    <w:rsid w:val="002C71FD"/>
    <w:rsid w:val="002D02FB"/>
    <w:rsid w:val="002D111D"/>
    <w:rsid w:val="002D2281"/>
    <w:rsid w:val="002D4340"/>
    <w:rsid w:val="002D4EC6"/>
    <w:rsid w:val="002D557A"/>
    <w:rsid w:val="002D5B02"/>
    <w:rsid w:val="002D6209"/>
    <w:rsid w:val="002D750B"/>
    <w:rsid w:val="002E5F59"/>
    <w:rsid w:val="002E66AF"/>
    <w:rsid w:val="002E6B05"/>
    <w:rsid w:val="002F0B01"/>
    <w:rsid w:val="002F61F1"/>
    <w:rsid w:val="002F685A"/>
    <w:rsid w:val="002F6B3D"/>
    <w:rsid w:val="002F6CF9"/>
    <w:rsid w:val="002F7C43"/>
    <w:rsid w:val="00300794"/>
    <w:rsid w:val="00300D93"/>
    <w:rsid w:val="0030181A"/>
    <w:rsid w:val="00303956"/>
    <w:rsid w:val="00312A70"/>
    <w:rsid w:val="00312A93"/>
    <w:rsid w:val="00314554"/>
    <w:rsid w:val="003156EF"/>
    <w:rsid w:val="0031680D"/>
    <w:rsid w:val="00317DEE"/>
    <w:rsid w:val="0032267D"/>
    <w:rsid w:val="00326AD2"/>
    <w:rsid w:val="00331455"/>
    <w:rsid w:val="003321E2"/>
    <w:rsid w:val="00332E33"/>
    <w:rsid w:val="00334339"/>
    <w:rsid w:val="00334D4D"/>
    <w:rsid w:val="003355E9"/>
    <w:rsid w:val="00335869"/>
    <w:rsid w:val="00335E16"/>
    <w:rsid w:val="00336479"/>
    <w:rsid w:val="003365C4"/>
    <w:rsid w:val="00337106"/>
    <w:rsid w:val="00337686"/>
    <w:rsid w:val="00337B6D"/>
    <w:rsid w:val="00337BF4"/>
    <w:rsid w:val="00344E18"/>
    <w:rsid w:val="00347736"/>
    <w:rsid w:val="0035167E"/>
    <w:rsid w:val="00351825"/>
    <w:rsid w:val="003548E8"/>
    <w:rsid w:val="00354B90"/>
    <w:rsid w:val="00356240"/>
    <w:rsid w:val="00356792"/>
    <w:rsid w:val="003610D4"/>
    <w:rsid w:val="00362770"/>
    <w:rsid w:val="00363FD6"/>
    <w:rsid w:val="00363FEF"/>
    <w:rsid w:val="00365928"/>
    <w:rsid w:val="00367777"/>
    <w:rsid w:val="003678E2"/>
    <w:rsid w:val="00375908"/>
    <w:rsid w:val="00375993"/>
    <w:rsid w:val="0038105C"/>
    <w:rsid w:val="00382C45"/>
    <w:rsid w:val="003830A7"/>
    <w:rsid w:val="00383126"/>
    <w:rsid w:val="00383272"/>
    <w:rsid w:val="00383B87"/>
    <w:rsid w:val="00385D5B"/>
    <w:rsid w:val="00386169"/>
    <w:rsid w:val="00386D73"/>
    <w:rsid w:val="0038761E"/>
    <w:rsid w:val="00387E1C"/>
    <w:rsid w:val="00391D64"/>
    <w:rsid w:val="003929B6"/>
    <w:rsid w:val="00393947"/>
    <w:rsid w:val="00393BAD"/>
    <w:rsid w:val="00397151"/>
    <w:rsid w:val="003973DF"/>
    <w:rsid w:val="003A0983"/>
    <w:rsid w:val="003A1C30"/>
    <w:rsid w:val="003A1FC5"/>
    <w:rsid w:val="003A3346"/>
    <w:rsid w:val="003A661B"/>
    <w:rsid w:val="003A7290"/>
    <w:rsid w:val="003B122C"/>
    <w:rsid w:val="003B1D15"/>
    <w:rsid w:val="003B251F"/>
    <w:rsid w:val="003B25A0"/>
    <w:rsid w:val="003B4036"/>
    <w:rsid w:val="003B5BFD"/>
    <w:rsid w:val="003C03A1"/>
    <w:rsid w:val="003C0F52"/>
    <w:rsid w:val="003C1389"/>
    <w:rsid w:val="003C276F"/>
    <w:rsid w:val="003C280A"/>
    <w:rsid w:val="003C28EF"/>
    <w:rsid w:val="003C39E2"/>
    <w:rsid w:val="003C3DD8"/>
    <w:rsid w:val="003C447F"/>
    <w:rsid w:val="003C7B72"/>
    <w:rsid w:val="003D1DAF"/>
    <w:rsid w:val="003D2CE3"/>
    <w:rsid w:val="003D32E4"/>
    <w:rsid w:val="003D3FD6"/>
    <w:rsid w:val="003D6656"/>
    <w:rsid w:val="003D7B35"/>
    <w:rsid w:val="003E286B"/>
    <w:rsid w:val="003E54A6"/>
    <w:rsid w:val="003F2E2E"/>
    <w:rsid w:val="003F5E06"/>
    <w:rsid w:val="003F7991"/>
    <w:rsid w:val="00400360"/>
    <w:rsid w:val="00400F8D"/>
    <w:rsid w:val="0040164C"/>
    <w:rsid w:val="00402087"/>
    <w:rsid w:val="00404797"/>
    <w:rsid w:val="00406D91"/>
    <w:rsid w:val="0041081F"/>
    <w:rsid w:val="00411D90"/>
    <w:rsid w:val="004120BB"/>
    <w:rsid w:val="0041217F"/>
    <w:rsid w:val="00413E42"/>
    <w:rsid w:val="004230B5"/>
    <w:rsid w:val="00423F9E"/>
    <w:rsid w:val="004248F9"/>
    <w:rsid w:val="00426CD8"/>
    <w:rsid w:val="0043325A"/>
    <w:rsid w:val="00433E53"/>
    <w:rsid w:val="00441458"/>
    <w:rsid w:val="00441AD5"/>
    <w:rsid w:val="0044286A"/>
    <w:rsid w:val="00444479"/>
    <w:rsid w:val="004462EB"/>
    <w:rsid w:val="00453324"/>
    <w:rsid w:val="00453762"/>
    <w:rsid w:val="00455B43"/>
    <w:rsid w:val="00457364"/>
    <w:rsid w:val="00457986"/>
    <w:rsid w:val="00457A14"/>
    <w:rsid w:val="004600B4"/>
    <w:rsid w:val="00460D72"/>
    <w:rsid w:val="00461078"/>
    <w:rsid w:val="00462EB8"/>
    <w:rsid w:val="00467EC8"/>
    <w:rsid w:val="004747B0"/>
    <w:rsid w:val="00476727"/>
    <w:rsid w:val="00477325"/>
    <w:rsid w:val="0047761F"/>
    <w:rsid w:val="00477BB4"/>
    <w:rsid w:val="00480729"/>
    <w:rsid w:val="004816C3"/>
    <w:rsid w:val="004851E3"/>
    <w:rsid w:val="0048628F"/>
    <w:rsid w:val="00492017"/>
    <w:rsid w:val="00494568"/>
    <w:rsid w:val="00494E20"/>
    <w:rsid w:val="0049620B"/>
    <w:rsid w:val="004A0A90"/>
    <w:rsid w:val="004A0F99"/>
    <w:rsid w:val="004A66FC"/>
    <w:rsid w:val="004B0096"/>
    <w:rsid w:val="004B0D73"/>
    <w:rsid w:val="004B1567"/>
    <w:rsid w:val="004B316C"/>
    <w:rsid w:val="004B3575"/>
    <w:rsid w:val="004B43B9"/>
    <w:rsid w:val="004B6416"/>
    <w:rsid w:val="004B658A"/>
    <w:rsid w:val="004C0734"/>
    <w:rsid w:val="004C1209"/>
    <w:rsid w:val="004C200A"/>
    <w:rsid w:val="004C4F26"/>
    <w:rsid w:val="004C6029"/>
    <w:rsid w:val="004C70A0"/>
    <w:rsid w:val="004C757B"/>
    <w:rsid w:val="004C7C30"/>
    <w:rsid w:val="004C7FCC"/>
    <w:rsid w:val="004D02FF"/>
    <w:rsid w:val="004D5567"/>
    <w:rsid w:val="004D564B"/>
    <w:rsid w:val="004E1539"/>
    <w:rsid w:val="004E2CB7"/>
    <w:rsid w:val="004E3CD4"/>
    <w:rsid w:val="004E5750"/>
    <w:rsid w:val="004E5A16"/>
    <w:rsid w:val="004E6221"/>
    <w:rsid w:val="004E65C8"/>
    <w:rsid w:val="004F0111"/>
    <w:rsid w:val="004F7CE6"/>
    <w:rsid w:val="0050018A"/>
    <w:rsid w:val="00501F48"/>
    <w:rsid w:val="00503211"/>
    <w:rsid w:val="00505BC4"/>
    <w:rsid w:val="00506079"/>
    <w:rsid w:val="0050638A"/>
    <w:rsid w:val="00506D65"/>
    <w:rsid w:val="00507926"/>
    <w:rsid w:val="005118C8"/>
    <w:rsid w:val="005125D8"/>
    <w:rsid w:val="00512D8A"/>
    <w:rsid w:val="00515A1B"/>
    <w:rsid w:val="0051646B"/>
    <w:rsid w:val="005169F6"/>
    <w:rsid w:val="0052034F"/>
    <w:rsid w:val="005212DA"/>
    <w:rsid w:val="00521ADC"/>
    <w:rsid w:val="00526FEC"/>
    <w:rsid w:val="005279BE"/>
    <w:rsid w:val="00534928"/>
    <w:rsid w:val="005352D1"/>
    <w:rsid w:val="00535443"/>
    <w:rsid w:val="005361A7"/>
    <w:rsid w:val="005361BF"/>
    <w:rsid w:val="00540B2E"/>
    <w:rsid w:val="00541037"/>
    <w:rsid w:val="00542F09"/>
    <w:rsid w:val="00543A02"/>
    <w:rsid w:val="005440C7"/>
    <w:rsid w:val="0054459A"/>
    <w:rsid w:val="00544CE6"/>
    <w:rsid w:val="00546213"/>
    <w:rsid w:val="0054744F"/>
    <w:rsid w:val="00551167"/>
    <w:rsid w:val="00551BBC"/>
    <w:rsid w:val="005525BF"/>
    <w:rsid w:val="00552D38"/>
    <w:rsid w:val="00557864"/>
    <w:rsid w:val="00557A78"/>
    <w:rsid w:val="005603C2"/>
    <w:rsid w:val="00561EAB"/>
    <w:rsid w:val="005642A2"/>
    <w:rsid w:val="00566860"/>
    <w:rsid w:val="00571AC8"/>
    <w:rsid w:val="00572311"/>
    <w:rsid w:val="00572586"/>
    <w:rsid w:val="00572F9D"/>
    <w:rsid w:val="005730EC"/>
    <w:rsid w:val="00575059"/>
    <w:rsid w:val="00575932"/>
    <w:rsid w:val="005771C0"/>
    <w:rsid w:val="005771CF"/>
    <w:rsid w:val="005778FE"/>
    <w:rsid w:val="00580164"/>
    <w:rsid w:val="0058033F"/>
    <w:rsid w:val="00581AEE"/>
    <w:rsid w:val="00581DBB"/>
    <w:rsid w:val="00583F6A"/>
    <w:rsid w:val="00585BED"/>
    <w:rsid w:val="00585DC1"/>
    <w:rsid w:val="00586A75"/>
    <w:rsid w:val="005877FF"/>
    <w:rsid w:val="00587A84"/>
    <w:rsid w:val="00587C66"/>
    <w:rsid w:val="00590991"/>
    <w:rsid w:val="00591867"/>
    <w:rsid w:val="00595C2B"/>
    <w:rsid w:val="005A0C65"/>
    <w:rsid w:val="005A23E3"/>
    <w:rsid w:val="005A78B0"/>
    <w:rsid w:val="005B3879"/>
    <w:rsid w:val="005B4849"/>
    <w:rsid w:val="005B5259"/>
    <w:rsid w:val="005B571D"/>
    <w:rsid w:val="005B7540"/>
    <w:rsid w:val="005C10A2"/>
    <w:rsid w:val="005C1EC2"/>
    <w:rsid w:val="005C2153"/>
    <w:rsid w:val="005C4AC2"/>
    <w:rsid w:val="005C5880"/>
    <w:rsid w:val="005D30C1"/>
    <w:rsid w:val="005D3F1D"/>
    <w:rsid w:val="005D42F7"/>
    <w:rsid w:val="005D681B"/>
    <w:rsid w:val="005E220B"/>
    <w:rsid w:val="005E322D"/>
    <w:rsid w:val="005E3607"/>
    <w:rsid w:val="005E421E"/>
    <w:rsid w:val="005E50EF"/>
    <w:rsid w:val="005E73AB"/>
    <w:rsid w:val="005F04F0"/>
    <w:rsid w:val="005F0528"/>
    <w:rsid w:val="005F2246"/>
    <w:rsid w:val="005F2AF8"/>
    <w:rsid w:val="005F5E70"/>
    <w:rsid w:val="005F688B"/>
    <w:rsid w:val="005F7B44"/>
    <w:rsid w:val="00600F7B"/>
    <w:rsid w:val="006015D3"/>
    <w:rsid w:val="006047FA"/>
    <w:rsid w:val="006074C6"/>
    <w:rsid w:val="00612F38"/>
    <w:rsid w:val="006158DF"/>
    <w:rsid w:val="00615B92"/>
    <w:rsid w:val="00616078"/>
    <w:rsid w:val="006160DA"/>
    <w:rsid w:val="00616E2C"/>
    <w:rsid w:val="00620448"/>
    <w:rsid w:val="00621998"/>
    <w:rsid w:val="00622B22"/>
    <w:rsid w:val="006254BA"/>
    <w:rsid w:val="00630B7C"/>
    <w:rsid w:val="00632686"/>
    <w:rsid w:val="00633115"/>
    <w:rsid w:val="00633660"/>
    <w:rsid w:val="00633B9E"/>
    <w:rsid w:val="00633D04"/>
    <w:rsid w:val="00635D86"/>
    <w:rsid w:val="006367AC"/>
    <w:rsid w:val="00637F0A"/>
    <w:rsid w:val="006416C1"/>
    <w:rsid w:val="00642C22"/>
    <w:rsid w:val="0064307F"/>
    <w:rsid w:val="00643E1A"/>
    <w:rsid w:val="00644EC2"/>
    <w:rsid w:val="00646543"/>
    <w:rsid w:val="00646DF5"/>
    <w:rsid w:val="00650397"/>
    <w:rsid w:val="006515D7"/>
    <w:rsid w:val="00653605"/>
    <w:rsid w:val="006544D1"/>
    <w:rsid w:val="00655EA3"/>
    <w:rsid w:val="0065769C"/>
    <w:rsid w:val="00661A2D"/>
    <w:rsid w:val="00662186"/>
    <w:rsid w:val="00663382"/>
    <w:rsid w:val="0066350D"/>
    <w:rsid w:val="006635B3"/>
    <w:rsid w:val="006637C0"/>
    <w:rsid w:val="00663F6C"/>
    <w:rsid w:val="00664D2C"/>
    <w:rsid w:val="0066555B"/>
    <w:rsid w:val="00666619"/>
    <w:rsid w:val="0066670C"/>
    <w:rsid w:val="00670E09"/>
    <w:rsid w:val="00671890"/>
    <w:rsid w:val="00672FD8"/>
    <w:rsid w:val="00673D4A"/>
    <w:rsid w:val="00673D55"/>
    <w:rsid w:val="006742CF"/>
    <w:rsid w:val="0067446A"/>
    <w:rsid w:val="00674701"/>
    <w:rsid w:val="006748FD"/>
    <w:rsid w:val="006769AD"/>
    <w:rsid w:val="0068344A"/>
    <w:rsid w:val="0068474A"/>
    <w:rsid w:val="00684853"/>
    <w:rsid w:val="0068485F"/>
    <w:rsid w:val="00684E6F"/>
    <w:rsid w:val="00686A3A"/>
    <w:rsid w:val="00687939"/>
    <w:rsid w:val="006902C9"/>
    <w:rsid w:val="00691BB8"/>
    <w:rsid w:val="00692738"/>
    <w:rsid w:val="00693224"/>
    <w:rsid w:val="006955F0"/>
    <w:rsid w:val="00695867"/>
    <w:rsid w:val="00696749"/>
    <w:rsid w:val="006A14B6"/>
    <w:rsid w:val="006A1854"/>
    <w:rsid w:val="006A23EC"/>
    <w:rsid w:val="006A30C8"/>
    <w:rsid w:val="006A542C"/>
    <w:rsid w:val="006A6000"/>
    <w:rsid w:val="006A74EB"/>
    <w:rsid w:val="006B05F9"/>
    <w:rsid w:val="006B0FB0"/>
    <w:rsid w:val="006B57F4"/>
    <w:rsid w:val="006B662A"/>
    <w:rsid w:val="006C0ABC"/>
    <w:rsid w:val="006C1474"/>
    <w:rsid w:val="006C179F"/>
    <w:rsid w:val="006C25C7"/>
    <w:rsid w:val="006C52E7"/>
    <w:rsid w:val="006C6A02"/>
    <w:rsid w:val="006D0033"/>
    <w:rsid w:val="006D11FF"/>
    <w:rsid w:val="006D12B0"/>
    <w:rsid w:val="006D15D4"/>
    <w:rsid w:val="006D4528"/>
    <w:rsid w:val="006D49F1"/>
    <w:rsid w:val="006D5AAE"/>
    <w:rsid w:val="006D779F"/>
    <w:rsid w:val="006E0391"/>
    <w:rsid w:val="006E139F"/>
    <w:rsid w:val="006E3DF9"/>
    <w:rsid w:val="006E578D"/>
    <w:rsid w:val="006E5AA6"/>
    <w:rsid w:val="006E5DFF"/>
    <w:rsid w:val="006E7422"/>
    <w:rsid w:val="006E7744"/>
    <w:rsid w:val="006E7DA9"/>
    <w:rsid w:val="006F0883"/>
    <w:rsid w:val="006F0B13"/>
    <w:rsid w:val="006F1016"/>
    <w:rsid w:val="006F30AA"/>
    <w:rsid w:val="006F4E4C"/>
    <w:rsid w:val="006F6084"/>
    <w:rsid w:val="006F6405"/>
    <w:rsid w:val="0070011E"/>
    <w:rsid w:val="00700AB9"/>
    <w:rsid w:val="00701211"/>
    <w:rsid w:val="007012CE"/>
    <w:rsid w:val="00703228"/>
    <w:rsid w:val="00704481"/>
    <w:rsid w:val="00704A63"/>
    <w:rsid w:val="00705156"/>
    <w:rsid w:val="00705F80"/>
    <w:rsid w:val="007066B6"/>
    <w:rsid w:val="00707384"/>
    <w:rsid w:val="00711ED9"/>
    <w:rsid w:val="00715C5B"/>
    <w:rsid w:val="007201EC"/>
    <w:rsid w:val="007213B9"/>
    <w:rsid w:val="00721AA2"/>
    <w:rsid w:val="0072315D"/>
    <w:rsid w:val="00723EDC"/>
    <w:rsid w:val="00725506"/>
    <w:rsid w:val="007264B1"/>
    <w:rsid w:val="00730598"/>
    <w:rsid w:val="0073215A"/>
    <w:rsid w:val="007357BA"/>
    <w:rsid w:val="00735BC2"/>
    <w:rsid w:val="00735E6D"/>
    <w:rsid w:val="00736CDB"/>
    <w:rsid w:val="00740C32"/>
    <w:rsid w:val="00741018"/>
    <w:rsid w:val="00744FE4"/>
    <w:rsid w:val="007455E4"/>
    <w:rsid w:val="00745F3E"/>
    <w:rsid w:val="007460FC"/>
    <w:rsid w:val="00751B54"/>
    <w:rsid w:val="00751FBD"/>
    <w:rsid w:val="00753535"/>
    <w:rsid w:val="00755D2B"/>
    <w:rsid w:val="0076104B"/>
    <w:rsid w:val="007630F0"/>
    <w:rsid w:val="00766D50"/>
    <w:rsid w:val="00770367"/>
    <w:rsid w:val="007722CC"/>
    <w:rsid w:val="00773E36"/>
    <w:rsid w:val="007750C5"/>
    <w:rsid w:val="0077672D"/>
    <w:rsid w:val="00777C14"/>
    <w:rsid w:val="007808C1"/>
    <w:rsid w:val="00782026"/>
    <w:rsid w:val="00782BAF"/>
    <w:rsid w:val="00785321"/>
    <w:rsid w:val="0078723D"/>
    <w:rsid w:val="00787308"/>
    <w:rsid w:val="00787643"/>
    <w:rsid w:val="00790EE8"/>
    <w:rsid w:val="00793CDE"/>
    <w:rsid w:val="00794B04"/>
    <w:rsid w:val="007959E0"/>
    <w:rsid w:val="007A2108"/>
    <w:rsid w:val="007A21D9"/>
    <w:rsid w:val="007A5C5E"/>
    <w:rsid w:val="007B4D3A"/>
    <w:rsid w:val="007B6945"/>
    <w:rsid w:val="007B6C77"/>
    <w:rsid w:val="007B724E"/>
    <w:rsid w:val="007C2A7B"/>
    <w:rsid w:val="007C7A95"/>
    <w:rsid w:val="007D1272"/>
    <w:rsid w:val="007D2A67"/>
    <w:rsid w:val="007D3D70"/>
    <w:rsid w:val="007D626D"/>
    <w:rsid w:val="007D7BAB"/>
    <w:rsid w:val="007E0EE2"/>
    <w:rsid w:val="007E1450"/>
    <w:rsid w:val="007E20EA"/>
    <w:rsid w:val="007E3023"/>
    <w:rsid w:val="007E7484"/>
    <w:rsid w:val="007F1A7E"/>
    <w:rsid w:val="007F3549"/>
    <w:rsid w:val="007F4DF9"/>
    <w:rsid w:val="007F4F3D"/>
    <w:rsid w:val="007F5D82"/>
    <w:rsid w:val="007F620D"/>
    <w:rsid w:val="00800C76"/>
    <w:rsid w:val="008047B3"/>
    <w:rsid w:val="008070D5"/>
    <w:rsid w:val="00807A33"/>
    <w:rsid w:val="00812EE5"/>
    <w:rsid w:val="008142CE"/>
    <w:rsid w:val="008152C5"/>
    <w:rsid w:val="00820225"/>
    <w:rsid w:val="00820BF2"/>
    <w:rsid w:val="00820CFC"/>
    <w:rsid w:val="00824851"/>
    <w:rsid w:val="0082590A"/>
    <w:rsid w:val="00826C76"/>
    <w:rsid w:val="00826EB5"/>
    <w:rsid w:val="00827AB8"/>
    <w:rsid w:val="00830280"/>
    <w:rsid w:val="00830C37"/>
    <w:rsid w:val="00830DF0"/>
    <w:rsid w:val="008315D5"/>
    <w:rsid w:val="008331A9"/>
    <w:rsid w:val="00833BE5"/>
    <w:rsid w:val="0083583E"/>
    <w:rsid w:val="008375C8"/>
    <w:rsid w:val="008404A7"/>
    <w:rsid w:val="008411C9"/>
    <w:rsid w:val="0084184D"/>
    <w:rsid w:val="00842326"/>
    <w:rsid w:val="00842943"/>
    <w:rsid w:val="00846993"/>
    <w:rsid w:val="0085162C"/>
    <w:rsid w:val="008524CD"/>
    <w:rsid w:val="00855C57"/>
    <w:rsid w:val="00856983"/>
    <w:rsid w:val="00856B31"/>
    <w:rsid w:val="00860A98"/>
    <w:rsid w:val="008616E3"/>
    <w:rsid w:val="008654F8"/>
    <w:rsid w:val="0086589B"/>
    <w:rsid w:val="00865B93"/>
    <w:rsid w:val="00870C0A"/>
    <w:rsid w:val="00872884"/>
    <w:rsid w:val="00873456"/>
    <w:rsid w:val="00875457"/>
    <w:rsid w:val="00876E92"/>
    <w:rsid w:val="008776B9"/>
    <w:rsid w:val="00880170"/>
    <w:rsid w:val="00880BD9"/>
    <w:rsid w:val="00882E64"/>
    <w:rsid w:val="00884E2E"/>
    <w:rsid w:val="00884EB5"/>
    <w:rsid w:val="00892771"/>
    <w:rsid w:val="008928FB"/>
    <w:rsid w:val="008949C1"/>
    <w:rsid w:val="00895834"/>
    <w:rsid w:val="00895C0D"/>
    <w:rsid w:val="00895FD2"/>
    <w:rsid w:val="00897620"/>
    <w:rsid w:val="00897CF7"/>
    <w:rsid w:val="008A1B02"/>
    <w:rsid w:val="008A4913"/>
    <w:rsid w:val="008A74A7"/>
    <w:rsid w:val="008B381B"/>
    <w:rsid w:val="008B3C81"/>
    <w:rsid w:val="008B3C94"/>
    <w:rsid w:val="008B5D3A"/>
    <w:rsid w:val="008C0518"/>
    <w:rsid w:val="008C24DF"/>
    <w:rsid w:val="008C2E0D"/>
    <w:rsid w:val="008C5477"/>
    <w:rsid w:val="008C637B"/>
    <w:rsid w:val="008C7BC0"/>
    <w:rsid w:val="008D16CA"/>
    <w:rsid w:val="008D2DCF"/>
    <w:rsid w:val="008D4B2A"/>
    <w:rsid w:val="008D5455"/>
    <w:rsid w:val="008D5C7D"/>
    <w:rsid w:val="008D5D52"/>
    <w:rsid w:val="008D75B7"/>
    <w:rsid w:val="008E156A"/>
    <w:rsid w:val="008E1A5B"/>
    <w:rsid w:val="008E1C9A"/>
    <w:rsid w:val="008E1D22"/>
    <w:rsid w:val="008E1D41"/>
    <w:rsid w:val="008F286B"/>
    <w:rsid w:val="008F3375"/>
    <w:rsid w:val="008F54BB"/>
    <w:rsid w:val="008F7F45"/>
    <w:rsid w:val="00900CB7"/>
    <w:rsid w:val="00901D4A"/>
    <w:rsid w:val="00903FB9"/>
    <w:rsid w:val="00906567"/>
    <w:rsid w:val="00906A10"/>
    <w:rsid w:val="009075CB"/>
    <w:rsid w:val="00907CC2"/>
    <w:rsid w:val="00910C9F"/>
    <w:rsid w:val="00912B32"/>
    <w:rsid w:val="0091458F"/>
    <w:rsid w:val="00915894"/>
    <w:rsid w:val="009165DA"/>
    <w:rsid w:val="00920F42"/>
    <w:rsid w:val="00921685"/>
    <w:rsid w:val="0092532D"/>
    <w:rsid w:val="00926A57"/>
    <w:rsid w:val="00927219"/>
    <w:rsid w:val="009309FB"/>
    <w:rsid w:val="00932B8B"/>
    <w:rsid w:val="00932C38"/>
    <w:rsid w:val="009339A8"/>
    <w:rsid w:val="00935F6B"/>
    <w:rsid w:val="00937822"/>
    <w:rsid w:val="0094271D"/>
    <w:rsid w:val="009432FC"/>
    <w:rsid w:val="009440B6"/>
    <w:rsid w:val="00951AC8"/>
    <w:rsid w:val="009522CA"/>
    <w:rsid w:val="0095231E"/>
    <w:rsid w:val="00954E96"/>
    <w:rsid w:val="0095792C"/>
    <w:rsid w:val="00962A8A"/>
    <w:rsid w:val="00965AAC"/>
    <w:rsid w:val="00965C61"/>
    <w:rsid w:val="00967FED"/>
    <w:rsid w:val="00972C7C"/>
    <w:rsid w:val="00974B53"/>
    <w:rsid w:val="00975FC9"/>
    <w:rsid w:val="0097699F"/>
    <w:rsid w:val="00977281"/>
    <w:rsid w:val="0097755B"/>
    <w:rsid w:val="00980F40"/>
    <w:rsid w:val="00982AB9"/>
    <w:rsid w:val="00983592"/>
    <w:rsid w:val="009852AA"/>
    <w:rsid w:val="009856F4"/>
    <w:rsid w:val="009858A1"/>
    <w:rsid w:val="009861A6"/>
    <w:rsid w:val="0098669D"/>
    <w:rsid w:val="009868F3"/>
    <w:rsid w:val="00987D12"/>
    <w:rsid w:val="009917C4"/>
    <w:rsid w:val="00993D7E"/>
    <w:rsid w:val="00994095"/>
    <w:rsid w:val="009943CC"/>
    <w:rsid w:val="00995827"/>
    <w:rsid w:val="00996C8C"/>
    <w:rsid w:val="009A07B7"/>
    <w:rsid w:val="009A2234"/>
    <w:rsid w:val="009A47D4"/>
    <w:rsid w:val="009A52BD"/>
    <w:rsid w:val="009B122D"/>
    <w:rsid w:val="009B487E"/>
    <w:rsid w:val="009B6A54"/>
    <w:rsid w:val="009B7808"/>
    <w:rsid w:val="009C0674"/>
    <w:rsid w:val="009C1450"/>
    <w:rsid w:val="009C25F0"/>
    <w:rsid w:val="009C38BA"/>
    <w:rsid w:val="009C5A4E"/>
    <w:rsid w:val="009C6304"/>
    <w:rsid w:val="009D174C"/>
    <w:rsid w:val="009D1963"/>
    <w:rsid w:val="009D2E79"/>
    <w:rsid w:val="009D3998"/>
    <w:rsid w:val="009D7210"/>
    <w:rsid w:val="009E4799"/>
    <w:rsid w:val="009E517C"/>
    <w:rsid w:val="009E7985"/>
    <w:rsid w:val="009F21B5"/>
    <w:rsid w:val="009F2FE9"/>
    <w:rsid w:val="009F3C80"/>
    <w:rsid w:val="009F40F3"/>
    <w:rsid w:val="009F7E87"/>
    <w:rsid w:val="009F7F39"/>
    <w:rsid w:val="00A0304D"/>
    <w:rsid w:val="00A033AC"/>
    <w:rsid w:val="00A03A4A"/>
    <w:rsid w:val="00A049F7"/>
    <w:rsid w:val="00A129E0"/>
    <w:rsid w:val="00A134E3"/>
    <w:rsid w:val="00A13776"/>
    <w:rsid w:val="00A15654"/>
    <w:rsid w:val="00A15A58"/>
    <w:rsid w:val="00A168B1"/>
    <w:rsid w:val="00A23774"/>
    <w:rsid w:val="00A24B2B"/>
    <w:rsid w:val="00A271DB"/>
    <w:rsid w:val="00A320E1"/>
    <w:rsid w:val="00A32EEF"/>
    <w:rsid w:val="00A3423C"/>
    <w:rsid w:val="00A346B7"/>
    <w:rsid w:val="00A379A7"/>
    <w:rsid w:val="00A37B97"/>
    <w:rsid w:val="00A40ADF"/>
    <w:rsid w:val="00A41DFB"/>
    <w:rsid w:val="00A433A2"/>
    <w:rsid w:val="00A448CD"/>
    <w:rsid w:val="00A44A5F"/>
    <w:rsid w:val="00A45E2C"/>
    <w:rsid w:val="00A4625C"/>
    <w:rsid w:val="00A549BA"/>
    <w:rsid w:val="00A5513A"/>
    <w:rsid w:val="00A56C56"/>
    <w:rsid w:val="00A604BB"/>
    <w:rsid w:val="00A60FDA"/>
    <w:rsid w:val="00A61F31"/>
    <w:rsid w:val="00A6610B"/>
    <w:rsid w:val="00A66587"/>
    <w:rsid w:val="00A66E16"/>
    <w:rsid w:val="00A671D2"/>
    <w:rsid w:val="00A67A81"/>
    <w:rsid w:val="00A70142"/>
    <w:rsid w:val="00A70503"/>
    <w:rsid w:val="00A74E14"/>
    <w:rsid w:val="00A757B3"/>
    <w:rsid w:val="00A76099"/>
    <w:rsid w:val="00A7620C"/>
    <w:rsid w:val="00A82BD8"/>
    <w:rsid w:val="00A856E5"/>
    <w:rsid w:val="00A85E5A"/>
    <w:rsid w:val="00A85EB2"/>
    <w:rsid w:val="00A92842"/>
    <w:rsid w:val="00A93435"/>
    <w:rsid w:val="00A93916"/>
    <w:rsid w:val="00A941D1"/>
    <w:rsid w:val="00A96180"/>
    <w:rsid w:val="00A9644D"/>
    <w:rsid w:val="00A97E7D"/>
    <w:rsid w:val="00AA4938"/>
    <w:rsid w:val="00AA4B48"/>
    <w:rsid w:val="00AA5599"/>
    <w:rsid w:val="00AA624C"/>
    <w:rsid w:val="00AA7E72"/>
    <w:rsid w:val="00AA7F8B"/>
    <w:rsid w:val="00AB5CCC"/>
    <w:rsid w:val="00AC5AB3"/>
    <w:rsid w:val="00AC7D05"/>
    <w:rsid w:val="00AC7DA4"/>
    <w:rsid w:val="00AD3471"/>
    <w:rsid w:val="00AD5696"/>
    <w:rsid w:val="00AD6DE8"/>
    <w:rsid w:val="00AE13CE"/>
    <w:rsid w:val="00AE215C"/>
    <w:rsid w:val="00AE26F3"/>
    <w:rsid w:val="00AE3E43"/>
    <w:rsid w:val="00AE40DF"/>
    <w:rsid w:val="00AE5696"/>
    <w:rsid w:val="00AF31B7"/>
    <w:rsid w:val="00AF3DC4"/>
    <w:rsid w:val="00AF4871"/>
    <w:rsid w:val="00AF4BD8"/>
    <w:rsid w:val="00AF4C9B"/>
    <w:rsid w:val="00AF514F"/>
    <w:rsid w:val="00AF6E7F"/>
    <w:rsid w:val="00B01E49"/>
    <w:rsid w:val="00B0371C"/>
    <w:rsid w:val="00B039FC"/>
    <w:rsid w:val="00B046E1"/>
    <w:rsid w:val="00B05CA0"/>
    <w:rsid w:val="00B07858"/>
    <w:rsid w:val="00B07B3B"/>
    <w:rsid w:val="00B07DDB"/>
    <w:rsid w:val="00B14675"/>
    <w:rsid w:val="00B14DFB"/>
    <w:rsid w:val="00B1645B"/>
    <w:rsid w:val="00B17734"/>
    <w:rsid w:val="00B17BFA"/>
    <w:rsid w:val="00B17CE2"/>
    <w:rsid w:val="00B202F4"/>
    <w:rsid w:val="00B20585"/>
    <w:rsid w:val="00B213BB"/>
    <w:rsid w:val="00B23140"/>
    <w:rsid w:val="00B236BD"/>
    <w:rsid w:val="00B25B35"/>
    <w:rsid w:val="00B2651A"/>
    <w:rsid w:val="00B27B60"/>
    <w:rsid w:val="00B35165"/>
    <w:rsid w:val="00B35A4A"/>
    <w:rsid w:val="00B36B58"/>
    <w:rsid w:val="00B43A85"/>
    <w:rsid w:val="00B4616A"/>
    <w:rsid w:val="00B46522"/>
    <w:rsid w:val="00B5104D"/>
    <w:rsid w:val="00B52C3C"/>
    <w:rsid w:val="00B52E36"/>
    <w:rsid w:val="00B562FD"/>
    <w:rsid w:val="00B57AC6"/>
    <w:rsid w:val="00B64065"/>
    <w:rsid w:val="00B667B1"/>
    <w:rsid w:val="00B715AD"/>
    <w:rsid w:val="00B742EC"/>
    <w:rsid w:val="00B7474B"/>
    <w:rsid w:val="00B77089"/>
    <w:rsid w:val="00B802CE"/>
    <w:rsid w:val="00B8255A"/>
    <w:rsid w:val="00B82C32"/>
    <w:rsid w:val="00B85790"/>
    <w:rsid w:val="00B85EA6"/>
    <w:rsid w:val="00B9072C"/>
    <w:rsid w:val="00B94201"/>
    <w:rsid w:val="00B9501C"/>
    <w:rsid w:val="00B95C5D"/>
    <w:rsid w:val="00BA0003"/>
    <w:rsid w:val="00BA1159"/>
    <w:rsid w:val="00BA1387"/>
    <w:rsid w:val="00BA26D0"/>
    <w:rsid w:val="00BA649F"/>
    <w:rsid w:val="00BA7243"/>
    <w:rsid w:val="00BA79BB"/>
    <w:rsid w:val="00BB040B"/>
    <w:rsid w:val="00BC131C"/>
    <w:rsid w:val="00BC2FBD"/>
    <w:rsid w:val="00BC68AE"/>
    <w:rsid w:val="00BD2C9C"/>
    <w:rsid w:val="00BD591C"/>
    <w:rsid w:val="00BD5985"/>
    <w:rsid w:val="00BD5C52"/>
    <w:rsid w:val="00BD5CC5"/>
    <w:rsid w:val="00BD66E7"/>
    <w:rsid w:val="00BE1ABD"/>
    <w:rsid w:val="00BE5F55"/>
    <w:rsid w:val="00BE67B9"/>
    <w:rsid w:val="00BE750A"/>
    <w:rsid w:val="00BE7797"/>
    <w:rsid w:val="00BF1E21"/>
    <w:rsid w:val="00BF5D30"/>
    <w:rsid w:val="00BF5DF5"/>
    <w:rsid w:val="00BF6625"/>
    <w:rsid w:val="00BF6D8E"/>
    <w:rsid w:val="00C00553"/>
    <w:rsid w:val="00C01A9C"/>
    <w:rsid w:val="00C04078"/>
    <w:rsid w:val="00C045FA"/>
    <w:rsid w:val="00C0489E"/>
    <w:rsid w:val="00C13431"/>
    <w:rsid w:val="00C1383B"/>
    <w:rsid w:val="00C145AC"/>
    <w:rsid w:val="00C1703C"/>
    <w:rsid w:val="00C17643"/>
    <w:rsid w:val="00C204D0"/>
    <w:rsid w:val="00C24A01"/>
    <w:rsid w:val="00C265EC"/>
    <w:rsid w:val="00C27464"/>
    <w:rsid w:val="00C3067B"/>
    <w:rsid w:val="00C30FD1"/>
    <w:rsid w:val="00C31533"/>
    <w:rsid w:val="00C3182D"/>
    <w:rsid w:val="00C33CAB"/>
    <w:rsid w:val="00C36696"/>
    <w:rsid w:val="00C3699B"/>
    <w:rsid w:val="00C36FB4"/>
    <w:rsid w:val="00C4051A"/>
    <w:rsid w:val="00C41258"/>
    <w:rsid w:val="00C43159"/>
    <w:rsid w:val="00C444B1"/>
    <w:rsid w:val="00C55470"/>
    <w:rsid w:val="00C55ACD"/>
    <w:rsid w:val="00C56E6B"/>
    <w:rsid w:val="00C56EA8"/>
    <w:rsid w:val="00C624B9"/>
    <w:rsid w:val="00C63269"/>
    <w:rsid w:val="00C63C4E"/>
    <w:rsid w:val="00C66E2E"/>
    <w:rsid w:val="00C70AD5"/>
    <w:rsid w:val="00C71623"/>
    <w:rsid w:val="00C71842"/>
    <w:rsid w:val="00C748C5"/>
    <w:rsid w:val="00C7630D"/>
    <w:rsid w:val="00C76C8F"/>
    <w:rsid w:val="00C7786E"/>
    <w:rsid w:val="00C80B6E"/>
    <w:rsid w:val="00C82389"/>
    <w:rsid w:val="00C83D85"/>
    <w:rsid w:val="00C84F28"/>
    <w:rsid w:val="00C8678A"/>
    <w:rsid w:val="00C8727D"/>
    <w:rsid w:val="00C92F1C"/>
    <w:rsid w:val="00C94DD4"/>
    <w:rsid w:val="00C95483"/>
    <w:rsid w:val="00C96DB7"/>
    <w:rsid w:val="00CA040F"/>
    <w:rsid w:val="00CA0618"/>
    <w:rsid w:val="00CA078C"/>
    <w:rsid w:val="00CA19A9"/>
    <w:rsid w:val="00CA1AAF"/>
    <w:rsid w:val="00CA1E0B"/>
    <w:rsid w:val="00CA42CF"/>
    <w:rsid w:val="00CB2453"/>
    <w:rsid w:val="00CB297A"/>
    <w:rsid w:val="00CB556B"/>
    <w:rsid w:val="00CB58F2"/>
    <w:rsid w:val="00CB6C17"/>
    <w:rsid w:val="00CC24DE"/>
    <w:rsid w:val="00CC492A"/>
    <w:rsid w:val="00CC5AE3"/>
    <w:rsid w:val="00CC7181"/>
    <w:rsid w:val="00CD04ED"/>
    <w:rsid w:val="00CD04F0"/>
    <w:rsid w:val="00CD1D4A"/>
    <w:rsid w:val="00CD2E94"/>
    <w:rsid w:val="00CD32D8"/>
    <w:rsid w:val="00CD4023"/>
    <w:rsid w:val="00CD4350"/>
    <w:rsid w:val="00CD53F1"/>
    <w:rsid w:val="00CD6062"/>
    <w:rsid w:val="00CE1F00"/>
    <w:rsid w:val="00CE2218"/>
    <w:rsid w:val="00CE42CB"/>
    <w:rsid w:val="00CE5767"/>
    <w:rsid w:val="00CE770C"/>
    <w:rsid w:val="00CF03DC"/>
    <w:rsid w:val="00CF0FE5"/>
    <w:rsid w:val="00CF462F"/>
    <w:rsid w:val="00CF56FF"/>
    <w:rsid w:val="00CF6064"/>
    <w:rsid w:val="00D01FBF"/>
    <w:rsid w:val="00D0437B"/>
    <w:rsid w:val="00D06B96"/>
    <w:rsid w:val="00D104C0"/>
    <w:rsid w:val="00D10FEB"/>
    <w:rsid w:val="00D11932"/>
    <w:rsid w:val="00D124DB"/>
    <w:rsid w:val="00D12A67"/>
    <w:rsid w:val="00D221D3"/>
    <w:rsid w:val="00D22E2C"/>
    <w:rsid w:val="00D23560"/>
    <w:rsid w:val="00D2420A"/>
    <w:rsid w:val="00D314F0"/>
    <w:rsid w:val="00D35109"/>
    <w:rsid w:val="00D35FE0"/>
    <w:rsid w:val="00D3698D"/>
    <w:rsid w:val="00D4089B"/>
    <w:rsid w:val="00D42A33"/>
    <w:rsid w:val="00D5565B"/>
    <w:rsid w:val="00D55EED"/>
    <w:rsid w:val="00D5618E"/>
    <w:rsid w:val="00D61650"/>
    <w:rsid w:val="00D623C5"/>
    <w:rsid w:val="00D63913"/>
    <w:rsid w:val="00D658F4"/>
    <w:rsid w:val="00D66D1B"/>
    <w:rsid w:val="00D67FA9"/>
    <w:rsid w:val="00D736E5"/>
    <w:rsid w:val="00D749A0"/>
    <w:rsid w:val="00D758FA"/>
    <w:rsid w:val="00D75A6C"/>
    <w:rsid w:val="00D76917"/>
    <w:rsid w:val="00D77E9F"/>
    <w:rsid w:val="00D80843"/>
    <w:rsid w:val="00D820E4"/>
    <w:rsid w:val="00D82DF3"/>
    <w:rsid w:val="00D83A53"/>
    <w:rsid w:val="00D840EE"/>
    <w:rsid w:val="00D843EF"/>
    <w:rsid w:val="00D84975"/>
    <w:rsid w:val="00D912C9"/>
    <w:rsid w:val="00D914D6"/>
    <w:rsid w:val="00D91647"/>
    <w:rsid w:val="00D91DC6"/>
    <w:rsid w:val="00D94A47"/>
    <w:rsid w:val="00D95472"/>
    <w:rsid w:val="00D9551D"/>
    <w:rsid w:val="00D95C78"/>
    <w:rsid w:val="00D97BE0"/>
    <w:rsid w:val="00DA1F85"/>
    <w:rsid w:val="00DA3BFD"/>
    <w:rsid w:val="00DA3F4D"/>
    <w:rsid w:val="00DB2878"/>
    <w:rsid w:val="00DB4A2C"/>
    <w:rsid w:val="00DB4E55"/>
    <w:rsid w:val="00DB5407"/>
    <w:rsid w:val="00DC0BBA"/>
    <w:rsid w:val="00DC1D25"/>
    <w:rsid w:val="00DC31A7"/>
    <w:rsid w:val="00DC338D"/>
    <w:rsid w:val="00DC33D5"/>
    <w:rsid w:val="00DC40E7"/>
    <w:rsid w:val="00DC48AA"/>
    <w:rsid w:val="00DC7C7A"/>
    <w:rsid w:val="00DD27DA"/>
    <w:rsid w:val="00DD426B"/>
    <w:rsid w:val="00DD5EEC"/>
    <w:rsid w:val="00DE1793"/>
    <w:rsid w:val="00DE1968"/>
    <w:rsid w:val="00DE2E68"/>
    <w:rsid w:val="00DE6B4E"/>
    <w:rsid w:val="00DE7A10"/>
    <w:rsid w:val="00DE7A6D"/>
    <w:rsid w:val="00DF5A80"/>
    <w:rsid w:val="00DF5B2F"/>
    <w:rsid w:val="00DF7F84"/>
    <w:rsid w:val="00E00011"/>
    <w:rsid w:val="00E002C8"/>
    <w:rsid w:val="00E01301"/>
    <w:rsid w:val="00E04923"/>
    <w:rsid w:val="00E050E3"/>
    <w:rsid w:val="00E059EC"/>
    <w:rsid w:val="00E05D86"/>
    <w:rsid w:val="00E10037"/>
    <w:rsid w:val="00E12604"/>
    <w:rsid w:val="00E20E91"/>
    <w:rsid w:val="00E21407"/>
    <w:rsid w:val="00E22051"/>
    <w:rsid w:val="00E221B3"/>
    <w:rsid w:val="00E24131"/>
    <w:rsid w:val="00E26637"/>
    <w:rsid w:val="00E273F9"/>
    <w:rsid w:val="00E30D27"/>
    <w:rsid w:val="00E314A6"/>
    <w:rsid w:val="00E31917"/>
    <w:rsid w:val="00E3353B"/>
    <w:rsid w:val="00E3416E"/>
    <w:rsid w:val="00E34EDF"/>
    <w:rsid w:val="00E40199"/>
    <w:rsid w:val="00E42AAB"/>
    <w:rsid w:val="00E47FA6"/>
    <w:rsid w:val="00E5244F"/>
    <w:rsid w:val="00E52501"/>
    <w:rsid w:val="00E5473E"/>
    <w:rsid w:val="00E54E23"/>
    <w:rsid w:val="00E55259"/>
    <w:rsid w:val="00E56C84"/>
    <w:rsid w:val="00E6009E"/>
    <w:rsid w:val="00E61532"/>
    <w:rsid w:val="00E61B6D"/>
    <w:rsid w:val="00E62D2E"/>
    <w:rsid w:val="00E7386E"/>
    <w:rsid w:val="00E74594"/>
    <w:rsid w:val="00E7497F"/>
    <w:rsid w:val="00E8026E"/>
    <w:rsid w:val="00E80B0F"/>
    <w:rsid w:val="00E818DC"/>
    <w:rsid w:val="00E82141"/>
    <w:rsid w:val="00E82FD8"/>
    <w:rsid w:val="00E840F5"/>
    <w:rsid w:val="00E84FFB"/>
    <w:rsid w:val="00E8663C"/>
    <w:rsid w:val="00E87373"/>
    <w:rsid w:val="00E877F3"/>
    <w:rsid w:val="00E91E80"/>
    <w:rsid w:val="00E92017"/>
    <w:rsid w:val="00E921A0"/>
    <w:rsid w:val="00EA0A02"/>
    <w:rsid w:val="00EA0B83"/>
    <w:rsid w:val="00EA1808"/>
    <w:rsid w:val="00EA2993"/>
    <w:rsid w:val="00EA6A3C"/>
    <w:rsid w:val="00EA6DC1"/>
    <w:rsid w:val="00EB0293"/>
    <w:rsid w:val="00EB37E6"/>
    <w:rsid w:val="00EB3CB1"/>
    <w:rsid w:val="00EB5F8D"/>
    <w:rsid w:val="00EB7473"/>
    <w:rsid w:val="00ED093E"/>
    <w:rsid w:val="00ED0FF7"/>
    <w:rsid w:val="00ED4BBB"/>
    <w:rsid w:val="00ED5216"/>
    <w:rsid w:val="00ED5CD3"/>
    <w:rsid w:val="00ED67C8"/>
    <w:rsid w:val="00EE3A1A"/>
    <w:rsid w:val="00EE49CE"/>
    <w:rsid w:val="00EF06B2"/>
    <w:rsid w:val="00EF1F16"/>
    <w:rsid w:val="00EF2E70"/>
    <w:rsid w:val="00EF3D57"/>
    <w:rsid w:val="00EF4640"/>
    <w:rsid w:val="00EF7150"/>
    <w:rsid w:val="00F003A1"/>
    <w:rsid w:val="00F0108C"/>
    <w:rsid w:val="00F01538"/>
    <w:rsid w:val="00F01696"/>
    <w:rsid w:val="00F03377"/>
    <w:rsid w:val="00F07AA9"/>
    <w:rsid w:val="00F10C25"/>
    <w:rsid w:val="00F10E4E"/>
    <w:rsid w:val="00F126CB"/>
    <w:rsid w:val="00F12FB4"/>
    <w:rsid w:val="00F13592"/>
    <w:rsid w:val="00F13687"/>
    <w:rsid w:val="00F14364"/>
    <w:rsid w:val="00F15067"/>
    <w:rsid w:val="00F163F9"/>
    <w:rsid w:val="00F2138C"/>
    <w:rsid w:val="00F2317C"/>
    <w:rsid w:val="00F262DF"/>
    <w:rsid w:val="00F2680D"/>
    <w:rsid w:val="00F27B35"/>
    <w:rsid w:val="00F27CD3"/>
    <w:rsid w:val="00F313B0"/>
    <w:rsid w:val="00F31B85"/>
    <w:rsid w:val="00F3282E"/>
    <w:rsid w:val="00F32E54"/>
    <w:rsid w:val="00F37BFA"/>
    <w:rsid w:val="00F45C53"/>
    <w:rsid w:val="00F45FFB"/>
    <w:rsid w:val="00F53988"/>
    <w:rsid w:val="00F555C7"/>
    <w:rsid w:val="00F55B6B"/>
    <w:rsid w:val="00F629A9"/>
    <w:rsid w:val="00F63A8B"/>
    <w:rsid w:val="00F64F5C"/>
    <w:rsid w:val="00F67180"/>
    <w:rsid w:val="00F678A3"/>
    <w:rsid w:val="00F74BB4"/>
    <w:rsid w:val="00F75173"/>
    <w:rsid w:val="00F75ED8"/>
    <w:rsid w:val="00F76064"/>
    <w:rsid w:val="00F76942"/>
    <w:rsid w:val="00F76B82"/>
    <w:rsid w:val="00F7715E"/>
    <w:rsid w:val="00F813C4"/>
    <w:rsid w:val="00F82C71"/>
    <w:rsid w:val="00F833D5"/>
    <w:rsid w:val="00F838F6"/>
    <w:rsid w:val="00F85D25"/>
    <w:rsid w:val="00F867D1"/>
    <w:rsid w:val="00F908C1"/>
    <w:rsid w:val="00F9175B"/>
    <w:rsid w:val="00F93145"/>
    <w:rsid w:val="00F9513E"/>
    <w:rsid w:val="00F9575C"/>
    <w:rsid w:val="00F97CF2"/>
    <w:rsid w:val="00FA0A3E"/>
    <w:rsid w:val="00FA56A9"/>
    <w:rsid w:val="00FA5784"/>
    <w:rsid w:val="00FA74A9"/>
    <w:rsid w:val="00FB219E"/>
    <w:rsid w:val="00FB4159"/>
    <w:rsid w:val="00FB500A"/>
    <w:rsid w:val="00FB78AC"/>
    <w:rsid w:val="00FC0189"/>
    <w:rsid w:val="00FC0F86"/>
    <w:rsid w:val="00FC1EAF"/>
    <w:rsid w:val="00FC457A"/>
    <w:rsid w:val="00FC49A0"/>
    <w:rsid w:val="00FC49FE"/>
    <w:rsid w:val="00FC50F3"/>
    <w:rsid w:val="00FC6CA9"/>
    <w:rsid w:val="00FD0283"/>
    <w:rsid w:val="00FD0C84"/>
    <w:rsid w:val="00FD1D26"/>
    <w:rsid w:val="00FD1E00"/>
    <w:rsid w:val="00FD2367"/>
    <w:rsid w:val="00FE0D87"/>
    <w:rsid w:val="00FE0DC4"/>
    <w:rsid w:val="00FE0F96"/>
    <w:rsid w:val="00FE1EC3"/>
    <w:rsid w:val="00FE345C"/>
    <w:rsid w:val="00FE465E"/>
    <w:rsid w:val="00FE493E"/>
    <w:rsid w:val="00FE4B74"/>
    <w:rsid w:val="00FE4CA7"/>
    <w:rsid w:val="00FE4E12"/>
    <w:rsid w:val="00FE7E1D"/>
    <w:rsid w:val="00FF0A56"/>
    <w:rsid w:val="00FF1C1C"/>
    <w:rsid w:val="00FF449F"/>
    <w:rsid w:val="00FF549A"/>
    <w:rsid w:val="00FF75C1"/>
    <w:rsid w:val="00FF7D9A"/>
    <w:rsid w:val="01003242"/>
    <w:rsid w:val="01124CC5"/>
    <w:rsid w:val="011C4500"/>
    <w:rsid w:val="012259A7"/>
    <w:rsid w:val="01341807"/>
    <w:rsid w:val="01394B48"/>
    <w:rsid w:val="014D33EB"/>
    <w:rsid w:val="014F25AF"/>
    <w:rsid w:val="01570977"/>
    <w:rsid w:val="016B72A3"/>
    <w:rsid w:val="0170184F"/>
    <w:rsid w:val="017F55F4"/>
    <w:rsid w:val="01804A4C"/>
    <w:rsid w:val="018F30C8"/>
    <w:rsid w:val="019B53E2"/>
    <w:rsid w:val="01A1404C"/>
    <w:rsid w:val="01AD5116"/>
    <w:rsid w:val="01B450F7"/>
    <w:rsid w:val="01BC2E60"/>
    <w:rsid w:val="01C66586"/>
    <w:rsid w:val="01D4107A"/>
    <w:rsid w:val="01D84888"/>
    <w:rsid w:val="01E52732"/>
    <w:rsid w:val="01EA0CDA"/>
    <w:rsid w:val="01EB45BC"/>
    <w:rsid w:val="01FC4717"/>
    <w:rsid w:val="020439D6"/>
    <w:rsid w:val="023309D1"/>
    <w:rsid w:val="023630EE"/>
    <w:rsid w:val="023E05FC"/>
    <w:rsid w:val="0245208B"/>
    <w:rsid w:val="02500A70"/>
    <w:rsid w:val="025A60E5"/>
    <w:rsid w:val="0264340D"/>
    <w:rsid w:val="02716342"/>
    <w:rsid w:val="029040BA"/>
    <w:rsid w:val="02C01269"/>
    <w:rsid w:val="02CB1358"/>
    <w:rsid w:val="03004097"/>
    <w:rsid w:val="030516AD"/>
    <w:rsid w:val="030B2C9C"/>
    <w:rsid w:val="03237D85"/>
    <w:rsid w:val="03306F17"/>
    <w:rsid w:val="03443858"/>
    <w:rsid w:val="03471663"/>
    <w:rsid w:val="03583547"/>
    <w:rsid w:val="03645AD6"/>
    <w:rsid w:val="03716D43"/>
    <w:rsid w:val="03901BDD"/>
    <w:rsid w:val="039D6571"/>
    <w:rsid w:val="03A72764"/>
    <w:rsid w:val="03B07393"/>
    <w:rsid w:val="03B60BF9"/>
    <w:rsid w:val="03BA2836"/>
    <w:rsid w:val="03C25B9F"/>
    <w:rsid w:val="03D472D2"/>
    <w:rsid w:val="03F71B22"/>
    <w:rsid w:val="043D09D3"/>
    <w:rsid w:val="046643CE"/>
    <w:rsid w:val="047429D6"/>
    <w:rsid w:val="047A5783"/>
    <w:rsid w:val="047B418A"/>
    <w:rsid w:val="047B78E7"/>
    <w:rsid w:val="04812FB5"/>
    <w:rsid w:val="0490144A"/>
    <w:rsid w:val="049063BA"/>
    <w:rsid w:val="04975E10"/>
    <w:rsid w:val="04AB66FE"/>
    <w:rsid w:val="04B2316F"/>
    <w:rsid w:val="04C46A11"/>
    <w:rsid w:val="04D75AFC"/>
    <w:rsid w:val="04E673A0"/>
    <w:rsid w:val="04EA6DAD"/>
    <w:rsid w:val="04F574FF"/>
    <w:rsid w:val="04F62DA6"/>
    <w:rsid w:val="04FB0603"/>
    <w:rsid w:val="04FD7C0E"/>
    <w:rsid w:val="051C2CDE"/>
    <w:rsid w:val="05296BAF"/>
    <w:rsid w:val="053E55B0"/>
    <w:rsid w:val="05432782"/>
    <w:rsid w:val="05561C9B"/>
    <w:rsid w:val="056F3007"/>
    <w:rsid w:val="056F6820"/>
    <w:rsid w:val="05806AC8"/>
    <w:rsid w:val="05815A88"/>
    <w:rsid w:val="05A21A1E"/>
    <w:rsid w:val="05A351AD"/>
    <w:rsid w:val="05A607FA"/>
    <w:rsid w:val="05B86DE2"/>
    <w:rsid w:val="05C23886"/>
    <w:rsid w:val="05CF5FA2"/>
    <w:rsid w:val="05D36D4B"/>
    <w:rsid w:val="05D43738"/>
    <w:rsid w:val="05DE6629"/>
    <w:rsid w:val="05F71D30"/>
    <w:rsid w:val="05FF746E"/>
    <w:rsid w:val="060F2A34"/>
    <w:rsid w:val="06113EC5"/>
    <w:rsid w:val="06150691"/>
    <w:rsid w:val="062E4A77"/>
    <w:rsid w:val="062F07EF"/>
    <w:rsid w:val="06420522"/>
    <w:rsid w:val="06500E91"/>
    <w:rsid w:val="06711A3F"/>
    <w:rsid w:val="06716DD5"/>
    <w:rsid w:val="06764670"/>
    <w:rsid w:val="06874187"/>
    <w:rsid w:val="06897F9B"/>
    <w:rsid w:val="068C3E93"/>
    <w:rsid w:val="06A574A9"/>
    <w:rsid w:val="06D01FD2"/>
    <w:rsid w:val="06D64CED"/>
    <w:rsid w:val="06D73361"/>
    <w:rsid w:val="06DA69AD"/>
    <w:rsid w:val="06E87E87"/>
    <w:rsid w:val="06EB451D"/>
    <w:rsid w:val="06FB2C54"/>
    <w:rsid w:val="070B17E3"/>
    <w:rsid w:val="071D01B9"/>
    <w:rsid w:val="071D689A"/>
    <w:rsid w:val="071F3A7A"/>
    <w:rsid w:val="07370E03"/>
    <w:rsid w:val="074B1659"/>
    <w:rsid w:val="074D1FAA"/>
    <w:rsid w:val="077869D4"/>
    <w:rsid w:val="0781151E"/>
    <w:rsid w:val="07A11279"/>
    <w:rsid w:val="07D80A2F"/>
    <w:rsid w:val="07D94EB6"/>
    <w:rsid w:val="07F42F89"/>
    <w:rsid w:val="0801567C"/>
    <w:rsid w:val="0811287F"/>
    <w:rsid w:val="08120473"/>
    <w:rsid w:val="08186309"/>
    <w:rsid w:val="08213C5F"/>
    <w:rsid w:val="08264627"/>
    <w:rsid w:val="08312278"/>
    <w:rsid w:val="08497F0B"/>
    <w:rsid w:val="084C24F2"/>
    <w:rsid w:val="085D7896"/>
    <w:rsid w:val="088C1F29"/>
    <w:rsid w:val="0896217F"/>
    <w:rsid w:val="08BE33E4"/>
    <w:rsid w:val="08EE2D07"/>
    <w:rsid w:val="09081FF3"/>
    <w:rsid w:val="092708D3"/>
    <w:rsid w:val="092B33AD"/>
    <w:rsid w:val="09311D07"/>
    <w:rsid w:val="095C5D9F"/>
    <w:rsid w:val="0962248A"/>
    <w:rsid w:val="097924AD"/>
    <w:rsid w:val="097B276C"/>
    <w:rsid w:val="09811362"/>
    <w:rsid w:val="09B41AF1"/>
    <w:rsid w:val="09B45D2D"/>
    <w:rsid w:val="09C22FA5"/>
    <w:rsid w:val="09EF71E1"/>
    <w:rsid w:val="09F75AC8"/>
    <w:rsid w:val="0A0C05B1"/>
    <w:rsid w:val="0A160EC9"/>
    <w:rsid w:val="0A2235C4"/>
    <w:rsid w:val="0A2262F9"/>
    <w:rsid w:val="0A2C5771"/>
    <w:rsid w:val="0A343FA2"/>
    <w:rsid w:val="0A36039E"/>
    <w:rsid w:val="0A3D5C6E"/>
    <w:rsid w:val="0A6317D2"/>
    <w:rsid w:val="0A742C74"/>
    <w:rsid w:val="0A7E6D9E"/>
    <w:rsid w:val="0A8A2498"/>
    <w:rsid w:val="0A8F7AAE"/>
    <w:rsid w:val="0A8F7DDB"/>
    <w:rsid w:val="0AB35AB2"/>
    <w:rsid w:val="0AC06CD4"/>
    <w:rsid w:val="0ACB1E4E"/>
    <w:rsid w:val="0ACC2AB1"/>
    <w:rsid w:val="0ADB2DC2"/>
    <w:rsid w:val="0AE0655C"/>
    <w:rsid w:val="0AF50259"/>
    <w:rsid w:val="0AFC23AB"/>
    <w:rsid w:val="0AFD0EBC"/>
    <w:rsid w:val="0B071D3B"/>
    <w:rsid w:val="0B1A1A6E"/>
    <w:rsid w:val="0B2C17A1"/>
    <w:rsid w:val="0B562D19"/>
    <w:rsid w:val="0B576BAE"/>
    <w:rsid w:val="0B6727D9"/>
    <w:rsid w:val="0B6A1BFD"/>
    <w:rsid w:val="0B6B28C4"/>
    <w:rsid w:val="0B755E87"/>
    <w:rsid w:val="0B7E5B88"/>
    <w:rsid w:val="0B9F33DB"/>
    <w:rsid w:val="0B9F70A1"/>
    <w:rsid w:val="0BAD4690"/>
    <w:rsid w:val="0BB837FF"/>
    <w:rsid w:val="0BBF5926"/>
    <w:rsid w:val="0BCE0FF1"/>
    <w:rsid w:val="0C0C2286"/>
    <w:rsid w:val="0C246F82"/>
    <w:rsid w:val="0C2710AB"/>
    <w:rsid w:val="0C3C5A14"/>
    <w:rsid w:val="0C475CAC"/>
    <w:rsid w:val="0C513ECB"/>
    <w:rsid w:val="0C5E5EFE"/>
    <w:rsid w:val="0C6948F0"/>
    <w:rsid w:val="0C79320C"/>
    <w:rsid w:val="0C796F15"/>
    <w:rsid w:val="0C7B158E"/>
    <w:rsid w:val="0C8C699B"/>
    <w:rsid w:val="0CA5180B"/>
    <w:rsid w:val="0CAE337D"/>
    <w:rsid w:val="0CBE5FE8"/>
    <w:rsid w:val="0CC20559"/>
    <w:rsid w:val="0CC97E72"/>
    <w:rsid w:val="0CD014BE"/>
    <w:rsid w:val="0CDD05A5"/>
    <w:rsid w:val="0D215582"/>
    <w:rsid w:val="0D2857BD"/>
    <w:rsid w:val="0D295F98"/>
    <w:rsid w:val="0D297B19"/>
    <w:rsid w:val="0D4841F2"/>
    <w:rsid w:val="0D56223C"/>
    <w:rsid w:val="0D582A63"/>
    <w:rsid w:val="0D5D1265"/>
    <w:rsid w:val="0D933D59"/>
    <w:rsid w:val="0DB56CB0"/>
    <w:rsid w:val="0DD248FB"/>
    <w:rsid w:val="0DDD53EB"/>
    <w:rsid w:val="0DED5B18"/>
    <w:rsid w:val="0DF60F60"/>
    <w:rsid w:val="0DF62754"/>
    <w:rsid w:val="0E4565B8"/>
    <w:rsid w:val="0E460DCC"/>
    <w:rsid w:val="0E4612F3"/>
    <w:rsid w:val="0E4B63E2"/>
    <w:rsid w:val="0E5B1516"/>
    <w:rsid w:val="0E7B6CC7"/>
    <w:rsid w:val="0E8D7234"/>
    <w:rsid w:val="0E93448D"/>
    <w:rsid w:val="0EC27378"/>
    <w:rsid w:val="0ECA58E6"/>
    <w:rsid w:val="0ECC3DE6"/>
    <w:rsid w:val="0ECF0DC1"/>
    <w:rsid w:val="0ED30733"/>
    <w:rsid w:val="0ED30760"/>
    <w:rsid w:val="0EF81D8A"/>
    <w:rsid w:val="0F213404"/>
    <w:rsid w:val="0F3513A4"/>
    <w:rsid w:val="0F387BC6"/>
    <w:rsid w:val="0F4F7C33"/>
    <w:rsid w:val="0F5270E8"/>
    <w:rsid w:val="0F5664DF"/>
    <w:rsid w:val="0F580DB7"/>
    <w:rsid w:val="0F64775C"/>
    <w:rsid w:val="0F6E2162"/>
    <w:rsid w:val="0F7A3598"/>
    <w:rsid w:val="0F7B7E1B"/>
    <w:rsid w:val="0F841CA1"/>
    <w:rsid w:val="0F87739A"/>
    <w:rsid w:val="0F9811B3"/>
    <w:rsid w:val="0FB33510"/>
    <w:rsid w:val="0FCD4425"/>
    <w:rsid w:val="0FD35451"/>
    <w:rsid w:val="0FD52407"/>
    <w:rsid w:val="0FD57DF7"/>
    <w:rsid w:val="0FFB63F9"/>
    <w:rsid w:val="1001264F"/>
    <w:rsid w:val="100D367C"/>
    <w:rsid w:val="10246EEB"/>
    <w:rsid w:val="105F3B49"/>
    <w:rsid w:val="10713A54"/>
    <w:rsid w:val="10791B84"/>
    <w:rsid w:val="107C2883"/>
    <w:rsid w:val="10840113"/>
    <w:rsid w:val="108C51BC"/>
    <w:rsid w:val="10AD6EE0"/>
    <w:rsid w:val="10B95885"/>
    <w:rsid w:val="10BC5375"/>
    <w:rsid w:val="10CF3404"/>
    <w:rsid w:val="10D8518E"/>
    <w:rsid w:val="10DE52DC"/>
    <w:rsid w:val="10E63D85"/>
    <w:rsid w:val="10EB4ADA"/>
    <w:rsid w:val="10F36FE9"/>
    <w:rsid w:val="11095B6B"/>
    <w:rsid w:val="11153B29"/>
    <w:rsid w:val="111625F3"/>
    <w:rsid w:val="111C47D5"/>
    <w:rsid w:val="111D4066"/>
    <w:rsid w:val="112C24FB"/>
    <w:rsid w:val="113373E5"/>
    <w:rsid w:val="113D122F"/>
    <w:rsid w:val="11531836"/>
    <w:rsid w:val="11553800"/>
    <w:rsid w:val="1158509E"/>
    <w:rsid w:val="115F4671"/>
    <w:rsid w:val="11691059"/>
    <w:rsid w:val="118E6CCE"/>
    <w:rsid w:val="119A3908"/>
    <w:rsid w:val="119F23B1"/>
    <w:rsid w:val="11AC648D"/>
    <w:rsid w:val="11AD363C"/>
    <w:rsid w:val="11B02CA7"/>
    <w:rsid w:val="120627E3"/>
    <w:rsid w:val="120828D2"/>
    <w:rsid w:val="121217FD"/>
    <w:rsid w:val="12366443"/>
    <w:rsid w:val="124C7783"/>
    <w:rsid w:val="126E0D75"/>
    <w:rsid w:val="128879FC"/>
    <w:rsid w:val="128B2877"/>
    <w:rsid w:val="129A77C7"/>
    <w:rsid w:val="129B5000"/>
    <w:rsid w:val="12A07107"/>
    <w:rsid w:val="12BC38AE"/>
    <w:rsid w:val="12C56763"/>
    <w:rsid w:val="12CA1FCB"/>
    <w:rsid w:val="12CA49D0"/>
    <w:rsid w:val="12CC1CB6"/>
    <w:rsid w:val="12CC44EC"/>
    <w:rsid w:val="12DA307B"/>
    <w:rsid w:val="12F31522"/>
    <w:rsid w:val="13010175"/>
    <w:rsid w:val="131A70F7"/>
    <w:rsid w:val="131B7F29"/>
    <w:rsid w:val="132A4818"/>
    <w:rsid w:val="133B10E0"/>
    <w:rsid w:val="133D09EF"/>
    <w:rsid w:val="13444EE1"/>
    <w:rsid w:val="13AA5686"/>
    <w:rsid w:val="13B81E49"/>
    <w:rsid w:val="13CD21DA"/>
    <w:rsid w:val="13DA7BB0"/>
    <w:rsid w:val="13DD24AE"/>
    <w:rsid w:val="13E74397"/>
    <w:rsid w:val="140A0C29"/>
    <w:rsid w:val="143962D3"/>
    <w:rsid w:val="14553B17"/>
    <w:rsid w:val="146038EA"/>
    <w:rsid w:val="14891A12"/>
    <w:rsid w:val="14A23354"/>
    <w:rsid w:val="14A34EC6"/>
    <w:rsid w:val="14BD0CD3"/>
    <w:rsid w:val="14E221C6"/>
    <w:rsid w:val="14F11A91"/>
    <w:rsid w:val="150958F5"/>
    <w:rsid w:val="150B2699"/>
    <w:rsid w:val="15140FC1"/>
    <w:rsid w:val="15335384"/>
    <w:rsid w:val="15347BD0"/>
    <w:rsid w:val="1542266E"/>
    <w:rsid w:val="15545B7C"/>
    <w:rsid w:val="15595889"/>
    <w:rsid w:val="155B33AF"/>
    <w:rsid w:val="15604521"/>
    <w:rsid w:val="1591642B"/>
    <w:rsid w:val="1598397B"/>
    <w:rsid w:val="15AA3568"/>
    <w:rsid w:val="15C54CCC"/>
    <w:rsid w:val="15D62EA3"/>
    <w:rsid w:val="16104199"/>
    <w:rsid w:val="164606F0"/>
    <w:rsid w:val="16482398"/>
    <w:rsid w:val="164B3E37"/>
    <w:rsid w:val="164C69D2"/>
    <w:rsid w:val="16571308"/>
    <w:rsid w:val="166530B3"/>
    <w:rsid w:val="16791B72"/>
    <w:rsid w:val="16847857"/>
    <w:rsid w:val="16945039"/>
    <w:rsid w:val="169D48C3"/>
    <w:rsid w:val="16AB5D1B"/>
    <w:rsid w:val="16B0768E"/>
    <w:rsid w:val="16B12A12"/>
    <w:rsid w:val="16B43C1A"/>
    <w:rsid w:val="16D059CE"/>
    <w:rsid w:val="16DD3E90"/>
    <w:rsid w:val="16E01DBD"/>
    <w:rsid w:val="16EE14BF"/>
    <w:rsid w:val="16F514BD"/>
    <w:rsid w:val="173B414F"/>
    <w:rsid w:val="17516C5A"/>
    <w:rsid w:val="17610F4D"/>
    <w:rsid w:val="176B6C54"/>
    <w:rsid w:val="17724EAC"/>
    <w:rsid w:val="177A36EB"/>
    <w:rsid w:val="177F0400"/>
    <w:rsid w:val="17826488"/>
    <w:rsid w:val="178C67C1"/>
    <w:rsid w:val="1791364D"/>
    <w:rsid w:val="17AE3C6A"/>
    <w:rsid w:val="17D06747"/>
    <w:rsid w:val="17D31922"/>
    <w:rsid w:val="180C0990"/>
    <w:rsid w:val="180F5F46"/>
    <w:rsid w:val="1817254C"/>
    <w:rsid w:val="182666AE"/>
    <w:rsid w:val="1838358E"/>
    <w:rsid w:val="18540BAD"/>
    <w:rsid w:val="186802BC"/>
    <w:rsid w:val="187753D6"/>
    <w:rsid w:val="188815E1"/>
    <w:rsid w:val="1888270D"/>
    <w:rsid w:val="188B3FAB"/>
    <w:rsid w:val="188C387F"/>
    <w:rsid w:val="18A76FEA"/>
    <w:rsid w:val="18BA5EFD"/>
    <w:rsid w:val="18BE4ED0"/>
    <w:rsid w:val="18C91E66"/>
    <w:rsid w:val="18D761AE"/>
    <w:rsid w:val="18D97CAA"/>
    <w:rsid w:val="18DA156B"/>
    <w:rsid w:val="18FF44CF"/>
    <w:rsid w:val="190D47E8"/>
    <w:rsid w:val="192555C6"/>
    <w:rsid w:val="193957B5"/>
    <w:rsid w:val="193A0E2C"/>
    <w:rsid w:val="193F08F1"/>
    <w:rsid w:val="19481A38"/>
    <w:rsid w:val="194A50B3"/>
    <w:rsid w:val="195235C3"/>
    <w:rsid w:val="195D7462"/>
    <w:rsid w:val="196518EF"/>
    <w:rsid w:val="196D545F"/>
    <w:rsid w:val="197113F3"/>
    <w:rsid w:val="1979340B"/>
    <w:rsid w:val="197E73EB"/>
    <w:rsid w:val="199346DB"/>
    <w:rsid w:val="19B05C2A"/>
    <w:rsid w:val="19BE14B0"/>
    <w:rsid w:val="19D27125"/>
    <w:rsid w:val="19F94F44"/>
    <w:rsid w:val="1A0B5FF5"/>
    <w:rsid w:val="1A0D7983"/>
    <w:rsid w:val="1A127FD2"/>
    <w:rsid w:val="1A1D69A1"/>
    <w:rsid w:val="1A2A01BB"/>
    <w:rsid w:val="1A530A2D"/>
    <w:rsid w:val="1A626167"/>
    <w:rsid w:val="1A6D1654"/>
    <w:rsid w:val="1A7035B1"/>
    <w:rsid w:val="1A732F49"/>
    <w:rsid w:val="1A7B255F"/>
    <w:rsid w:val="1A840DC9"/>
    <w:rsid w:val="1A881F9E"/>
    <w:rsid w:val="1ABA58F3"/>
    <w:rsid w:val="1AC05F4C"/>
    <w:rsid w:val="1ACD3147"/>
    <w:rsid w:val="1AE71241"/>
    <w:rsid w:val="1AF3634A"/>
    <w:rsid w:val="1B0D6EF9"/>
    <w:rsid w:val="1B1A2BC9"/>
    <w:rsid w:val="1B1E632F"/>
    <w:rsid w:val="1B23766D"/>
    <w:rsid w:val="1B391A9C"/>
    <w:rsid w:val="1B445856"/>
    <w:rsid w:val="1B473775"/>
    <w:rsid w:val="1B4C5746"/>
    <w:rsid w:val="1B5468D6"/>
    <w:rsid w:val="1B5508A0"/>
    <w:rsid w:val="1B590390"/>
    <w:rsid w:val="1B612A4D"/>
    <w:rsid w:val="1B8A2083"/>
    <w:rsid w:val="1B9670CD"/>
    <w:rsid w:val="1BA81CB0"/>
    <w:rsid w:val="1BAB4858"/>
    <w:rsid w:val="1BE84D70"/>
    <w:rsid w:val="1BEA7699"/>
    <w:rsid w:val="1BF12377"/>
    <w:rsid w:val="1BFE41CD"/>
    <w:rsid w:val="1BFF41BB"/>
    <w:rsid w:val="1C0B1E3F"/>
    <w:rsid w:val="1C287915"/>
    <w:rsid w:val="1C3C687E"/>
    <w:rsid w:val="1C3D4856"/>
    <w:rsid w:val="1C3D55BC"/>
    <w:rsid w:val="1C666CE3"/>
    <w:rsid w:val="1C7630AD"/>
    <w:rsid w:val="1C784A5D"/>
    <w:rsid w:val="1C8F6C9B"/>
    <w:rsid w:val="1C950A26"/>
    <w:rsid w:val="1C9D42AD"/>
    <w:rsid w:val="1CA05783"/>
    <w:rsid w:val="1CA904D0"/>
    <w:rsid w:val="1CAC73F1"/>
    <w:rsid w:val="1CB145A4"/>
    <w:rsid w:val="1CC11F5A"/>
    <w:rsid w:val="1CCA4C24"/>
    <w:rsid w:val="1CD20D06"/>
    <w:rsid w:val="1CDC2B36"/>
    <w:rsid w:val="1CE324AB"/>
    <w:rsid w:val="1CE4012E"/>
    <w:rsid w:val="1CE87BC5"/>
    <w:rsid w:val="1CE94979"/>
    <w:rsid w:val="1CEB14BC"/>
    <w:rsid w:val="1CFE29C1"/>
    <w:rsid w:val="1D0D4F35"/>
    <w:rsid w:val="1D0E0D07"/>
    <w:rsid w:val="1D1141C4"/>
    <w:rsid w:val="1D1972A9"/>
    <w:rsid w:val="1D225D93"/>
    <w:rsid w:val="1D291FE4"/>
    <w:rsid w:val="1D2F6430"/>
    <w:rsid w:val="1D3A4B55"/>
    <w:rsid w:val="1D3D4AEA"/>
    <w:rsid w:val="1D4B050F"/>
    <w:rsid w:val="1D7414B2"/>
    <w:rsid w:val="1D7E762B"/>
    <w:rsid w:val="1D8B1DF6"/>
    <w:rsid w:val="1D987A29"/>
    <w:rsid w:val="1DA657AD"/>
    <w:rsid w:val="1DAB47A7"/>
    <w:rsid w:val="1DC1221D"/>
    <w:rsid w:val="1DE4779A"/>
    <w:rsid w:val="1DE631B0"/>
    <w:rsid w:val="1DF351A4"/>
    <w:rsid w:val="1DF443A0"/>
    <w:rsid w:val="1DF978AF"/>
    <w:rsid w:val="1E0345E3"/>
    <w:rsid w:val="1E106FBF"/>
    <w:rsid w:val="1E18008F"/>
    <w:rsid w:val="1E1B04E3"/>
    <w:rsid w:val="1E3E1186"/>
    <w:rsid w:val="1E567940"/>
    <w:rsid w:val="1E586C2C"/>
    <w:rsid w:val="1E682698"/>
    <w:rsid w:val="1E707ECB"/>
    <w:rsid w:val="1E88623C"/>
    <w:rsid w:val="1E907536"/>
    <w:rsid w:val="1E97767C"/>
    <w:rsid w:val="1EAB7596"/>
    <w:rsid w:val="1EAE27A1"/>
    <w:rsid w:val="1ECE0148"/>
    <w:rsid w:val="1EDE4FE5"/>
    <w:rsid w:val="1F040FC2"/>
    <w:rsid w:val="1F056F9E"/>
    <w:rsid w:val="1F0625DD"/>
    <w:rsid w:val="1F124243"/>
    <w:rsid w:val="1F130D84"/>
    <w:rsid w:val="1F1D5028"/>
    <w:rsid w:val="1F262338"/>
    <w:rsid w:val="1F3461EA"/>
    <w:rsid w:val="1F3A0D74"/>
    <w:rsid w:val="1F48190C"/>
    <w:rsid w:val="1F5119C9"/>
    <w:rsid w:val="1F762827"/>
    <w:rsid w:val="1F8075C3"/>
    <w:rsid w:val="1F8359DC"/>
    <w:rsid w:val="1F864334"/>
    <w:rsid w:val="1F8D1F23"/>
    <w:rsid w:val="1FA70AE4"/>
    <w:rsid w:val="1FA92F69"/>
    <w:rsid w:val="1FAF3934"/>
    <w:rsid w:val="1FAF6F3F"/>
    <w:rsid w:val="1FB827FA"/>
    <w:rsid w:val="1FBE4459"/>
    <w:rsid w:val="1FC45BC6"/>
    <w:rsid w:val="1FE50445"/>
    <w:rsid w:val="1FF620FB"/>
    <w:rsid w:val="20126152"/>
    <w:rsid w:val="202F4381"/>
    <w:rsid w:val="20342C82"/>
    <w:rsid w:val="20357301"/>
    <w:rsid w:val="20481563"/>
    <w:rsid w:val="20511636"/>
    <w:rsid w:val="205840FA"/>
    <w:rsid w:val="20624768"/>
    <w:rsid w:val="206733F1"/>
    <w:rsid w:val="206D3B58"/>
    <w:rsid w:val="2073185F"/>
    <w:rsid w:val="207D242B"/>
    <w:rsid w:val="20895274"/>
    <w:rsid w:val="2093259A"/>
    <w:rsid w:val="209E10A2"/>
    <w:rsid w:val="20B56531"/>
    <w:rsid w:val="20C466CA"/>
    <w:rsid w:val="20C67DC1"/>
    <w:rsid w:val="20D14BC5"/>
    <w:rsid w:val="20E00C0C"/>
    <w:rsid w:val="21063677"/>
    <w:rsid w:val="21097D9E"/>
    <w:rsid w:val="210E39CB"/>
    <w:rsid w:val="216206FE"/>
    <w:rsid w:val="2166388F"/>
    <w:rsid w:val="21667363"/>
    <w:rsid w:val="217B112C"/>
    <w:rsid w:val="217E476E"/>
    <w:rsid w:val="217F3616"/>
    <w:rsid w:val="21823539"/>
    <w:rsid w:val="218872DA"/>
    <w:rsid w:val="219668C6"/>
    <w:rsid w:val="219F2875"/>
    <w:rsid w:val="219F63D1"/>
    <w:rsid w:val="21B53E47"/>
    <w:rsid w:val="21D85178"/>
    <w:rsid w:val="21EF3614"/>
    <w:rsid w:val="220151E1"/>
    <w:rsid w:val="220821C8"/>
    <w:rsid w:val="22205522"/>
    <w:rsid w:val="22394A78"/>
    <w:rsid w:val="223A5D63"/>
    <w:rsid w:val="225D0766"/>
    <w:rsid w:val="2262759A"/>
    <w:rsid w:val="22700284"/>
    <w:rsid w:val="22743D02"/>
    <w:rsid w:val="229473A2"/>
    <w:rsid w:val="229E75AD"/>
    <w:rsid w:val="22A939AB"/>
    <w:rsid w:val="22AA04B3"/>
    <w:rsid w:val="22B076E6"/>
    <w:rsid w:val="22BC1C6C"/>
    <w:rsid w:val="22DD5403"/>
    <w:rsid w:val="22EB130B"/>
    <w:rsid w:val="22EB1893"/>
    <w:rsid w:val="22F10EAE"/>
    <w:rsid w:val="23160E80"/>
    <w:rsid w:val="2318220D"/>
    <w:rsid w:val="23256DAA"/>
    <w:rsid w:val="2326264B"/>
    <w:rsid w:val="23495888"/>
    <w:rsid w:val="23586B9D"/>
    <w:rsid w:val="235872D0"/>
    <w:rsid w:val="236001EA"/>
    <w:rsid w:val="23645B24"/>
    <w:rsid w:val="237C23E3"/>
    <w:rsid w:val="238143F2"/>
    <w:rsid w:val="2383579D"/>
    <w:rsid w:val="23875C03"/>
    <w:rsid w:val="23971ACE"/>
    <w:rsid w:val="239A3929"/>
    <w:rsid w:val="23A82D1D"/>
    <w:rsid w:val="23B05255"/>
    <w:rsid w:val="23C44815"/>
    <w:rsid w:val="23C50720"/>
    <w:rsid w:val="23D43F8D"/>
    <w:rsid w:val="23E53B79"/>
    <w:rsid w:val="23F07630"/>
    <w:rsid w:val="23F30A09"/>
    <w:rsid w:val="23FA3D93"/>
    <w:rsid w:val="24091482"/>
    <w:rsid w:val="240A66CC"/>
    <w:rsid w:val="2415676D"/>
    <w:rsid w:val="24286B52"/>
    <w:rsid w:val="242A6861"/>
    <w:rsid w:val="242D0706"/>
    <w:rsid w:val="243D65D9"/>
    <w:rsid w:val="244C1BAA"/>
    <w:rsid w:val="24702ADF"/>
    <w:rsid w:val="248144B4"/>
    <w:rsid w:val="2492046F"/>
    <w:rsid w:val="249B5E8F"/>
    <w:rsid w:val="24AF7273"/>
    <w:rsid w:val="24B16BC3"/>
    <w:rsid w:val="24B41768"/>
    <w:rsid w:val="24C96330"/>
    <w:rsid w:val="24E3463B"/>
    <w:rsid w:val="24ED7FF2"/>
    <w:rsid w:val="250C0222"/>
    <w:rsid w:val="2542005A"/>
    <w:rsid w:val="2543662D"/>
    <w:rsid w:val="25486157"/>
    <w:rsid w:val="254B58EF"/>
    <w:rsid w:val="256000EE"/>
    <w:rsid w:val="256736AA"/>
    <w:rsid w:val="25734250"/>
    <w:rsid w:val="257C646B"/>
    <w:rsid w:val="257F6C45"/>
    <w:rsid w:val="25867FD4"/>
    <w:rsid w:val="25C95094"/>
    <w:rsid w:val="25F8727D"/>
    <w:rsid w:val="25FA7A3B"/>
    <w:rsid w:val="261438AB"/>
    <w:rsid w:val="26213859"/>
    <w:rsid w:val="26217EDD"/>
    <w:rsid w:val="262A201D"/>
    <w:rsid w:val="265F3983"/>
    <w:rsid w:val="266412BB"/>
    <w:rsid w:val="267A4206"/>
    <w:rsid w:val="268838D8"/>
    <w:rsid w:val="268F4BD3"/>
    <w:rsid w:val="26960378"/>
    <w:rsid w:val="26A050C5"/>
    <w:rsid w:val="26A82A80"/>
    <w:rsid w:val="26AA28EA"/>
    <w:rsid w:val="26B359FE"/>
    <w:rsid w:val="26B46BD6"/>
    <w:rsid w:val="26D60E92"/>
    <w:rsid w:val="26D82E39"/>
    <w:rsid w:val="26E54430"/>
    <w:rsid w:val="270B6459"/>
    <w:rsid w:val="271104CA"/>
    <w:rsid w:val="271B0423"/>
    <w:rsid w:val="271B7BF9"/>
    <w:rsid w:val="27227E1F"/>
    <w:rsid w:val="27374003"/>
    <w:rsid w:val="273A0E14"/>
    <w:rsid w:val="274A3CD6"/>
    <w:rsid w:val="27723602"/>
    <w:rsid w:val="27845895"/>
    <w:rsid w:val="278535DF"/>
    <w:rsid w:val="27891C73"/>
    <w:rsid w:val="27893DAB"/>
    <w:rsid w:val="27930203"/>
    <w:rsid w:val="2795366E"/>
    <w:rsid w:val="279E4DD5"/>
    <w:rsid w:val="27BD7B0D"/>
    <w:rsid w:val="2807712D"/>
    <w:rsid w:val="280E42B1"/>
    <w:rsid w:val="281F64BE"/>
    <w:rsid w:val="285F2833"/>
    <w:rsid w:val="287738FC"/>
    <w:rsid w:val="289522DC"/>
    <w:rsid w:val="28967781"/>
    <w:rsid w:val="2898550E"/>
    <w:rsid w:val="28BE57A5"/>
    <w:rsid w:val="28CC205B"/>
    <w:rsid w:val="28DF066B"/>
    <w:rsid w:val="28EA6FFA"/>
    <w:rsid w:val="28F3516F"/>
    <w:rsid w:val="29163B16"/>
    <w:rsid w:val="291E22D1"/>
    <w:rsid w:val="292305E4"/>
    <w:rsid w:val="29253660"/>
    <w:rsid w:val="29386AA1"/>
    <w:rsid w:val="29485346"/>
    <w:rsid w:val="295920EB"/>
    <w:rsid w:val="295A4D74"/>
    <w:rsid w:val="295D729E"/>
    <w:rsid w:val="29607C4F"/>
    <w:rsid w:val="2962355E"/>
    <w:rsid w:val="29922395"/>
    <w:rsid w:val="299900F2"/>
    <w:rsid w:val="29AE1F41"/>
    <w:rsid w:val="29EC0622"/>
    <w:rsid w:val="29FC6970"/>
    <w:rsid w:val="2A0E0598"/>
    <w:rsid w:val="2A155A85"/>
    <w:rsid w:val="2A162882"/>
    <w:rsid w:val="2A2D509E"/>
    <w:rsid w:val="2A6D355C"/>
    <w:rsid w:val="2A736529"/>
    <w:rsid w:val="2A737FE1"/>
    <w:rsid w:val="2A815B98"/>
    <w:rsid w:val="2A8B3997"/>
    <w:rsid w:val="2A9617AC"/>
    <w:rsid w:val="2AA73CED"/>
    <w:rsid w:val="2AA93734"/>
    <w:rsid w:val="2AB729B7"/>
    <w:rsid w:val="2AD046DA"/>
    <w:rsid w:val="2AE4105E"/>
    <w:rsid w:val="2AF75155"/>
    <w:rsid w:val="2AF754D0"/>
    <w:rsid w:val="2AF91248"/>
    <w:rsid w:val="2B3B0454"/>
    <w:rsid w:val="2B4F70BA"/>
    <w:rsid w:val="2B514BE0"/>
    <w:rsid w:val="2B764647"/>
    <w:rsid w:val="2B790767"/>
    <w:rsid w:val="2B99377E"/>
    <w:rsid w:val="2BA07853"/>
    <w:rsid w:val="2BA82239"/>
    <w:rsid w:val="2BBB1BCE"/>
    <w:rsid w:val="2BE47802"/>
    <w:rsid w:val="2BF22494"/>
    <w:rsid w:val="2C1A587F"/>
    <w:rsid w:val="2C1D2A53"/>
    <w:rsid w:val="2C256589"/>
    <w:rsid w:val="2C315FBD"/>
    <w:rsid w:val="2C355CA9"/>
    <w:rsid w:val="2C3C1B09"/>
    <w:rsid w:val="2C71207A"/>
    <w:rsid w:val="2C73502A"/>
    <w:rsid w:val="2C7A0167"/>
    <w:rsid w:val="2C80549D"/>
    <w:rsid w:val="2C8E3C12"/>
    <w:rsid w:val="2CA828A4"/>
    <w:rsid w:val="2CB43194"/>
    <w:rsid w:val="2CB83AA9"/>
    <w:rsid w:val="2CBC42DB"/>
    <w:rsid w:val="2CC87124"/>
    <w:rsid w:val="2CDA3D94"/>
    <w:rsid w:val="2CE124F7"/>
    <w:rsid w:val="2CED58B9"/>
    <w:rsid w:val="2CF00429"/>
    <w:rsid w:val="2CFE2B46"/>
    <w:rsid w:val="2D021A60"/>
    <w:rsid w:val="2D177F0C"/>
    <w:rsid w:val="2D3D7EA4"/>
    <w:rsid w:val="2D436EC9"/>
    <w:rsid w:val="2D4A4FA6"/>
    <w:rsid w:val="2D4E47A8"/>
    <w:rsid w:val="2D5638AE"/>
    <w:rsid w:val="2D793FC1"/>
    <w:rsid w:val="2D7E735B"/>
    <w:rsid w:val="2D872760"/>
    <w:rsid w:val="2D8C1822"/>
    <w:rsid w:val="2DBB4972"/>
    <w:rsid w:val="2DBF0527"/>
    <w:rsid w:val="2DC7118A"/>
    <w:rsid w:val="2DCC49F2"/>
    <w:rsid w:val="2DE627CF"/>
    <w:rsid w:val="2E073E0D"/>
    <w:rsid w:val="2E1B5BCA"/>
    <w:rsid w:val="2E1D6FFC"/>
    <w:rsid w:val="2E2450F3"/>
    <w:rsid w:val="2E274A0C"/>
    <w:rsid w:val="2E2C36E3"/>
    <w:rsid w:val="2E536394"/>
    <w:rsid w:val="2E6703F1"/>
    <w:rsid w:val="2E67296D"/>
    <w:rsid w:val="2E951288"/>
    <w:rsid w:val="2E9B4C54"/>
    <w:rsid w:val="2EA22A88"/>
    <w:rsid w:val="2EA82DC5"/>
    <w:rsid w:val="2EB05F12"/>
    <w:rsid w:val="2EB84F76"/>
    <w:rsid w:val="2EC041C1"/>
    <w:rsid w:val="2EE47B19"/>
    <w:rsid w:val="2F083808"/>
    <w:rsid w:val="2F0913C9"/>
    <w:rsid w:val="2F544C9F"/>
    <w:rsid w:val="2F583B7F"/>
    <w:rsid w:val="2F827A5E"/>
    <w:rsid w:val="2F8F217B"/>
    <w:rsid w:val="2F923D90"/>
    <w:rsid w:val="2F9E1E2F"/>
    <w:rsid w:val="2F9E23BE"/>
    <w:rsid w:val="2FAA2B11"/>
    <w:rsid w:val="2FE70007"/>
    <w:rsid w:val="3014442E"/>
    <w:rsid w:val="302467A6"/>
    <w:rsid w:val="3034687E"/>
    <w:rsid w:val="303F76FD"/>
    <w:rsid w:val="30556F21"/>
    <w:rsid w:val="306B0D9E"/>
    <w:rsid w:val="30722448"/>
    <w:rsid w:val="30757489"/>
    <w:rsid w:val="307753A4"/>
    <w:rsid w:val="308C0FF5"/>
    <w:rsid w:val="30A87085"/>
    <w:rsid w:val="30B63BC5"/>
    <w:rsid w:val="30CF343B"/>
    <w:rsid w:val="30DB7244"/>
    <w:rsid w:val="30EB1FDF"/>
    <w:rsid w:val="30FF1A1B"/>
    <w:rsid w:val="310426F5"/>
    <w:rsid w:val="310E3D62"/>
    <w:rsid w:val="312B1A2F"/>
    <w:rsid w:val="31350C31"/>
    <w:rsid w:val="31472626"/>
    <w:rsid w:val="31520986"/>
    <w:rsid w:val="31521DCB"/>
    <w:rsid w:val="31566DB1"/>
    <w:rsid w:val="315B2DA5"/>
    <w:rsid w:val="315C5124"/>
    <w:rsid w:val="31794E91"/>
    <w:rsid w:val="31795B7C"/>
    <w:rsid w:val="3186709E"/>
    <w:rsid w:val="3193343B"/>
    <w:rsid w:val="319E48F7"/>
    <w:rsid w:val="31A679EB"/>
    <w:rsid w:val="31B03D4D"/>
    <w:rsid w:val="31BC4EB3"/>
    <w:rsid w:val="31C12394"/>
    <w:rsid w:val="31C854D0"/>
    <w:rsid w:val="31CC3212"/>
    <w:rsid w:val="31D5535F"/>
    <w:rsid w:val="31D77F86"/>
    <w:rsid w:val="31E367AE"/>
    <w:rsid w:val="31F518A0"/>
    <w:rsid w:val="32023F05"/>
    <w:rsid w:val="32132BEF"/>
    <w:rsid w:val="321B1AA4"/>
    <w:rsid w:val="32385310"/>
    <w:rsid w:val="32463BFF"/>
    <w:rsid w:val="324F01C0"/>
    <w:rsid w:val="325B11DD"/>
    <w:rsid w:val="325F4AF3"/>
    <w:rsid w:val="32637642"/>
    <w:rsid w:val="32807B9E"/>
    <w:rsid w:val="328A6373"/>
    <w:rsid w:val="328C24B8"/>
    <w:rsid w:val="328F49B3"/>
    <w:rsid w:val="32911D66"/>
    <w:rsid w:val="32936434"/>
    <w:rsid w:val="32954666"/>
    <w:rsid w:val="32AB107A"/>
    <w:rsid w:val="32D752F7"/>
    <w:rsid w:val="32DF6F75"/>
    <w:rsid w:val="32F17756"/>
    <w:rsid w:val="32FD73FC"/>
    <w:rsid w:val="33175CD2"/>
    <w:rsid w:val="33244988"/>
    <w:rsid w:val="334353D9"/>
    <w:rsid w:val="334868C9"/>
    <w:rsid w:val="335676C9"/>
    <w:rsid w:val="33750F3E"/>
    <w:rsid w:val="33766AC7"/>
    <w:rsid w:val="33780A1A"/>
    <w:rsid w:val="33884F17"/>
    <w:rsid w:val="33A77124"/>
    <w:rsid w:val="33B466E1"/>
    <w:rsid w:val="33EA2114"/>
    <w:rsid w:val="33FF6CCA"/>
    <w:rsid w:val="340F5440"/>
    <w:rsid w:val="343628AC"/>
    <w:rsid w:val="34425A0E"/>
    <w:rsid w:val="344572AC"/>
    <w:rsid w:val="345816A0"/>
    <w:rsid w:val="345A2D08"/>
    <w:rsid w:val="345C0F34"/>
    <w:rsid w:val="346E798E"/>
    <w:rsid w:val="34712EA7"/>
    <w:rsid w:val="34773BF2"/>
    <w:rsid w:val="347B0F20"/>
    <w:rsid w:val="34832D86"/>
    <w:rsid w:val="34864FF7"/>
    <w:rsid w:val="34893582"/>
    <w:rsid w:val="34945B7F"/>
    <w:rsid w:val="34A07451"/>
    <w:rsid w:val="34A456D5"/>
    <w:rsid w:val="34BA119C"/>
    <w:rsid w:val="34CC063E"/>
    <w:rsid w:val="34CF04F8"/>
    <w:rsid w:val="34D923E8"/>
    <w:rsid w:val="34FC3F1C"/>
    <w:rsid w:val="35032FA3"/>
    <w:rsid w:val="35227FBB"/>
    <w:rsid w:val="35327830"/>
    <w:rsid w:val="35494036"/>
    <w:rsid w:val="354D466A"/>
    <w:rsid w:val="355359F9"/>
    <w:rsid w:val="355B5701"/>
    <w:rsid w:val="358431E6"/>
    <w:rsid w:val="358750F0"/>
    <w:rsid w:val="35A16764"/>
    <w:rsid w:val="35B22915"/>
    <w:rsid w:val="35BA15D4"/>
    <w:rsid w:val="35C81CBC"/>
    <w:rsid w:val="35CF2AAD"/>
    <w:rsid w:val="35D5174D"/>
    <w:rsid w:val="35EF127D"/>
    <w:rsid w:val="35F63017"/>
    <w:rsid w:val="36014E2E"/>
    <w:rsid w:val="360D204B"/>
    <w:rsid w:val="36193C8D"/>
    <w:rsid w:val="362F02CB"/>
    <w:rsid w:val="36322AE5"/>
    <w:rsid w:val="363510E1"/>
    <w:rsid w:val="363F6CED"/>
    <w:rsid w:val="36422B4C"/>
    <w:rsid w:val="36525CB0"/>
    <w:rsid w:val="365657A0"/>
    <w:rsid w:val="366326C4"/>
    <w:rsid w:val="366F208E"/>
    <w:rsid w:val="366F588A"/>
    <w:rsid w:val="367A5CD3"/>
    <w:rsid w:val="368A619C"/>
    <w:rsid w:val="369974B0"/>
    <w:rsid w:val="36A302BA"/>
    <w:rsid w:val="36AE7D6A"/>
    <w:rsid w:val="36B05C08"/>
    <w:rsid w:val="36BB3856"/>
    <w:rsid w:val="36E07E35"/>
    <w:rsid w:val="36F154C9"/>
    <w:rsid w:val="36F42240"/>
    <w:rsid w:val="36FF1994"/>
    <w:rsid w:val="37103BA1"/>
    <w:rsid w:val="3727496B"/>
    <w:rsid w:val="372A0138"/>
    <w:rsid w:val="374675C3"/>
    <w:rsid w:val="37492C0F"/>
    <w:rsid w:val="375A7BC0"/>
    <w:rsid w:val="37620175"/>
    <w:rsid w:val="37762BDF"/>
    <w:rsid w:val="37997818"/>
    <w:rsid w:val="379F04AB"/>
    <w:rsid w:val="37A147F9"/>
    <w:rsid w:val="37A249A3"/>
    <w:rsid w:val="37C64260"/>
    <w:rsid w:val="37CD1A92"/>
    <w:rsid w:val="37DA3624"/>
    <w:rsid w:val="37E82428"/>
    <w:rsid w:val="38013C97"/>
    <w:rsid w:val="381E440C"/>
    <w:rsid w:val="382A376D"/>
    <w:rsid w:val="383647D6"/>
    <w:rsid w:val="383D1FFC"/>
    <w:rsid w:val="385F3146"/>
    <w:rsid w:val="386F4704"/>
    <w:rsid w:val="38705A4C"/>
    <w:rsid w:val="387B5426"/>
    <w:rsid w:val="38AF14EA"/>
    <w:rsid w:val="38B0575C"/>
    <w:rsid w:val="38BB5D8F"/>
    <w:rsid w:val="38C06F01"/>
    <w:rsid w:val="38C52B98"/>
    <w:rsid w:val="38D74737"/>
    <w:rsid w:val="38E62CF4"/>
    <w:rsid w:val="38F0269B"/>
    <w:rsid w:val="38F80D91"/>
    <w:rsid w:val="38FE7A29"/>
    <w:rsid w:val="391E6849"/>
    <w:rsid w:val="39393F87"/>
    <w:rsid w:val="393A15D2"/>
    <w:rsid w:val="39685670"/>
    <w:rsid w:val="397523E2"/>
    <w:rsid w:val="39760439"/>
    <w:rsid w:val="397E5083"/>
    <w:rsid w:val="39810466"/>
    <w:rsid w:val="3988337B"/>
    <w:rsid w:val="399117AD"/>
    <w:rsid w:val="39A12598"/>
    <w:rsid w:val="39A55AE7"/>
    <w:rsid w:val="39AC2D9D"/>
    <w:rsid w:val="39B454EB"/>
    <w:rsid w:val="39B8361C"/>
    <w:rsid w:val="39D125AF"/>
    <w:rsid w:val="39F37A80"/>
    <w:rsid w:val="39FE4185"/>
    <w:rsid w:val="3A085004"/>
    <w:rsid w:val="3A186253"/>
    <w:rsid w:val="3A3758E9"/>
    <w:rsid w:val="3A3E5802"/>
    <w:rsid w:val="3A417D4F"/>
    <w:rsid w:val="3A492034"/>
    <w:rsid w:val="3A56703E"/>
    <w:rsid w:val="3A5B443C"/>
    <w:rsid w:val="3A7B6EE5"/>
    <w:rsid w:val="3A804602"/>
    <w:rsid w:val="3A956FF8"/>
    <w:rsid w:val="3A9A2986"/>
    <w:rsid w:val="3AB26A42"/>
    <w:rsid w:val="3AC22322"/>
    <w:rsid w:val="3AD13E07"/>
    <w:rsid w:val="3AEF6AED"/>
    <w:rsid w:val="3B02137B"/>
    <w:rsid w:val="3B0D4565"/>
    <w:rsid w:val="3B183BFA"/>
    <w:rsid w:val="3B2822CC"/>
    <w:rsid w:val="3B346269"/>
    <w:rsid w:val="3B3D0B12"/>
    <w:rsid w:val="3B5013F4"/>
    <w:rsid w:val="3B5F0B61"/>
    <w:rsid w:val="3B622409"/>
    <w:rsid w:val="3B8D0D73"/>
    <w:rsid w:val="3B943FBF"/>
    <w:rsid w:val="3B9A0E3F"/>
    <w:rsid w:val="3BAB20EB"/>
    <w:rsid w:val="3BAB2B1C"/>
    <w:rsid w:val="3BC545D7"/>
    <w:rsid w:val="3BE52F68"/>
    <w:rsid w:val="3BEC4C4F"/>
    <w:rsid w:val="3BF07AFD"/>
    <w:rsid w:val="3BF465BC"/>
    <w:rsid w:val="3C08753D"/>
    <w:rsid w:val="3C0A7DDD"/>
    <w:rsid w:val="3C0F73F8"/>
    <w:rsid w:val="3C126C99"/>
    <w:rsid w:val="3C2267C7"/>
    <w:rsid w:val="3C310BFC"/>
    <w:rsid w:val="3C486B67"/>
    <w:rsid w:val="3C4E2E12"/>
    <w:rsid w:val="3C704DD7"/>
    <w:rsid w:val="3C71521C"/>
    <w:rsid w:val="3C7A2F47"/>
    <w:rsid w:val="3C803A5C"/>
    <w:rsid w:val="3C826B5F"/>
    <w:rsid w:val="3C854555"/>
    <w:rsid w:val="3C894B61"/>
    <w:rsid w:val="3C8A6A69"/>
    <w:rsid w:val="3CDA7265"/>
    <w:rsid w:val="3CEC4769"/>
    <w:rsid w:val="3CF00E91"/>
    <w:rsid w:val="3CF93857"/>
    <w:rsid w:val="3CFC354E"/>
    <w:rsid w:val="3D0221DE"/>
    <w:rsid w:val="3D032027"/>
    <w:rsid w:val="3D0B2FBA"/>
    <w:rsid w:val="3D1D29AE"/>
    <w:rsid w:val="3D1D4B08"/>
    <w:rsid w:val="3D2A78FE"/>
    <w:rsid w:val="3D3226CF"/>
    <w:rsid w:val="3D3372EE"/>
    <w:rsid w:val="3D373A52"/>
    <w:rsid w:val="3D3A3491"/>
    <w:rsid w:val="3D570F4D"/>
    <w:rsid w:val="3D603CE3"/>
    <w:rsid w:val="3D751344"/>
    <w:rsid w:val="3D7710AF"/>
    <w:rsid w:val="3D830499"/>
    <w:rsid w:val="3D915310"/>
    <w:rsid w:val="3D972D16"/>
    <w:rsid w:val="3D9848F1"/>
    <w:rsid w:val="3D9A2417"/>
    <w:rsid w:val="3D9B618F"/>
    <w:rsid w:val="3DD06F09"/>
    <w:rsid w:val="3DD75419"/>
    <w:rsid w:val="3DDA6CB7"/>
    <w:rsid w:val="3DE82642"/>
    <w:rsid w:val="3DFA297C"/>
    <w:rsid w:val="3E0755D2"/>
    <w:rsid w:val="3E09294E"/>
    <w:rsid w:val="3E171CB9"/>
    <w:rsid w:val="3E297ECE"/>
    <w:rsid w:val="3E4325D3"/>
    <w:rsid w:val="3E483694"/>
    <w:rsid w:val="3E6611A8"/>
    <w:rsid w:val="3E717E34"/>
    <w:rsid w:val="3E7755A6"/>
    <w:rsid w:val="3E873874"/>
    <w:rsid w:val="3E876B4B"/>
    <w:rsid w:val="3E943809"/>
    <w:rsid w:val="3EAE527B"/>
    <w:rsid w:val="3ED23E32"/>
    <w:rsid w:val="3EDA6843"/>
    <w:rsid w:val="3EEC6CA2"/>
    <w:rsid w:val="3F073780"/>
    <w:rsid w:val="3F087C33"/>
    <w:rsid w:val="3F1D72F6"/>
    <w:rsid w:val="3F291B0E"/>
    <w:rsid w:val="3F2D0CFE"/>
    <w:rsid w:val="3F342FB6"/>
    <w:rsid w:val="3F447A3C"/>
    <w:rsid w:val="3F4E2744"/>
    <w:rsid w:val="3F874C1D"/>
    <w:rsid w:val="3F9A73A5"/>
    <w:rsid w:val="3F9D61EE"/>
    <w:rsid w:val="3FB12669"/>
    <w:rsid w:val="3FBC5E34"/>
    <w:rsid w:val="3FCB6C9F"/>
    <w:rsid w:val="3FDC2155"/>
    <w:rsid w:val="3FE8035B"/>
    <w:rsid w:val="3FE87FB8"/>
    <w:rsid w:val="3FF8599E"/>
    <w:rsid w:val="400B75FC"/>
    <w:rsid w:val="400E4BF7"/>
    <w:rsid w:val="401A6A4A"/>
    <w:rsid w:val="40242C1E"/>
    <w:rsid w:val="402A41D8"/>
    <w:rsid w:val="404C1E1E"/>
    <w:rsid w:val="40713AD5"/>
    <w:rsid w:val="40864ED4"/>
    <w:rsid w:val="408D016C"/>
    <w:rsid w:val="409E3497"/>
    <w:rsid w:val="40D03313"/>
    <w:rsid w:val="40D35582"/>
    <w:rsid w:val="40D80510"/>
    <w:rsid w:val="411E335F"/>
    <w:rsid w:val="413E755D"/>
    <w:rsid w:val="41717932"/>
    <w:rsid w:val="417964A3"/>
    <w:rsid w:val="417D6156"/>
    <w:rsid w:val="41990130"/>
    <w:rsid w:val="41C07037"/>
    <w:rsid w:val="41C71300"/>
    <w:rsid w:val="41D103D1"/>
    <w:rsid w:val="41D50F25"/>
    <w:rsid w:val="41D81760"/>
    <w:rsid w:val="41FA05C7"/>
    <w:rsid w:val="42240442"/>
    <w:rsid w:val="422A38E4"/>
    <w:rsid w:val="4233656D"/>
    <w:rsid w:val="42513AE4"/>
    <w:rsid w:val="425B09F8"/>
    <w:rsid w:val="427D6F5C"/>
    <w:rsid w:val="427E1D24"/>
    <w:rsid w:val="42932D86"/>
    <w:rsid w:val="42BF0286"/>
    <w:rsid w:val="42F97322"/>
    <w:rsid w:val="431974DA"/>
    <w:rsid w:val="431C38CE"/>
    <w:rsid w:val="43291B47"/>
    <w:rsid w:val="4339149F"/>
    <w:rsid w:val="43410E16"/>
    <w:rsid w:val="43476B9D"/>
    <w:rsid w:val="43502C04"/>
    <w:rsid w:val="435935F9"/>
    <w:rsid w:val="435A07F0"/>
    <w:rsid w:val="436A3FDD"/>
    <w:rsid w:val="437159C8"/>
    <w:rsid w:val="437525B5"/>
    <w:rsid w:val="43776313"/>
    <w:rsid w:val="43793B90"/>
    <w:rsid w:val="43880F63"/>
    <w:rsid w:val="43A16618"/>
    <w:rsid w:val="43B47990"/>
    <w:rsid w:val="43B514CD"/>
    <w:rsid w:val="43BB767B"/>
    <w:rsid w:val="43C014E4"/>
    <w:rsid w:val="43D86F56"/>
    <w:rsid w:val="43DB2051"/>
    <w:rsid w:val="43FB6581"/>
    <w:rsid w:val="440D4234"/>
    <w:rsid w:val="444C73B7"/>
    <w:rsid w:val="448E3309"/>
    <w:rsid w:val="448E4DEC"/>
    <w:rsid w:val="44902E7E"/>
    <w:rsid w:val="44975885"/>
    <w:rsid w:val="44C05674"/>
    <w:rsid w:val="44C37DCB"/>
    <w:rsid w:val="44D40789"/>
    <w:rsid w:val="44E022BE"/>
    <w:rsid w:val="44E20FAD"/>
    <w:rsid w:val="44FF1C6B"/>
    <w:rsid w:val="45010FCD"/>
    <w:rsid w:val="451B7709"/>
    <w:rsid w:val="45253385"/>
    <w:rsid w:val="453A596E"/>
    <w:rsid w:val="45402449"/>
    <w:rsid w:val="455312B1"/>
    <w:rsid w:val="455A6965"/>
    <w:rsid w:val="456502E2"/>
    <w:rsid w:val="459B6735"/>
    <w:rsid w:val="45B52C14"/>
    <w:rsid w:val="45BB1115"/>
    <w:rsid w:val="45D46B92"/>
    <w:rsid w:val="45D639C5"/>
    <w:rsid w:val="45D64B8B"/>
    <w:rsid w:val="45DE5523"/>
    <w:rsid w:val="461671D6"/>
    <w:rsid w:val="461B7E66"/>
    <w:rsid w:val="46274A64"/>
    <w:rsid w:val="462E4CFC"/>
    <w:rsid w:val="462F05D4"/>
    <w:rsid w:val="46366582"/>
    <w:rsid w:val="464A2500"/>
    <w:rsid w:val="464D0599"/>
    <w:rsid w:val="46667D61"/>
    <w:rsid w:val="46696E2A"/>
    <w:rsid w:val="466B2BA2"/>
    <w:rsid w:val="4670145A"/>
    <w:rsid w:val="467A3618"/>
    <w:rsid w:val="467F21AA"/>
    <w:rsid w:val="46897D42"/>
    <w:rsid w:val="468E4AE3"/>
    <w:rsid w:val="46B63068"/>
    <w:rsid w:val="46C6514D"/>
    <w:rsid w:val="46D02A05"/>
    <w:rsid w:val="46DA3884"/>
    <w:rsid w:val="46DB511D"/>
    <w:rsid w:val="46DD3374"/>
    <w:rsid w:val="46E00EB3"/>
    <w:rsid w:val="46EE37D3"/>
    <w:rsid w:val="46FB7E03"/>
    <w:rsid w:val="46FF3309"/>
    <w:rsid w:val="47024C6C"/>
    <w:rsid w:val="471843AC"/>
    <w:rsid w:val="47264D1B"/>
    <w:rsid w:val="47302D46"/>
    <w:rsid w:val="47451335"/>
    <w:rsid w:val="474641F8"/>
    <w:rsid w:val="476D2579"/>
    <w:rsid w:val="477F442B"/>
    <w:rsid w:val="47BA7CFE"/>
    <w:rsid w:val="47C1678B"/>
    <w:rsid w:val="47F60B91"/>
    <w:rsid w:val="480254A8"/>
    <w:rsid w:val="48117779"/>
    <w:rsid w:val="481A3989"/>
    <w:rsid w:val="48210818"/>
    <w:rsid w:val="482F0B1A"/>
    <w:rsid w:val="483077AC"/>
    <w:rsid w:val="48533D15"/>
    <w:rsid w:val="4859672E"/>
    <w:rsid w:val="485E53BD"/>
    <w:rsid w:val="4860450F"/>
    <w:rsid w:val="48644F60"/>
    <w:rsid w:val="48700110"/>
    <w:rsid w:val="487A531F"/>
    <w:rsid w:val="488506F0"/>
    <w:rsid w:val="488F2964"/>
    <w:rsid w:val="48B77253"/>
    <w:rsid w:val="48B95AB7"/>
    <w:rsid w:val="48DE461B"/>
    <w:rsid w:val="48E14C28"/>
    <w:rsid w:val="48EC5AF0"/>
    <w:rsid w:val="48F16730"/>
    <w:rsid w:val="490723CD"/>
    <w:rsid w:val="4913061D"/>
    <w:rsid w:val="49221512"/>
    <w:rsid w:val="492E435B"/>
    <w:rsid w:val="49396F88"/>
    <w:rsid w:val="49437E06"/>
    <w:rsid w:val="494B6C5E"/>
    <w:rsid w:val="49543DC1"/>
    <w:rsid w:val="496D465E"/>
    <w:rsid w:val="49A563CB"/>
    <w:rsid w:val="49B91E77"/>
    <w:rsid w:val="49CB04B5"/>
    <w:rsid w:val="49D62A28"/>
    <w:rsid w:val="49E06025"/>
    <w:rsid w:val="49E8139C"/>
    <w:rsid w:val="49FA79A2"/>
    <w:rsid w:val="49FE26D7"/>
    <w:rsid w:val="4A04223F"/>
    <w:rsid w:val="4A0975F4"/>
    <w:rsid w:val="4A1734ED"/>
    <w:rsid w:val="4A203CA4"/>
    <w:rsid w:val="4A245A22"/>
    <w:rsid w:val="4A302E79"/>
    <w:rsid w:val="4A3C1F14"/>
    <w:rsid w:val="4A435BE4"/>
    <w:rsid w:val="4A443E36"/>
    <w:rsid w:val="4A4D25BF"/>
    <w:rsid w:val="4A5120AF"/>
    <w:rsid w:val="4A575B10"/>
    <w:rsid w:val="4A7B712C"/>
    <w:rsid w:val="4A890FC1"/>
    <w:rsid w:val="4A8C335D"/>
    <w:rsid w:val="4A8F3B9D"/>
    <w:rsid w:val="4AAC3411"/>
    <w:rsid w:val="4AB1764C"/>
    <w:rsid w:val="4ABD1D3D"/>
    <w:rsid w:val="4AD917B0"/>
    <w:rsid w:val="4B272AFC"/>
    <w:rsid w:val="4B464016"/>
    <w:rsid w:val="4B5D2FAC"/>
    <w:rsid w:val="4B647BC0"/>
    <w:rsid w:val="4B75001F"/>
    <w:rsid w:val="4B810772"/>
    <w:rsid w:val="4B881829"/>
    <w:rsid w:val="4B8D35BB"/>
    <w:rsid w:val="4BA15BE7"/>
    <w:rsid w:val="4BA43B9B"/>
    <w:rsid w:val="4BC52BF5"/>
    <w:rsid w:val="4BCC126B"/>
    <w:rsid w:val="4BCE0EFC"/>
    <w:rsid w:val="4BD27E7A"/>
    <w:rsid w:val="4BEF60FB"/>
    <w:rsid w:val="4C007878"/>
    <w:rsid w:val="4C257843"/>
    <w:rsid w:val="4C3C76D5"/>
    <w:rsid w:val="4C4774DE"/>
    <w:rsid w:val="4C6D6F48"/>
    <w:rsid w:val="4C6E7DEC"/>
    <w:rsid w:val="4C6F6E73"/>
    <w:rsid w:val="4C766BE1"/>
    <w:rsid w:val="4C7D7A0F"/>
    <w:rsid w:val="4C8D1CE3"/>
    <w:rsid w:val="4C8E4342"/>
    <w:rsid w:val="4CA45134"/>
    <w:rsid w:val="4CA92654"/>
    <w:rsid w:val="4CA95AF7"/>
    <w:rsid w:val="4CB415B0"/>
    <w:rsid w:val="4CB95D17"/>
    <w:rsid w:val="4CC751E5"/>
    <w:rsid w:val="4CD91706"/>
    <w:rsid w:val="4CE4545C"/>
    <w:rsid w:val="4CF257EA"/>
    <w:rsid w:val="4CFA69F4"/>
    <w:rsid w:val="4D062999"/>
    <w:rsid w:val="4D0F600E"/>
    <w:rsid w:val="4D130F05"/>
    <w:rsid w:val="4D217DD7"/>
    <w:rsid w:val="4D3123F7"/>
    <w:rsid w:val="4D4203D5"/>
    <w:rsid w:val="4D447A09"/>
    <w:rsid w:val="4D4E179C"/>
    <w:rsid w:val="4D5A15FB"/>
    <w:rsid w:val="4D5C0E4B"/>
    <w:rsid w:val="4D5C3245"/>
    <w:rsid w:val="4D5F63E1"/>
    <w:rsid w:val="4DB5214A"/>
    <w:rsid w:val="4DB7631F"/>
    <w:rsid w:val="4DC902C0"/>
    <w:rsid w:val="4DEA33FE"/>
    <w:rsid w:val="4DF9678E"/>
    <w:rsid w:val="4DFD5D33"/>
    <w:rsid w:val="4E016700"/>
    <w:rsid w:val="4E022932"/>
    <w:rsid w:val="4E185BEB"/>
    <w:rsid w:val="4E3366B7"/>
    <w:rsid w:val="4E3B4485"/>
    <w:rsid w:val="4E5504D5"/>
    <w:rsid w:val="4E6246E4"/>
    <w:rsid w:val="4E6537CA"/>
    <w:rsid w:val="4E6C7588"/>
    <w:rsid w:val="4E770D22"/>
    <w:rsid w:val="4E8C7B5A"/>
    <w:rsid w:val="4E9764FE"/>
    <w:rsid w:val="4E992277"/>
    <w:rsid w:val="4EA36C51"/>
    <w:rsid w:val="4EBA66B5"/>
    <w:rsid w:val="4EDE5703"/>
    <w:rsid w:val="4EE31744"/>
    <w:rsid w:val="4EEF0BA4"/>
    <w:rsid w:val="4EFC61EA"/>
    <w:rsid w:val="4F245FE4"/>
    <w:rsid w:val="4F2E5E48"/>
    <w:rsid w:val="4F5B7E05"/>
    <w:rsid w:val="4F5C0944"/>
    <w:rsid w:val="4F63435A"/>
    <w:rsid w:val="4F681AF1"/>
    <w:rsid w:val="4F7B5B35"/>
    <w:rsid w:val="4F997907"/>
    <w:rsid w:val="4F9C11DA"/>
    <w:rsid w:val="4FB21842"/>
    <w:rsid w:val="4FBE24D4"/>
    <w:rsid w:val="4FD811D6"/>
    <w:rsid w:val="4FE237A9"/>
    <w:rsid w:val="4FE50529"/>
    <w:rsid w:val="4FE61C25"/>
    <w:rsid w:val="500C40DE"/>
    <w:rsid w:val="501E3C91"/>
    <w:rsid w:val="502C6AEA"/>
    <w:rsid w:val="5037430B"/>
    <w:rsid w:val="503C110B"/>
    <w:rsid w:val="503E607D"/>
    <w:rsid w:val="50566671"/>
    <w:rsid w:val="50724F2A"/>
    <w:rsid w:val="507F0456"/>
    <w:rsid w:val="50830AE8"/>
    <w:rsid w:val="50844F1D"/>
    <w:rsid w:val="508C5825"/>
    <w:rsid w:val="509C6FA3"/>
    <w:rsid w:val="50A32975"/>
    <w:rsid w:val="50A949C1"/>
    <w:rsid w:val="50C01D3C"/>
    <w:rsid w:val="50CB5851"/>
    <w:rsid w:val="50D176D2"/>
    <w:rsid w:val="50F00D98"/>
    <w:rsid w:val="50F440B3"/>
    <w:rsid w:val="50F75681"/>
    <w:rsid w:val="50F96FFC"/>
    <w:rsid w:val="510541E4"/>
    <w:rsid w:val="511D538A"/>
    <w:rsid w:val="51360FC9"/>
    <w:rsid w:val="51627F77"/>
    <w:rsid w:val="516428F1"/>
    <w:rsid w:val="516D10FA"/>
    <w:rsid w:val="51840FBC"/>
    <w:rsid w:val="51890380"/>
    <w:rsid w:val="518C1CC6"/>
    <w:rsid w:val="519021ED"/>
    <w:rsid w:val="519A694D"/>
    <w:rsid w:val="51A27694"/>
    <w:rsid w:val="51AE6039"/>
    <w:rsid w:val="51BF4B8A"/>
    <w:rsid w:val="51D06BAC"/>
    <w:rsid w:val="51D73484"/>
    <w:rsid w:val="51DD691E"/>
    <w:rsid w:val="52127220"/>
    <w:rsid w:val="521E7500"/>
    <w:rsid w:val="52204E08"/>
    <w:rsid w:val="522B58DB"/>
    <w:rsid w:val="52336B70"/>
    <w:rsid w:val="52355EBF"/>
    <w:rsid w:val="52484B09"/>
    <w:rsid w:val="525A79B9"/>
    <w:rsid w:val="52727066"/>
    <w:rsid w:val="52730EC7"/>
    <w:rsid w:val="5279200A"/>
    <w:rsid w:val="52877D0C"/>
    <w:rsid w:val="528944AB"/>
    <w:rsid w:val="52903990"/>
    <w:rsid w:val="52AA2E5B"/>
    <w:rsid w:val="52C06024"/>
    <w:rsid w:val="52CB1D9E"/>
    <w:rsid w:val="52E2243E"/>
    <w:rsid w:val="52E7421C"/>
    <w:rsid w:val="52FA020B"/>
    <w:rsid w:val="53130849"/>
    <w:rsid w:val="53180A1C"/>
    <w:rsid w:val="53426210"/>
    <w:rsid w:val="53452D12"/>
    <w:rsid w:val="53453F8B"/>
    <w:rsid w:val="53507CFB"/>
    <w:rsid w:val="536966BB"/>
    <w:rsid w:val="53AF1641"/>
    <w:rsid w:val="53B10EFF"/>
    <w:rsid w:val="53C72E18"/>
    <w:rsid w:val="53E126F6"/>
    <w:rsid w:val="53EE0B9B"/>
    <w:rsid w:val="53F37D49"/>
    <w:rsid w:val="53F64DDE"/>
    <w:rsid w:val="54033C8E"/>
    <w:rsid w:val="540F1211"/>
    <w:rsid w:val="541B31E7"/>
    <w:rsid w:val="542B759B"/>
    <w:rsid w:val="544339BE"/>
    <w:rsid w:val="545C3B2A"/>
    <w:rsid w:val="54772A41"/>
    <w:rsid w:val="54805F31"/>
    <w:rsid w:val="54851A06"/>
    <w:rsid w:val="54922FD8"/>
    <w:rsid w:val="54B83F90"/>
    <w:rsid w:val="54C73D4E"/>
    <w:rsid w:val="54CB0CB0"/>
    <w:rsid w:val="54CF51E7"/>
    <w:rsid w:val="54E63D3C"/>
    <w:rsid w:val="54E93423"/>
    <w:rsid w:val="54F93A6F"/>
    <w:rsid w:val="54FE6850"/>
    <w:rsid w:val="55263033"/>
    <w:rsid w:val="5529476D"/>
    <w:rsid w:val="553C3F90"/>
    <w:rsid w:val="554967A4"/>
    <w:rsid w:val="554E44D2"/>
    <w:rsid w:val="554F4E1B"/>
    <w:rsid w:val="55515659"/>
    <w:rsid w:val="555407D9"/>
    <w:rsid w:val="555B5BDA"/>
    <w:rsid w:val="5561436A"/>
    <w:rsid w:val="55C04E11"/>
    <w:rsid w:val="55DD65FC"/>
    <w:rsid w:val="55E010D4"/>
    <w:rsid w:val="55FF0FDF"/>
    <w:rsid w:val="56034BF9"/>
    <w:rsid w:val="56095BC3"/>
    <w:rsid w:val="560C332E"/>
    <w:rsid w:val="56262D5D"/>
    <w:rsid w:val="562F45FB"/>
    <w:rsid w:val="56356D58"/>
    <w:rsid w:val="564A3C42"/>
    <w:rsid w:val="5652729B"/>
    <w:rsid w:val="56654034"/>
    <w:rsid w:val="56702E25"/>
    <w:rsid w:val="56786AAF"/>
    <w:rsid w:val="569F0646"/>
    <w:rsid w:val="56C84414"/>
    <w:rsid w:val="56CD6F61"/>
    <w:rsid w:val="56D23E62"/>
    <w:rsid w:val="56F05944"/>
    <w:rsid w:val="56FA762A"/>
    <w:rsid w:val="57167097"/>
    <w:rsid w:val="57233025"/>
    <w:rsid w:val="572D17AE"/>
    <w:rsid w:val="57327666"/>
    <w:rsid w:val="573967B5"/>
    <w:rsid w:val="57466801"/>
    <w:rsid w:val="57467FBB"/>
    <w:rsid w:val="57505339"/>
    <w:rsid w:val="57541431"/>
    <w:rsid w:val="57574EC0"/>
    <w:rsid w:val="57711F6F"/>
    <w:rsid w:val="57966C74"/>
    <w:rsid w:val="57992004"/>
    <w:rsid w:val="579B49DC"/>
    <w:rsid w:val="57C935EE"/>
    <w:rsid w:val="57D53B36"/>
    <w:rsid w:val="57DB3900"/>
    <w:rsid w:val="57FA30DD"/>
    <w:rsid w:val="580A1290"/>
    <w:rsid w:val="581258AF"/>
    <w:rsid w:val="584B3554"/>
    <w:rsid w:val="584D3AD4"/>
    <w:rsid w:val="5851771E"/>
    <w:rsid w:val="58584F50"/>
    <w:rsid w:val="586236D9"/>
    <w:rsid w:val="5866766D"/>
    <w:rsid w:val="588500FC"/>
    <w:rsid w:val="588673C8"/>
    <w:rsid w:val="588E349F"/>
    <w:rsid w:val="58947CEE"/>
    <w:rsid w:val="589D2963"/>
    <w:rsid w:val="589F66DB"/>
    <w:rsid w:val="58B303D9"/>
    <w:rsid w:val="58B94155"/>
    <w:rsid w:val="58CF10C2"/>
    <w:rsid w:val="58E93DFA"/>
    <w:rsid w:val="59110EAB"/>
    <w:rsid w:val="59236118"/>
    <w:rsid w:val="592D1F39"/>
    <w:rsid w:val="59442B2D"/>
    <w:rsid w:val="59503271"/>
    <w:rsid w:val="597B2CA5"/>
    <w:rsid w:val="597D58FD"/>
    <w:rsid w:val="59850B13"/>
    <w:rsid w:val="5999137D"/>
    <w:rsid w:val="59B83784"/>
    <w:rsid w:val="59C363FA"/>
    <w:rsid w:val="59CC1F72"/>
    <w:rsid w:val="59E170EA"/>
    <w:rsid w:val="59F532E8"/>
    <w:rsid w:val="5A15426C"/>
    <w:rsid w:val="5A3D7F5A"/>
    <w:rsid w:val="5A6A3685"/>
    <w:rsid w:val="5A9A28F5"/>
    <w:rsid w:val="5A9A5B91"/>
    <w:rsid w:val="5AAF08EB"/>
    <w:rsid w:val="5AD42608"/>
    <w:rsid w:val="5ADC754F"/>
    <w:rsid w:val="5AFF2821"/>
    <w:rsid w:val="5B11266A"/>
    <w:rsid w:val="5B2353A2"/>
    <w:rsid w:val="5B2630E4"/>
    <w:rsid w:val="5B4A5024"/>
    <w:rsid w:val="5B55572A"/>
    <w:rsid w:val="5B5E160C"/>
    <w:rsid w:val="5B6873FF"/>
    <w:rsid w:val="5B7F6B46"/>
    <w:rsid w:val="5B81031A"/>
    <w:rsid w:val="5B9C30CD"/>
    <w:rsid w:val="5BB95D06"/>
    <w:rsid w:val="5BC07095"/>
    <w:rsid w:val="5BC36B85"/>
    <w:rsid w:val="5BC6294D"/>
    <w:rsid w:val="5BD76646"/>
    <w:rsid w:val="5BE75FAA"/>
    <w:rsid w:val="5C1440AF"/>
    <w:rsid w:val="5C1A6133"/>
    <w:rsid w:val="5C375C0D"/>
    <w:rsid w:val="5C3B0095"/>
    <w:rsid w:val="5C566FBE"/>
    <w:rsid w:val="5C5E150A"/>
    <w:rsid w:val="5C671DA5"/>
    <w:rsid w:val="5C6D3D3E"/>
    <w:rsid w:val="5C6E7908"/>
    <w:rsid w:val="5C6F51D6"/>
    <w:rsid w:val="5C7C1C48"/>
    <w:rsid w:val="5C7F2AAC"/>
    <w:rsid w:val="5CA01518"/>
    <w:rsid w:val="5CB62F39"/>
    <w:rsid w:val="5CC01E76"/>
    <w:rsid w:val="5CE172C2"/>
    <w:rsid w:val="5CE173E2"/>
    <w:rsid w:val="5CEC5C67"/>
    <w:rsid w:val="5D0A471E"/>
    <w:rsid w:val="5D243653"/>
    <w:rsid w:val="5D316B24"/>
    <w:rsid w:val="5D3856BD"/>
    <w:rsid w:val="5D425D58"/>
    <w:rsid w:val="5D506F37"/>
    <w:rsid w:val="5D5A66A9"/>
    <w:rsid w:val="5D645368"/>
    <w:rsid w:val="5D9E315E"/>
    <w:rsid w:val="5DB42C29"/>
    <w:rsid w:val="5DD519C7"/>
    <w:rsid w:val="5DD6481E"/>
    <w:rsid w:val="5DD95605"/>
    <w:rsid w:val="5DE352BC"/>
    <w:rsid w:val="5DEA03F9"/>
    <w:rsid w:val="5DEC57D0"/>
    <w:rsid w:val="5DF002D3"/>
    <w:rsid w:val="5DF43025"/>
    <w:rsid w:val="5DFD3BA4"/>
    <w:rsid w:val="5E4C79CF"/>
    <w:rsid w:val="5E6C312F"/>
    <w:rsid w:val="5E6D5E2A"/>
    <w:rsid w:val="5EA71A29"/>
    <w:rsid w:val="5EB66C88"/>
    <w:rsid w:val="5ED846F5"/>
    <w:rsid w:val="5EFC6636"/>
    <w:rsid w:val="5F5875E4"/>
    <w:rsid w:val="5F5A6BEC"/>
    <w:rsid w:val="5F7E65FC"/>
    <w:rsid w:val="5F95631A"/>
    <w:rsid w:val="5FB75D25"/>
    <w:rsid w:val="5FCF4BAC"/>
    <w:rsid w:val="5FCF5AF8"/>
    <w:rsid w:val="5FF25EC5"/>
    <w:rsid w:val="600339F4"/>
    <w:rsid w:val="60066D32"/>
    <w:rsid w:val="60230DB7"/>
    <w:rsid w:val="60274812"/>
    <w:rsid w:val="602776E2"/>
    <w:rsid w:val="602C3436"/>
    <w:rsid w:val="605418A6"/>
    <w:rsid w:val="60583D40"/>
    <w:rsid w:val="605C4EB2"/>
    <w:rsid w:val="605F3F2D"/>
    <w:rsid w:val="60917251"/>
    <w:rsid w:val="60945816"/>
    <w:rsid w:val="60A550F1"/>
    <w:rsid w:val="60A7370A"/>
    <w:rsid w:val="60B13546"/>
    <w:rsid w:val="60B371C8"/>
    <w:rsid w:val="60C2565D"/>
    <w:rsid w:val="60DA29A7"/>
    <w:rsid w:val="60DD2980"/>
    <w:rsid w:val="60E472AF"/>
    <w:rsid w:val="60EB3BD8"/>
    <w:rsid w:val="60EF0AA9"/>
    <w:rsid w:val="60FF240D"/>
    <w:rsid w:val="61174828"/>
    <w:rsid w:val="611D0AE5"/>
    <w:rsid w:val="61240A2F"/>
    <w:rsid w:val="61272163"/>
    <w:rsid w:val="61391AF7"/>
    <w:rsid w:val="61502C69"/>
    <w:rsid w:val="616D7633"/>
    <w:rsid w:val="617A7CE6"/>
    <w:rsid w:val="61874052"/>
    <w:rsid w:val="619B7EA7"/>
    <w:rsid w:val="61A637A4"/>
    <w:rsid w:val="61B2747F"/>
    <w:rsid w:val="61CD24F6"/>
    <w:rsid w:val="61CF7E79"/>
    <w:rsid w:val="61EB473F"/>
    <w:rsid w:val="61F20D51"/>
    <w:rsid w:val="62035677"/>
    <w:rsid w:val="6204326E"/>
    <w:rsid w:val="622104E9"/>
    <w:rsid w:val="62255EA3"/>
    <w:rsid w:val="62326812"/>
    <w:rsid w:val="624B7723"/>
    <w:rsid w:val="62514093"/>
    <w:rsid w:val="62673F64"/>
    <w:rsid w:val="626F711E"/>
    <w:rsid w:val="62A3501A"/>
    <w:rsid w:val="62AD76A8"/>
    <w:rsid w:val="62B33E1A"/>
    <w:rsid w:val="62BD6B95"/>
    <w:rsid w:val="62E47A37"/>
    <w:rsid w:val="62E62CA1"/>
    <w:rsid w:val="62F80B6C"/>
    <w:rsid w:val="631B7591"/>
    <w:rsid w:val="633176B2"/>
    <w:rsid w:val="63360237"/>
    <w:rsid w:val="634B149D"/>
    <w:rsid w:val="635269C6"/>
    <w:rsid w:val="6364795D"/>
    <w:rsid w:val="636B5B38"/>
    <w:rsid w:val="636F404A"/>
    <w:rsid w:val="637A0F67"/>
    <w:rsid w:val="637B3B2D"/>
    <w:rsid w:val="637B71B0"/>
    <w:rsid w:val="638258A8"/>
    <w:rsid w:val="639E7210"/>
    <w:rsid w:val="63B0240A"/>
    <w:rsid w:val="63D81CD3"/>
    <w:rsid w:val="63DF6526"/>
    <w:rsid w:val="63ED6FFD"/>
    <w:rsid w:val="63FE69AC"/>
    <w:rsid w:val="640B731B"/>
    <w:rsid w:val="642F684B"/>
    <w:rsid w:val="6464454E"/>
    <w:rsid w:val="6488118D"/>
    <w:rsid w:val="649D02C4"/>
    <w:rsid w:val="64A658E2"/>
    <w:rsid w:val="64B02E38"/>
    <w:rsid w:val="64B27B27"/>
    <w:rsid w:val="64BA612C"/>
    <w:rsid w:val="64BC5967"/>
    <w:rsid w:val="64C52205"/>
    <w:rsid w:val="64C94E2C"/>
    <w:rsid w:val="64CB151F"/>
    <w:rsid w:val="64CE1644"/>
    <w:rsid w:val="64D5192A"/>
    <w:rsid w:val="64DD2A65"/>
    <w:rsid w:val="64E631EE"/>
    <w:rsid w:val="64EA40C9"/>
    <w:rsid w:val="64FB698E"/>
    <w:rsid w:val="650173B8"/>
    <w:rsid w:val="65420B1A"/>
    <w:rsid w:val="6558033E"/>
    <w:rsid w:val="655F791E"/>
    <w:rsid w:val="65674A25"/>
    <w:rsid w:val="657333CA"/>
    <w:rsid w:val="65746F8E"/>
    <w:rsid w:val="657929D7"/>
    <w:rsid w:val="65801E50"/>
    <w:rsid w:val="658259D7"/>
    <w:rsid w:val="659543A1"/>
    <w:rsid w:val="65A7433F"/>
    <w:rsid w:val="65AF18AF"/>
    <w:rsid w:val="65B47DE6"/>
    <w:rsid w:val="65BE5CBA"/>
    <w:rsid w:val="65C31F8C"/>
    <w:rsid w:val="65D211D9"/>
    <w:rsid w:val="65FA56AB"/>
    <w:rsid w:val="660363A2"/>
    <w:rsid w:val="660E39B6"/>
    <w:rsid w:val="661365B5"/>
    <w:rsid w:val="66214029"/>
    <w:rsid w:val="663E6839"/>
    <w:rsid w:val="666C4A9F"/>
    <w:rsid w:val="669E4476"/>
    <w:rsid w:val="66AE5A40"/>
    <w:rsid w:val="66D045C0"/>
    <w:rsid w:val="66D11AE0"/>
    <w:rsid w:val="66E024F0"/>
    <w:rsid w:val="67267860"/>
    <w:rsid w:val="673D3C8F"/>
    <w:rsid w:val="673F4FEB"/>
    <w:rsid w:val="67541089"/>
    <w:rsid w:val="6767537F"/>
    <w:rsid w:val="676E3E49"/>
    <w:rsid w:val="6773145F"/>
    <w:rsid w:val="678418BE"/>
    <w:rsid w:val="6784366C"/>
    <w:rsid w:val="678F3692"/>
    <w:rsid w:val="679D79C6"/>
    <w:rsid w:val="67BB55B2"/>
    <w:rsid w:val="67C3769D"/>
    <w:rsid w:val="67DA7730"/>
    <w:rsid w:val="67EE6DFC"/>
    <w:rsid w:val="68093B71"/>
    <w:rsid w:val="680E1188"/>
    <w:rsid w:val="68112A26"/>
    <w:rsid w:val="682063F4"/>
    <w:rsid w:val="684F3C7A"/>
    <w:rsid w:val="6858773F"/>
    <w:rsid w:val="685D1917"/>
    <w:rsid w:val="686D7A2B"/>
    <w:rsid w:val="687F4A4A"/>
    <w:rsid w:val="68891373"/>
    <w:rsid w:val="688B69EA"/>
    <w:rsid w:val="68923B67"/>
    <w:rsid w:val="68CC52CB"/>
    <w:rsid w:val="68EF2D67"/>
    <w:rsid w:val="690C3919"/>
    <w:rsid w:val="69217422"/>
    <w:rsid w:val="692E55C1"/>
    <w:rsid w:val="69361846"/>
    <w:rsid w:val="69436B19"/>
    <w:rsid w:val="694877C2"/>
    <w:rsid w:val="694A016C"/>
    <w:rsid w:val="694F7CC5"/>
    <w:rsid w:val="69580091"/>
    <w:rsid w:val="69586FD5"/>
    <w:rsid w:val="69894F6A"/>
    <w:rsid w:val="69947AD4"/>
    <w:rsid w:val="69B940FF"/>
    <w:rsid w:val="69BB7EAF"/>
    <w:rsid w:val="69C33F31"/>
    <w:rsid w:val="69C76F31"/>
    <w:rsid w:val="69EE301F"/>
    <w:rsid w:val="69F02304"/>
    <w:rsid w:val="6A2045FB"/>
    <w:rsid w:val="6A2133F4"/>
    <w:rsid w:val="6A2C5734"/>
    <w:rsid w:val="6A380393"/>
    <w:rsid w:val="6A3B727C"/>
    <w:rsid w:val="6A4533D4"/>
    <w:rsid w:val="6A5052F7"/>
    <w:rsid w:val="6A6923D4"/>
    <w:rsid w:val="6A793230"/>
    <w:rsid w:val="6A9028D6"/>
    <w:rsid w:val="6AA46CD4"/>
    <w:rsid w:val="6AA70E9C"/>
    <w:rsid w:val="6AA975EF"/>
    <w:rsid w:val="6AC24D1D"/>
    <w:rsid w:val="6AF91C7B"/>
    <w:rsid w:val="6B1A50FE"/>
    <w:rsid w:val="6B2A62D8"/>
    <w:rsid w:val="6B3059C9"/>
    <w:rsid w:val="6B3A249E"/>
    <w:rsid w:val="6B56531F"/>
    <w:rsid w:val="6B593B73"/>
    <w:rsid w:val="6B721BC5"/>
    <w:rsid w:val="6B75742C"/>
    <w:rsid w:val="6B827EC3"/>
    <w:rsid w:val="6B8579B3"/>
    <w:rsid w:val="6B873380"/>
    <w:rsid w:val="6BA449DA"/>
    <w:rsid w:val="6BAD26B6"/>
    <w:rsid w:val="6BAD4A8E"/>
    <w:rsid w:val="6BC172F1"/>
    <w:rsid w:val="6BD050D2"/>
    <w:rsid w:val="6BD30581"/>
    <w:rsid w:val="6BD73784"/>
    <w:rsid w:val="6BE11B4A"/>
    <w:rsid w:val="6C0104AD"/>
    <w:rsid w:val="6C0924C8"/>
    <w:rsid w:val="6C476C5F"/>
    <w:rsid w:val="6C62680F"/>
    <w:rsid w:val="6C7C0DB6"/>
    <w:rsid w:val="6C880067"/>
    <w:rsid w:val="6C8A5EAD"/>
    <w:rsid w:val="6C9613CD"/>
    <w:rsid w:val="6CBB02D5"/>
    <w:rsid w:val="6CC51C63"/>
    <w:rsid w:val="6CD604F3"/>
    <w:rsid w:val="6CD97FB6"/>
    <w:rsid w:val="6CE40709"/>
    <w:rsid w:val="6CED1CB3"/>
    <w:rsid w:val="6CF272CA"/>
    <w:rsid w:val="6D4A0EB4"/>
    <w:rsid w:val="6D716441"/>
    <w:rsid w:val="6D806078"/>
    <w:rsid w:val="6D876160"/>
    <w:rsid w:val="6D923390"/>
    <w:rsid w:val="6D9A2F35"/>
    <w:rsid w:val="6DAA34D2"/>
    <w:rsid w:val="6DAD24E8"/>
    <w:rsid w:val="6DB868EA"/>
    <w:rsid w:val="6DCA6808"/>
    <w:rsid w:val="6DDB1EB2"/>
    <w:rsid w:val="6DE066F9"/>
    <w:rsid w:val="6DEE7A91"/>
    <w:rsid w:val="6DFB5D0A"/>
    <w:rsid w:val="6E034126"/>
    <w:rsid w:val="6E160805"/>
    <w:rsid w:val="6E1719C5"/>
    <w:rsid w:val="6E1D27E4"/>
    <w:rsid w:val="6E35746E"/>
    <w:rsid w:val="6E3C5C00"/>
    <w:rsid w:val="6E5C0E9F"/>
    <w:rsid w:val="6E736953"/>
    <w:rsid w:val="6E760F53"/>
    <w:rsid w:val="6EA83778"/>
    <w:rsid w:val="6EAC56B8"/>
    <w:rsid w:val="6EAE6153"/>
    <w:rsid w:val="6EBC3111"/>
    <w:rsid w:val="6EC20EE5"/>
    <w:rsid w:val="6ED62F98"/>
    <w:rsid w:val="6ED87E72"/>
    <w:rsid w:val="6EDD4469"/>
    <w:rsid w:val="6EEB39A3"/>
    <w:rsid w:val="6EF1395B"/>
    <w:rsid w:val="6EF32B9E"/>
    <w:rsid w:val="6F1B260D"/>
    <w:rsid w:val="6F1E2926"/>
    <w:rsid w:val="6F1E43A6"/>
    <w:rsid w:val="6F1F462F"/>
    <w:rsid w:val="6F2A26C0"/>
    <w:rsid w:val="6F470A77"/>
    <w:rsid w:val="6F5405F3"/>
    <w:rsid w:val="6F66186E"/>
    <w:rsid w:val="6F67199B"/>
    <w:rsid w:val="6F6C5A54"/>
    <w:rsid w:val="6F6F1CDB"/>
    <w:rsid w:val="6F7B0D27"/>
    <w:rsid w:val="6FA26D85"/>
    <w:rsid w:val="6FB46AB9"/>
    <w:rsid w:val="6FB62D05"/>
    <w:rsid w:val="6FDD6E0A"/>
    <w:rsid w:val="6FE059CE"/>
    <w:rsid w:val="6FEA072C"/>
    <w:rsid w:val="6FF203C3"/>
    <w:rsid w:val="70264895"/>
    <w:rsid w:val="705250FF"/>
    <w:rsid w:val="7055557F"/>
    <w:rsid w:val="705821AE"/>
    <w:rsid w:val="705C58C2"/>
    <w:rsid w:val="706551F1"/>
    <w:rsid w:val="706E39E7"/>
    <w:rsid w:val="707324D0"/>
    <w:rsid w:val="70853FB1"/>
    <w:rsid w:val="70953991"/>
    <w:rsid w:val="70A22DB4"/>
    <w:rsid w:val="70A4157A"/>
    <w:rsid w:val="70A630C2"/>
    <w:rsid w:val="70A71A7C"/>
    <w:rsid w:val="70A93F18"/>
    <w:rsid w:val="70CA3CDB"/>
    <w:rsid w:val="70CB2605"/>
    <w:rsid w:val="70CC7D95"/>
    <w:rsid w:val="70DD78D4"/>
    <w:rsid w:val="70DD7E41"/>
    <w:rsid w:val="70DE78F6"/>
    <w:rsid w:val="70E824E4"/>
    <w:rsid w:val="70F02E64"/>
    <w:rsid w:val="70FC2CF3"/>
    <w:rsid w:val="70FD7BBD"/>
    <w:rsid w:val="71077AAA"/>
    <w:rsid w:val="712B6906"/>
    <w:rsid w:val="71325EE7"/>
    <w:rsid w:val="714F371C"/>
    <w:rsid w:val="71550BD1"/>
    <w:rsid w:val="718412AA"/>
    <w:rsid w:val="719C3BFC"/>
    <w:rsid w:val="719D68B5"/>
    <w:rsid w:val="719E1CC4"/>
    <w:rsid w:val="71AC7DD2"/>
    <w:rsid w:val="71C85127"/>
    <w:rsid w:val="71D17AF0"/>
    <w:rsid w:val="71D945B4"/>
    <w:rsid w:val="71E56F95"/>
    <w:rsid w:val="71E9023A"/>
    <w:rsid w:val="71F94A21"/>
    <w:rsid w:val="72035AD5"/>
    <w:rsid w:val="721528CF"/>
    <w:rsid w:val="721A5CAC"/>
    <w:rsid w:val="721B69B0"/>
    <w:rsid w:val="72253C9E"/>
    <w:rsid w:val="72406B13"/>
    <w:rsid w:val="72451C4A"/>
    <w:rsid w:val="724E4FA2"/>
    <w:rsid w:val="72676064"/>
    <w:rsid w:val="726B5B54"/>
    <w:rsid w:val="7279311D"/>
    <w:rsid w:val="727D609F"/>
    <w:rsid w:val="729270E5"/>
    <w:rsid w:val="72A921D9"/>
    <w:rsid w:val="72AD5040"/>
    <w:rsid w:val="72D80D10"/>
    <w:rsid w:val="72EE5E3E"/>
    <w:rsid w:val="73462C02"/>
    <w:rsid w:val="73506863"/>
    <w:rsid w:val="735C099F"/>
    <w:rsid w:val="73781EF0"/>
    <w:rsid w:val="738F2F5B"/>
    <w:rsid w:val="73972979"/>
    <w:rsid w:val="739A3915"/>
    <w:rsid w:val="73A0182E"/>
    <w:rsid w:val="73A17491"/>
    <w:rsid w:val="73AD5CF9"/>
    <w:rsid w:val="73AF654E"/>
    <w:rsid w:val="73CA0659"/>
    <w:rsid w:val="73D02403"/>
    <w:rsid w:val="73E01C2A"/>
    <w:rsid w:val="73E334C8"/>
    <w:rsid w:val="73EF1131"/>
    <w:rsid w:val="73FD7DEB"/>
    <w:rsid w:val="74035919"/>
    <w:rsid w:val="740E089B"/>
    <w:rsid w:val="741D0093"/>
    <w:rsid w:val="74325C46"/>
    <w:rsid w:val="743E21D9"/>
    <w:rsid w:val="7445677F"/>
    <w:rsid w:val="74534AF2"/>
    <w:rsid w:val="745D20BC"/>
    <w:rsid w:val="745F3497"/>
    <w:rsid w:val="7477361A"/>
    <w:rsid w:val="74797355"/>
    <w:rsid w:val="748955AB"/>
    <w:rsid w:val="749A4017"/>
    <w:rsid w:val="74AB4236"/>
    <w:rsid w:val="74C84B14"/>
    <w:rsid w:val="74CC73DF"/>
    <w:rsid w:val="74E57FDD"/>
    <w:rsid w:val="75120509"/>
    <w:rsid w:val="75167399"/>
    <w:rsid w:val="75423F7C"/>
    <w:rsid w:val="75432FAA"/>
    <w:rsid w:val="754D324A"/>
    <w:rsid w:val="755E374E"/>
    <w:rsid w:val="75633692"/>
    <w:rsid w:val="75644ADD"/>
    <w:rsid w:val="757765BE"/>
    <w:rsid w:val="75783621"/>
    <w:rsid w:val="758522C1"/>
    <w:rsid w:val="7597644F"/>
    <w:rsid w:val="75AB4618"/>
    <w:rsid w:val="75B0387E"/>
    <w:rsid w:val="75C527A3"/>
    <w:rsid w:val="75C61618"/>
    <w:rsid w:val="75F0092C"/>
    <w:rsid w:val="75F14B1E"/>
    <w:rsid w:val="760C22C1"/>
    <w:rsid w:val="761F3589"/>
    <w:rsid w:val="76385C7A"/>
    <w:rsid w:val="7648357A"/>
    <w:rsid w:val="76487F5B"/>
    <w:rsid w:val="76607052"/>
    <w:rsid w:val="766A5DA2"/>
    <w:rsid w:val="76900054"/>
    <w:rsid w:val="76A50F09"/>
    <w:rsid w:val="76A55F2D"/>
    <w:rsid w:val="76AE10C8"/>
    <w:rsid w:val="76BA4246"/>
    <w:rsid w:val="76C577FD"/>
    <w:rsid w:val="76CA0970"/>
    <w:rsid w:val="76D348F8"/>
    <w:rsid w:val="76D9186E"/>
    <w:rsid w:val="76EE305C"/>
    <w:rsid w:val="76F040FD"/>
    <w:rsid w:val="76FE17F5"/>
    <w:rsid w:val="771B3E7E"/>
    <w:rsid w:val="772846EE"/>
    <w:rsid w:val="772F2CBC"/>
    <w:rsid w:val="7746095F"/>
    <w:rsid w:val="77547606"/>
    <w:rsid w:val="776E3D57"/>
    <w:rsid w:val="77A7263E"/>
    <w:rsid w:val="77CE623E"/>
    <w:rsid w:val="77D973B5"/>
    <w:rsid w:val="77DB6466"/>
    <w:rsid w:val="77EC5440"/>
    <w:rsid w:val="78006D3F"/>
    <w:rsid w:val="78105461"/>
    <w:rsid w:val="78142461"/>
    <w:rsid w:val="782446B8"/>
    <w:rsid w:val="782E7F5E"/>
    <w:rsid w:val="783B7D77"/>
    <w:rsid w:val="786C568C"/>
    <w:rsid w:val="787B511B"/>
    <w:rsid w:val="788D5C13"/>
    <w:rsid w:val="7890433D"/>
    <w:rsid w:val="789B6A68"/>
    <w:rsid w:val="78AF0452"/>
    <w:rsid w:val="78AF2513"/>
    <w:rsid w:val="78B6564F"/>
    <w:rsid w:val="78C064CE"/>
    <w:rsid w:val="78C610EC"/>
    <w:rsid w:val="78CA2EA9"/>
    <w:rsid w:val="78F17A35"/>
    <w:rsid w:val="7909498E"/>
    <w:rsid w:val="7909679A"/>
    <w:rsid w:val="79110AD8"/>
    <w:rsid w:val="79461415"/>
    <w:rsid w:val="794B6EAC"/>
    <w:rsid w:val="795135CA"/>
    <w:rsid w:val="79554E68"/>
    <w:rsid w:val="7967694A"/>
    <w:rsid w:val="797A59E3"/>
    <w:rsid w:val="799123B3"/>
    <w:rsid w:val="799264E3"/>
    <w:rsid w:val="7997722F"/>
    <w:rsid w:val="79A53A99"/>
    <w:rsid w:val="79AB477C"/>
    <w:rsid w:val="79B75DF1"/>
    <w:rsid w:val="79BF0534"/>
    <w:rsid w:val="79C21932"/>
    <w:rsid w:val="79DA581A"/>
    <w:rsid w:val="79DE4837"/>
    <w:rsid w:val="79E836B7"/>
    <w:rsid w:val="79FE72AE"/>
    <w:rsid w:val="7A150154"/>
    <w:rsid w:val="7A273ED6"/>
    <w:rsid w:val="7A2957CA"/>
    <w:rsid w:val="7A2D1941"/>
    <w:rsid w:val="7A320374"/>
    <w:rsid w:val="7A3F1EE1"/>
    <w:rsid w:val="7AA718CF"/>
    <w:rsid w:val="7AAF05A8"/>
    <w:rsid w:val="7AB93BC7"/>
    <w:rsid w:val="7AC34054"/>
    <w:rsid w:val="7AC728AE"/>
    <w:rsid w:val="7ACC1F20"/>
    <w:rsid w:val="7AD05D04"/>
    <w:rsid w:val="7AD517DA"/>
    <w:rsid w:val="7AD90BF5"/>
    <w:rsid w:val="7ADB71B2"/>
    <w:rsid w:val="7AED5432"/>
    <w:rsid w:val="7B095F0A"/>
    <w:rsid w:val="7B150FC2"/>
    <w:rsid w:val="7B370FE9"/>
    <w:rsid w:val="7B3B008E"/>
    <w:rsid w:val="7B5F59A0"/>
    <w:rsid w:val="7B85670A"/>
    <w:rsid w:val="7B9A5587"/>
    <w:rsid w:val="7BCB5462"/>
    <w:rsid w:val="7BDE5E89"/>
    <w:rsid w:val="7C0B7DB2"/>
    <w:rsid w:val="7C1728A9"/>
    <w:rsid w:val="7C2E06BF"/>
    <w:rsid w:val="7C38035E"/>
    <w:rsid w:val="7C40623A"/>
    <w:rsid w:val="7C451CFE"/>
    <w:rsid w:val="7C5E2286"/>
    <w:rsid w:val="7C613B24"/>
    <w:rsid w:val="7C665564"/>
    <w:rsid w:val="7C6D24C9"/>
    <w:rsid w:val="7C6F5B94"/>
    <w:rsid w:val="7C7A4BE6"/>
    <w:rsid w:val="7C817D22"/>
    <w:rsid w:val="7C8E51D3"/>
    <w:rsid w:val="7C8F67B8"/>
    <w:rsid w:val="7C961A20"/>
    <w:rsid w:val="7C9E590D"/>
    <w:rsid w:val="7CB57CD2"/>
    <w:rsid w:val="7CCF4F32"/>
    <w:rsid w:val="7CE47FFC"/>
    <w:rsid w:val="7CE704CD"/>
    <w:rsid w:val="7CFE5482"/>
    <w:rsid w:val="7D0E04CD"/>
    <w:rsid w:val="7D146DE8"/>
    <w:rsid w:val="7D19642F"/>
    <w:rsid w:val="7D470F6C"/>
    <w:rsid w:val="7D496A92"/>
    <w:rsid w:val="7D4A7B52"/>
    <w:rsid w:val="7D6A0FFA"/>
    <w:rsid w:val="7D915097"/>
    <w:rsid w:val="7D9975BB"/>
    <w:rsid w:val="7DB73333"/>
    <w:rsid w:val="7DD32800"/>
    <w:rsid w:val="7DD345AE"/>
    <w:rsid w:val="7DE844FD"/>
    <w:rsid w:val="7DEE3196"/>
    <w:rsid w:val="7DF61C76"/>
    <w:rsid w:val="7DF75DF5"/>
    <w:rsid w:val="7DFD382C"/>
    <w:rsid w:val="7DFE066D"/>
    <w:rsid w:val="7E085F15"/>
    <w:rsid w:val="7E0E0427"/>
    <w:rsid w:val="7E200482"/>
    <w:rsid w:val="7E205D0D"/>
    <w:rsid w:val="7E24305B"/>
    <w:rsid w:val="7E2B6198"/>
    <w:rsid w:val="7E35231F"/>
    <w:rsid w:val="7E5001CF"/>
    <w:rsid w:val="7E83676A"/>
    <w:rsid w:val="7EB42546"/>
    <w:rsid w:val="7EB9700E"/>
    <w:rsid w:val="7EC76FC8"/>
    <w:rsid w:val="7EDD4612"/>
    <w:rsid w:val="7EDE5E10"/>
    <w:rsid w:val="7EE02088"/>
    <w:rsid w:val="7F187B45"/>
    <w:rsid w:val="7F1F4BEA"/>
    <w:rsid w:val="7F29456C"/>
    <w:rsid w:val="7F422A25"/>
    <w:rsid w:val="7F49660A"/>
    <w:rsid w:val="7F4D37E4"/>
    <w:rsid w:val="7F632F9F"/>
    <w:rsid w:val="7F6D6326"/>
    <w:rsid w:val="7F741DC0"/>
    <w:rsid w:val="7F7A10A4"/>
    <w:rsid w:val="7F893FE5"/>
    <w:rsid w:val="7F8B606D"/>
    <w:rsid w:val="7F922307"/>
    <w:rsid w:val="7FA466F2"/>
    <w:rsid w:val="7FB64187"/>
    <w:rsid w:val="7FC70975"/>
    <w:rsid w:val="7FD50AB1"/>
    <w:rsid w:val="7FDA60C7"/>
    <w:rsid w:val="7FF0769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nhideWhenUsed="0" w:uiPriority="99" w:semiHidden="0" w:name="Normal Indent"/>
    <w:lsdException w:qFormat="1" w:unhideWhenUsed="0" w:uiPriority="99"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0" w:semiHidden="0" w:name=""/>
    <w:lsdException w:qFormat="1" w:unhideWhenUsed="0" w:uiPriority="99"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wordWrap w:val="0"/>
      <w:topLinePunct/>
      <w:jc w:val="both"/>
    </w:pPr>
    <w:rPr>
      <w:rFonts w:ascii="宋体" w:hAnsi="宋体" w:eastAsia="宋体" w:cs="宋体"/>
      <w:kern w:val="2"/>
      <w:sz w:val="24"/>
      <w:szCs w:val="21"/>
      <w:lang w:val="en-US" w:eastAsia="zh-CN" w:bidi="ar-SA"/>
    </w:rPr>
  </w:style>
  <w:style w:type="paragraph" w:styleId="2">
    <w:name w:val="heading 1"/>
    <w:basedOn w:val="1"/>
    <w:next w:val="1"/>
    <w:link w:val="65"/>
    <w:qFormat/>
    <w:uiPriority w:val="0"/>
    <w:pPr>
      <w:keepNext/>
      <w:keepLines/>
      <w:spacing w:line="360" w:lineRule="auto"/>
      <w:jc w:val="center"/>
      <w:outlineLvl w:val="0"/>
    </w:pPr>
    <w:rPr>
      <w:b/>
      <w:bCs/>
      <w:kern w:val="44"/>
      <w:sz w:val="32"/>
      <w:szCs w:val="44"/>
    </w:rPr>
  </w:style>
  <w:style w:type="paragraph" w:styleId="3">
    <w:name w:val="heading 2"/>
    <w:basedOn w:val="1"/>
    <w:next w:val="1"/>
    <w:link w:val="66"/>
    <w:qFormat/>
    <w:uiPriority w:val="0"/>
    <w:pPr>
      <w:keepNext/>
      <w:keepLines/>
      <w:spacing w:before="50" w:beforeLines="50" w:after="50" w:afterLines="50" w:line="416" w:lineRule="auto"/>
      <w:jc w:val="center"/>
      <w:outlineLvl w:val="1"/>
    </w:pPr>
    <w:rPr>
      <w:b/>
      <w:bCs/>
      <w:sz w:val="28"/>
    </w:rPr>
  </w:style>
  <w:style w:type="paragraph" w:styleId="4">
    <w:name w:val="heading 3"/>
    <w:basedOn w:val="1"/>
    <w:next w:val="1"/>
    <w:link w:val="67"/>
    <w:qFormat/>
    <w:uiPriority w:val="0"/>
    <w:pPr>
      <w:keepNext/>
      <w:keepLines/>
      <w:spacing w:line="360" w:lineRule="auto"/>
      <w:ind w:firstLine="0" w:firstLineChars="0"/>
      <w:outlineLvl w:val="2"/>
    </w:pPr>
    <w:rPr>
      <w:b/>
      <w:bCs/>
      <w:sz w:val="28"/>
    </w:rPr>
  </w:style>
  <w:style w:type="paragraph" w:styleId="5">
    <w:name w:val="heading 4"/>
    <w:basedOn w:val="1"/>
    <w:next w:val="1"/>
    <w:link w:val="68"/>
    <w:qFormat/>
    <w:uiPriority w:val="0"/>
    <w:pPr>
      <w:keepNext/>
      <w:keepLines/>
      <w:spacing w:before="280" w:after="290" w:line="376" w:lineRule="auto"/>
      <w:outlineLvl w:val="3"/>
    </w:pPr>
    <w:rPr>
      <w:rFonts w:ascii="Cambria" w:hAnsi="Cambria" w:eastAsia="宋体" w:cs="Times New Roman"/>
      <w:b/>
      <w:bCs/>
      <w:sz w:val="28"/>
      <w:szCs w:val="28"/>
    </w:rPr>
  </w:style>
  <w:style w:type="paragraph" w:styleId="6">
    <w:name w:val="heading 5"/>
    <w:basedOn w:val="1"/>
    <w:next w:val="1"/>
    <w:link w:val="69"/>
    <w:qFormat/>
    <w:uiPriority w:val="0"/>
    <w:pPr>
      <w:keepNext/>
      <w:keepLines/>
      <w:spacing w:before="280" w:after="290" w:line="372" w:lineRule="auto"/>
      <w:outlineLvl w:val="4"/>
    </w:pPr>
    <w:rPr>
      <w:rFonts w:ascii="Calibri" w:hAnsi="Calibri"/>
      <w:b/>
      <w:bCs/>
      <w:sz w:val="28"/>
      <w:szCs w:val="28"/>
    </w:rPr>
  </w:style>
  <w:style w:type="paragraph" w:styleId="7">
    <w:name w:val="heading 6"/>
    <w:basedOn w:val="1"/>
    <w:next w:val="1"/>
    <w:link w:val="70"/>
    <w:qFormat/>
    <w:uiPriority w:val="0"/>
    <w:pPr>
      <w:keepNext/>
      <w:keepLines/>
      <w:spacing w:before="240" w:after="64" w:line="317" w:lineRule="auto"/>
      <w:outlineLvl w:val="5"/>
    </w:pPr>
    <w:rPr>
      <w:rFonts w:ascii="Cambria" w:hAnsi="Cambria"/>
      <w:b/>
      <w:bCs/>
      <w:sz w:val="24"/>
    </w:rPr>
  </w:style>
  <w:style w:type="paragraph" w:styleId="8">
    <w:name w:val="heading 7"/>
    <w:basedOn w:val="1"/>
    <w:next w:val="1"/>
    <w:link w:val="71"/>
    <w:qFormat/>
    <w:uiPriority w:val="0"/>
    <w:pPr>
      <w:keepNext/>
      <w:keepLines/>
      <w:spacing w:before="240" w:after="64" w:line="317" w:lineRule="auto"/>
      <w:outlineLvl w:val="6"/>
    </w:pPr>
    <w:rPr>
      <w:rFonts w:ascii="Calibri" w:hAnsi="Calibri"/>
      <w:b/>
      <w:bCs/>
      <w:sz w:val="24"/>
    </w:rPr>
  </w:style>
  <w:style w:type="paragraph" w:styleId="9">
    <w:name w:val="heading 8"/>
    <w:basedOn w:val="1"/>
    <w:next w:val="1"/>
    <w:link w:val="72"/>
    <w:qFormat/>
    <w:uiPriority w:val="0"/>
    <w:pPr>
      <w:keepNext/>
      <w:keepLines/>
      <w:spacing w:before="240" w:after="64" w:line="317" w:lineRule="auto"/>
      <w:outlineLvl w:val="7"/>
    </w:pPr>
    <w:rPr>
      <w:rFonts w:ascii="Cambria" w:hAnsi="Cambria"/>
      <w:sz w:val="24"/>
    </w:rPr>
  </w:style>
  <w:style w:type="paragraph" w:styleId="10">
    <w:name w:val="heading 9"/>
    <w:basedOn w:val="1"/>
    <w:next w:val="1"/>
    <w:link w:val="73"/>
    <w:qFormat/>
    <w:uiPriority w:val="0"/>
    <w:pPr>
      <w:keepNext/>
      <w:keepLines/>
      <w:spacing w:before="240" w:after="64" w:line="317" w:lineRule="auto"/>
      <w:outlineLvl w:val="8"/>
    </w:pPr>
    <w:rPr>
      <w:rFonts w:ascii="Cambria" w:hAnsi="Cambria"/>
      <w:szCs w:val="21"/>
    </w:rPr>
  </w:style>
  <w:style w:type="character" w:default="1" w:styleId="50">
    <w:name w:val="Default Paragraph Font"/>
    <w:semiHidden/>
    <w:uiPriority w:val="0"/>
  </w:style>
  <w:style w:type="table" w:default="1" w:styleId="48">
    <w:name w:val="Normal Table"/>
    <w:semiHidden/>
    <w:uiPriority w:val="0"/>
    <w:tblPr>
      <w:tblStyle w:val="48"/>
      <w:tblCellMar>
        <w:top w:w="0" w:type="dxa"/>
        <w:left w:w="108" w:type="dxa"/>
        <w:bottom w:w="0" w:type="dxa"/>
        <w:right w:w="108" w:type="dxa"/>
      </w:tblCellMar>
    </w:tblPr>
  </w:style>
  <w:style w:type="paragraph" w:styleId="11">
    <w:name w:val="toc 7"/>
    <w:basedOn w:val="1"/>
    <w:next w:val="1"/>
    <w:uiPriority w:val="39"/>
    <w:pPr>
      <w:ind w:left="2520" w:leftChars="1200"/>
    </w:pPr>
    <w:rPr>
      <w:rFonts w:ascii="Calibri" w:hAnsi="Calibri"/>
      <w:szCs w:val="22"/>
    </w:rPr>
  </w:style>
  <w:style w:type="paragraph" w:styleId="12">
    <w:name w:val="Normal Indent"/>
    <w:basedOn w:val="1"/>
    <w:uiPriority w:val="99"/>
    <w:pPr>
      <w:ind w:firstLine="420" w:firstLineChars="200"/>
    </w:pPr>
    <w:rPr>
      <w:szCs w:val="20"/>
    </w:rPr>
  </w:style>
  <w:style w:type="paragraph" w:styleId="13">
    <w:name w:val="caption"/>
    <w:basedOn w:val="1"/>
    <w:next w:val="1"/>
    <w:qFormat/>
    <w:uiPriority w:val="0"/>
    <w:rPr>
      <w:rFonts w:ascii="Cambria" w:hAnsi="Cambria" w:eastAsia="黑体"/>
      <w:sz w:val="20"/>
      <w:szCs w:val="20"/>
    </w:rPr>
  </w:style>
  <w:style w:type="paragraph" w:styleId="14">
    <w:name w:val="Document Map"/>
    <w:basedOn w:val="1"/>
    <w:link w:val="74"/>
    <w:uiPriority w:val="0"/>
    <w:pPr>
      <w:shd w:val="clear" w:color="auto" w:fill="000080"/>
    </w:pPr>
  </w:style>
  <w:style w:type="paragraph" w:styleId="15">
    <w:name w:val="toa heading"/>
    <w:basedOn w:val="1"/>
    <w:next w:val="1"/>
    <w:uiPriority w:val="0"/>
    <w:pPr>
      <w:spacing w:before="120"/>
    </w:pPr>
    <w:rPr>
      <w:rFonts w:ascii="Arial" w:hAnsi="Arial" w:cs="Arial"/>
      <w:sz w:val="24"/>
    </w:rPr>
  </w:style>
  <w:style w:type="paragraph" w:styleId="16">
    <w:name w:val="annotation text"/>
    <w:basedOn w:val="1"/>
    <w:link w:val="75"/>
    <w:uiPriority w:val="0"/>
    <w:pPr>
      <w:jc w:val="left"/>
    </w:pPr>
  </w:style>
  <w:style w:type="paragraph" w:styleId="17">
    <w:name w:val="Body Text 3"/>
    <w:basedOn w:val="1"/>
    <w:link w:val="76"/>
    <w:uiPriority w:val="0"/>
    <w:pPr>
      <w:spacing w:after="120"/>
    </w:pPr>
    <w:rPr>
      <w:sz w:val="16"/>
      <w:szCs w:val="16"/>
    </w:rPr>
  </w:style>
  <w:style w:type="paragraph" w:styleId="18">
    <w:name w:val="Body Text"/>
    <w:basedOn w:val="1"/>
    <w:next w:val="19"/>
    <w:link w:val="77"/>
    <w:uiPriority w:val="0"/>
    <w:pPr>
      <w:adjustRightInd w:val="0"/>
      <w:spacing w:after="60" w:line="360" w:lineRule="atLeast"/>
      <w:ind w:left="72" w:leftChars="30" w:right="30" w:rightChars="30"/>
      <w:jc w:val="center"/>
      <w:textAlignment w:val="baseline"/>
    </w:pPr>
    <w:rPr>
      <w:kern w:val="0"/>
      <w:sz w:val="20"/>
      <w:szCs w:val="20"/>
    </w:rPr>
  </w:style>
  <w:style w:type="paragraph" w:styleId="19">
    <w:name w:val="Body Text 2"/>
    <w:basedOn w:val="1"/>
    <w:next w:val="20"/>
    <w:link w:val="78"/>
    <w:uiPriority w:val="0"/>
    <w:pPr>
      <w:widowControl/>
      <w:spacing w:before="100" w:beforeAutospacing="1" w:after="100" w:afterAutospacing="1"/>
      <w:jc w:val="left"/>
    </w:pPr>
    <w:rPr>
      <w:rFonts w:ascii="宋体" w:hAnsi="宋体" w:cs="宋体"/>
      <w:kern w:val="0"/>
      <w:sz w:val="24"/>
    </w:rPr>
  </w:style>
  <w:style w:type="paragraph" w:styleId="20">
    <w:name w:val="Plain Text"/>
    <w:basedOn w:val="1"/>
    <w:link w:val="79"/>
    <w:uiPriority w:val="0"/>
    <w:rPr>
      <w:rFonts w:ascii="宋体" w:hAnsi="Courier New" w:cs="Courier New"/>
      <w:szCs w:val="21"/>
    </w:rPr>
  </w:style>
  <w:style w:type="paragraph" w:styleId="21">
    <w:name w:val="Body Text Indent"/>
    <w:basedOn w:val="1"/>
    <w:next w:val="22"/>
    <w:link w:val="80"/>
    <w:uiPriority w:val="0"/>
    <w:pPr>
      <w:spacing w:after="120"/>
      <w:ind w:left="420" w:leftChars="200"/>
    </w:pPr>
  </w:style>
  <w:style w:type="paragraph" w:customStyle="1" w:styleId="22">
    <w:name w:val="Default"/>
    <w:next w:val="1"/>
    <w:uiPriority w:val="0"/>
    <w:pPr>
      <w:widowControl w:val="0"/>
      <w:autoSpaceDE w:val="0"/>
      <w:autoSpaceDN w:val="0"/>
      <w:adjustRightInd w:val="0"/>
    </w:pPr>
    <w:rPr>
      <w:rFonts w:ascii="宋体" w:hAnsi="宋体" w:eastAsia="宋体" w:cs="宋体"/>
      <w:color w:val="000000"/>
      <w:sz w:val="21"/>
      <w:szCs w:val="24"/>
      <w:lang w:val="en-US" w:eastAsia="zh-CN" w:bidi="ar-SA"/>
    </w:rPr>
  </w:style>
  <w:style w:type="paragraph" w:styleId="23">
    <w:name w:val="List 2"/>
    <w:basedOn w:val="1"/>
    <w:uiPriority w:val="0"/>
    <w:pPr>
      <w:ind w:left="100" w:leftChars="200" w:hanging="200" w:hangingChars="200"/>
    </w:pPr>
  </w:style>
  <w:style w:type="paragraph" w:styleId="24">
    <w:name w:val="List Continue"/>
    <w:basedOn w:val="1"/>
    <w:uiPriority w:val="0"/>
    <w:pPr>
      <w:widowControl/>
      <w:spacing w:before="100" w:beforeAutospacing="1" w:after="100" w:afterAutospacing="1"/>
      <w:jc w:val="left"/>
    </w:pPr>
    <w:rPr>
      <w:rFonts w:ascii="宋体" w:hAnsi="宋体"/>
      <w:kern w:val="0"/>
      <w:sz w:val="24"/>
    </w:rPr>
  </w:style>
  <w:style w:type="paragraph" w:styleId="25">
    <w:name w:val="index 4"/>
    <w:basedOn w:val="1"/>
    <w:next w:val="1"/>
    <w:uiPriority w:val="0"/>
    <w:pPr>
      <w:ind w:left="600" w:leftChars="600"/>
    </w:pPr>
  </w:style>
  <w:style w:type="paragraph" w:styleId="26">
    <w:name w:val="toc 5"/>
    <w:basedOn w:val="1"/>
    <w:next w:val="1"/>
    <w:uiPriority w:val="39"/>
    <w:pPr>
      <w:tabs>
        <w:tab w:val="right" w:leader="dot" w:pos="8296"/>
      </w:tabs>
      <w:ind w:left="1050" w:leftChars="500"/>
    </w:pPr>
    <w:rPr>
      <w:rFonts w:ascii="Calibri" w:hAnsi="Calibri"/>
      <w:szCs w:val="22"/>
    </w:rPr>
  </w:style>
  <w:style w:type="paragraph" w:styleId="27">
    <w:name w:val="toc 3"/>
    <w:basedOn w:val="1"/>
    <w:next w:val="1"/>
    <w:uiPriority w:val="39"/>
    <w:pPr>
      <w:ind w:left="840" w:leftChars="400"/>
    </w:pPr>
  </w:style>
  <w:style w:type="paragraph" w:styleId="28">
    <w:name w:val="toc 8"/>
    <w:basedOn w:val="1"/>
    <w:next w:val="1"/>
    <w:uiPriority w:val="39"/>
    <w:pPr>
      <w:ind w:left="2940" w:leftChars="1400"/>
    </w:pPr>
    <w:rPr>
      <w:rFonts w:ascii="Calibri" w:hAnsi="Calibri"/>
      <w:szCs w:val="22"/>
    </w:rPr>
  </w:style>
  <w:style w:type="paragraph" w:styleId="29">
    <w:name w:val="Date"/>
    <w:basedOn w:val="1"/>
    <w:next w:val="1"/>
    <w:link w:val="81"/>
    <w:uiPriority w:val="0"/>
    <w:pPr>
      <w:ind w:left="100" w:leftChars="2500"/>
    </w:pPr>
  </w:style>
  <w:style w:type="paragraph" w:styleId="30">
    <w:name w:val="Body Text Indent 2"/>
    <w:basedOn w:val="1"/>
    <w:link w:val="82"/>
    <w:uiPriority w:val="0"/>
    <w:pPr>
      <w:ind w:firstLine="538" w:firstLineChars="192"/>
    </w:pPr>
    <w:rPr>
      <w:sz w:val="28"/>
      <w:szCs w:val="20"/>
    </w:rPr>
  </w:style>
  <w:style w:type="paragraph" w:styleId="31">
    <w:name w:val="Balloon Text"/>
    <w:basedOn w:val="1"/>
    <w:link w:val="83"/>
    <w:uiPriority w:val="0"/>
    <w:rPr>
      <w:sz w:val="18"/>
      <w:szCs w:val="18"/>
    </w:rPr>
  </w:style>
  <w:style w:type="paragraph" w:styleId="32">
    <w:name w:val="footer"/>
    <w:basedOn w:val="1"/>
    <w:link w:val="84"/>
    <w:uiPriority w:val="0"/>
    <w:pPr>
      <w:tabs>
        <w:tab w:val="center" w:pos="4153"/>
        <w:tab w:val="right" w:pos="8306"/>
      </w:tabs>
      <w:snapToGrid w:val="0"/>
      <w:jc w:val="left"/>
    </w:pPr>
    <w:rPr>
      <w:sz w:val="18"/>
      <w:szCs w:val="18"/>
    </w:rPr>
  </w:style>
  <w:style w:type="paragraph" w:styleId="33">
    <w:name w:val="header"/>
    <w:basedOn w:val="1"/>
    <w:link w:val="85"/>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uiPriority w:val="39"/>
    <w:pPr>
      <w:snapToGrid w:val="0"/>
      <w:spacing w:line="360" w:lineRule="auto"/>
    </w:pPr>
    <w:rPr>
      <w:sz w:val="28"/>
    </w:rPr>
  </w:style>
  <w:style w:type="paragraph" w:styleId="35">
    <w:name w:val="toc 4"/>
    <w:basedOn w:val="1"/>
    <w:next w:val="1"/>
    <w:uiPriority w:val="39"/>
    <w:pPr>
      <w:tabs>
        <w:tab w:val="left" w:pos="1890"/>
        <w:tab w:val="right" w:leader="dot" w:pos="8296"/>
      </w:tabs>
      <w:ind w:left="630" w:leftChars="300"/>
    </w:pPr>
    <w:rPr>
      <w:rFonts w:ascii="Calibri" w:hAnsi="Calibri"/>
      <w:szCs w:val="22"/>
    </w:rPr>
  </w:style>
  <w:style w:type="paragraph" w:styleId="36">
    <w:name w:val="Subtitle"/>
    <w:basedOn w:val="1"/>
    <w:next w:val="1"/>
    <w:link w:val="86"/>
    <w:qFormat/>
    <w:uiPriority w:val="0"/>
    <w:pPr>
      <w:spacing w:before="240" w:after="60" w:line="312" w:lineRule="auto"/>
      <w:jc w:val="center"/>
      <w:outlineLvl w:val="1"/>
    </w:pPr>
    <w:rPr>
      <w:rFonts w:ascii="Cambria" w:hAnsi="Cambria"/>
      <w:b/>
      <w:bCs/>
      <w:kern w:val="28"/>
      <w:sz w:val="32"/>
      <w:szCs w:val="32"/>
    </w:rPr>
  </w:style>
  <w:style w:type="paragraph" w:styleId="37">
    <w:name w:val="List"/>
    <w:basedOn w:val="1"/>
    <w:qFormat/>
    <w:uiPriority w:val="0"/>
    <w:pPr>
      <w:ind w:left="420" w:hanging="420"/>
    </w:pPr>
    <w:rPr>
      <w:rFonts w:eastAsia="楷体_GB2312"/>
      <w:sz w:val="32"/>
      <w:szCs w:val="20"/>
    </w:rPr>
  </w:style>
  <w:style w:type="paragraph" w:styleId="38">
    <w:name w:val="footnote text"/>
    <w:basedOn w:val="1"/>
    <w:qFormat/>
    <w:uiPriority w:val="99"/>
    <w:rPr>
      <w:sz w:val="20"/>
      <w:szCs w:val="20"/>
    </w:rPr>
  </w:style>
  <w:style w:type="paragraph" w:styleId="39">
    <w:name w:val="toc 6"/>
    <w:basedOn w:val="1"/>
    <w:next w:val="1"/>
    <w:uiPriority w:val="39"/>
    <w:pPr>
      <w:ind w:left="1050"/>
      <w:jc w:val="left"/>
    </w:pPr>
    <w:rPr>
      <w:sz w:val="20"/>
      <w:szCs w:val="20"/>
    </w:rPr>
  </w:style>
  <w:style w:type="paragraph" w:styleId="40">
    <w:name w:val="Body Text Indent 3"/>
    <w:basedOn w:val="1"/>
    <w:link w:val="87"/>
    <w:uiPriority w:val="0"/>
    <w:pPr>
      <w:spacing w:after="120"/>
      <w:ind w:left="420" w:leftChars="200"/>
    </w:pPr>
    <w:rPr>
      <w:sz w:val="16"/>
      <w:szCs w:val="16"/>
    </w:rPr>
  </w:style>
  <w:style w:type="paragraph" w:styleId="41">
    <w:name w:val="toc 2"/>
    <w:basedOn w:val="1"/>
    <w:next w:val="1"/>
    <w:uiPriority w:val="39"/>
    <w:pPr>
      <w:tabs>
        <w:tab w:val="left" w:pos="840"/>
        <w:tab w:val="right" w:leader="dot" w:pos="9061"/>
      </w:tabs>
      <w:ind w:left="420" w:leftChars="200"/>
    </w:pPr>
  </w:style>
  <w:style w:type="paragraph" w:styleId="42">
    <w:name w:val="toc 9"/>
    <w:basedOn w:val="1"/>
    <w:next w:val="1"/>
    <w:uiPriority w:val="39"/>
    <w:pPr>
      <w:ind w:left="3360" w:leftChars="1600"/>
    </w:pPr>
    <w:rPr>
      <w:rFonts w:ascii="Calibri" w:hAnsi="Calibri"/>
      <w:szCs w:val="22"/>
    </w:rPr>
  </w:style>
  <w:style w:type="paragraph" w:styleId="43">
    <w:name w:val="Normal (Web)"/>
    <w:basedOn w:val="1"/>
    <w:uiPriority w:val="0"/>
    <w:pPr>
      <w:widowControl/>
      <w:spacing w:before="100" w:beforeAutospacing="1" w:after="100" w:afterAutospacing="1" w:line="320" w:lineRule="atLeast"/>
      <w:jc w:val="left"/>
    </w:pPr>
    <w:rPr>
      <w:rFonts w:ascii="宋体" w:hAnsi="宋体"/>
      <w:kern w:val="0"/>
      <w:sz w:val="18"/>
      <w:szCs w:val="18"/>
    </w:rPr>
  </w:style>
  <w:style w:type="paragraph" w:styleId="44">
    <w:name w:val="Title"/>
    <w:basedOn w:val="1"/>
    <w:link w:val="88"/>
    <w:qFormat/>
    <w:uiPriority w:val="0"/>
    <w:pPr>
      <w:spacing w:before="240" w:after="60"/>
      <w:jc w:val="center"/>
      <w:outlineLvl w:val="0"/>
    </w:pPr>
    <w:rPr>
      <w:rFonts w:ascii="Arial" w:hAnsi="Arial" w:cs="Arial"/>
      <w:b/>
      <w:bCs/>
      <w:sz w:val="32"/>
      <w:szCs w:val="32"/>
    </w:rPr>
  </w:style>
  <w:style w:type="paragraph" w:styleId="45">
    <w:name w:val="annotation subject"/>
    <w:basedOn w:val="16"/>
    <w:next w:val="16"/>
    <w:link w:val="89"/>
    <w:uiPriority w:val="0"/>
    <w:rPr>
      <w:rFonts w:ascii="宋体"/>
      <w:b/>
      <w:bCs/>
      <w:kern w:val="0"/>
      <w:sz w:val="28"/>
      <w:szCs w:val="20"/>
    </w:rPr>
  </w:style>
  <w:style w:type="paragraph" w:styleId="46">
    <w:name w:val="Body Text First Indent"/>
    <w:basedOn w:val="1"/>
    <w:next w:val="47"/>
    <w:uiPriority w:val="0"/>
    <w:pPr>
      <w:ind w:firstLine="420"/>
    </w:pPr>
    <w:rPr>
      <w:rFonts w:eastAsia="楷体_GB2312"/>
      <w:sz w:val="32"/>
      <w:szCs w:val="20"/>
    </w:rPr>
  </w:style>
  <w:style w:type="paragraph" w:styleId="47">
    <w:name w:val="Body Text First Indent 2"/>
    <w:basedOn w:val="21"/>
    <w:next w:val="1"/>
    <w:link w:val="90"/>
    <w:qFormat/>
    <w:uiPriority w:val="0"/>
    <w:pPr>
      <w:ind w:firstLine="420" w:firstLineChars="200"/>
    </w:pPr>
    <w:rPr>
      <w:rFonts w:eastAsia="宋体"/>
    </w:rPr>
  </w:style>
  <w:style w:type="table" w:styleId="49">
    <w:name w:val="Table Grid"/>
    <w:basedOn w:val="48"/>
    <w:uiPriority w:val="0"/>
    <w:pPr>
      <w:widowControl w:val="0"/>
      <w:jc w:val="both"/>
    </w:pPr>
    <w:tblPr>
      <w:tblStyle w:val="4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uiPriority w:val="0"/>
  </w:style>
  <w:style w:type="character" w:styleId="53">
    <w:name w:val="FollowedHyperlink"/>
    <w:basedOn w:val="50"/>
    <w:uiPriority w:val="0"/>
    <w:rPr>
      <w:color w:val="800080"/>
      <w:u w:val="none"/>
    </w:rPr>
  </w:style>
  <w:style w:type="character" w:styleId="54">
    <w:name w:val="Emphasis"/>
    <w:qFormat/>
    <w:uiPriority w:val="0"/>
    <w:rPr>
      <w:i/>
      <w:iCs/>
    </w:rPr>
  </w:style>
  <w:style w:type="character" w:styleId="55">
    <w:name w:val="HTML Definition"/>
    <w:basedOn w:val="50"/>
    <w:uiPriority w:val="0"/>
  </w:style>
  <w:style w:type="character" w:styleId="56">
    <w:name w:val="HTML Typewriter"/>
    <w:basedOn w:val="50"/>
    <w:uiPriority w:val="0"/>
    <w:rPr>
      <w:rFonts w:ascii="monospace" w:hAnsi="monospace" w:eastAsia="monospace" w:cs="monospace"/>
      <w:sz w:val="20"/>
    </w:rPr>
  </w:style>
  <w:style w:type="character" w:styleId="57">
    <w:name w:val="HTML Acronym"/>
    <w:basedOn w:val="50"/>
    <w:uiPriority w:val="0"/>
  </w:style>
  <w:style w:type="character" w:styleId="58">
    <w:name w:val="HTML Variable"/>
    <w:basedOn w:val="50"/>
    <w:uiPriority w:val="0"/>
  </w:style>
  <w:style w:type="character" w:styleId="59">
    <w:name w:val="Hyperlink"/>
    <w:basedOn w:val="50"/>
    <w:uiPriority w:val="99"/>
    <w:rPr>
      <w:color w:val="0000FF"/>
      <w:u w:val="none"/>
    </w:rPr>
  </w:style>
  <w:style w:type="character" w:styleId="60">
    <w:name w:val="HTML Code"/>
    <w:basedOn w:val="50"/>
    <w:uiPriority w:val="0"/>
    <w:rPr>
      <w:rFonts w:hint="default" w:ascii="monospace" w:hAnsi="monospace" w:eastAsia="monospace" w:cs="monospace"/>
      <w:sz w:val="20"/>
    </w:rPr>
  </w:style>
  <w:style w:type="character" w:styleId="61">
    <w:name w:val="annotation reference"/>
    <w:uiPriority w:val="0"/>
    <w:rPr>
      <w:rFonts w:cs="Times New Roman"/>
      <w:sz w:val="21"/>
      <w:szCs w:val="21"/>
    </w:rPr>
  </w:style>
  <w:style w:type="character" w:styleId="62">
    <w:name w:val="HTML Cite"/>
    <w:basedOn w:val="50"/>
    <w:uiPriority w:val="0"/>
  </w:style>
  <w:style w:type="character" w:styleId="63">
    <w:name w:val="HTML Keyboard"/>
    <w:basedOn w:val="50"/>
    <w:uiPriority w:val="0"/>
    <w:rPr>
      <w:rFonts w:hint="default" w:ascii="monospace" w:hAnsi="monospace" w:eastAsia="monospace" w:cs="monospace"/>
      <w:sz w:val="20"/>
    </w:rPr>
  </w:style>
  <w:style w:type="character" w:styleId="64">
    <w:name w:val="HTML Sample"/>
    <w:basedOn w:val="50"/>
    <w:uiPriority w:val="0"/>
    <w:rPr>
      <w:rFonts w:hint="default" w:ascii="monospace" w:hAnsi="monospace" w:eastAsia="monospace" w:cs="monospace"/>
    </w:rPr>
  </w:style>
  <w:style w:type="character" w:customStyle="1" w:styleId="65">
    <w:name w:val="标题 1 Char"/>
    <w:basedOn w:val="50"/>
    <w:link w:val="2"/>
    <w:uiPriority w:val="0"/>
    <w:rPr>
      <w:rFonts w:eastAsia="宋体"/>
      <w:b/>
      <w:bCs/>
      <w:kern w:val="44"/>
      <w:sz w:val="32"/>
      <w:szCs w:val="44"/>
    </w:rPr>
  </w:style>
  <w:style w:type="character" w:customStyle="1" w:styleId="66">
    <w:name w:val="标题 2 Char"/>
    <w:basedOn w:val="50"/>
    <w:link w:val="3"/>
    <w:uiPriority w:val="0"/>
    <w:rPr>
      <w:rFonts w:ascii="宋体" w:hAnsi="宋体" w:eastAsia="宋体" w:cs="宋体"/>
      <w:b/>
      <w:bCs/>
      <w:kern w:val="2"/>
      <w:sz w:val="28"/>
      <w:szCs w:val="24"/>
    </w:rPr>
  </w:style>
  <w:style w:type="character" w:customStyle="1" w:styleId="67">
    <w:name w:val="标题 3 Char"/>
    <w:link w:val="4"/>
    <w:uiPriority w:val="0"/>
    <w:rPr>
      <w:rFonts w:ascii="宋体" w:hAnsi="宋体" w:eastAsia="宋体" w:cs="宋体"/>
      <w:b/>
      <w:bCs/>
      <w:kern w:val="2"/>
      <w:sz w:val="28"/>
      <w:szCs w:val="21"/>
    </w:rPr>
  </w:style>
  <w:style w:type="character" w:customStyle="1" w:styleId="68">
    <w:name w:val="标题 4 Char"/>
    <w:basedOn w:val="50"/>
    <w:link w:val="5"/>
    <w:uiPriority w:val="0"/>
    <w:rPr>
      <w:rFonts w:ascii="Cambria" w:hAnsi="Cambria" w:eastAsia="宋体" w:cs="Times New Roman"/>
      <w:b/>
      <w:bCs/>
      <w:kern w:val="2"/>
      <w:sz w:val="28"/>
      <w:szCs w:val="28"/>
    </w:rPr>
  </w:style>
  <w:style w:type="character" w:customStyle="1" w:styleId="69">
    <w:name w:val="标题 5 Char"/>
    <w:basedOn w:val="50"/>
    <w:link w:val="6"/>
    <w:uiPriority w:val="0"/>
    <w:rPr>
      <w:rFonts w:ascii="Calibri" w:hAnsi="Calibri"/>
      <w:b/>
      <w:bCs/>
      <w:kern w:val="2"/>
      <w:sz w:val="28"/>
      <w:szCs w:val="28"/>
    </w:rPr>
  </w:style>
  <w:style w:type="character" w:customStyle="1" w:styleId="70">
    <w:name w:val="标题 6 Char"/>
    <w:basedOn w:val="50"/>
    <w:link w:val="7"/>
    <w:uiPriority w:val="0"/>
    <w:rPr>
      <w:rFonts w:ascii="Cambria" w:hAnsi="Cambria"/>
      <w:b/>
      <w:bCs/>
      <w:kern w:val="2"/>
      <w:sz w:val="24"/>
      <w:szCs w:val="24"/>
    </w:rPr>
  </w:style>
  <w:style w:type="character" w:customStyle="1" w:styleId="71">
    <w:name w:val="标题 7 Char"/>
    <w:basedOn w:val="50"/>
    <w:link w:val="8"/>
    <w:uiPriority w:val="0"/>
    <w:rPr>
      <w:rFonts w:ascii="Calibri" w:hAnsi="Calibri"/>
      <w:b/>
      <w:bCs/>
      <w:kern w:val="2"/>
      <w:sz w:val="24"/>
      <w:szCs w:val="24"/>
    </w:rPr>
  </w:style>
  <w:style w:type="character" w:customStyle="1" w:styleId="72">
    <w:name w:val="标题 8 Char"/>
    <w:basedOn w:val="50"/>
    <w:link w:val="9"/>
    <w:uiPriority w:val="0"/>
    <w:rPr>
      <w:rFonts w:ascii="Cambria" w:hAnsi="Cambria"/>
      <w:kern w:val="2"/>
      <w:sz w:val="24"/>
      <w:szCs w:val="24"/>
    </w:rPr>
  </w:style>
  <w:style w:type="character" w:customStyle="1" w:styleId="73">
    <w:name w:val="标题 9 Char"/>
    <w:basedOn w:val="50"/>
    <w:link w:val="10"/>
    <w:uiPriority w:val="0"/>
    <w:rPr>
      <w:rFonts w:ascii="Cambria" w:hAnsi="Cambria"/>
      <w:kern w:val="2"/>
      <w:sz w:val="21"/>
      <w:szCs w:val="21"/>
    </w:rPr>
  </w:style>
  <w:style w:type="character" w:customStyle="1" w:styleId="74">
    <w:name w:val="文档结构图 Char"/>
    <w:link w:val="14"/>
    <w:uiPriority w:val="0"/>
    <w:rPr>
      <w:rFonts w:eastAsia="宋体"/>
      <w:kern w:val="2"/>
      <w:sz w:val="21"/>
      <w:szCs w:val="24"/>
      <w:lang w:val="en-US" w:eastAsia="zh-CN" w:bidi="ar-SA"/>
    </w:rPr>
  </w:style>
  <w:style w:type="character" w:customStyle="1" w:styleId="75">
    <w:name w:val="批注文字 Char"/>
    <w:link w:val="16"/>
    <w:uiPriority w:val="0"/>
    <w:rPr>
      <w:kern w:val="2"/>
      <w:sz w:val="21"/>
      <w:szCs w:val="24"/>
    </w:rPr>
  </w:style>
  <w:style w:type="character" w:customStyle="1" w:styleId="76">
    <w:name w:val="正文文本 3 Char"/>
    <w:basedOn w:val="50"/>
    <w:link w:val="17"/>
    <w:uiPriority w:val="0"/>
    <w:rPr>
      <w:kern w:val="2"/>
      <w:sz w:val="16"/>
      <w:szCs w:val="16"/>
    </w:rPr>
  </w:style>
  <w:style w:type="character" w:customStyle="1" w:styleId="77">
    <w:name w:val="正文文本 Char"/>
    <w:link w:val="18"/>
    <w:uiPriority w:val="0"/>
  </w:style>
  <w:style w:type="character" w:customStyle="1" w:styleId="78">
    <w:name w:val="正文文本 2 Char"/>
    <w:basedOn w:val="50"/>
    <w:link w:val="19"/>
    <w:uiPriority w:val="0"/>
    <w:rPr>
      <w:rFonts w:ascii="宋体" w:hAnsi="宋体" w:cs="宋体"/>
      <w:sz w:val="24"/>
      <w:szCs w:val="24"/>
    </w:rPr>
  </w:style>
  <w:style w:type="character" w:customStyle="1" w:styleId="79">
    <w:name w:val="纯文本 Char"/>
    <w:basedOn w:val="50"/>
    <w:link w:val="20"/>
    <w:uiPriority w:val="0"/>
    <w:rPr>
      <w:rFonts w:ascii="宋体" w:hAnsi="Courier New" w:cs="Courier New"/>
      <w:kern w:val="2"/>
      <w:sz w:val="21"/>
      <w:szCs w:val="21"/>
    </w:rPr>
  </w:style>
  <w:style w:type="character" w:customStyle="1" w:styleId="80">
    <w:name w:val="正文文本缩进 Char"/>
    <w:basedOn w:val="50"/>
    <w:link w:val="21"/>
    <w:uiPriority w:val="0"/>
    <w:rPr>
      <w:kern w:val="2"/>
      <w:sz w:val="21"/>
      <w:szCs w:val="24"/>
    </w:rPr>
  </w:style>
  <w:style w:type="character" w:customStyle="1" w:styleId="81">
    <w:name w:val="日期 Char"/>
    <w:link w:val="29"/>
    <w:uiPriority w:val="0"/>
    <w:rPr>
      <w:kern w:val="2"/>
      <w:sz w:val="21"/>
      <w:szCs w:val="24"/>
    </w:rPr>
  </w:style>
  <w:style w:type="character" w:customStyle="1" w:styleId="82">
    <w:name w:val="正文文本缩进 2 Char"/>
    <w:basedOn w:val="50"/>
    <w:link w:val="30"/>
    <w:uiPriority w:val="0"/>
    <w:rPr>
      <w:kern w:val="2"/>
      <w:sz w:val="28"/>
    </w:rPr>
  </w:style>
  <w:style w:type="character" w:customStyle="1" w:styleId="83">
    <w:name w:val="批注框文本 Char"/>
    <w:link w:val="31"/>
    <w:uiPriority w:val="0"/>
    <w:rPr>
      <w:kern w:val="2"/>
      <w:sz w:val="18"/>
      <w:szCs w:val="18"/>
    </w:rPr>
  </w:style>
  <w:style w:type="character" w:customStyle="1" w:styleId="84">
    <w:name w:val="页脚 Char"/>
    <w:link w:val="32"/>
    <w:uiPriority w:val="0"/>
    <w:rPr>
      <w:kern w:val="2"/>
      <w:sz w:val="18"/>
      <w:szCs w:val="18"/>
    </w:rPr>
  </w:style>
  <w:style w:type="character" w:customStyle="1" w:styleId="85">
    <w:name w:val="页眉 Char"/>
    <w:link w:val="33"/>
    <w:uiPriority w:val="0"/>
    <w:rPr>
      <w:kern w:val="2"/>
      <w:sz w:val="18"/>
      <w:szCs w:val="18"/>
    </w:rPr>
  </w:style>
  <w:style w:type="character" w:customStyle="1" w:styleId="86">
    <w:name w:val="副标题 Char"/>
    <w:link w:val="36"/>
    <w:uiPriority w:val="0"/>
    <w:rPr>
      <w:rFonts w:ascii="Cambria" w:hAnsi="Cambria"/>
      <w:b/>
      <w:bCs/>
      <w:kern w:val="28"/>
      <w:sz w:val="32"/>
      <w:szCs w:val="32"/>
    </w:rPr>
  </w:style>
  <w:style w:type="character" w:customStyle="1" w:styleId="87">
    <w:name w:val="正文文本缩进 3 Char"/>
    <w:basedOn w:val="50"/>
    <w:link w:val="40"/>
    <w:uiPriority w:val="0"/>
    <w:rPr>
      <w:kern w:val="2"/>
      <w:sz w:val="16"/>
      <w:szCs w:val="16"/>
    </w:rPr>
  </w:style>
  <w:style w:type="character" w:customStyle="1" w:styleId="88">
    <w:name w:val="标题 Char"/>
    <w:basedOn w:val="50"/>
    <w:link w:val="44"/>
    <w:uiPriority w:val="0"/>
    <w:rPr>
      <w:rFonts w:ascii="Arial" w:hAnsi="Arial" w:cs="Arial"/>
      <w:b/>
      <w:bCs/>
      <w:kern w:val="2"/>
      <w:sz w:val="32"/>
      <w:szCs w:val="32"/>
    </w:rPr>
  </w:style>
  <w:style w:type="character" w:customStyle="1" w:styleId="89">
    <w:name w:val="批注主题 Char"/>
    <w:link w:val="45"/>
    <w:uiPriority w:val="0"/>
    <w:rPr>
      <w:rFonts w:ascii="宋体"/>
      <w:b/>
      <w:bCs/>
      <w:sz w:val="28"/>
    </w:rPr>
  </w:style>
  <w:style w:type="character" w:customStyle="1" w:styleId="90">
    <w:name w:val="正文首行缩进 2 Char"/>
    <w:basedOn w:val="80"/>
    <w:link w:val="47"/>
    <w:qFormat/>
    <w:uiPriority w:val="0"/>
    <w:rPr>
      <w:rFonts w:eastAsia="宋体"/>
    </w:rPr>
  </w:style>
  <w:style w:type="paragraph" w:customStyle="1" w:styleId="91">
    <w:name w:val="样式 正文首行缩进 2 + Arial"/>
    <w:basedOn w:val="1"/>
    <w:next w:val="1"/>
    <w:qFormat/>
    <w:uiPriority w:val="0"/>
    <w:pPr>
      <w:spacing w:after="120" w:line="320" w:lineRule="atLeast"/>
      <w:ind w:firstLine="200" w:firstLineChars="200"/>
    </w:pPr>
    <w:rPr>
      <w:rFonts w:ascii="Arial" w:hAnsi="Arial"/>
      <w:kern w:val="0"/>
    </w:rPr>
  </w:style>
  <w:style w:type="paragraph" w:customStyle="1" w:styleId="92">
    <w:name w:val="无间隔1"/>
    <w:next w:val="13"/>
    <w:qFormat/>
    <w:uiPriority w:val="0"/>
    <w:pPr>
      <w:widowControl w:val="0"/>
      <w:jc w:val="both"/>
    </w:pPr>
    <w:rPr>
      <w:rFonts w:ascii="Calibri" w:hAnsi="Calibri" w:eastAsia="宋体" w:cs="Times New Roman"/>
      <w:kern w:val="2"/>
      <w:sz w:val="21"/>
      <w:szCs w:val="22"/>
      <w:lang w:val="en-US" w:eastAsia="zh-CN" w:bidi="ar-SA"/>
    </w:rPr>
  </w:style>
  <w:style w:type="character" w:customStyle="1" w:styleId="93">
    <w:name w:val="明显引用 Char"/>
    <w:link w:val="94"/>
    <w:uiPriority w:val="0"/>
    <w:rPr>
      <w:b/>
      <w:bCs/>
      <w:i/>
      <w:iCs/>
      <w:color w:val="4F81BD"/>
      <w:kern w:val="2"/>
      <w:sz w:val="21"/>
      <w:szCs w:val="22"/>
    </w:rPr>
  </w:style>
  <w:style w:type="paragraph" w:styleId="94">
    <w:name w:val="Intense Quote"/>
    <w:basedOn w:val="1"/>
    <w:next w:val="1"/>
    <w:link w:val="93"/>
    <w:qFormat/>
    <w:uiPriority w:val="0"/>
    <w:pPr>
      <w:pBdr>
        <w:bottom w:val="single" w:color="4F81BD" w:sz="4" w:space="4"/>
      </w:pBdr>
      <w:spacing w:before="200" w:after="280"/>
      <w:ind w:left="936" w:right="936"/>
    </w:pPr>
    <w:rPr>
      <w:b/>
      <w:bCs/>
      <w:i/>
      <w:iCs/>
      <w:color w:val="4F81BD"/>
      <w:szCs w:val="22"/>
    </w:rPr>
  </w:style>
  <w:style w:type="character" w:customStyle="1" w:styleId="95">
    <w:name w:val="副标题 Char1"/>
    <w:basedOn w:val="50"/>
    <w:uiPriority w:val="11"/>
    <w:rPr>
      <w:rFonts w:ascii="Cambria" w:hAnsi="Cambria" w:cs="Times New Roman"/>
      <w:b/>
      <w:bCs/>
      <w:kern w:val="28"/>
      <w:sz w:val="32"/>
      <w:szCs w:val="32"/>
    </w:rPr>
  </w:style>
  <w:style w:type="character" w:customStyle="1" w:styleId="96">
    <w:name w:val="页眉 Char1"/>
    <w:basedOn w:val="50"/>
    <w:semiHidden/>
    <w:uiPriority w:val="99"/>
    <w:rPr>
      <w:kern w:val="2"/>
      <w:sz w:val="18"/>
      <w:szCs w:val="18"/>
    </w:rPr>
  </w:style>
  <w:style w:type="character" w:customStyle="1" w:styleId="97">
    <w:name w:val=" Char Char17"/>
    <w:uiPriority w:val="0"/>
    <w:rPr>
      <w:rFonts w:ascii="Cambria" w:hAnsi="Cambria" w:eastAsia="宋体"/>
      <w:b/>
      <w:bCs/>
      <w:kern w:val="2"/>
      <w:sz w:val="32"/>
      <w:szCs w:val="32"/>
      <w:lang w:val="en-US" w:eastAsia="zh-CN" w:bidi="ar-SA"/>
    </w:rPr>
  </w:style>
  <w:style w:type="character" w:customStyle="1" w:styleId="98">
    <w:name w:val="批注框文本 Char2"/>
    <w:basedOn w:val="50"/>
    <w:uiPriority w:val="99"/>
    <w:rPr>
      <w:kern w:val="2"/>
      <w:sz w:val="18"/>
      <w:szCs w:val="18"/>
    </w:rPr>
  </w:style>
  <w:style w:type="character" w:customStyle="1" w:styleId="99">
    <w:name w:val="font161"/>
    <w:basedOn w:val="50"/>
    <w:uiPriority w:val="0"/>
    <w:rPr>
      <w:b/>
      <w:bCs/>
      <w:sz w:val="32"/>
      <w:szCs w:val="32"/>
    </w:rPr>
  </w:style>
  <w:style w:type="character" w:customStyle="1" w:styleId="100">
    <w:name w:val="日期 Char2"/>
    <w:basedOn w:val="50"/>
    <w:semiHidden/>
    <w:uiPriority w:val="99"/>
    <w:rPr>
      <w:kern w:val="2"/>
      <w:sz w:val="21"/>
      <w:szCs w:val="22"/>
    </w:rPr>
  </w:style>
  <w:style w:type="character" w:styleId="101">
    <w:name w:val=""/>
    <w:qFormat/>
    <w:uiPriority w:val="0"/>
    <w:rPr>
      <w:b/>
      <w:bCs/>
      <w:i/>
      <w:iCs/>
      <w:color w:val="4F81BD"/>
    </w:rPr>
  </w:style>
  <w:style w:type="character" w:customStyle="1" w:styleId="102">
    <w:name w:val="正文文本 3 Char1"/>
    <w:basedOn w:val="50"/>
    <w:uiPriority w:val="0"/>
    <w:rPr>
      <w:kern w:val="2"/>
      <w:sz w:val="16"/>
      <w:szCs w:val="16"/>
    </w:rPr>
  </w:style>
  <w:style w:type="character" w:customStyle="1" w:styleId="103">
    <w:name w:val="标题5 Char Char"/>
    <w:link w:val="104"/>
    <w:uiPriority w:val="0"/>
    <w:rPr>
      <w:rFonts w:ascii="Arial" w:hAnsi="Arial"/>
      <w:b/>
      <w:bCs/>
      <w:sz w:val="24"/>
      <w:szCs w:val="32"/>
    </w:rPr>
  </w:style>
  <w:style w:type="paragraph" w:customStyle="1" w:styleId="104">
    <w:name w:val="标题5"/>
    <w:basedOn w:val="4"/>
    <w:link w:val="103"/>
    <w:uiPriority w:val="0"/>
    <w:pPr>
      <w:spacing w:line="413" w:lineRule="auto"/>
    </w:pPr>
    <w:rPr>
      <w:rFonts w:ascii="Arial" w:hAnsi="Arial"/>
      <w:kern w:val="0"/>
      <w:sz w:val="24"/>
    </w:rPr>
  </w:style>
  <w:style w:type="character" w:customStyle="1" w:styleId="105">
    <w:name w:val="textcontents"/>
    <w:uiPriority w:val="0"/>
    <w:rPr>
      <w:rFonts w:cs="Times New Roman"/>
    </w:rPr>
  </w:style>
  <w:style w:type="character" w:customStyle="1" w:styleId="106">
    <w:name w:val="日期 Char1"/>
    <w:uiPriority w:val="0"/>
    <w:rPr>
      <w:kern w:val="2"/>
      <w:sz w:val="21"/>
      <w:szCs w:val="22"/>
    </w:rPr>
  </w:style>
  <w:style w:type="character" w:customStyle="1" w:styleId="107">
    <w:name w:val="明显引用 Char1"/>
    <w:basedOn w:val="50"/>
    <w:uiPriority w:val="30"/>
    <w:rPr>
      <w:b/>
      <w:bCs/>
      <w:i/>
      <w:iCs/>
      <w:color w:val="4F81BD"/>
      <w:kern w:val="2"/>
      <w:sz w:val="21"/>
      <w:szCs w:val="24"/>
    </w:rPr>
  </w:style>
  <w:style w:type="character" w:customStyle="1" w:styleId="108">
    <w:name w:val="普通文字 Char"/>
    <w:aliases w:val="纯文本 Char Char Char"/>
    <w:basedOn w:val="50"/>
    <w:uiPriority w:val="0"/>
    <w:rPr>
      <w:rFonts w:ascii="宋体" w:hAnsi="Courier New" w:eastAsia="幼圆"/>
      <w:kern w:val="2"/>
      <w:sz w:val="21"/>
      <w:lang w:val="en-US" w:eastAsia="zh-CN" w:bidi="ar-SA"/>
    </w:rPr>
  </w:style>
  <w:style w:type="character" w:customStyle="1" w:styleId="109">
    <w:name w:val="正文文本 Char2"/>
    <w:basedOn w:val="50"/>
    <w:uiPriority w:val="99"/>
    <w:rPr>
      <w:kern w:val="2"/>
      <w:sz w:val="21"/>
      <w:szCs w:val="24"/>
    </w:rPr>
  </w:style>
  <w:style w:type="character" w:customStyle="1" w:styleId="110">
    <w:name w:val="引用 Char1"/>
    <w:basedOn w:val="50"/>
    <w:uiPriority w:val="29"/>
    <w:rPr>
      <w:i/>
      <w:iCs/>
      <w:color w:val="000000"/>
      <w:kern w:val="2"/>
      <w:sz w:val="21"/>
      <w:szCs w:val="24"/>
    </w:rPr>
  </w:style>
  <w:style w:type="character" w:styleId="111">
    <w:name w:val=""/>
    <w:qFormat/>
    <w:uiPriority w:val="0"/>
    <w:rPr>
      <w:b/>
      <w:bCs/>
      <w:smallCaps/>
      <w:spacing w:val="5"/>
    </w:rPr>
  </w:style>
  <w:style w:type="character" w:customStyle="1" w:styleId="112">
    <w:name w:val="文档结构图 Char1"/>
    <w:uiPriority w:val="0"/>
    <w:rPr>
      <w:rFonts w:ascii="宋体"/>
      <w:kern w:val="2"/>
      <w:sz w:val="18"/>
      <w:szCs w:val="18"/>
    </w:rPr>
  </w:style>
  <w:style w:type="character" w:customStyle="1" w:styleId="113">
    <w:name w:val="文档结构图 Char2"/>
    <w:basedOn w:val="50"/>
    <w:semiHidden/>
    <w:uiPriority w:val="99"/>
    <w:rPr>
      <w:rFonts w:ascii="宋体"/>
      <w:kern w:val="2"/>
      <w:sz w:val="18"/>
      <w:szCs w:val="18"/>
    </w:rPr>
  </w:style>
  <w:style w:type="character" w:customStyle="1" w:styleId="114">
    <w:name w:val="批注主题 Char1"/>
    <w:uiPriority w:val="0"/>
    <w:rPr>
      <w:b/>
      <w:bCs/>
      <w:kern w:val="2"/>
      <w:sz w:val="21"/>
      <w:szCs w:val="22"/>
    </w:rPr>
  </w:style>
  <w:style w:type="character" w:customStyle="1" w:styleId="115">
    <w:name w:val="font41"/>
    <w:basedOn w:val="50"/>
    <w:uiPriority w:val="0"/>
    <w:rPr>
      <w:rFonts w:hint="eastAsia" w:ascii="宋体" w:hAnsi="宋体" w:eastAsia="宋体" w:cs="宋体"/>
      <w:b/>
      <w:color w:val="000000"/>
      <w:sz w:val="20"/>
      <w:szCs w:val="20"/>
      <w:u w:val="none"/>
    </w:rPr>
  </w:style>
  <w:style w:type="character" w:customStyle="1" w:styleId="116">
    <w:name w:val=" Char Char18"/>
    <w:uiPriority w:val="0"/>
    <w:rPr>
      <w:rFonts w:ascii="Calibri" w:hAnsi="Calibri" w:eastAsia="宋体"/>
      <w:b/>
      <w:bCs/>
      <w:kern w:val="44"/>
      <w:sz w:val="44"/>
      <w:szCs w:val="44"/>
      <w:lang w:val="en-US" w:eastAsia="zh-CN" w:bidi="ar-SA"/>
    </w:rPr>
  </w:style>
  <w:style w:type="character" w:customStyle="1" w:styleId="117">
    <w:name w:val="批注框文本 Char1"/>
    <w:uiPriority w:val="0"/>
    <w:rPr>
      <w:kern w:val="2"/>
      <w:sz w:val="18"/>
      <w:szCs w:val="18"/>
    </w:rPr>
  </w:style>
  <w:style w:type="character" w:customStyle="1" w:styleId="118">
    <w:name w:val="页脚 Char1"/>
    <w:basedOn w:val="50"/>
    <w:semiHidden/>
    <w:uiPriority w:val="99"/>
    <w:rPr>
      <w:kern w:val="2"/>
      <w:sz w:val="18"/>
      <w:szCs w:val="18"/>
    </w:rPr>
  </w:style>
  <w:style w:type="character" w:customStyle="1" w:styleId="119">
    <w:name w:val="标题 Char1"/>
    <w:basedOn w:val="50"/>
    <w:uiPriority w:val="10"/>
    <w:rPr>
      <w:rFonts w:ascii="Cambria" w:hAnsi="Cambria" w:cs="Times New Roman"/>
      <w:b/>
      <w:bCs/>
      <w:kern w:val="2"/>
      <w:sz w:val="32"/>
      <w:szCs w:val="32"/>
    </w:rPr>
  </w:style>
  <w:style w:type="character" w:styleId="120">
    <w:name w:val=""/>
    <w:qFormat/>
    <w:uiPriority w:val="0"/>
    <w:rPr>
      <w:b/>
      <w:bCs/>
      <w:smallCaps/>
      <w:color w:val="C0504D"/>
      <w:spacing w:val="5"/>
      <w:u w:val="single"/>
    </w:rPr>
  </w:style>
  <w:style w:type="character" w:customStyle="1" w:styleId="121">
    <w:name w:val="标题4 Char Char"/>
    <w:link w:val="122"/>
    <w:uiPriority w:val="0"/>
    <w:rPr>
      <w:rFonts w:ascii="Arial" w:hAnsi="Arial"/>
      <w:b/>
      <w:bCs/>
      <w:sz w:val="24"/>
      <w:szCs w:val="32"/>
    </w:rPr>
  </w:style>
  <w:style w:type="paragraph" w:customStyle="1" w:styleId="122">
    <w:name w:val="标题4"/>
    <w:basedOn w:val="3"/>
    <w:next w:val="25"/>
    <w:link w:val="121"/>
    <w:uiPriority w:val="0"/>
    <w:pPr>
      <w:spacing w:line="413" w:lineRule="auto"/>
    </w:pPr>
    <w:rPr>
      <w:rFonts w:eastAsia="宋体"/>
      <w:kern w:val="0"/>
      <w:sz w:val="24"/>
    </w:rPr>
  </w:style>
  <w:style w:type="character" w:customStyle="1" w:styleId="123">
    <w:name w:val="引用 Char"/>
    <w:link w:val="124"/>
    <w:uiPriority w:val="0"/>
    <w:rPr>
      <w:i/>
      <w:iCs/>
      <w:color w:val="000000"/>
      <w:kern w:val="2"/>
      <w:sz w:val="21"/>
      <w:szCs w:val="22"/>
    </w:rPr>
  </w:style>
  <w:style w:type="paragraph" w:styleId="124">
    <w:name w:val="Quote"/>
    <w:basedOn w:val="1"/>
    <w:next w:val="1"/>
    <w:link w:val="123"/>
    <w:qFormat/>
    <w:uiPriority w:val="0"/>
    <w:rPr>
      <w:i/>
      <w:iCs/>
      <w:color w:val="000000"/>
      <w:szCs w:val="22"/>
    </w:rPr>
  </w:style>
  <w:style w:type="character" w:customStyle="1" w:styleId="125">
    <w:name w:val="批注文字 Char Char"/>
    <w:uiPriority w:val="0"/>
    <w:rPr>
      <w:rFonts w:ascii="宋体" w:hAnsi="Times New Roman" w:eastAsia="宋体" w:cs="Times New Roman"/>
      <w:sz w:val="28"/>
      <w:szCs w:val="20"/>
    </w:rPr>
  </w:style>
  <w:style w:type="character" w:styleId="126">
    <w:name w:val=""/>
    <w:qFormat/>
    <w:uiPriority w:val="0"/>
    <w:rPr>
      <w:smallCaps/>
      <w:color w:val="C0504D"/>
      <w:u w:val="single"/>
    </w:rPr>
  </w:style>
  <w:style w:type="character" w:styleId="127">
    <w:name w:val=""/>
    <w:qFormat/>
    <w:uiPriority w:val="0"/>
    <w:rPr>
      <w:i/>
      <w:iCs/>
      <w:color w:val="808080"/>
    </w:rPr>
  </w:style>
  <w:style w:type="character" w:customStyle="1" w:styleId="128">
    <w:name w:val="批注主题 Char2"/>
    <w:basedOn w:val="129"/>
    <w:uiPriority w:val="99"/>
    <w:rPr>
      <w:b/>
      <w:bCs/>
    </w:rPr>
  </w:style>
  <w:style w:type="character" w:customStyle="1" w:styleId="129">
    <w:name w:val="批注文字 Char1"/>
    <w:basedOn w:val="50"/>
    <w:uiPriority w:val="99"/>
    <w:rPr>
      <w:kern w:val="2"/>
      <w:sz w:val="21"/>
      <w:szCs w:val="24"/>
    </w:rPr>
  </w:style>
  <w:style w:type="character" w:customStyle="1" w:styleId="130">
    <w:name w:val="正文文本 Char1"/>
    <w:uiPriority w:val="0"/>
    <w:rPr>
      <w:kern w:val="2"/>
      <w:sz w:val="21"/>
      <w:szCs w:val="22"/>
    </w:rPr>
  </w:style>
  <w:style w:type="paragraph" w:customStyle="1" w:styleId="131">
    <w:name w:val="样式 标题 2 + Times New Roman 四号 非加粗 段前: 5 磅 段后: 0 磅 行距: 固定值 20..."/>
    <w:basedOn w:val="3"/>
    <w:uiPriority w:val="0"/>
    <w:pPr>
      <w:spacing w:before="100" w:after="0" w:line="400" w:lineRule="exact"/>
    </w:pPr>
    <w:rPr>
      <w:rFonts w:ascii="Times New Roman" w:hAnsi="Times New Roman" w:cs="宋体"/>
      <w:b w:val="0"/>
      <w:bCs w:val="0"/>
      <w:kern w:val="0"/>
      <w:sz w:val="28"/>
      <w:szCs w:val="20"/>
    </w:rPr>
  </w:style>
  <w:style w:type="paragraph" w:customStyle="1" w:styleId="132">
    <w:name w:val="xl26"/>
    <w:basedOn w:val="1"/>
    <w:uiPriority w:val="0"/>
    <w:pPr>
      <w:widowControl/>
      <w:spacing w:before="100" w:beforeAutospacing="1" w:after="100" w:afterAutospacing="1"/>
      <w:jc w:val="left"/>
    </w:pPr>
    <w:rPr>
      <w:rFonts w:hint="eastAsia" w:ascii="仿宋_GB2312" w:hAnsi="宋体" w:eastAsia="仿宋_GB2312"/>
      <w:kern w:val="0"/>
      <w:sz w:val="32"/>
      <w:szCs w:val="32"/>
    </w:rPr>
  </w:style>
  <w:style w:type="paragraph" w:customStyle="1" w:styleId="133">
    <w:name w:val="列出段落1"/>
    <w:basedOn w:val="1"/>
    <w:qFormat/>
    <w:uiPriority w:val="0"/>
    <w:pPr>
      <w:ind w:firstLine="420" w:firstLineChars="200"/>
    </w:pPr>
    <w:rPr>
      <w:rFonts w:ascii="Calibri" w:hAnsi="Calibri" w:cs="黑体"/>
      <w:szCs w:val="21"/>
    </w:rPr>
  </w:style>
  <w:style w:type="paragraph" w:customStyle="1" w:styleId="134">
    <w:name w:val="默认段落字体 Para Char Char Char Char"/>
    <w:basedOn w:val="1"/>
    <w:uiPriority w:val="0"/>
  </w:style>
  <w:style w:type="paragraph" w:styleId="135">
    <w:name w:val="List Paragraph"/>
    <w:basedOn w:val="1"/>
    <w:qFormat/>
    <w:uiPriority w:val="99"/>
    <w:pPr>
      <w:ind w:firstLine="420" w:firstLineChars="200"/>
    </w:pPr>
    <w:rPr>
      <w:rFonts w:ascii="Calibri" w:hAnsi="Calibri"/>
      <w:szCs w:val="22"/>
    </w:rPr>
  </w:style>
  <w:style w:type="paragraph" w:styleId="136">
    <w:name w:val=""/>
    <w:basedOn w:val="2"/>
    <w:next w:val="1"/>
    <w:qFormat/>
    <w:uiPriority w:val="0"/>
    <w:pPr>
      <w:spacing w:before="340" w:after="330" w:line="576" w:lineRule="auto"/>
      <w:outlineLvl w:val="9"/>
    </w:pPr>
    <w:rPr>
      <w:rFonts w:ascii="Calibri" w:hAnsi="Calibri"/>
      <w:sz w:val="44"/>
    </w:rPr>
  </w:style>
  <w:style w:type="paragraph" w:styleId="137">
    <w:name w:val="No Spacing"/>
    <w:qFormat/>
    <w:uiPriority w:val="0"/>
    <w:pPr>
      <w:widowControl w:val="0"/>
      <w:jc w:val="both"/>
    </w:pPr>
    <w:rPr>
      <w:rFonts w:ascii="Calibri" w:hAnsi="Calibri"/>
      <w:kern w:val="2"/>
      <w:sz w:val="21"/>
      <w:szCs w:val="22"/>
      <w:lang w:val="en-US" w:eastAsia="zh-CN" w:bidi="ar-SA"/>
    </w:rPr>
  </w:style>
  <w:style w:type="paragraph" w:customStyle="1" w:styleId="138">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139">
    <w:name w:val="外网"/>
    <w:basedOn w:val="2"/>
    <w:qFormat/>
    <w:uiPriority w:val="0"/>
    <w:pPr>
      <w:spacing w:beforeLines="50" w:afterLines="50" w:line="520" w:lineRule="exact"/>
      <w:ind w:firstLine="200" w:firstLineChars="200"/>
    </w:pPr>
    <w:rPr>
      <w:rFonts w:eastAsia="黑体"/>
      <w:b w:val="0"/>
      <w:sz w:val="32"/>
    </w:rPr>
  </w:style>
  <w:style w:type="paragraph" w:customStyle="1" w:styleId="140">
    <w:name w:val="样式 标题 1 + 黑体 三号 非加粗 居中 段前: 6 磅 段后: 6 磅 行距: 固定值 20 磅"/>
    <w:basedOn w:val="2"/>
    <w:uiPriority w:val="0"/>
    <w:pPr>
      <w:spacing w:before="120" w:after="120" w:line="400" w:lineRule="exact"/>
      <w:jc w:val="center"/>
    </w:pPr>
    <w:rPr>
      <w:rFonts w:ascii="黑体" w:hAnsi="黑体" w:eastAsia="黑体" w:cs="宋体"/>
      <w:b w:val="0"/>
      <w:bCs w:val="0"/>
      <w:szCs w:val="20"/>
      <w:lang w:val="en-US" w:eastAsia="zh-CN"/>
    </w:rPr>
  </w:style>
  <w:style w:type="paragraph" w:customStyle="1" w:styleId="141">
    <w:name w:val="表格字体-靠左"/>
    <w:basedOn w:val="142"/>
    <w:next w:val="1"/>
    <w:qFormat/>
    <w:uiPriority w:val="0"/>
    <w:pPr>
      <w:ind w:firstLine="280" w:firstLineChars="100"/>
      <w:jc w:val="left"/>
    </w:pPr>
  </w:style>
  <w:style w:type="paragraph" w:customStyle="1" w:styleId="142">
    <w:name w:val="表格字体-居中"/>
    <w:basedOn w:val="1"/>
    <w:next w:val="1"/>
    <w:qFormat/>
    <w:uiPriority w:val="0"/>
    <w:pPr>
      <w:spacing w:line="240" w:lineRule="auto"/>
      <w:ind w:firstLine="0" w:firstLineChars="0"/>
      <w:jc w:val="center"/>
    </w:pPr>
  </w:style>
  <w:style w:type="paragraph" w:customStyle="1" w:styleId="143">
    <w:name w:val="样式 标题 3 + (中文) 黑体 小四 非加粗 段前: 7.8 磅 段后: 0 磅 行距: 固定值 20 磅"/>
    <w:basedOn w:val="4"/>
    <w:uiPriority w:val="0"/>
    <w:pPr>
      <w:spacing w:before="0" w:after="0" w:line="400" w:lineRule="exact"/>
    </w:pPr>
    <w:rPr>
      <w:rFonts w:eastAsia="黑体" w:cs="宋体"/>
      <w:b w:val="0"/>
      <w:bCs w:val="0"/>
      <w:sz w:val="24"/>
      <w:szCs w:val="20"/>
      <w:lang/>
    </w:rPr>
  </w:style>
  <w:style w:type="paragraph" w:customStyle="1" w:styleId="144">
    <w:name w:val="dash6b63_65871"/>
    <w:basedOn w:val="1"/>
    <w:uiPriority w:val="0"/>
    <w:pPr>
      <w:widowControl/>
    </w:pPr>
    <w:rPr>
      <w:rFonts w:ascii="Calibri" w:hAnsi="Calibri" w:cs="Calibri"/>
      <w:kern w:val="0"/>
      <w:sz w:val="20"/>
      <w:szCs w:val="20"/>
    </w:rPr>
  </w:style>
  <w:style w:type="paragraph" w:customStyle="1" w:styleId="145">
    <w:name w:val="表格文字"/>
    <w:basedOn w:val="1"/>
    <w:uiPriority w:val="0"/>
    <w:pPr>
      <w:adjustRightInd w:val="0"/>
      <w:spacing w:line="420" w:lineRule="atLeast"/>
      <w:jc w:val="left"/>
      <w:textAlignment w:val="baseline"/>
    </w:pPr>
    <w:rPr>
      <w:kern w:val="0"/>
      <w:szCs w:val="20"/>
    </w:rPr>
  </w:style>
  <w:style w:type="paragraph" w:customStyle="1" w:styleId="146">
    <w:name w:val=" Char Char Char Char"/>
    <w:basedOn w:val="14"/>
    <w:uiPriority w:val="0"/>
    <w:rPr>
      <w:szCs w:val="20"/>
    </w:rPr>
  </w:style>
  <w:style w:type="paragraph" w:customStyle="1" w:styleId="147">
    <w:name w:val="外网二级标题"/>
    <w:basedOn w:val="3"/>
    <w:next w:val="139"/>
    <w:qFormat/>
    <w:uiPriority w:val="0"/>
    <w:pPr>
      <w:spacing w:before="0" w:after="0" w:line="520" w:lineRule="exact"/>
      <w:ind w:firstLine="200" w:firstLineChars="200"/>
    </w:pPr>
    <w:rPr>
      <w:rFonts w:ascii="Arial" w:hAnsi="Arial" w:eastAsia="楷体" w:cs="Times New Roman"/>
      <w:b w:val="0"/>
    </w:rPr>
  </w:style>
  <w:style w:type="paragraph" w:customStyle="1" w:styleId="148">
    <w:name w:val="大纲一"/>
    <w:basedOn w:val="1"/>
    <w:qFormat/>
    <w:uiPriority w:val="99"/>
    <w:pPr>
      <w:numPr>
        <w:ilvl w:val="0"/>
        <w:numId w:val="1"/>
      </w:numPr>
      <w:spacing w:beforeLines="50" w:line="360" w:lineRule="auto"/>
      <w:outlineLvl w:val="0"/>
    </w:pPr>
    <w:rPr>
      <w:rFonts w:ascii="微软雅黑" w:hAnsi="微软雅黑" w:eastAsia="微软雅黑"/>
      <w:b/>
      <w:sz w:val="32"/>
      <w:szCs w:val="22"/>
    </w:rPr>
  </w:style>
  <w:style w:type="paragraph" w:customStyle="1" w:styleId="149">
    <w:name w:val="大纲二"/>
    <w:basedOn w:val="1"/>
    <w:qFormat/>
    <w:uiPriority w:val="99"/>
    <w:pPr>
      <w:numPr>
        <w:ilvl w:val="1"/>
        <w:numId w:val="1"/>
      </w:numPr>
      <w:tabs>
        <w:tab w:val="left" w:pos="432"/>
      </w:tabs>
      <w:spacing w:beforeLines="50" w:line="360" w:lineRule="auto"/>
      <w:outlineLvl w:val="1"/>
    </w:pPr>
    <w:rPr>
      <w:rFonts w:ascii="微软雅黑" w:hAnsi="微软雅黑" w:eastAsia="微软雅黑"/>
      <w:b/>
      <w:sz w:val="28"/>
      <w:szCs w:val="30"/>
    </w:rPr>
  </w:style>
  <w:style w:type="paragraph" w:customStyle="1" w:styleId="150">
    <w:name w:val="1"/>
    <w:basedOn w:val="1"/>
    <w:uiPriority w:val="0"/>
  </w:style>
  <w:style w:type="paragraph" w:customStyle="1" w:styleId="151">
    <w:name w:val="正文2"/>
    <w:basedOn w:val="1"/>
    <w:uiPriority w:val="0"/>
    <w:pPr>
      <w:widowControl/>
      <w:spacing w:after="160" w:line="360" w:lineRule="auto"/>
      <w:ind w:firstLine="200" w:firstLineChars="200"/>
      <w:jc w:val="left"/>
    </w:pPr>
    <w:rPr>
      <w:szCs w:val="20"/>
    </w:rPr>
  </w:style>
  <w:style w:type="paragraph" w:customStyle="1" w:styleId="152">
    <w:name w:val=" Char Char10 Char Char Char Char"/>
    <w:basedOn w:val="1"/>
    <w:uiPriority w:val="0"/>
  </w:style>
  <w:style w:type="paragraph" w:customStyle="1" w:styleId="153">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4">
    <w:name w:val="空半行"/>
    <w:basedOn w:val="1"/>
    <w:uiPriority w:val="0"/>
    <w:pPr>
      <w:adjustRightInd w:val="0"/>
      <w:spacing w:line="120" w:lineRule="exact"/>
      <w:textAlignment w:val="baseline"/>
    </w:pPr>
    <w:rPr>
      <w:rFonts w:eastAsia="仿宋_GB2312"/>
      <w:color w:val="FFFFFF"/>
      <w:kern w:val="0"/>
      <w:sz w:val="30"/>
      <w:szCs w:val="20"/>
    </w:rPr>
  </w:style>
  <w:style w:type="paragraph" w:customStyle="1" w:styleId="155">
    <w:name w:val="_Style 1"/>
    <w:basedOn w:val="1"/>
    <w:qFormat/>
    <w:uiPriority w:val="34"/>
    <w:pPr>
      <w:ind w:firstLine="420" w:firstLineChars="200"/>
    </w:pPr>
  </w:style>
  <w:style w:type="paragraph" w:customStyle="1" w:styleId="156">
    <w:name w:val="flNote"/>
    <w:basedOn w:val="1"/>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157">
    <w:name w:val="表格"/>
    <w:basedOn w:val="1"/>
    <w:uiPriority w:val="0"/>
    <w:pPr>
      <w:jc w:val="center"/>
      <w:textAlignment w:val="center"/>
    </w:pPr>
    <w:rPr>
      <w:rFonts w:ascii="华文细黑" w:hAnsi="华文细黑"/>
      <w:kern w:val="0"/>
      <w:szCs w:val="20"/>
    </w:rPr>
  </w:style>
  <w:style w:type="paragraph" w:customStyle="1" w:styleId="158">
    <w:name w:val=" Char"/>
    <w:basedOn w:val="1"/>
    <w:uiPriority w:val="0"/>
  </w:style>
  <w:style w:type="paragraph" w:customStyle="1" w:styleId="159">
    <w:name w:val=" Char2 Char Char Char Char Char Char"/>
    <w:basedOn w:val="1"/>
    <w:uiPriority w:val="0"/>
    <w:rPr>
      <w:rFonts w:ascii="仿宋_GB2312"/>
      <w:b/>
      <w:sz w:val="30"/>
      <w:szCs w:val="32"/>
    </w:rPr>
  </w:style>
  <w:style w:type="paragraph" w:customStyle="1" w:styleId="160">
    <w:name w:val="Char1"/>
    <w:basedOn w:val="1"/>
    <w:uiPriority w:val="0"/>
    <w:rPr>
      <w:rFonts w:ascii="Tahoma" w:hAnsi="Tahoma"/>
      <w:sz w:val="24"/>
      <w:szCs w:val="20"/>
    </w:rPr>
  </w:style>
  <w:style w:type="paragraph" w:customStyle="1" w:styleId="161">
    <w:name w:val="6'"/>
    <w:basedOn w:val="1"/>
    <w:uiPriority w:val="0"/>
    <w:pPr>
      <w:autoSpaceDE w:val="0"/>
      <w:autoSpaceDN w:val="0"/>
      <w:adjustRightInd w:val="0"/>
      <w:snapToGrid w:val="0"/>
      <w:spacing w:line="320" w:lineRule="exact"/>
      <w:jc w:val="center"/>
      <w:textAlignment w:val="baseline"/>
    </w:pPr>
    <w:rPr>
      <w:spacing w:val="20"/>
      <w:kern w:val="28"/>
      <w:szCs w:val="20"/>
    </w:rPr>
  </w:style>
  <w:style w:type="paragraph" w:styleId="162">
    <w:name w:val=""/>
    <w:uiPriority w:val="0"/>
    <w:rPr>
      <w:kern w:val="2"/>
      <w:sz w:val="21"/>
      <w:szCs w:val="24"/>
      <w:lang w:val="en-US" w:eastAsia="zh-CN" w:bidi="ar-SA"/>
    </w:rPr>
  </w:style>
  <w:style w:type="table" w:customStyle="1" w:styleId="163">
    <w:name w:val="Table Normal"/>
    <w:unhideWhenUsed/>
    <w:qFormat/>
    <w:uiPriority w:val="0"/>
    <w:tblPr>
      <w:tblStyle w:val="48"/>
      <w:tblCellMar>
        <w:top w:w="0" w:type="dxa"/>
        <w:left w:w="0" w:type="dxa"/>
        <w:bottom w:w="0" w:type="dxa"/>
        <w:right w:w="0" w:type="dxa"/>
      </w:tblCellMar>
    </w:tblPr>
  </w:style>
  <w:style w:type="paragraph" w:customStyle="1" w:styleId="164">
    <w:name w:val="Table Paragraph"/>
    <w:basedOn w:val="1"/>
    <w:qFormat/>
    <w:uiPriority w:val="1"/>
    <w:pPr>
      <w:autoSpaceDE w:val="0"/>
      <w:autoSpaceDN w:val="0"/>
      <w:jc w:val="left"/>
    </w:pPr>
    <w:rPr>
      <w:rFonts w:ascii="宋体" w:hAnsi="宋体" w:cs="宋体"/>
      <w:kern w:val="0"/>
      <w:sz w:val="22"/>
      <w:lang w:val="zh-CN" w:bidi="zh-CN"/>
    </w:rPr>
  </w:style>
  <w:style w:type="character" w:customStyle="1" w:styleId="165">
    <w:name w:val="first-child"/>
    <w:basedOn w:val="50"/>
    <w:uiPriority w:val="0"/>
  </w:style>
  <w:style w:type="character" w:customStyle="1" w:styleId="166">
    <w:name w:val="layui-layer-tabnow"/>
    <w:basedOn w:val="50"/>
    <w:uiPriority w:val="0"/>
    <w:rPr>
      <w:bdr w:val="single" w:color="CCCCCC" w:sz="6" w:space="0"/>
      <w:shd w:val="clear" w:color="auto" w:fill="FFFFFF"/>
    </w:rPr>
  </w:style>
  <w:style w:type="character" w:customStyle="1" w:styleId="167">
    <w:name w:val="hover"/>
    <w:basedOn w:val="50"/>
    <w:uiPriority w:val="0"/>
    <w:rPr>
      <w:color w:val="2590EB"/>
    </w:rPr>
  </w:style>
  <w:style w:type="character" w:customStyle="1" w:styleId="168">
    <w:name w:val="hover1"/>
    <w:basedOn w:val="50"/>
    <w:uiPriority w:val="0"/>
    <w:rPr>
      <w:color w:val="2590EB"/>
    </w:rPr>
  </w:style>
  <w:style w:type="character" w:customStyle="1" w:styleId="169">
    <w:name w:val="hover2"/>
    <w:basedOn w:val="50"/>
    <w:uiPriority w:val="0"/>
  </w:style>
  <w:style w:type="character" w:customStyle="1" w:styleId="170">
    <w:name w:val="mini-outputtext1"/>
    <w:basedOn w:val="50"/>
    <w:uiPriority w:val="0"/>
  </w:style>
  <w:style w:type="paragraph" w:customStyle="1" w:styleId="171">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114</Pages>
  <Words>15155</Words>
  <Characters>16271</Characters>
  <Lines>339</Lines>
  <Paragraphs>95</Paragraphs>
  <TotalTime>8</TotalTime>
  <ScaleCrop>false</ScaleCrop>
  <LinksUpToDate>false</LinksUpToDate>
  <CharactersWithSpaces>16356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2015-08-26T01:40:00Z</dcterms:created>
  <dc:creator>微软用户</dc:creator>
  <cp:lastModifiedBy>Administrator</cp:lastModifiedBy>
  <cp:lastPrinted>2024-08-26T00:52:49Z</cp:lastPrinted>
  <dcterms:modified xsi:type="dcterms:W3CDTF">2025-10-15T06:53:34Z</dcterms:modified>
  <dc:title>附件1：招标评分办法</dc:title>
  <cp:revision>185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2899B0032B1A415E825EA3A0EEFA166C_13</vt:lpwstr>
  </property>
  <property fmtid="{D5CDD505-2E9C-101B-9397-08002B2CF9AE}" pid="4" name="KSOTemplateDocerSaveRecord">
    <vt:lpwstr>eyJoZGlkIjoiZjllY2Y4ZWU1ODhlNmI1ZjFhNjQ3NDBmNDY2NTc4ZDIiLCJ1c2VySWQiOiIzMjg5MjQ2ODkifQ==</vt:lpwstr>
  </property>
</Properties>
</file>