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1825">
      <w:pPr>
        <w:spacing w:line="240" w:lineRule="exact"/>
        <w:jc w:val="center"/>
        <w:rPr>
          <w:rFonts w:hint="eastAsia" w:ascii="宋体" w:hAnsi="宋体" w:eastAsia="宋体" w:cs="宋体"/>
          <w:b/>
          <w:bCs/>
          <w:color w:val="auto"/>
          <w:sz w:val="44"/>
          <w:szCs w:val="44"/>
        </w:rPr>
      </w:pPr>
    </w:p>
    <w:p w14:paraId="7903B497">
      <w:pPr>
        <w:pStyle w:val="17"/>
        <w:rPr>
          <w:rFonts w:hint="eastAsia" w:ascii="宋体" w:hAnsi="宋体" w:eastAsia="宋体" w:cs="宋体"/>
        </w:rPr>
      </w:pPr>
    </w:p>
    <w:p w14:paraId="73228A46">
      <w:pPr>
        <w:jc w:val="center"/>
        <w:outlineLvl w:val="9"/>
        <w:rPr>
          <w:rFonts w:hint="eastAsia" w:ascii="宋体" w:hAnsi="宋体" w:eastAsia="宋体" w:cs="宋体"/>
          <w:color w:val="0661A7"/>
          <w:sz w:val="60"/>
          <w:szCs w:val="60"/>
          <w:highlight w:val="none"/>
        </w:rPr>
      </w:pPr>
      <w:r>
        <w:rPr>
          <w:rFonts w:hint="eastAsia" w:ascii="宋体" w:hAnsi="宋体" w:eastAsia="宋体" w:cs="宋体"/>
          <w:b/>
          <w:bCs/>
          <w:sz w:val="48"/>
          <w:szCs w:val="48"/>
          <w:lang w:val="en-US" w:eastAsia="zh-CN"/>
        </w:rPr>
        <w:t>三门峡市自然资源和规划局城乡一体化示范区分局现代农业产业园发展规划项目</w:t>
      </w:r>
    </w:p>
    <w:p w14:paraId="7ED30266">
      <w:pPr>
        <w:jc w:val="center"/>
        <w:rPr>
          <w:rFonts w:hint="eastAsia" w:ascii="宋体" w:hAnsi="宋体" w:eastAsia="宋体" w:cs="宋体"/>
          <w:b/>
          <w:color w:val="auto"/>
          <w:sz w:val="86"/>
          <w:szCs w:val="86"/>
        </w:rPr>
      </w:pPr>
    </w:p>
    <w:p w14:paraId="522B9362">
      <w:pPr>
        <w:pStyle w:val="18"/>
        <w:rPr>
          <w:rFonts w:hint="eastAsia" w:ascii="宋体" w:hAnsi="宋体" w:eastAsia="宋体" w:cs="宋体"/>
          <w:b/>
          <w:color w:val="auto"/>
          <w:sz w:val="86"/>
          <w:szCs w:val="86"/>
        </w:rPr>
      </w:pPr>
    </w:p>
    <w:p w14:paraId="55CF7ACE">
      <w:pPr>
        <w:rPr>
          <w:rFonts w:hint="eastAsia" w:ascii="宋体" w:hAnsi="宋体" w:eastAsia="宋体" w:cs="宋体"/>
        </w:rPr>
      </w:pPr>
    </w:p>
    <w:p w14:paraId="38BDB516">
      <w:pPr>
        <w:jc w:val="center"/>
        <w:rPr>
          <w:rFonts w:hint="eastAsia" w:ascii="宋体" w:hAnsi="宋体" w:eastAsia="宋体" w:cs="宋体"/>
          <w:bCs/>
          <w:color w:val="000000" w:themeColor="text1"/>
          <w:sz w:val="52"/>
          <w:szCs w:val="52"/>
          <w14:textFill>
            <w14:solidFill>
              <w14:schemeClr w14:val="tx1"/>
            </w14:solidFill>
          </w14:textFill>
        </w:rPr>
      </w:pPr>
      <w:r>
        <w:rPr>
          <w:rFonts w:hint="eastAsia" w:ascii="宋体" w:hAnsi="宋体" w:eastAsia="宋体" w:cs="宋体"/>
          <w:bCs/>
          <w:color w:val="000000" w:themeColor="text1"/>
          <w:sz w:val="72"/>
          <w:szCs w:val="72"/>
          <w14:textFill>
            <w14:solidFill>
              <w14:schemeClr w14:val="tx1"/>
            </w14:solidFill>
          </w14:textFill>
        </w:rPr>
        <w:t>竞争性磋商文件</w:t>
      </w:r>
    </w:p>
    <w:p w14:paraId="4AEB6888">
      <w:pPr>
        <w:rPr>
          <w:rFonts w:hint="eastAsia" w:ascii="宋体" w:hAnsi="宋体" w:eastAsia="宋体" w:cs="宋体"/>
          <w:b/>
          <w:color w:val="auto"/>
        </w:rPr>
      </w:pPr>
    </w:p>
    <w:p w14:paraId="0A5777CF">
      <w:pPr>
        <w:jc w:val="center"/>
        <w:rPr>
          <w:rFonts w:hint="eastAsia" w:ascii="宋体" w:hAnsi="宋体" w:eastAsia="宋体" w:cs="宋体"/>
          <w:color w:val="auto"/>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SGZ[2025]433-ZC292</w:t>
      </w:r>
      <w:r>
        <w:rPr>
          <w:rFonts w:hint="eastAsia" w:ascii="宋体" w:hAnsi="宋体" w:cs="宋体"/>
          <w:bCs/>
          <w:color w:val="auto"/>
          <w:sz w:val="32"/>
          <w:szCs w:val="32"/>
          <w:highlight w:val="none"/>
          <w:lang w:eastAsia="zh-CN"/>
        </w:rPr>
        <w:t>；示范竞磋采购-2025-36</w:t>
      </w:r>
    </w:p>
    <w:p w14:paraId="0725E3CE">
      <w:pPr>
        <w:pStyle w:val="17"/>
        <w:ind w:firstLine="210"/>
        <w:rPr>
          <w:rFonts w:hint="eastAsia" w:ascii="宋体" w:hAnsi="宋体" w:eastAsia="宋体" w:cs="宋体"/>
          <w:color w:val="auto"/>
        </w:rPr>
      </w:pPr>
    </w:p>
    <w:p w14:paraId="7583A25D">
      <w:pPr>
        <w:spacing w:line="276" w:lineRule="auto"/>
        <w:ind w:firstLine="2178" w:firstLineChars="1210"/>
        <w:rPr>
          <w:rFonts w:hint="eastAsia" w:ascii="宋体" w:hAnsi="宋体" w:eastAsia="宋体" w:cs="宋体"/>
          <w:color w:val="auto"/>
          <w:sz w:val="18"/>
          <w:szCs w:val="18"/>
        </w:rPr>
      </w:pPr>
    </w:p>
    <w:p w14:paraId="46339527">
      <w:pPr>
        <w:spacing w:line="400" w:lineRule="exact"/>
        <w:rPr>
          <w:rFonts w:hint="eastAsia" w:ascii="宋体" w:hAnsi="宋体" w:eastAsia="宋体" w:cs="宋体"/>
          <w:color w:val="auto"/>
        </w:rPr>
      </w:pPr>
    </w:p>
    <w:p w14:paraId="4DF24997">
      <w:pPr>
        <w:spacing w:line="400" w:lineRule="exact"/>
        <w:rPr>
          <w:rFonts w:hint="eastAsia" w:ascii="宋体" w:hAnsi="宋体" w:eastAsia="宋体" w:cs="宋体"/>
          <w:color w:val="auto"/>
        </w:rPr>
      </w:pPr>
    </w:p>
    <w:p w14:paraId="55FB3643">
      <w:pPr>
        <w:spacing w:line="400" w:lineRule="exact"/>
        <w:rPr>
          <w:rFonts w:hint="eastAsia" w:ascii="宋体" w:hAnsi="宋体" w:eastAsia="宋体" w:cs="宋体"/>
          <w:color w:val="auto"/>
        </w:rPr>
      </w:pPr>
    </w:p>
    <w:p w14:paraId="3FC07ACA">
      <w:pPr>
        <w:pStyle w:val="17"/>
        <w:ind w:firstLine="210"/>
        <w:rPr>
          <w:rFonts w:hint="eastAsia" w:ascii="宋体" w:hAnsi="宋体" w:eastAsia="宋体" w:cs="宋体"/>
          <w:color w:val="auto"/>
        </w:rPr>
      </w:pPr>
    </w:p>
    <w:p w14:paraId="56FC7051">
      <w:pPr>
        <w:pStyle w:val="17"/>
        <w:ind w:left="0" w:leftChars="0" w:firstLine="0" w:firstLineChars="0"/>
        <w:rPr>
          <w:rFonts w:hint="eastAsia" w:ascii="宋体" w:hAnsi="宋体" w:eastAsia="宋体" w:cs="宋体"/>
          <w:color w:val="auto"/>
        </w:rPr>
      </w:pPr>
    </w:p>
    <w:p w14:paraId="7470014C">
      <w:pPr>
        <w:pStyle w:val="17"/>
        <w:ind w:firstLine="210"/>
        <w:rPr>
          <w:rFonts w:hint="eastAsia" w:ascii="宋体" w:hAnsi="宋体" w:eastAsia="宋体" w:cs="宋体"/>
          <w:color w:val="auto"/>
        </w:rPr>
      </w:pPr>
    </w:p>
    <w:p w14:paraId="2EA0A0EE">
      <w:pPr>
        <w:pStyle w:val="18"/>
        <w:rPr>
          <w:rFonts w:hint="eastAsia" w:ascii="宋体" w:hAnsi="宋体" w:eastAsia="宋体" w:cs="宋体"/>
          <w:color w:val="auto"/>
        </w:rPr>
      </w:pPr>
    </w:p>
    <w:p w14:paraId="414037D1">
      <w:pPr>
        <w:spacing w:line="400" w:lineRule="exact"/>
        <w:rPr>
          <w:rFonts w:hint="eastAsia" w:ascii="宋体" w:hAnsi="宋体" w:eastAsia="宋体" w:cs="宋体"/>
          <w:color w:val="auto"/>
        </w:rPr>
      </w:pPr>
    </w:p>
    <w:p w14:paraId="27B33362">
      <w:pPr>
        <w:pStyle w:val="18"/>
        <w:ind w:left="0" w:leftChars="0" w:firstLine="0" w:firstLineChars="0"/>
        <w:rPr>
          <w:rFonts w:hint="eastAsia" w:ascii="宋体" w:hAnsi="宋体" w:eastAsia="宋体" w:cs="宋体"/>
          <w:color w:val="auto"/>
        </w:rPr>
      </w:pPr>
    </w:p>
    <w:p w14:paraId="710E437D">
      <w:pPr>
        <w:pStyle w:val="18"/>
        <w:rPr>
          <w:rFonts w:hint="eastAsia" w:ascii="宋体" w:hAnsi="宋体" w:eastAsia="宋体" w:cs="宋体"/>
          <w:color w:val="auto"/>
        </w:rPr>
      </w:pPr>
    </w:p>
    <w:p w14:paraId="559241DA">
      <w:pPr>
        <w:jc w:val="cente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   采购人：三门峡市自然资源和规划局城乡一体化示范区分局</w:t>
      </w:r>
    </w:p>
    <w:p w14:paraId="51363489">
      <w:pPr>
        <w:ind w:firstLine="640" w:firstLineChars="200"/>
        <w:jc w:val="left"/>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采购代理机构：中基建安工程管理有限公司</w:t>
      </w:r>
    </w:p>
    <w:p w14:paraId="3ED5F756">
      <w:pPr>
        <w:ind w:firstLine="640" w:firstLineChars="200"/>
        <w:jc w:val="left"/>
        <w:rPr>
          <w:rFonts w:hint="eastAsia" w:ascii="宋体" w:hAnsi="宋体" w:eastAsia="宋体" w:cs="宋体"/>
          <w:bCs/>
          <w:color w:val="auto"/>
          <w:sz w:val="32"/>
          <w:szCs w:val="32"/>
        </w:rPr>
        <w:sectPr>
          <w:footerReference r:id="rId3" w:type="default"/>
          <w:pgSz w:w="11906" w:h="16838"/>
          <w:pgMar w:top="1440" w:right="1418" w:bottom="1440" w:left="1418" w:header="851" w:footer="992" w:gutter="0"/>
          <w:pgNumType w:start="0"/>
          <w:cols w:space="720" w:num="1"/>
          <w:docGrid w:type="lines" w:linePitch="312" w:charSpace="0"/>
        </w:sectPr>
      </w:pPr>
      <w:r>
        <w:rPr>
          <w:rFonts w:hint="eastAsia" w:ascii="宋体" w:hAnsi="宋体" w:eastAsia="宋体" w:cs="宋体"/>
          <w:bCs/>
          <w:color w:val="auto"/>
          <w:sz w:val="32"/>
          <w:szCs w:val="32"/>
        </w:rPr>
        <w:t>日期：二零二</w:t>
      </w:r>
      <w:r>
        <w:rPr>
          <w:rFonts w:hint="eastAsia" w:ascii="宋体" w:hAnsi="宋体" w:eastAsia="宋体" w:cs="宋体"/>
          <w:bCs/>
          <w:color w:val="auto"/>
          <w:sz w:val="32"/>
          <w:szCs w:val="32"/>
          <w:lang w:val="en-US" w:eastAsia="zh-CN"/>
        </w:rPr>
        <w:t>五</w:t>
      </w:r>
      <w:r>
        <w:rPr>
          <w:rFonts w:hint="eastAsia" w:ascii="宋体" w:hAnsi="宋体" w:eastAsia="宋体" w:cs="宋体"/>
          <w:bCs/>
          <w:color w:val="auto"/>
          <w:sz w:val="32"/>
          <w:szCs w:val="32"/>
        </w:rPr>
        <w:t>年</w:t>
      </w: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月</w:t>
      </w:r>
    </w:p>
    <w:p w14:paraId="56B7AF2C">
      <w:pPr>
        <w:pStyle w:val="12"/>
        <w:rPr>
          <w:rFonts w:hint="eastAsia" w:ascii="宋体" w:hAnsi="宋体" w:eastAsia="宋体" w:cs="宋体"/>
          <w:b/>
          <w:bCs/>
          <w:color w:val="auto"/>
        </w:rPr>
      </w:pPr>
      <w:r>
        <w:rPr>
          <w:rFonts w:hint="eastAsia" w:ascii="宋体" w:hAnsi="宋体" w:eastAsia="宋体" w:cs="宋体"/>
          <w:b/>
          <w:bCs/>
          <w:color w:val="auto"/>
        </w:rPr>
        <w:t>目 录</w:t>
      </w:r>
    </w:p>
    <w:sdt>
      <w:sdtPr>
        <w:rPr>
          <w:rFonts w:hint="eastAsia" w:ascii="宋体" w:hAnsi="宋体" w:eastAsia="宋体" w:cs="宋体"/>
          <w:kern w:val="2"/>
          <w:sz w:val="32"/>
          <w:szCs w:val="32"/>
          <w:lang w:val="en-US" w:eastAsia="zh-CN" w:bidi="ar-SA"/>
        </w:rPr>
        <w:id w:val="147459143"/>
        <w15:color w:val="DBDBDB"/>
        <w:docPartObj>
          <w:docPartGallery w:val="Table of Contents"/>
          <w:docPartUnique/>
        </w:docPartObj>
      </w:sdtPr>
      <w:sdtEndPr>
        <w:rPr>
          <w:rFonts w:hint="eastAsia" w:ascii="宋体" w:hAnsi="宋体" w:eastAsia="宋体" w:cs="宋体"/>
          <w:color w:val="auto"/>
          <w:kern w:val="2"/>
          <w:sz w:val="36"/>
          <w:szCs w:val="32"/>
          <w:lang w:val="en-US" w:eastAsia="zh-CN" w:bidi="ar-SA"/>
        </w:rPr>
      </w:sdtEndPr>
      <w:sdtContent>
        <w:p w14:paraId="39649A6D">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06054A58">
          <w:pPr>
            <w:pStyle w:val="12"/>
            <w:tabs>
              <w:tab w:val="right" w:leader="dot" w:pos="9070"/>
              <w:tab w:val="clear" w:pos="9060"/>
            </w:tabs>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Cs w:val="28"/>
            </w:rPr>
            <w:fldChar w:fldCharType="begin"/>
          </w:r>
          <w:r>
            <w:rPr>
              <w:rFonts w:hint="eastAsia" w:ascii="宋体" w:hAnsi="宋体" w:eastAsia="宋体" w:cs="宋体"/>
              <w:szCs w:val="28"/>
            </w:rPr>
            <w:instrText xml:space="preserve"> HYPERLINK \l _Toc21005 </w:instrText>
          </w:r>
          <w:r>
            <w:rPr>
              <w:rFonts w:hint="eastAsia" w:ascii="宋体" w:hAnsi="宋体" w:eastAsia="宋体" w:cs="宋体"/>
              <w:szCs w:val="28"/>
            </w:rPr>
            <w:fldChar w:fldCharType="separate"/>
          </w:r>
          <w:r>
            <w:rPr>
              <w:rFonts w:hint="eastAsia" w:ascii="宋体" w:hAnsi="宋体" w:eastAsia="宋体" w:cs="宋体"/>
            </w:rPr>
            <w:t xml:space="preserve">第一章 </w:t>
          </w:r>
          <w:r>
            <w:rPr>
              <w:rFonts w:hint="eastAsia" w:ascii="宋体" w:hAnsi="宋体" w:eastAsia="宋体" w:cs="宋体"/>
              <w:lang w:val="en-US" w:eastAsia="zh-CN"/>
            </w:rPr>
            <w:t>竞争性磋商</w:t>
          </w:r>
          <w:r>
            <w:rPr>
              <w:rFonts w:hint="eastAsia" w:ascii="宋体" w:hAnsi="宋体" w:eastAsia="宋体" w:cs="宋体"/>
            </w:rPr>
            <w:t>公告</w:t>
          </w:r>
          <w:r>
            <w:tab/>
          </w:r>
          <w:r>
            <w:fldChar w:fldCharType="begin"/>
          </w:r>
          <w:r>
            <w:instrText xml:space="preserve"> PAGEREF _Toc21005 \h </w:instrText>
          </w:r>
          <w:r>
            <w:fldChar w:fldCharType="separate"/>
          </w:r>
          <w:r>
            <w:t>2</w:t>
          </w:r>
          <w:r>
            <w:fldChar w:fldCharType="end"/>
          </w:r>
          <w:r>
            <w:rPr>
              <w:rFonts w:hint="eastAsia" w:ascii="宋体" w:hAnsi="宋体" w:eastAsia="宋体" w:cs="宋体"/>
              <w:color w:val="auto"/>
              <w:szCs w:val="28"/>
            </w:rPr>
            <w:fldChar w:fldCharType="end"/>
          </w:r>
        </w:p>
        <w:p w14:paraId="6F2298F8">
          <w:pPr>
            <w:pStyle w:val="12"/>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_Toc7412 </w:instrText>
          </w:r>
          <w:r>
            <w:rPr>
              <w:rFonts w:hint="eastAsia" w:ascii="宋体" w:hAnsi="宋体" w:eastAsia="宋体" w:cs="宋体"/>
              <w:szCs w:val="48"/>
            </w:rPr>
            <w:fldChar w:fldCharType="separate"/>
          </w:r>
          <w:r>
            <w:rPr>
              <w:rFonts w:hint="eastAsia" w:ascii="宋体" w:hAnsi="宋体" w:eastAsia="宋体" w:cs="宋体"/>
              <w:bCs/>
              <w:kern w:val="0"/>
              <w:szCs w:val="40"/>
            </w:rPr>
            <w:t>第二章 投标供应商须知</w:t>
          </w:r>
          <w:r>
            <w:tab/>
          </w:r>
          <w:r>
            <w:fldChar w:fldCharType="begin"/>
          </w:r>
          <w:r>
            <w:instrText xml:space="preserve"> PAGEREF _Toc7412 \h </w:instrText>
          </w:r>
          <w:r>
            <w:fldChar w:fldCharType="separate"/>
          </w:r>
          <w:r>
            <w:t>6</w:t>
          </w:r>
          <w:r>
            <w:fldChar w:fldCharType="end"/>
          </w:r>
          <w:r>
            <w:rPr>
              <w:rFonts w:hint="eastAsia" w:ascii="宋体" w:hAnsi="宋体" w:eastAsia="宋体" w:cs="宋体"/>
              <w:color w:val="auto"/>
              <w:szCs w:val="48"/>
            </w:rPr>
            <w:fldChar w:fldCharType="end"/>
          </w:r>
        </w:p>
        <w:p w14:paraId="1D796057">
          <w:pPr>
            <w:pStyle w:val="12"/>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_Toc4965 </w:instrText>
          </w:r>
          <w:r>
            <w:rPr>
              <w:rFonts w:hint="eastAsia" w:ascii="宋体" w:hAnsi="宋体" w:eastAsia="宋体" w:cs="宋体"/>
              <w:szCs w:val="48"/>
            </w:rPr>
            <w:fldChar w:fldCharType="separate"/>
          </w:r>
          <w:r>
            <w:rPr>
              <w:rFonts w:hint="eastAsia" w:ascii="宋体" w:hAnsi="宋体" w:eastAsia="宋体" w:cs="宋体"/>
              <w:highlight w:val="none"/>
              <w:lang w:val="en-US" w:eastAsia="zh-CN"/>
            </w:rPr>
            <w:t xml:space="preserve">第三章 </w:t>
          </w:r>
          <w:r>
            <w:rPr>
              <w:rFonts w:hint="eastAsia" w:ascii="宋体" w:hAnsi="宋体" w:eastAsia="宋体" w:cs="宋体"/>
              <w:highlight w:val="none"/>
              <w:lang w:eastAsia="zh-CN"/>
            </w:rPr>
            <w:t>服务内容及要求</w:t>
          </w:r>
          <w:r>
            <w:tab/>
          </w:r>
          <w:r>
            <w:fldChar w:fldCharType="begin"/>
          </w:r>
          <w:r>
            <w:instrText xml:space="preserve"> PAGEREF _Toc4965 \h </w:instrText>
          </w:r>
          <w:r>
            <w:fldChar w:fldCharType="separate"/>
          </w:r>
          <w:r>
            <w:t>23</w:t>
          </w:r>
          <w:r>
            <w:fldChar w:fldCharType="end"/>
          </w:r>
          <w:r>
            <w:rPr>
              <w:rFonts w:hint="eastAsia" w:ascii="宋体" w:hAnsi="宋体" w:eastAsia="宋体" w:cs="宋体"/>
              <w:color w:val="auto"/>
              <w:szCs w:val="48"/>
            </w:rPr>
            <w:fldChar w:fldCharType="end"/>
          </w:r>
        </w:p>
        <w:p w14:paraId="2F51DFFD">
          <w:pPr>
            <w:pStyle w:val="12"/>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_Toc17042 </w:instrText>
          </w:r>
          <w:r>
            <w:rPr>
              <w:rFonts w:hint="eastAsia" w:ascii="宋体" w:hAnsi="宋体" w:eastAsia="宋体" w:cs="宋体"/>
              <w:szCs w:val="48"/>
            </w:rPr>
            <w:fldChar w:fldCharType="separate"/>
          </w:r>
          <w:r>
            <w:rPr>
              <w:rFonts w:hint="eastAsia" w:ascii="宋体" w:hAnsi="宋体" w:eastAsia="宋体" w:cs="宋体"/>
              <w:bCs/>
              <w:szCs w:val="40"/>
            </w:rPr>
            <w:t xml:space="preserve">第四章 </w:t>
          </w:r>
          <w:r>
            <w:rPr>
              <w:rFonts w:hint="eastAsia" w:ascii="宋体" w:hAnsi="宋体" w:eastAsia="宋体" w:cs="宋体"/>
              <w:bCs/>
              <w:szCs w:val="40"/>
              <w:lang w:eastAsia="zh-CN"/>
            </w:rPr>
            <w:t>评审办法</w:t>
          </w:r>
          <w:r>
            <w:tab/>
          </w:r>
          <w:r>
            <w:fldChar w:fldCharType="begin"/>
          </w:r>
          <w:r>
            <w:instrText xml:space="preserve"> PAGEREF _Toc17042 \h </w:instrText>
          </w:r>
          <w:r>
            <w:fldChar w:fldCharType="separate"/>
          </w:r>
          <w:r>
            <w:t>24</w:t>
          </w:r>
          <w:r>
            <w:fldChar w:fldCharType="end"/>
          </w:r>
          <w:r>
            <w:rPr>
              <w:rFonts w:hint="eastAsia" w:ascii="宋体" w:hAnsi="宋体" w:eastAsia="宋体" w:cs="宋体"/>
              <w:color w:val="auto"/>
              <w:szCs w:val="48"/>
            </w:rPr>
            <w:fldChar w:fldCharType="end"/>
          </w:r>
        </w:p>
        <w:p w14:paraId="7CC6CAE7">
          <w:pPr>
            <w:pStyle w:val="12"/>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_Toc30139 </w:instrText>
          </w:r>
          <w:r>
            <w:rPr>
              <w:rFonts w:hint="eastAsia" w:ascii="宋体" w:hAnsi="宋体" w:eastAsia="宋体" w:cs="宋体"/>
              <w:szCs w:val="48"/>
            </w:rPr>
            <w:fldChar w:fldCharType="separate"/>
          </w:r>
          <w:r>
            <w:rPr>
              <w:rFonts w:hint="eastAsia" w:ascii="宋体" w:hAnsi="宋体" w:eastAsia="宋体" w:cs="宋体"/>
              <w:szCs w:val="40"/>
            </w:rPr>
            <w:t>第五章 合同主要条款及格式</w:t>
          </w:r>
          <w:r>
            <w:tab/>
          </w:r>
          <w:r>
            <w:fldChar w:fldCharType="begin"/>
          </w:r>
          <w:r>
            <w:instrText xml:space="preserve"> PAGEREF _Toc30139 \h </w:instrText>
          </w:r>
          <w:r>
            <w:fldChar w:fldCharType="separate"/>
          </w:r>
          <w:r>
            <w:t>30</w:t>
          </w:r>
          <w:r>
            <w:fldChar w:fldCharType="end"/>
          </w:r>
          <w:r>
            <w:rPr>
              <w:rFonts w:hint="eastAsia" w:ascii="宋体" w:hAnsi="宋体" w:eastAsia="宋体" w:cs="宋体"/>
              <w:color w:val="auto"/>
              <w:szCs w:val="48"/>
            </w:rPr>
            <w:fldChar w:fldCharType="end"/>
          </w:r>
        </w:p>
        <w:p w14:paraId="08460B5B">
          <w:pPr>
            <w:pStyle w:val="12"/>
            <w:tabs>
              <w:tab w:val="right" w:leader="dot" w:pos="9070"/>
              <w:tab w:val="clear" w:pos="9060"/>
            </w:tabs>
          </w:pPr>
          <w:r>
            <w:rPr>
              <w:rFonts w:hint="eastAsia" w:ascii="宋体" w:hAnsi="宋体" w:eastAsia="宋体" w:cs="宋体"/>
              <w:color w:val="auto"/>
              <w:szCs w:val="48"/>
            </w:rPr>
            <w:fldChar w:fldCharType="begin"/>
          </w:r>
          <w:r>
            <w:rPr>
              <w:rFonts w:hint="eastAsia" w:ascii="宋体" w:hAnsi="宋体" w:eastAsia="宋体" w:cs="宋体"/>
              <w:szCs w:val="48"/>
            </w:rPr>
            <w:instrText xml:space="preserve"> HYPERLINK \l _Toc29091 </w:instrText>
          </w:r>
          <w:r>
            <w:rPr>
              <w:rFonts w:hint="eastAsia" w:ascii="宋体" w:hAnsi="宋体" w:eastAsia="宋体" w:cs="宋体"/>
              <w:szCs w:val="48"/>
            </w:rPr>
            <w:fldChar w:fldCharType="separate"/>
          </w:r>
          <w:r>
            <w:rPr>
              <w:rFonts w:hint="eastAsia" w:ascii="宋体" w:hAnsi="宋体" w:eastAsia="宋体" w:cs="宋体"/>
              <w:bCs/>
              <w:szCs w:val="40"/>
            </w:rPr>
            <w:t xml:space="preserve">第六章 </w:t>
          </w:r>
          <w:r>
            <w:rPr>
              <w:rFonts w:hint="eastAsia" w:ascii="宋体" w:hAnsi="宋体" w:eastAsia="宋体" w:cs="宋体"/>
              <w:szCs w:val="32"/>
            </w:rPr>
            <w:t xml:space="preserve"> </w:t>
          </w:r>
          <w:r>
            <w:rPr>
              <w:rFonts w:hint="eastAsia" w:ascii="宋体" w:hAnsi="宋体" w:eastAsia="宋体" w:cs="宋体"/>
              <w:bCs/>
              <w:szCs w:val="40"/>
              <w:lang w:val="en-US" w:eastAsia="zh-CN"/>
            </w:rPr>
            <w:t>响应</w:t>
          </w:r>
          <w:r>
            <w:rPr>
              <w:rFonts w:hint="eastAsia" w:ascii="宋体" w:hAnsi="宋体" w:eastAsia="宋体" w:cs="宋体"/>
              <w:bCs/>
              <w:szCs w:val="40"/>
            </w:rPr>
            <w:t>文件格式</w:t>
          </w:r>
          <w:r>
            <w:tab/>
          </w:r>
          <w:r>
            <w:fldChar w:fldCharType="begin"/>
          </w:r>
          <w:r>
            <w:instrText xml:space="preserve"> PAGEREF _Toc29091 \h </w:instrText>
          </w:r>
          <w:r>
            <w:fldChar w:fldCharType="separate"/>
          </w:r>
          <w:r>
            <w:t>31</w:t>
          </w:r>
          <w:r>
            <w:fldChar w:fldCharType="end"/>
          </w:r>
          <w:r>
            <w:rPr>
              <w:rFonts w:hint="eastAsia" w:ascii="宋体" w:hAnsi="宋体" w:eastAsia="宋体" w:cs="宋体"/>
              <w:color w:val="auto"/>
              <w:szCs w:val="48"/>
            </w:rPr>
            <w:fldChar w:fldCharType="end"/>
          </w:r>
        </w:p>
        <w:p w14:paraId="5F39AF39">
          <w:pPr>
            <w:pStyle w:val="12"/>
            <w:rPr>
              <w:rFonts w:hint="eastAsia" w:ascii="宋体" w:hAnsi="宋体" w:eastAsia="宋体" w:cs="宋体"/>
              <w:color w:val="auto"/>
            </w:rPr>
          </w:pPr>
          <w:r>
            <w:rPr>
              <w:rFonts w:hint="eastAsia" w:ascii="宋体" w:hAnsi="宋体" w:eastAsia="宋体" w:cs="宋体"/>
              <w:color w:val="auto"/>
              <w:szCs w:val="48"/>
            </w:rPr>
            <w:fldChar w:fldCharType="end"/>
          </w:r>
        </w:p>
      </w:sdtContent>
    </w:sdt>
    <w:p w14:paraId="60707E9F">
      <w:pPr>
        <w:autoSpaceDE w:val="0"/>
        <w:autoSpaceDN w:val="0"/>
        <w:adjustRightInd w:val="0"/>
        <w:spacing w:before="312" w:beforeLines="100" w:after="312" w:afterLines="100" w:line="600" w:lineRule="auto"/>
        <w:jc w:val="center"/>
        <w:rPr>
          <w:rFonts w:hint="eastAsia" w:ascii="宋体" w:hAnsi="宋体" w:eastAsia="宋体" w:cs="宋体"/>
          <w:b/>
          <w:bCs/>
          <w:color w:val="auto"/>
          <w:kern w:val="0"/>
          <w:sz w:val="44"/>
          <w:szCs w:val="44"/>
        </w:rPr>
      </w:pPr>
    </w:p>
    <w:p w14:paraId="0C695776">
      <w:pPr>
        <w:autoSpaceDE w:val="0"/>
        <w:autoSpaceDN w:val="0"/>
        <w:adjustRightInd w:val="0"/>
        <w:spacing w:line="486" w:lineRule="atLeast"/>
        <w:rPr>
          <w:rFonts w:hint="eastAsia" w:ascii="宋体" w:hAnsi="宋体" w:eastAsia="宋体" w:cs="宋体"/>
          <w:b/>
          <w:bCs/>
          <w:color w:val="auto"/>
          <w:kern w:val="0"/>
          <w:sz w:val="32"/>
          <w:szCs w:val="32"/>
        </w:rPr>
      </w:pPr>
    </w:p>
    <w:p w14:paraId="39A0FDDB">
      <w:pPr>
        <w:autoSpaceDE w:val="0"/>
        <w:autoSpaceDN w:val="0"/>
        <w:adjustRightInd w:val="0"/>
        <w:spacing w:line="486" w:lineRule="atLeast"/>
        <w:rPr>
          <w:rFonts w:hint="eastAsia" w:ascii="宋体" w:hAnsi="宋体" w:eastAsia="宋体" w:cs="宋体"/>
          <w:b/>
          <w:bCs/>
          <w:color w:val="auto"/>
          <w:kern w:val="0"/>
          <w:sz w:val="32"/>
          <w:szCs w:val="32"/>
        </w:rPr>
      </w:pPr>
    </w:p>
    <w:p w14:paraId="62C88CA9">
      <w:pPr>
        <w:autoSpaceDE w:val="0"/>
        <w:autoSpaceDN w:val="0"/>
        <w:adjustRightInd w:val="0"/>
        <w:spacing w:line="486" w:lineRule="atLeast"/>
        <w:rPr>
          <w:rFonts w:hint="eastAsia" w:ascii="宋体" w:hAnsi="宋体" w:eastAsia="宋体" w:cs="宋体"/>
          <w:b/>
          <w:bCs/>
          <w:color w:val="auto"/>
          <w:kern w:val="0"/>
          <w:sz w:val="32"/>
          <w:szCs w:val="32"/>
        </w:rPr>
      </w:pPr>
    </w:p>
    <w:p w14:paraId="33025FC3">
      <w:pPr>
        <w:autoSpaceDE w:val="0"/>
        <w:autoSpaceDN w:val="0"/>
        <w:adjustRightInd w:val="0"/>
        <w:spacing w:line="486" w:lineRule="atLeast"/>
        <w:rPr>
          <w:rFonts w:hint="eastAsia" w:ascii="宋体" w:hAnsi="宋体" w:eastAsia="宋体" w:cs="宋体"/>
          <w:b/>
          <w:bCs/>
          <w:color w:val="auto"/>
          <w:kern w:val="0"/>
          <w:sz w:val="32"/>
          <w:szCs w:val="32"/>
        </w:rPr>
      </w:pPr>
    </w:p>
    <w:p w14:paraId="644724E6">
      <w:pPr>
        <w:autoSpaceDE w:val="0"/>
        <w:autoSpaceDN w:val="0"/>
        <w:adjustRightInd w:val="0"/>
        <w:spacing w:line="486" w:lineRule="atLeast"/>
        <w:rPr>
          <w:rFonts w:hint="eastAsia" w:ascii="宋体" w:hAnsi="宋体" w:eastAsia="宋体" w:cs="宋体"/>
          <w:b/>
          <w:bCs/>
          <w:color w:val="auto"/>
          <w:kern w:val="0"/>
          <w:sz w:val="32"/>
          <w:szCs w:val="32"/>
        </w:rPr>
      </w:pPr>
    </w:p>
    <w:p w14:paraId="784F30F1">
      <w:pPr>
        <w:autoSpaceDE w:val="0"/>
        <w:autoSpaceDN w:val="0"/>
        <w:adjustRightInd w:val="0"/>
        <w:spacing w:line="486" w:lineRule="atLeast"/>
        <w:rPr>
          <w:rFonts w:hint="eastAsia" w:ascii="宋体" w:hAnsi="宋体" w:eastAsia="宋体" w:cs="宋体"/>
          <w:b/>
          <w:bCs/>
          <w:color w:val="auto"/>
          <w:kern w:val="0"/>
          <w:sz w:val="32"/>
          <w:szCs w:val="32"/>
        </w:rPr>
      </w:pPr>
    </w:p>
    <w:p w14:paraId="5C3ECC04">
      <w:pPr>
        <w:jc w:val="center"/>
        <w:outlineLvl w:val="0"/>
        <w:rPr>
          <w:rFonts w:hint="eastAsia" w:ascii="宋体" w:hAnsi="宋体" w:eastAsia="宋体" w:cs="宋体"/>
          <w:color w:val="auto"/>
          <w:sz w:val="40"/>
          <w:szCs w:val="40"/>
        </w:rPr>
      </w:pPr>
      <w:r>
        <w:rPr>
          <w:rFonts w:hint="eastAsia" w:ascii="宋体" w:hAnsi="宋体" w:eastAsia="宋体" w:cs="宋体"/>
          <w:b/>
          <w:bCs/>
          <w:color w:val="auto"/>
          <w:sz w:val="40"/>
          <w:szCs w:val="40"/>
        </w:rPr>
        <w:br w:type="page"/>
      </w:r>
      <w:bookmarkStart w:id="0" w:name="_Toc21005"/>
      <w:bookmarkStart w:id="1" w:name="_Toc31146"/>
      <w:r>
        <w:rPr>
          <w:rStyle w:val="24"/>
          <w:rFonts w:hint="eastAsia" w:ascii="宋体" w:hAnsi="宋体" w:eastAsia="宋体" w:cs="宋体"/>
          <w:color w:val="auto"/>
        </w:rPr>
        <w:t xml:space="preserve">第一章 </w:t>
      </w:r>
      <w:r>
        <w:rPr>
          <w:rStyle w:val="24"/>
          <w:rFonts w:hint="eastAsia" w:ascii="宋体" w:hAnsi="宋体" w:eastAsia="宋体" w:cs="宋体"/>
          <w:color w:val="auto"/>
          <w:lang w:val="en-US" w:eastAsia="zh-CN"/>
        </w:rPr>
        <w:t>竞争性磋商</w:t>
      </w:r>
      <w:r>
        <w:rPr>
          <w:rStyle w:val="24"/>
          <w:rFonts w:hint="eastAsia" w:ascii="宋体" w:hAnsi="宋体" w:eastAsia="宋体" w:cs="宋体"/>
          <w:color w:val="auto"/>
        </w:rPr>
        <w:t>公告</w:t>
      </w:r>
      <w:bookmarkEnd w:id="0"/>
      <w:bookmarkEnd w:id="1"/>
    </w:p>
    <w:p w14:paraId="6EDC8440">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r>
        <w:rPr>
          <w:rFonts w:hint="eastAsia" w:ascii="宋体" w:hAnsi="宋体" w:eastAsia="宋体" w:cs="宋体"/>
          <w:kern w:val="0"/>
          <w:sz w:val="24"/>
          <w:szCs w:val="24"/>
          <w:shd w:val="clear" w:color="auto" w:fill="auto"/>
        </w:rPr>
        <w:t>的潜在投标人应在三门峡市公共资源交易中心平台获取</w:t>
      </w:r>
      <w:r>
        <w:rPr>
          <w:rFonts w:hint="eastAsia" w:ascii="宋体" w:hAnsi="宋体" w:cs="宋体"/>
          <w:kern w:val="0"/>
          <w:sz w:val="24"/>
          <w:szCs w:val="24"/>
          <w:shd w:val="clear" w:color="auto" w:fill="auto"/>
          <w:lang w:eastAsia="zh-CN"/>
        </w:rPr>
        <w:t>磋商</w:t>
      </w:r>
      <w:r>
        <w:rPr>
          <w:rFonts w:hint="eastAsia" w:ascii="宋体" w:hAnsi="宋体" w:eastAsia="宋体" w:cs="宋体"/>
          <w:kern w:val="0"/>
          <w:sz w:val="24"/>
          <w:szCs w:val="24"/>
          <w:shd w:val="clear" w:color="auto" w:fill="auto"/>
        </w:rPr>
        <w:t>文件，并于</w:t>
      </w:r>
      <w:r>
        <w:rPr>
          <w:rFonts w:hint="eastAsia" w:ascii="宋体" w:hAnsi="宋体" w:eastAsia="宋体" w:cs="宋体"/>
          <w:kern w:val="0"/>
          <w:sz w:val="24"/>
          <w:szCs w:val="24"/>
          <w:highlight w:val="none"/>
          <w:shd w:val="clear" w:color="auto" w:fill="auto"/>
        </w:rPr>
        <w:t>202</w:t>
      </w:r>
      <w:r>
        <w:rPr>
          <w:rFonts w:hint="eastAsia" w:ascii="宋体" w:hAnsi="宋体" w:eastAsia="宋体" w:cs="宋体"/>
          <w:kern w:val="0"/>
          <w:sz w:val="24"/>
          <w:szCs w:val="24"/>
          <w:highlight w:val="none"/>
          <w:shd w:val="clear" w:color="auto" w:fill="auto"/>
          <w:lang w:val="en-US" w:eastAsia="zh-CN"/>
        </w:rPr>
        <w:t>5</w:t>
      </w:r>
      <w:r>
        <w:rPr>
          <w:rFonts w:hint="eastAsia" w:ascii="宋体" w:hAnsi="宋体" w:eastAsia="宋体" w:cs="宋体"/>
          <w:kern w:val="0"/>
          <w:sz w:val="24"/>
          <w:szCs w:val="24"/>
          <w:highlight w:val="none"/>
          <w:shd w:val="clear" w:color="auto" w:fill="auto"/>
        </w:rPr>
        <w:t>年</w:t>
      </w:r>
      <w:r>
        <w:rPr>
          <w:rFonts w:hint="eastAsia" w:ascii="宋体" w:hAnsi="宋体" w:eastAsia="宋体" w:cs="宋体"/>
          <w:kern w:val="0"/>
          <w:sz w:val="24"/>
          <w:szCs w:val="24"/>
          <w:highlight w:val="none"/>
          <w:shd w:val="clear" w:color="auto" w:fill="auto"/>
          <w:lang w:val="en-US" w:eastAsia="zh-CN"/>
        </w:rPr>
        <w:t>10</w:t>
      </w:r>
      <w:r>
        <w:rPr>
          <w:rFonts w:hint="eastAsia" w:ascii="宋体" w:hAnsi="宋体" w:eastAsia="宋体" w:cs="宋体"/>
          <w:kern w:val="0"/>
          <w:sz w:val="24"/>
          <w:szCs w:val="24"/>
          <w:highlight w:val="none"/>
          <w:shd w:val="clear" w:color="auto" w:fill="auto"/>
        </w:rPr>
        <w:t>月</w:t>
      </w:r>
      <w:r>
        <w:rPr>
          <w:rFonts w:hint="eastAsia" w:ascii="宋体" w:hAnsi="宋体" w:cs="宋体"/>
          <w:kern w:val="0"/>
          <w:sz w:val="24"/>
          <w:szCs w:val="24"/>
          <w:highlight w:val="none"/>
          <w:shd w:val="clear" w:color="auto" w:fill="auto"/>
          <w:lang w:val="en-US" w:eastAsia="zh-CN"/>
        </w:rPr>
        <w:t>29</w:t>
      </w:r>
      <w:r>
        <w:rPr>
          <w:rFonts w:hint="eastAsia" w:ascii="宋体" w:hAnsi="宋体" w:eastAsia="宋体" w:cs="宋体"/>
          <w:kern w:val="0"/>
          <w:sz w:val="24"/>
          <w:szCs w:val="24"/>
          <w:highlight w:val="none"/>
          <w:shd w:val="clear" w:color="auto" w:fill="auto"/>
        </w:rPr>
        <w:t>日</w:t>
      </w:r>
      <w:r>
        <w:rPr>
          <w:rFonts w:hint="eastAsia" w:ascii="宋体" w:hAnsi="宋体" w:eastAsia="宋体" w:cs="宋体"/>
          <w:kern w:val="0"/>
          <w:sz w:val="24"/>
          <w:szCs w:val="24"/>
          <w:highlight w:val="none"/>
          <w:shd w:val="clear" w:color="auto" w:fill="auto"/>
          <w:lang w:val="en-US" w:eastAsia="zh-CN"/>
        </w:rPr>
        <w:t>08</w:t>
      </w:r>
      <w:r>
        <w:rPr>
          <w:rFonts w:hint="eastAsia" w:ascii="宋体" w:hAnsi="宋体" w:eastAsia="宋体" w:cs="宋体"/>
          <w:kern w:val="0"/>
          <w:sz w:val="24"/>
          <w:szCs w:val="24"/>
          <w:highlight w:val="none"/>
          <w:shd w:val="clear" w:color="auto" w:fill="auto"/>
        </w:rPr>
        <w:t>时</w:t>
      </w:r>
      <w:r>
        <w:rPr>
          <w:rFonts w:hint="eastAsia" w:ascii="宋体" w:hAnsi="宋体" w:cs="宋体"/>
          <w:kern w:val="0"/>
          <w:sz w:val="24"/>
          <w:szCs w:val="24"/>
          <w:highlight w:val="none"/>
          <w:shd w:val="clear" w:color="auto" w:fill="auto"/>
          <w:lang w:val="en-US" w:eastAsia="zh-CN"/>
        </w:rPr>
        <w:t>20</w:t>
      </w:r>
      <w:r>
        <w:rPr>
          <w:rFonts w:hint="eastAsia" w:ascii="宋体" w:hAnsi="宋体" w:eastAsia="宋体" w:cs="宋体"/>
          <w:kern w:val="0"/>
          <w:sz w:val="24"/>
          <w:szCs w:val="24"/>
          <w:highlight w:val="none"/>
          <w:shd w:val="clear" w:color="auto" w:fill="auto"/>
        </w:rPr>
        <w:t>分</w:t>
      </w:r>
      <w:r>
        <w:rPr>
          <w:rFonts w:hint="eastAsia" w:ascii="宋体" w:hAnsi="宋体" w:eastAsia="宋体" w:cs="宋体"/>
          <w:kern w:val="0"/>
          <w:sz w:val="24"/>
          <w:szCs w:val="24"/>
          <w:shd w:val="clear" w:color="auto" w:fill="auto"/>
        </w:rPr>
        <w:t>（北京时间）前递交响应文件</w:t>
      </w:r>
      <w:r>
        <w:rPr>
          <w:rFonts w:hint="eastAsia" w:ascii="宋体" w:hAnsi="宋体" w:eastAsia="宋体" w:cs="宋体"/>
          <w:kern w:val="0"/>
          <w:sz w:val="24"/>
          <w:szCs w:val="24"/>
        </w:rPr>
        <w:t>。</w:t>
      </w:r>
    </w:p>
    <w:p w14:paraId="57A4B20C">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一、项目基本情况：</w:t>
      </w:r>
    </w:p>
    <w:p w14:paraId="1AF67A62">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采购</w:t>
      </w: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编号：SGZ[2025]433-ZC292；示范竞磋采购-2025-36</w:t>
      </w:r>
    </w:p>
    <w:p w14:paraId="6547479F">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项目名称：</w:t>
      </w: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p>
    <w:p w14:paraId="7086EEC2">
      <w:pPr>
        <w:spacing w:line="360" w:lineRule="auto"/>
        <w:ind w:firstLine="480" w:firstLineChars="200"/>
        <w:jc w:val="left"/>
        <w:rPr>
          <w:rFonts w:hint="eastAsia" w:ascii="宋体" w:hAnsi="宋体" w:eastAsia="宋体" w:cs="宋体"/>
          <w:color w:val="444444"/>
          <w:kern w:val="0"/>
          <w:sz w:val="24"/>
          <w:szCs w:val="24"/>
          <w:lang w:val="en-US" w:eastAsia="zh-CN" w:bidi="ar"/>
        </w:rPr>
      </w:pPr>
      <w:r>
        <w:rPr>
          <w:rFonts w:hint="eastAsia" w:ascii="宋体" w:hAnsi="宋体" w:eastAsia="宋体" w:cs="宋体"/>
          <w:kern w:val="0"/>
          <w:sz w:val="24"/>
          <w:szCs w:val="24"/>
        </w:rPr>
        <w:t>3、采购方式</w:t>
      </w:r>
      <w:r>
        <w:rPr>
          <w:rFonts w:hint="eastAsia" w:ascii="宋体" w:hAnsi="宋体" w:eastAsia="宋体" w:cs="宋体"/>
          <w:color w:val="444444"/>
          <w:kern w:val="0"/>
          <w:sz w:val="24"/>
          <w:szCs w:val="24"/>
          <w:lang w:val="en-US" w:eastAsia="zh-CN" w:bidi="ar"/>
        </w:rPr>
        <w:t>：竞争性磋商</w:t>
      </w:r>
    </w:p>
    <w:p w14:paraId="752DA639">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4、预算金额：</w:t>
      </w:r>
      <w:r>
        <w:rPr>
          <w:rFonts w:hint="eastAsia" w:ascii="宋体" w:hAnsi="宋体" w:eastAsia="宋体" w:cs="宋体"/>
          <w:kern w:val="0"/>
          <w:sz w:val="24"/>
          <w:szCs w:val="24"/>
          <w:highlight w:val="none"/>
          <w:lang w:val="en-US" w:eastAsia="zh-CN"/>
        </w:rPr>
        <w:t>900000</w:t>
      </w:r>
      <w:r>
        <w:rPr>
          <w:rFonts w:hint="eastAsia" w:ascii="宋体" w:hAnsi="宋体" w:eastAsia="宋体" w:cs="宋体"/>
          <w:kern w:val="0"/>
          <w:sz w:val="24"/>
          <w:szCs w:val="24"/>
          <w:highlight w:val="none"/>
        </w:rPr>
        <w:t>元</w:t>
      </w:r>
    </w:p>
    <w:p w14:paraId="636A90BA">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最高限价：</w:t>
      </w:r>
      <w:r>
        <w:rPr>
          <w:rFonts w:hint="eastAsia" w:ascii="宋体" w:hAnsi="宋体" w:eastAsia="宋体" w:cs="宋体"/>
          <w:kern w:val="0"/>
          <w:sz w:val="24"/>
          <w:szCs w:val="24"/>
          <w:highlight w:val="none"/>
          <w:lang w:val="en-US" w:eastAsia="zh-CN"/>
        </w:rPr>
        <w:t>900000</w:t>
      </w:r>
      <w:r>
        <w:rPr>
          <w:rFonts w:hint="eastAsia" w:ascii="宋体" w:hAnsi="宋体" w:eastAsia="宋体" w:cs="宋体"/>
          <w:kern w:val="0"/>
          <w:sz w:val="24"/>
          <w:szCs w:val="24"/>
          <w:highlight w:val="none"/>
        </w:rPr>
        <w:t>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85"/>
        <w:gridCol w:w="2485"/>
        <w:gridCol w:w="983"/>
        <w:gridCol w:w="1129"/>
        <w:gridCol w:w="1113"/>
        <w:gridCol w:w="1327"/>
      </w:tblGrid>
      <w:tr w14:paraId="2BF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75" w:type="dxa"/>
            <w:noWrap/>
            <w:vAlign w:val="center"/>
          </w:tcPr>
          <w:p w14:paraId="19F1404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985" w:type="dxa"/>
            <w:noWrap/>
            <w:vAlign w:val="center"/>
          </w:tcPr>
          <w:p w14:paraId="5535BC3A">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highlight w:val="none"/>
              </w:rPr>
              <w:t>包号</w:t>
            </w:r>
          </w:p>
        </w:tc>
        <w:tc>
          <w:tcPr>
            <w:tcW w:w="2485" w:type="dxa"/>
            <w:noWrap/>
            <w:vAlign w:val="center"/>
          </w:tcPr>
          <w:p w14:paraId="032A71B1">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983" w:type="dxa"/>
            <w:noWrap/>
            <w:vAlign w:val="center"/>
          </w:tcPr>
          <w:p w14:paraId="5A4F057A">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包预算（元）</w:t>
            </w:r>
          </w:p>
        </w:tc>
        <w:tc>
          <w:tcPr>
            <w:tcW w:w="1129" w:type="dxa"/>
            <w:noWrap/>
            <w:vAlign w:val="center"/>
          </w:tcPr>
          <w:p w14:paraId="4A85CE07">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包最高限价（元）</w:t>
            </w:r>
          </w:p>
        </w:tc>
        <w:tc>
          <w:tcPr>
            <w:tcW w:w="1113" w:type="dxa"/>
            <w:noWrap/>
            <w:vAlign w:val="center"/>
          </w:tcPr>
          <w:p w14:paraId="5693EA96">
            <w:pPr>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是</w:t>
            </w:r>
            <w:r>
              <w:rPr>
                <w:rFonts w:hint="eastAsia" w:ascii="宋体" w:hAnsi="宋体" w:eastAsia="宋体" w:cs="宋体"/>
                <w:kern w:val="0"/>
                <w:sz w:val="24"/>
                <w:szCs w:val="24"/>
                <w:lang w:val="en-US" w:eastAsia="zh-CN"/>
              </w:rPr>
              <w:t>否专门面向中小企业</w:t>
            </w:r>
          </w:p>
        </w:tc>
        <w:tc>
          <w:tcPr>
            <w:tcW w:w="1327" w:type="dxa"/>
            <w:noWrap/>
            <w:vAlign w:val="center"/>
          </w:tcPr>
          <w:p w14:paraId="3877339F">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预留金额</w:t>
            </w:r>
            <w:r>
              <w:rPr>
                <w:rFonts w:hint="eastAsia" w:ascii="宋体" w:hAnsi="宋体" w:eastAsia="宋体" w:cs="宋体"/>
                <w:kern w:val="0"/>
                <w:sz w:val="24"/>
                <w:szCs w:val="24"/>
              </w:rPr>
              <w:t>（元）</w:t>
            </w:r>
          </w:p>
        </w:tc>
      </w:tr>
      <w:tr w14:paraId="28F1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875" w:type="dxa"/>
            <w:noWrap/>
            <w:vAlign w:val="center"/>
          </w:tcPr>
          <w:p w14:paraId="401AA639">
            <w:pPr>
              <w:widowControl/>
              <w:shd w:val="clear" w:color="auto" w:fill="auto"/>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5" w:type="dxa"/>
            <w:noWrap/>
            <w:vAlign w:val="center"/>
          </w:tcPr>
          <w:p w14:paraId="4CC9C0E6">
            <w:pPr>
              <w:widowControl/>
              <w:shd w:val="clear" w:color="auto" w:fill="auto"/>
              <w:spacing w:line="360" w:lineRule="auto"/>
              <w:jc w:val="center"/>
              <w:rPr>
                <w:rFonts w:hint="default" w:ascii="宋体" w:hAnsi="宋体" w:eastAsia="微软雅黑" w:cs="宋体"/>
                <w:kern w:val="0"/>
                <w:sz w:val="24"/>
                <w:szCs w:val="24"/>
                <w:lang w:val="en-US" w:eastAsia="zh-CN"/>
              </w:rPr>
            </w:pPr>
            <w:r>
              <w:rPr>
                <w:rFonts w:hint="eastAsia" w:ascii="宋体" w:hAnsi="宋体" w:eastAsia="宋体" w:cs="宋体"/>
                <w:kern w:val="0"/>
                <w:sz w:val="24"/>
                <w:szCs w:val="24"/>
                <w:highlight w:val="none"/>
                <w:lang w:val="en-US" w:eastAsia="zh-CN"/>
              </w:rPr>
              <w:t>SGZ[2025]433-ZC292-1</w:t>
            </w:r>
          </w:p>
        </w:tc>
        <w:tc>
          <w:tcPr>
            <w:tcW w:w="2485" w:type="dxa"/>
            <w:noWrap/>
            <w:vAlign w:val="center"/>
          </w:tcPr>
          <w:p w14:paraId="49A12BD2">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kern w:val="0"/>
                <w:sz w:val="24"/>
                <w:szCs w:val="24"/>
              </w:rPr>
            </w:pP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p>
        </w:tc>
        <w:tc>
          <w:tcPr>
            <w:tcW w:w="983" w:type="dxa"/>
            <w:noWrap/>
            <w:vAlign w:val="center"/>
          </w:tcPr>
          <w:p w14:paraId="4E6D7D87">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lang w:val="en-US" w:eastAsia="zh-CN"/>
              </w:rPr>
              <w:t>900000</w:t>
            </w:r>
          </w:p>
        </w:tc>
        <w:tc>
          <w:tcPr>
            <w:tcW w:w="1129" w:type="dxa"/>
            <w:noWrap/>
            <w:vAlign w:val="center"/>
          </w:tcPr>
          <w:p w14:paraId="39943E36">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lang w:val="en-US" w:eastAsia="zh-CN"/>
              </w:rPr>
              <w:t>900000</w:t>
            </w:r>
          </w:p>
        </w:tc>
        <w:tc>
          <w:tcPr>
            <w:tcW w:w="1113" w:type="dxa"/>
            <w:noWrap/>
            <w:vAlign w:val="center"/>
          </w:tcPr>
          <w:p w14:paraId="4C89DB2D">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是</w:t>
            </w:r>
          </w:p>
        </w:tc>
        <w:tc>
          <w:tcPr>
            <w:tcW w:w="1327" w:type="dxa"/>
            <w:noWrap/>
            <w:vAlign w:val="center"/>
          </w:tcPr>
          <w:p w14:paraId="64A2EFA2">
            <w:pPr>
              <w:spacing w:line="360" w:lineRule="auto"/>
              <w:jc w:val="center"/>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900000</w:t>
            </w:r>
          </w:p>
        </w:tc>
      </w:tr>
    </w:tbl>
    <w:p w14:paraId="17AFD3B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4974362F">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w:t>
      </w:r>
      <w:r>
        <w:rPr>
          <w:rFonts w:hint="eastAsia" w:ascii="宋体" w:hAnsi="宋体" w:eastAsia="宋体" w:cs="宋体"/>
          <w:spacing w:val="0"/>
          <w:w w:val="100"/>
          <w:kern w:val="0"/>
          <w:sz w:val="24"/>
          <w:szCs w:val="24"/>
          <w:highlight w:val="none"/>
          <w:lang w:val="en-US" w:eastAsia="zh-CN"/>
        </w:rPr>
        <w:t>本项目为</w:t>
      </w: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r>
        <w:rPr>
          <w:rFonts w:hint="eastAsia" w:ascii="宋体" w:hAnsi="宋体" w:eastAsia="宋体" w:cs="宋体"/>
          <w:spacing w:val="0"/>
          <w:w w:val="100"/>
          <w:kern w:val="0"/>
          <w:sz w:val="24"/>
          <w:szCs w:val="24"/>
          <w:highlight w:val="none"/>
          <w:lang w:val="en-US" w:eastAsia="zh-CN"/>
        </w:rPr>
        <w:t>，</w:t>
      </w:r>
      <w:r>
        <w:rPr>
          <w:rFonts w:hint="eastAsia" w:ascii="宋体" w:hAnsi="宋体" w:eastAsia="宋体" w:cs="宋体"/>
          <w:color w:val="auto"/>
          <w:spacing w:val="0"/>
          <w:w w:val="100"/>
          <w:kern w:val="0"/>
          <w:sz w:val="24"/>
          <w:szCs w:val="24"/>
          <w:highlight w:val="none"/>
          <w:lang w:val="en-US" w:eastAsia="zh-CN"/>
        </w:rPr>
        <w:t>项目内容为：</w:t>
      </w:r>
      <w:r>
        <w:rPr>
          <w:rFonts w:hint="eastAsia" w:ascii="宋体" w:hAnsi="宋体" w:eastAsia="宋体" w:cs="宋体"/>
          <w:color w:val="auto"/>
          <w:kern w:val="2"/>
          <w:sz w:val="24"/>
          <w:szCs w:val="24"/>
          <w:highlight w:val="none"/>
          <w:lang w:val="en-US" w:eastAsia="zh-CN" w:bidi="ar-SA"/>
        </w:rPr>
        <w:t>三门峡市城乡一体化示范区城乡融合(现代农业产业园)发展规划编制;区域涉及阳店镇、大王镇，区域总面积约286平方公里</w:t>
      </w:r>
      <w:r>
        <w:rPr>
          <w:rFonts w:hint="eastAsia" w:ascii="宋体" w:hAnsi="宋体" w:eastAsia="宋体" w:cs="宋体"/>
          <w:color w:val="auto"/>
          <w:kern w:val="0"/>
          <w:sz w:val="24"/>
          <w:szCs w:val="24"/>
          <w:highlight w:val="none"/>
        </w:rPr>
        <w:t>。</w:t>
      </w:r>
    </w:p>
    <w:p w14:paraId="686CAB8D">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73DA2CAF">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5.3项目地点：</w:t>
      </w:r>
      <w:r>
        <w:rPr>
          <w:rFonts w:hint="eastAsia" w:ascii="宋体" w:hAnsi="宋体" w:eastAsia="宋体" w:cs="宋体"/>
          <w:spacing w:val="0"/>
          <w:w w:val="100"/>
          <w:kern w:val="0"/>
          <w:sz w:val="24"/>
          <w:szCs w:val="24"/>
          <w:highlight w:val="none"/>
          <w:u w:val="none"/>
          <w:lang w:val="en-US" w:eastAsia="zh-CN"/>
        </w:rPr>
        <w:t>三门峡市城乡一体化示范区</w:t>
      </w:r>
    </w:p>
    <w:p w14:paraId="0C3E7013">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5.4服务周期：</w:t>
      </w:r>
      <w:r>
        <w:rPr>
          <w:rFonts w:hint="eastAsia" w:ascii="宋体" w:hAnsi="宋体" w:eastAsia="宋体" w:cs="宋体"/>
          <w:color w:val="auto"/>
          <w:sz w:val="24"/>
          <w:szCs w:val="24"/>
          <w:highlight w:val="none"/>
          <w:lang w:val="en-US" w:eastAsia="zh-CN"/>
        </w:rPr>
        <w:t>自签订合同之日起至现代农业产业园发展规划项⽬编制完成之日止</w:t>
      </w:r>
    </w:p>
    <w:p w14:paraId="2AE27FB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w:t>
      </w:r>
      <w:r>
        <w:rPr>
          <w:rFonts w:hint="eastAsia" w:ascii="宋体" w:hAnsi="宋体" w:eastAsia="宋体" w:cs="宋体"/>
          <w:sz w:val="24"/>
          <w:szCs w:val="24"/>
          <w:lang w:val="en-US" w:eastAsia="zh-CN"/>
        </w:rPr>
        <w:t>合格，符合国家相关法律、法规及规范要求，满足采购人要求</w:t>
      </w:r>
    </w:p>
    <w:p w14:paraId="35909AA2">
      <w:pPr>
        <w:spacing w:line="360" w:lineRule="auto"/>
        <w:ind w:firstLine="480" w:firstLineChars="200"/>
        <w:jc w:val="left"/>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按合同约定执行。</w:t>
      </w:r>
    </w:p>
    <w:p w14:paraId="0E69BA35">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7、本项目是否接受联合体投标：</w:t>
      </w:r>
      <w:r>
        <w:rPr>
          <w:rFonts w:hint="eastAsia" w:ascii="宋体" w:hAnsi="宋体" w:cs="宋体"/>
          <w:kern w:val="0"/>
          <w:sz w:val="24"/>
          <w:szCs w:val="24"/>
          <w:highlight w:val="none"/>
          <w:lang w:val="en-US" w:eastAsia="zh-CN"/>
        </w:rPr>
        <w:t>否</w:t>
      </w:r>
    </w:p>
    <w:p w14:paraId="34FD906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14:paraId="44AF892D">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9、是否专门面向中小企业：</w:t>
      </w:r>
      <w:r>
        <w:rPr>
          <w:rFonts w:hint="eastAsia" w:ascii="宋体" w:hAnsi="宋体" w:eastAsia="宋体" w:cs="宋体"/>
          <w:kern w:val="0"/>
          <w:sz w:val="24"/>
          <w:szCs w:val="24"/>
          <w:highlight w:val="none"/>
          <w:lang w:val="en-US" w:eastAsia="zh-CN"/>
        </w:rPr>
        <w:t>是</w:t>
      </w:r>
    </w:p>
    <w:p w14:paraId="3EC93850">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二、申请人资格要求：</w:t>
      </w:r>
    </w:p>
    <w:p w14:paraId="421AEA37">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1、满足《中华人民共和国政府采购法》第二十二条规定； </w:t>
      </w:r>
    </w:p>
    <w:p w14:paraId="3EBC6EC4">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2、落实政府采购政策满足的资格要求：本项目专门面向中小企业，供应商应为中小微企业（监狱企业、残疾人福利性企业视同小微企业）。</w:t>
      </w:r>
    </w:p>
    <w:p w14:paraId="3F01E981">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14:paraId="65D9B5B1">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 xml:space="preserve">3.1 </w:t>
      </w:r>
      <w:r>
        <w:rPr>
          <w:rFonts w:hint="eastAsia" w:ascii="宋体" w:hAnsi="宋体" w:eastAsia="宋体" w:cs="宋体"/>
          <w:kern w:val="0"/>
          <w:sz w:val="24"/>
          <w:szCs w:val="24"/>
          <w:highlight w:val="none"/>
          <w:lang w:eastAsia="zh-CN"/>
        </w:rPr>
        <w:t>供应商具备有效</w:t>
      </w:r>
      <w:r>
        <w:rPr>
          <w:rFonts w:hint="eastAsia" w:ascii="宋体" w:hAnsi="宋体" w:eastAsia="宋体" w:cs="宋体"/>
          <w:kern w:val="0"/>
          <w:sz w:val="24"/>
          <w:szCs w:val="24"/>
          <w:lang w:eastAsia="zh-CN"/>
        </w:rPr>
        <w:t>的营业执照。</w:t>
      </w:r>
    </w:p>
    <w:p w14:paraId="31DF4F33">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 供应商</w:t>
      </w:r>
      <w:r>
        <w:rPr>
          <w:rFonts w:hint="eastAsia" w:ascii="宋体" w:hAnsi="宋体" w:eastAsia="宋体" w:cs="宋体"/>
          <w:color w:val="444444"/>
          <w:kern w:val="0"/>
          <w:sz w:val="24"/>
          <w:szCs w:val="24"/>
          <w:lang w:val="en-US" w:eastAsia="zh-CN" w:bidi="ar"/>
        </w:rPr>
        <w:t>须具有相关主管部门核发</w:t>
      </w:r>
      <w:r>
        <w:rPr>
          <w:rFonts w:hint="eastAsia" w:ascii="宋体" w:hAnsi="宋体" w:eastAsia="宋体" w:cs="宋体"/>
          <w:color w:val="444444"/>
          <w:kern w:val="0"/>
          <w:sz w:val="24"/>
          <w:szCs w:val="24"/>
          <w:highlight w:val="none"/>
          <w:lang w:val="en-US" w:eastAsia="zh-CN" w:bidi="ar"/>
        </w:rPr>
        <w:t>的城乡规划编制乙级及以上资质</w:t>
      </w:r>
      <w:r>
        <w:rPr>
          <w:rFonts w:hint="eastAsia" w:ascii="宋体" w:hAnsi="宋体" w:eastAsia="宋体" w:cs="宋体"/>
          <w:kern w:val="0"/>
          <w:sz w:val="24"/>
          <w:szCs w:val="24"/>
          <w:highlight w:val="none"/>
          <w:lang w:val="en-US" w:eastAsia="zh-CN"/>
        </w:rPr>
        <w:t>；</w:t>
      </w:r>
    </w:p>
    <w:p w14:paraId="735373B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444444"/>
          <w:kern w:val="0"/>
          <w:sz w:val="24"/>
          <w:szCs w:val="24"/>
          <w:lang w:val="en-US" w:eastAsia="zh-CN" w:bidi="ar"/>
        </w:rPr>
      </w:pPr>
      <w:r>
        <w:rPr>
          <w:rFonts w:hint="eastAsia" w:ascii="宋体" w:hAnsi="宋体" w:eastAsia="宋体" w:cs="宋体"/>
          <w:kern w:val="0"/>
          <w:sz w:val="24"/>
          <w:szCs w:val="24"/>
          <w:highlight w:val="none"/>
          <w:lang w:val="en-US" w:eastAsia="zh-CN"/>
        </w:rPr>
        <w:t xml:space="preserve">3.3 </w:t>
      </w:r>
      <w:r>
        <w:rPr>
          <w:rFonts w:hint="eastAsia" w:ascii="宋体" w:hAnsi="宋体" w:eastAsia="宋体" w:cs="宋体"/>
          <w:color w:val="444444"/>
          <w:kern w:val="0"/>
          <w:sz w:val="24"/>
          <w:szCs w:val="24"/>
          <w:lang w:val="en-US" w:eastAsia="zh-CN" w:bidi="ar"/>
        </w:rPr>
        <w:t>拟派项目负责人应具有注册城乡规划师资格证书，且同时具有高级及以上职称（需提供项目负责人证书及社保缴纳证明）；</w:t>
      </w:r>
    </w:p>
    <w:p w14:paraId="0AD7FE63">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供应商出具无行贿记录</w:t>
      </w:r>
      <w:r>
        <w:rPr>
          <w:rFonts w:hint="eastAsia"/>
          <w:lang w:eastAsia="zh-CN"/>
        </w:rPr>
        <w:t>，</w:t>
      </w:r>
      <w:r>
        <w:rPr>
          <w:rFonts w:hint="eastAsia" w:ascii="宋体" w:hAnsi="宋体" w:eastAsia="宋体" w:cs="宋体"/>
          <w:kern w:val="0"/>
          <w:sz w:val="24"/>
          <w:szCs w:val="24"/>
        </w:rPr>
        <w:t>在中国裁判文书网自行查询或自行承诺（查询</w:t>
      </w:r>
      <w:r>
        <w:rPr>
          <w:rFonts w:hint="eastAsia" w:ascii="宋体" w:hAnsi="宋体" w:cs="宋体"/>
          <w:kern w:val="0"/>
          <w:sz w:val="24"/>
          <w:szCs w:val="24"/>
          <w:lang w:val="en-US" w:eastAsia="zh-CN"/>
        </w:rPr>
        <w:t>/承诺</w:t>
      </w:r>
      <w:r>
        <w:rPr>
          <w:rFonts w:hint="eastAsia" w:ascii="宋体" w:hAnsi="宋体" w:eastAsia="宋体" w:cs="宋体"/>
          <w:kern w:val="0"/>
          <w:sz w:val="24"/>
          <w:szCs w:val="24"/>
        </w:rPr>
        <w:t>对象：企业、法定代表人）及企业自行承诺无商业贿赂和不正当竞争行为；</w:t>
      </w:r>
    </w:p>
    <w:p w14:paraId="55AEEC11">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xml:space="preserve">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kern w:val="0"/>
          <w:sz w:val="24"/>
          <w:szCs w:val="24"/>
          <w:lang w:eastAsia="zh-CN"/>
        </w:rPr>
        <w:t>；</w:t>
      </w:r>
    </w:p>
    <w:p w14:paraId="14A180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3.6 </w:t>
      </w:r>
      <w:r>
        <w:rPr>
          <w:rFonts w:hint="eastAsia" w:ascii="宋体" w:hAnsi="宋体" w:eastAsia="宋体" w:cs="宋体"/>
          <w:color w:val="444444"/>
          <w:kern w:val="0"/>
          <w:sz w:val="24"/>
          <w:szCs w:val="24"/>
          <w:lang w:val="en-US" w:eastAsia="zh-CN" w:bidi="ar"/>
        </w:rPr>
        <w:t>本项目不接受联合体投标（提供承诺函）。</w:t>
      </w:r>
    </w:p>
    <w:p w14:paraId="246F979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三、获取</w:t>
      </w:r>
      <w:r>
        <w:rPr>
          <w:rFonts w:hint="eastAsia" w:ascii="宋体" w:hAnsi="宋体" w:cs="宋体"/>
          <w:b/>
          <w:bCs/>
          <w:kern w:val="0"/>
          <w:sz w:val="24"/>
          <w:szCs w:val="24"/>
          <w:highlight w:val="none"/>
          <w:lang w:eastAsia="zh-CN"/>
        </w:rPr>
        <w:t>磋商</w:t>
      </w:r>
      <w:r>
        <w:rPr>
          <w:rFonts w:hint="eastAsia" w:ascii="宋体" w:hAnsi="宋体" w:eastAsia="宋体" w:cs="宋体"/>
          <w:b/>
          <w:bCs/>
          <w:kern w:val="0"/>
          <w:sz w:val="24"/>
          <w:szCs w:val="24"/>
          <w:highlight w:val="none"/>
        </w:rPr>
        <w:t>文件：</w:t>
      </w:r>
    </w:p>
    <w:p w14:paraId="6EDF981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14</w:t>
      </w:r>
      <w:r>
        <w:rPr>
          <w:rFonts w:hint="eastAsia" w:ascii="宋体" w:hAnsi="宋体" w:eastAsia="宋体" w:cs="宋体"/>
          <w:kern w:val="0"/>
          <w:sz w:val="24"/>
          <w:szCs w:val="24"/>
          <w:highlight w:val="none"/>
        </w:rPr>
        <w:t>日至 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28</w:t>
      </w:r>
      <w:r>
        <w:rPr>
          <w:rFonts w:hint="eastAsia" w:ascii="宋体" w:hAnsi="宋体" w:eastAsia="宋体" w:cs="宋体"/>
          <w:kern w:val="0"/>
          <w:sz w:val="24"/>
          <w:szCs w:val="24"/>
          <w:highlight w:val="none"/>
        </w:rPr>
        <w:t>日，每天上午00:00至12:00，下午12:00至23:59（北京时间，法定节假日除外。）</w:t>
      </w:r>
    </w:p>
    <w:p w14:paraId="4FCA8F5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2、地点：三门峡市公共资源交易中心网（网址：http://gzjy.smx.gov.cn/）</w:t>
      </w:r>
    </w:p>
    <w:p w14:paraId="19271A7A">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3、方式：本项目没有报名环节，投标</w:t>
      </w:r>
      <w:r>
        <w:rPr>
          <w:rFonts w:hint="eastAsia" w:ascii="宋体" w:hAnsi="宋体" w:eastAsia="宋体" w:cs="宋体"/>
          <w:kern w:val="0"/>
          <w:sz w:val="24"/>
          <w:szCs w:val="24"/>
          <w:highlight w:val="none"/>
          <w:lang w:eastAsia="zh-CN"/>
        </w:rPr>
        <w:t>供应商凭CA数字证书通过三门峡市公共资源交易中心网（网址：http://gzjy.smx.gov.cn/），点击交易平台选择“市场主体登录”，登陆系统后，点击采购业务-业务管理-竞争性磋商文件领取菜单-点击领取按钮-领取.smxzf格式的电子竞争性磋商文件。办理CA证书：http://gzjy.smx.gov.cn/bzzx/008001/20231102/4defc9b5-408e-47f2-9e9f-1f376a06ee1f.html</w:t>
      </w:r>
      <w:r>
        <w:rPr>
          <w:rFonts w:hint="eastAsia" w:ascii="宋体" w:hAnsi="宋体" w:eastAsia="宋体" w:cs="宋体"/>
          <w:kern w:val="0"/>
          <w:sz w:val="24"/>
          <w:szCs w:val="24"/>
          <w:highlight w:val="none"/>
        </w:rPr>
        <w:t>。</w:t>
      </w:r>
    </w:p>
    <w:p w14:paraId="1C559F0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4、售价：0元</w:t>
      </w:r>
    </w:p>
    <w:p w14:paraId="5CA57CF4">
      <w:pPr>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rPr>
        <w:t>、投标截止时间及地点：</w:t>
      </w:r>
    </w:p>
    <w:p w14:paraId="3CD60AA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08</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p w14:paraId="16E3BC98">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w:t>
      </w:r>
      <w:r>
        <w:rPr>
          <w:rFonts w:hint="eastAsia" w:ascii="宋体" w:hAnsi="宋体" w:eastAsia="宋体" w:cs="宋体"/>
          <w:kern w:val="0"/>
          <w:sz w:val="24"/>
          <w:szCs w:val="24"/>
          <w:highlight w:val="none"/>
          <w:lang w:eastAsia="zh-CN"/>
        </w:rPr>
        <w:t>在三门峡市公共资源交易中心网中上传加密响应文件</w:t>
      </w:r>
    </w:p>
    <w:p w14:paraId="3BCEBB83">
      <w:pPr>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五</w:t>
      </w:r>
      <w:r>
        <w:rPr>
          <w:rFonts w:hint="eastAsia" w:ascii="宋体" w:hAnsi="宋体" w:eastAsia="宋体" w:cs="宋体"/>
          <w:b/>
          <w:bCs/>
          <w:kern w:val="0"/>
          <w:sz w:val="24"/>
          <w:szCs w:val="24"/>
          <w:highlight w:val="none"/>
        </w:rPr>
        <w:t>、开标时间及地点：</w:t>
      </w:r>
    </w:p>
    <w:p w14:paraId="4DABFC5E">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1、时间：202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08</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p w14:paraId="28C31195">
      <w:pPr>
        <w:spacing w:line="360" w:lineRule="auto"/>
        <w:ind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rPr>
        <w:t>2、地点：</w:t>
      </w:r>
      <w:r>
        <w:rPr>
          <w:rFonts w:hint="eastAsia" w:ascii="宋体" w:hAnsi="宋体" w:eastAsia="宋体" w:cs="宋体"/>
          <w:kern w:val="0"/>
          <w:sz w:val="24"/>
          <w:szCs w:val="24"/>
          <w:lang w:eastAsia="zh-CN"/>
        </w:rPr>
        <w:t>三门峡市公共资源交易中心</w:t>
      </w:r>
      <w:r>
        <w:rPr>
          <w:rFonts w:hint="eastAsia" w:ascii="宋体" w:hAnsi="宋体" w:eastAsia="宋体" w:cs="宋体"/>
          <w:kern w:val="0"/>
          <w:sz w:val="24"/>
          <w:szCs w:val="24"/>
          <w:lang w:val="en-US" w:eastAsia="zh-CN"/>
        </w:rPr>
        <w:t>开标</w:t>
      </w:r>
      <w:r>
        <w:rPr>
          <w:rFonts w:hint="eastAsia" w:ascii="宋体" w:hAnsi="宋体" w:cs="宋体"/>
          <w:kern w:val="0"/>
          <w:sz w:val="24"/>
          <w:szCs w:val="24"/>
          <w:lang w:val="en-US" w:eastAsia="zh-CN"/>
        </w:rPr>
        <w:t>二</w:t>
      </w:r>
      <w:r>
        <w:rPr>
          <w:rFonts w:hint="eastAsia" w:ascii="宋体" w:hAnsi="宋体" w:eastAsia="宋体" w:cs="宋体"/>
          <w:kern w:val="0"/>
          <w:sz w:val="24"/>
          <w:szCs w:val="24"/>
          <w:lang w:val="en-US" w:eastAsia="zh-CN"/>
        </w:rPr>
        <w:t>室</w:t>
      </w:r>
    </w:p>
    <w:p w14:paraId="42FB2961">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、发布公告的媒介及公告期限：</w:t>
      </w:r>
    </w:p>
    <w:p w14:paraId="34AB210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w:t>
      </w:r>
      <w:r>
        <w:rPr>
          <w:rFonts w:hint="eastAsia" w:ascii="宋体" w:hAnsi="宋体" w:cs="宋体"/>
          <w:kern w:val="0"/>
          <w:sz w:val="24"/>
          <w:szCs w:val="24"/>
          <w:lang w:eastAsia="zh-CN"/>
        </w:rPr>
        <w:t>磋商</w:t>
      </w:r>
      <w:r>
        <w:rPr>
          <w:rFonts w:hint="eastAsia" w:ascii="宋体" w:hAnsi="宋体" w:eastAsia="宋体" w:cs="宋体"/>
          <w:kern w:val="0"/>
          <w:sz w:val="24"/>
          <w:szCs w:val="24"/>
        </w:rPr>
        <w:t>公告同时</w:t>
      </w:r>
      <w:r>
        <w:rPr>
          <w:rFonts w:hint="eastAsia" w:ascii="宋体" w:hAnsi="宋体" w:eastAsia="宋体" w:cs="宋体"/>
          <w:kern w:val="0"/>
          <w:sz w:val="24"/>
          <w:szCs w:val="24"/>
          <w:highlight w:val="none"/>
        </w:rPr>
        <w:t>在</w:t>
      </w:r>
      <w:r>
        <w:rPr>
          <w:rFonts w:hint="eastAsia" w:ascii="宋体" w:hAnsi="宋体" w:eastAsia="宋体" w:cs="宋体"/>
          <w:kern w:val="0"/>
          <w:sz w:val="24"/>
          <w:szCs w:val="24"/>
          <w:highlight w:val="none"/>
          <w:lang w:eastAsia="zh-CN"/>
        </w:rPr>
        <w:t>《中国</w:t>
      </w:r>
      <w:r>
        <w:rPr>
          <w:rFonts w:hint="eastAsia" w:ascii="宋体" w:hAnsi="宋体" w:cs="宋体"/>
          <w:kern w:val="0"/>
          <w:sz w:val="24"/>
          <w:szCs w:val="24"/>
          <w:highlight w:val="none"/>
          <w:lang w:val="en-US" w:eastAsia="zh-CN"/>
        </w:rPr>
        <w:t>招标</w:t>
      </w:r>
      <w:r>
        <w:rPr>
          <w:rFonts w:hint="eastAsia" w:ascii="宋体" w:hAnsi="宋体" w:eastAsia="宋体" w:cs="宋体"/>
          <w:kern w:val="0"/>
          <w:sz w:val="24"/>
          <w:szCs w:val="24"/>
          <w:highlight w:val="none"/>
          <w:lang w:eastAsia="zh-CN"/>
        </w:rPr>
        <w:t>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和《三门峡市公共资源交易中心网》等媒体公开发布。</w:t>
      </w:r>
      <w:bookmarkStart w:id="45" w:name="_GoBack"/>
      <w:bookmarkEnd w:id="45"/>
      <w:r>
        <w:rPr>
          <w:rFonts w:hint="eastAsia" w:ascii="宋体" w:hAnsi="宋体" w:eastAsia="宋体" w:cs="宋体"/>
          <w:kern w:val="0"/>
          <w:sz w:val="24"/>
          <w:szCs w:val="24"/>
        </w:rPr>
        <w:t>公告期限为三个工作日。</w:t>
      </w:r>
    </w:p>
    <w:p w14:paraId="56108117">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、其他补充事宜</w:t>
      </w:r>
    </w:p>
    <w:p w14:paraId="275D71E9">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1.本项目为不见面开标项目，开标当日，</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无需到开标现场参加开标会议，</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的解密时间为开标时间起30分钟内完成。因</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kern w:val="0"/>
          <w:sz w:val="24"/>
          <w:szCs w:val="24"/>
          <w:lang w:val="en-US" w:eastAsia="zh-CN"/>
        </w:rPr>
        <w:t>原因未能解密、解密失败或解密超时的将被拒绝。</w:t>
      </w:r>
    </w:p>
    <w:p w14:paraId="6F3FA79D">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2.本项目为电子化、无纸化交易项目，开标时不再接受任何纸质资料，为保证您能投标成功，请需仔细阅读竞争性磋商文件和三门峡市公共资源交易中心官网业务办理指南。</w:t>
      </w:r>
    </w:p>
    <w:p w14:paraId="53D9798C">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3.根据《河南省财政厅关于优化政府采购营商环境有关问题的通知》（豫财购【2019】4号）第6条的规定，磋商保证金不再收取。</w:t>
      </w:r>
    </w:p>
    <w:p w14:paraId="584AF25B">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4.本项目实行资格后审，审查内容以竞争性磋商响应文件为准，其上传资料真实性由供应商自行承担，同时，供应商请完善主体库。</w:t>
      </w:r>
    </w:p>
    <w:p w14:paraId="44F61183">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5.评标打分部分：评标打分部分仍按照100分制原则进行，涉及到资格审查、企业荣誉、企业业绩等计分部分时，以投标单位自行上传到磋商响应文件中的相应内容为准。</w:t>
      </w:r>
    </w:p>
    <w:p w14:paraId="16CE691D">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6.在竞争性磋商文件中要求</w:t>
      </w:r>
      <w:r>
        <w:rPr>
          <w:rFonts w:hint="eastAsia" w:ascii="宋体" w:hAnsi="宋体" w:cs="宋体"/>
          <w:color w:val="000000"/>
          <w:sz w:val="24"/>
          <w:szCs w:val="24"/>
          <w:lang w:val="en-US" w:eastAsia="zh-CN"/>
        </w:rPr>
        <w:t>响应</w:t>
      </w:r>
      <w:r>
        <w:rPr>
          <w:rFonts w:hint="eastAsia" w:ascii="宋体" w:hAnsi="宋体" w:eastAsia="宋体" w:cs="宋体"/>
          <w:kern w:val="0"/>
          <w:sz w:val="24"/>
          <w:szCs w:val="24"/>
          <w:lang w:val="en-US" w:eastAsia="zh-CN"/>
        </w:rPr>
        <w:t>人按照磋商响应文件格式进行磋商响应文件编制，在磋商响应文件编制时，应明确将供应商企业基本情况、人员情况、财务情况、业绩情况编入磋商响应文件，便于进行资格审查及评标打分。</w:t>
      </w:r>
    </w:p>
    <w:p w14:paraId="45F33B61">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7、我单位（采购人）严格按三财购（2021）9 号文要求的时限发布结果公告，发出成交通知书，签订采购合同，上传采购合同。</w:t>
      </w:r>
    </w:p>
    <w:p w14:paraId="4FCC2939">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、凡对本次</w:t>
      </w:r>
      <w:r>
        <w:rPr>
          <w:rFonts w:hint="eastAsia" w:ascii="宋体" w:hAnsi="宋体" w:cs="宋体"/>
          <w:b/>
          <w:bCs/>
          <w:kern w:val="0"/>
          <w:sz w:val="24"/>
          <w:szCs w:val="24"/>
          <w:lang w:eastAsia="zh-CN"/>
        </w:rPr>
        <w:t>磋商</w:t>
      </w:r>
      <w:r>
        <w:rPr>
          <w:rFonts w:hint="eastAsia" w:ascii="宋体" w:hAnsi="宋体" w:eastAsia="宋体" w:cs="宋体"/>
          <w:b/>
          <w:bCs/>
          <w:kern w:val="0"/>
          <w:sz w:val="24"/>
          <w:szCs w:val="24"/>
        </w:rPr>
        <w:t>提出询问，请按照以下方式联系：</w:t>
      </w:r>
    </w:p>
    <w:p w14:paraId="4CBD21DA">
      <w:pPr>
        <w:spacing w:line="360" w:lineRule="auto"/>
        <w:ind w:firstLine="480" w:firstLineChars="200"/>
        <w:jc w:val="left"/>
        <w:rPr>
          <w:rFonts w:hint="eastAsia" w:ascii="宋体" w:hAnsi="宋体" w:eastAsia="宋体" w:cs="宋体"/>
          <w:kern w:val="0"/>
          <w:sz w:val="24"/>
          <w:szCs w:val="24"/>
          <w:lang w:val="en-US" w:eastAsia="zh-CN"/>
        </w:rPr>
      </w:pPr>
    </w:p>
    <w:p w14:paraId="61E0C669">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监督单位：</w:t>
      </w:r>
      <w:r>
        <w:rPr>
          <w:rFonts w:hint="eastAsia" w:ascii="宋体" w:hAnsi="宋体" w:eastAsia="宋体" w:cs="宋体"/>
          <w:kern w:val="0"/>
          <w:sz w:val="24"/>
          <w:szCs w:val="24"/>
          <w:highlight w:val="none"/>
          <w:lang w:val="en-US" w:eastAsia="zh-CN"/>
        </w:rPr>
        <w:t>三门峡市城乡一体化示范区财政局</w:t>
      </w:r>
    </w:p>
    <w:p w14:paraId="38A26496">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联系电话：0398-2751077</w:t>
      </w:r>
    </w:p>
    <w:p w14:paraId="1A5D817C">
      <w:pPr>
        <w:spacing w:line="360" w:lineRule="auto"/>
        <w:ind w:firstLine="480" w:firstLineChars="200"/>
        <w:jc w:val="left"/>
        <w:rPr>
          <w:rFonts w:hint="eastAsia" w:ascii="宋体" w:hAnsi="宋体" w:eastAsia="宋体" w:cs="宋体"/>
          <w:kern w:val="0"/>
          <w:sz w:val="24"/>
          <w:szCs w:val="24"/>
          <w:highlight w:val="none"/>
        </w:rPr>
      </w:pPr>
    </w:p>
    <w:p w14:paraId="2F1776E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sz w:val="24"/>
          <w:highlight w:val="none"/>
        </w:rPr>
        <w:t>采购人：</w:t>
      </w:r>
      <w:r>
        <w:rPr>
          <w:rFonts w:hint="eastAsia" w:ascii="宋体" w:hAnsi="宋体" w:eastAsia="宋体" w:cs="宋体"/>
          <w:color w:val="444444"/>
          <w:kern w:val="0"/>
          <w:sz w:val="24"/>
          <w:szCs w:val="24"/>
          <w:lang w:val="en-US" w:eastAsia="zh-CN" w:bidi="ar"/>
        </w:rPr>
        <w:t>三门峡市自然资源和规划局城乡一体化示范区分局</w:t>
      </w:r>
    </w:p>
    <w:p w14:paraId="037015A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地址：三门峡市湖滨区上官路与河堤北路自然资源和规划局11楼</w:t>
      </w:r>
    </w:p>
    <w:p w14:paraId="04B72F8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王女士</w:t>
      </w:r>
    </w:p>
    <w:p w14:paraId="47BC280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电话：13525871184</w:t>
      </w:r>
    </w:p>
    <w:p w14:paraId="7F69D82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rPr>
      </w:pPr>
    </w:p>
    <w:p w14:paraId="6E5F63D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eastAsia="宋体" w:cs="宋体"/>
          <w:sz w:val="24"/>
          <w:szCs w:val="24"/>
          <w:highlight w:val="none"/>
          <w:lang w:val="en-US" w:eastAsia="zh-CN"/>
        </w:rPr>
        <w:t>中基建安工程管理有限公司</w:t>
      </w:r>
      <w:r>
        <w:rPr>
          <w:rFonts w:hint="eastAsia" w:ascii="宋体" w:hAnsi="宋体" w:eastAsia="宋体" w:cs="宋体"/>
          <w:color w:val="auto"/>
          <w:kern w:val="0"/>
          <w:sz w:val="24"/>
          <w:szCs w:val="24"/>
        </w:rPr>
        <w:t xml:space="preserve">  </w:t>
      </w:r>
    </w:p>
    <w:p w14:paraId="6BF07873">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三门峡市甘山路顺昌大厦A座1903</w:t>
      </w:r>
    </w:p>
    <w:p w14:paraId="0091D8B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6F1AA5B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p w14:paraId="0EC8AA7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74C91A09">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08DBE0B4">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p w14:paraId="5AAA39BF">
      <w:pPr>
        <w:spacing w:line="360" w:lineRule="auto"/>
        <w:ind w:firstLine="480" w:firstLineChars="200"/>
        <w:jc w:val="left"/>
        <w:rPr>
          <w:rFonts w:hint="eastAsia" w:ascii="宋体" w:hAnsi="宋体" w:eastAsia="宋体" w:cs="宋体"/>
          <w:kern w:val="0"/>
          <w:sz w:val="24"/>
          <w:szCs w:val="24"/>
        </w:rPr>
      </w:pPr>
    </w:p>
    <w:p w14:paraId="5610A8F8">
      <w:pPr>
        <w:spacing w:line="360" w:lineRule="auto"/>
        <w:jc w:val="center"/>
        <w:rPr>
          <w:rFonts w:hint="eastAsia" w:ascii="宋体" w:hAnsi="宋体" w:eastAsia="宋体" w:cs="宋体"/>
          <w:b/>
          <w:bCs/>
          <w:color w:val="auto"/>
          <w:kern w:val="0"/>
          <w:sz w:val="40"/>
          <w:szCs w:val="40"/>
        </w:rPr>
      </w:pPr>
    </w:p>
    <w:p w14:paraId="618184AD">
      <w:pPr>
        <w:spacing w:line="360" w:lineRule="auto"/>
        <w:jc w:val="center"/>
        <w:rPr>
          <w:rFonts w:hint="eastAsia" w:ascii="宋体" w:hAnsi="宋体" w:eastAsia="宋体" w:cs="宋体"/>
          <w:b/>
          <w:bCs/>
          <w:color w:val="auto"/>
          <w:kern w:val="0"/>
          <w:sz w:val="40"/>
          <w:szCs w:val="40"/>
        </w:rPr>
      </w:pPr>
    </w:p>
    <w:p w14:paraId="76D92957">
      <w:pPr>
        <w:spacing w:line="360" w:lineRule="auto"/>
        <w:jc w:val="center"/>
        <w:rPr>
          <w:rFonts w:hint="eastAsia" w:ascii="宋体" w:hAnsi="宋体" w:eastAsia="宋体" w:cs="宋体"/>
          <w:b/>
          <w:bCs/>
          <w:color w:val="auto"/>
          <w:kern w:val="0"/>
          <w:sz w:val="40"/>
          <w:szCs w:val="40"/>
        </w:rPr>
      </w:pPr>
    </w:p>
    <w:p w14:paraId="5F84265B">
      <w:pPr>
        <w:spacing w:line="360" w:lineRule="auto"/>
        <w:jc w:val="center"/>
        <w:outlineLvl w:val="0"/>
        <w:rPr>
          <w:rFonts w:hint="eastAsia" w:ascii="宋体" w:hAnsi="宋体" w:eastAsia="宋体" w:cs="宋体"/>
          <w:b/>
          <w:bCs/>
          <w:color w:val="auto"/>
          <w:kern w:val="0"/>
          <w:sz w:val="44"/>
          <w:szCs w:val="44"/>
        </w:rPr>
      </w:pPr>
      <w:r>
        <w:rPr>
          <w:rFonts w:hint="eastAsia" w:ascii="宋体" w:hAnsi="宋体" w:eastAsia="宋体" w:cs="宋体"/>
          <w:b/>
          <w:bCs/>
          <w:color w:val="auto"/>
          <w:kern w:val="0"/>
          <w:sz w:val="40"/>
          <w:szCs w:val="40"/>
        </w:rPr>
        <w:br w:type="page"/>
      </w:r>
      <w:bookmarkStart w:id="2" w:name="_Toc7412"/>
      <w:bookmarkStart w:id="3" w:name="_Toc28751"/>
      <w:r>
        <w:rPr>
          <w:rFonts w:hint="eastAsia" w:ascii="宋体" w:hAnsi="宋体" w:eastAsia="宋体" w:cs="宋体"/>
          <w:b/>
          <w:bCs/>
          <w:color w:val="auto"/>
          <w:kern w:val="0"/>
          <w:sz w:val="40"/>
          <w:szCs w:val="40"/>
        </w:rPr>
        <w:t>第二章 投标供应商须知</w:t>
      </w:r>
      <w:bookmarkEnd w:id="2"/>
      <w:bookmarkEnd w:id="3"/>
    </w:p>
    <w:p w14:paraId="61232C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供应商须知前附表</w:t>
      </w:r>
    </w:p>
    <w:tbl>
      <w:tblPr>
        <w:tblStyle w:val="19"/>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74"/>
        <w:gridCol w:w="7076"/>
      </w:tblGrid>
      <w:tr w14:paraId="521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6" w:type="dxa"/>
            <w:noWrap w:val="0"/>
            <w:vAlign w:val="center"/>
          </w:tcPr>
          <w:p w14:paraId="685F198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条款号</w:t>
            </w:r>
          </w:p>
        </w:tc>
        <w:tc>
          <w:tcPr>
            <w:tcW w:w="1974" w:type="dxa"/>
            <w:noWrap w:val="0"/>
            <w:vAlign w:val="center"/>
          </w:tcPr>
          <w:p w14:paraId="0BC477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条 款 名 称</w:t>
            </w:r>
          </w:p>
        </w:tc>
        <w:tc>
          <w:tcPr>
            <w:tcW w:w="7076" w:type="dxa"/>
            <w:noWrap w:val="0"/>
            <w:vAlign w:val="center"/>
          </w:tcPr>
          <w:p w14:paraId="6B324C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  列  内  容</w:t>
            </w:r>
          </w:p>
        </w:tc>
      </w:tr>
      <w:tr w14:paraId="07B3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46" w:type="dxa"/>
            <w:noWrap w:val="0"/>
            <w:vAlign w:val="center"/>
          </w:tcPr>
          <w:p w14:paraId="00B0D8DA">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1974" w:type="dxa"/>
            <w:noWrap w:val="0"/>
            <w:vAlign w:val="center"/>
          </w:tcPr>
          <w:p w14:paraId="00418B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w:t>
            </w:r>
          </w:p>
        </w:tc>
        <w:tc>
          <w:tcPr>
            <w:tcW w:w="7076" w:type="dxa"/>
            <w:noWrap w:val="0"/>
            <w:vAlign w:val="center"/>
          </w:tcPr>
          <w:p w14:paraId="6BECC7E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三门峡市自然资源和规划局城乡一体化示范区分局</w:t>
            </w:r>
          </w:p>
          <w:p w14:paraId="4699853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地址：三门峡市湖滨区上官路与河堤北路自然资源和规划局11楼</w:t>
            </w:r>
          </w:p>
          <w:p w14:paraId="2D7212F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王女士</w:t>
            </w:r>
          </w:p>
          <w:p w14:paraId="2224B43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电话：13525871184</w:t>
            </w:r>
          </w:p>
        </w:tc>
      </w:tr>
      <w:tr w14:paraId="7DA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946" w:type="dxa"/>
            <w:noWrap w:val="0"/>
            <w:vAlign w:val="center"/>
          </w:tcPr>
          <w:p w14:paraId="6736AB84">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1974" w:type="dxa"/>
            <w:noWrap w:val="0"/>
            <w:vAlign w:val="center"/>
          </w:tcPr>
          <w:p w14:paraId="7DD91E9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采购代理机构</w:t>
            </w:r>
          </w:p>
        </w:tc>
        <w:tc>
          <w:tcPr>
            <w:tcW w:w="7076" w:type="dxa"/>
            <w:noWrap w:val="0"/>
            <w:vAlign w:val="center"/>
          </w:tcPr>
          <w:p w14:paraId="45C4B97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w:t>
            </w:r>
            <w:r>
              <w:rPr>
                <w:rFonts w:hint="eastAsia" w:ascii="宋体" w:hAnsi="宋体" w:eastAsia="宋体" w:cs="宋体"/>
                <w:color w:val="auto"/>
                <w:kern w:val="0"/>
                <w:sz w:val="24"/>
                <w:szCs w:val="24"/>
                <w:lang w:val="en-US" w:eastAsia="zh-CN"/>
              </w:rPr>
              <w:t>中基建安工程管理有限公司</w:t>
            </w:r>
            <w:r>
              <w:rPr>
                <w:rFonts w:hint="eastAsia" w:ascii="宋体" w:hAnsi="宋体" w:eastAsia="宋体" w:cs="宋体"/>
                <w:color w:val="auto"/>
                <w:kern w:val="0"/>
                <w:sz w:val="24"/>
                <w:szCs w:val="24"/>
              </w:rPr>
              <w:t xml:space="preserve">  </w:t>
            </w:r>
          </w:p>
          <w:p w14:paraId="28FC949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三门峡市甘山路顺昌大厦A座1903</w:t>
            </w:r>
          </w:p>
          <w:p w14:paraId="32573D5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翟女士</w:t>
            </w:r>
          </w:p>
          <w:p w14:paraId="4AFCF02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15603988214</w:t>
            </w:r>
          </w:p>
        </w:tc>
      </w:tr>
      <w:tr w14:paraId="4AF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946" w:type="dxa"/>
            <w:noWrap w:val="0"/>
            <w:vAlign w:val="center"/>
          </w:tcPr>
          <w:p w14:paraId="0D1F66BD">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1.1.4</w:t>
            </w:r>
          </w:p>
        </w:tc>
        <w:tc>
          <w:tcPr>
            <w:tcW w:w="1974" w:type="dxa"/>
            <w:noWrap w:val="0"/>
            <w:vAlign w:val="center"/>
          </w:tcPr>
          <w:p w14:paraId="787CB88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项目名称</w:t>
            </w:r>
          </w:p>
        </w:tc>
        <w:tc>
          <w:tcPr>
            <w:tcW w:w="7076" w:type="dxa"/>
            <w:noWrap w:val="0"/>
            <w:vAlign w:val="center"/>
          </w:tcPr>
          <w:p w14:paraId="323BBA4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三门峡市自然资源和规划局城乡一体化示范区分局现代农业产业园发展规划项目</w:t>
            </w:r>
          </w:p>
          <w:p w14:paraId="3B1416B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p>
        </w:tc>
      </w:tr>
      <w:tr w14:paraId="56C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6" w:type="dxa"/>
            <w:noWrap w:val="0"/>
            <w:vAlign w:val="center"/>
          </w:tcPr>
          <w:p w14:paraId="1BAC1BFF">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1.2.1</w:t>
            </w:r>
          </w:p>
        </w:tc>
        <w:tc>
          <w:tcPr>
            <w:tcW w:w="1974" w:type="dxa"/>
            <w:noWrap w:val="0"/>
            <w:vAlign w:val="center"/>
          </w:tcPr>
          <w:p w14:paraId="22541A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w:t>
            </w:r>
          </w:p>
        </w:tc>
        <w:tc>
          <w:tcPr>
            <w:tcW w:w="7076" w:type="dxa"/>
            <w:noWrap w:val="0"/>
            <w:vAlign w:val="center"/>
          </w:tcPr>
          <w:p w14:paraId="397F934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财政资金</w:t>
            </w:r>
          </w:p>
        </w:tc>
      </w:tr>
      <w:tr w14:paraId="476C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46" w:type="dxa"/>
            <w:noWrap w:val="0"/>
            <w:vAlign w:val="center"/>
          </w:tcPr>
          <w:p w14:paraId="39D26D8D">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1.2.2</w:t>
            </w:r>
          </w:p>
        </w:tc>
        <w:tc>
          <w:tcPr>
            <w:tcW w:w="1974" w:type="dxa"/>
            <w:noWrap w:val="0"/>
            <w:vAlign w:val="center"/>
          </w:tcPr>
          <w:p w14:paraId="239CC39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出资比例</w:t>
            </w:r>
          </w:p>
        </w:tc>
        <w:tc>
          <w:tcPr>
            <w:tcW w:w="7076" w:type="dxa"/>
            <w:noWrap w:val="0"/>
            <w:vAlign w:val="center"/>
          </w:tcPr>
          <w:p w14:paraId="204D3B3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w:t>
            </w:r>
          </w:p>
        </w:tc>
      </w:tr>
      <w:tr w14:paraId="60F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946" w:type="dxa"/>
            <w:noWrap w:val="0"/>
            <w:vAlign w:val="center"/>
          </w:tcPr>
          <w:p w14:paraId="620C5BEA">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1974" w:type="dxa"/>
            <w:noWrap w:val="0"/>
            <w:vAlign w:val="center"/>
          </w:tcPr>
          <w:p w14:paraId="171597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资金落实情况</w:t>
            </w:r>
          </w:p>
        </w:tc>
        <w:tc>
          <w:tcPr>
            <w:tcW w:w="7076" w:type="dxa"/>
            <w:noWrap w:val="0"/>
            <w:vAlign w:val="center"/>
          </w:tcPr>
          <w:p w14:paraId="5D73B6E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已落实</w:t>
            </w:r>
          </w:p>
        </w:tc>
      </w:tr>
      <w:tr w14:paraId="540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6" w:type="dxa"/>
            <w:noWrap w:val="0"/>
            <w:vAlign w:val="center"/>
          </w:tcPr>
          <w:p w14:paraId="473F1A5E">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1974" w:type="dxa"/>
            <w:noWrap w:val="0"/>
            <w:vAlign w:val="center"/>
          </w:tcPr>
          <w:p w14:paraId="31F35D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采购内容</w:t>
            </w:r>
          </w:p>
        </w:tc>
        <w:tc>
          <w:tcPr>
            <w:tcW w:w="7076" w:type="dxa"/>
            <w:noWrap w:val="0"/>
            <w:vAlign w:val="center"/>
          </w:tcPr>
          <w:p w14:paraId="16C96445">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0"/>
                <w:w w:val="100"/>
                <w:kern w:val="0"/>
                <w:sz w:val="24"/>
                <w:szCs w:val="24"/>
                <w:highlight w:val="none"/>
                <w:lang w:val="en-US" w:eastAsia="zh-CN"/>
              </w:rPr>
              <w:t>本项目为</w:t>
            </w: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r>
              <w:rPr>
                <w:rFonts w:hint="eastAsia" w:ascii="宋体" w:hAnsi="宋体" w:eastAsia="宋体" w:cs="宋体"/>
                <w:spacing w:val="0"/>
                <w:w w:val="100"/>
                <w:kern w:val="0"/>
                <w:sz w:val="24"/>
                <w:szCs w:val="24"/>
                <w:highlight w:val="none"/>
                <w:lang w:val="en-US" w:eastAsia="zh-CN"/>
              </w:rPr>
              <w:t>，</w:t>
            </w:r>
            <w:r>
              <w:rPr>
                <w:rFonts w:hint="eastAsia" w:ascii="宋体" w:hAnsi="宋体" w:eastAsia="宋体" w:cs="宋体"/>
                <w:color w:val="auto"/>
                <w:spacing w:val="0"/>
                <w:w w:val="100"/>
                <w:kern w:val="0"/>
                <w:sz w:val="24"/>
                <w:szCs w:val="24"/>
                <w:highlight w:val="none"/>
                <w:lang w:val="en-US" w:eastAsia="zh-CN"/>
              </w:rPr>
              <w:t>项目内容为：</w:t>
            </w:r>
            <w:r>
              <w:rPr>
                <w:rFonts w:hint="eastAsia" w:ascii="宋体" w:hAnsi="宋体" w:eastAsia="宋体" w:cs="宋体"/>
                <w:color w:val="auto"/>
                <w:kern w:val="2"/>
                <w:sz w:val="24"/>
                <w:szCs w:val="24"/>
                <w:highlight w:val="none"/>
                <w:lang w:val="en-US" w:eastAsia="zh-CN" w:bidi="ar-SA"/>
              </w:rPr>
              <w:t>三门峡市城乡一体化示范区城乡融合(现代农业产业园)发展规划编制;区域涉及阳店镇、大王镇，区域总面积约286平方公里</w:t>
            </w:r>
            <w:r>
              <w:rPr>
                <w:rFonts w:hint="eastAsia" w:ascii="宋体" w:hAnsi="宋体" w:eastAsia="宋体" w:cs="宋体"/>
                <w:color w:val="auto"/>
                <w:kern w:val="0"/>
                <w:sz w:val="24"/>
                <w:szCs w:val="24"/>
                <w:highlight w:val="none"/>
              </w:rPr>
              <w:t>。</w:t>
            </w:r>
          </w:p>
        </w:tc>
      </w:tr>
      <w:tr w14:paraId="653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46" w:type="dxa"/>
            <w:noWrap w:val="0"/>
            <w:vAlign w:val="center"/>
          </w:tcPr>
          <w:p w14:paraId="7CD32C3F">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w:t>
            </w:r>
          </w:p>
        </w:tc>
        <w:tc>
          <w:tcPr>
            <w:tcW w:w="1974" w:type="dxa"/>
            <w:noWrap w:val="0"/>
            <w:vAlign w:val="center"/>
          </w:tcPr>
          <w:p w14:paraId="4326B3A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w:t>
            </w:r>
            <w:r>
              <w:rPr>
                <w:rFonts w:hint="eastAsia" w:ascii="宋体" w:hAnsi="宋体" w:cs="宋体"/>
                <w:color w:val="auto"/>
                <w:kern w:val="0"/>
                <w:sz w:val="24"/>
                <w:szCs w:val="24"/>
                <w:lang w:val="en-US" w:eastAsia="zh-CN"/>
              </w:rPr>
              <w:t>周期</w:t>
            </w:r>
          </w:p>
        </w:tc>
        <w:tc>
          <w:tcPr>
            <w:tcW w:w="7076" w:type="dxa"/>
            <w:noWrap w:val="0"/>
            <w:vAlign w:val="center"/>
          </w:tcPr>
          <w:p w14:paraId="45F6F5EB">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highlight w:val="none"/>
                <w:lang w:val="en-US" w:eastAsia="zh-CN"/>
              </w:rPr>
            </w:pPr>
            <w:r>
              <w:rPr>
                <w:rFonts w:hint="eastAsia" w:ascii="宋体" w:hAnsi="宋体" w:cs="宋体"/>
                <w:color w:val="auto"/>
                <w:sz w:val="24"/>
                <w:szCs w:val="24"/>
                <w:highlight w:val="none"/>
                <w:lang w:val="en-US" w:eastAsia="zh-CN"/>
              </w:rPr>
              <w:t>自签订合同之日起至现代农业产业园发展规划项⽬编制完成之日止</w:t>
            </w:r>
          </w:p>
        </w:tc>
      </w:tr>
      <w:tr w14:paraId="63DE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46" w:type="dxa"/>
            <w:noWrap w:val="0"/>
            <w:vAlign w:val="center"/>
          </w:tcPr>
          <w:p w14:paraId="57EE21A0">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1.3.</w:t>
            </w:r>
            <w:r>
              <w:rPr>
                <w:rFonts w:hint="eastAsia" w:ascii="宋体" w:hAnsi="宋体" w:eastAsia="宋体" w:cs="宋体"/>
                <w:kern w:val="0"/>
                <w:sz w:val="21"/>
                <w:szCs w:val="21"/>
                <w:lang w:val="en-US" w:eastAsia="zh-CN"/>
              </w:rPr>
              <w:t>3</w:t>
            </w:r>
          </w:p>
        </w:tc>
        <w:tc>
          <w:tcPr>
            <w:tcW w:w="1974" w:type="dxa"/>
            <w:noWrap w:val="0"/>
            <w:vAlign w:val="center"/>
          </w:tcPr>
          <w:p w14:paraId="3D6EF8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质量要求</w:t>
            </w:r>
          </w:p>
        </w:tc>
        <w:tc>
          <w:tcPr>
            <w:tcW w:w="7076" w:type="dxa"/>
            <w:noWrap w:val="0"/>
            <w:vAlign w:val="center"/>
          </w:tcPr>
          <w:p w14:paraId="6A08C5FE">
            <w:pPr>
              <w:keepNext w:val="0"/>
              <w:keepLines w:val="0"/>
              <w:pageBreakBefore w:val="0"/>
              <w:widowControl/>
              <w:kinsoku/>
              <w:wordWrap/>
              <w:overflowPunct/>
              <w:topLinePunct w:val="0"/>
              <w:bidi w:val="0"/>
              <w:snapToGrid/>
              <w:spacing w:line="288" w:lineRule="auto"/>
              <w:textAlignment w:val="baseline"/>
              <w:rPr>
                <w:rFonts w:hint="eastAsia" w:ascii="宋体" w:hAnsi="宋体" w:eastAsia="宋体" w:cs="宋体"/>
                <w:kern w:val="0"/>
                <w:sz w:val="21"/>
                <w:szCs w:val="21"/>
              </w:rPr>
            </w:pPr>
            <w:r>
              <w:rPr>
                <w:rFonts w:hint="eastAsia" w:ascii="宋体" w:hAnsi="宋体" w:eastAsia="宋体" w:cs="宋体"/>
                <w:sz w:val="24"/>
                <w:szCs w:val="24"/>
                <w:lang w:val="en-US" w:eastAsia="zh-CN"/>
              </w:rPr>
              <w:t>合格，符合国家相关法律、法规及规范要求，满足采购人要求</w:t>
            </w:r>
          </w:p>
        </w:tc>
      </w:tr>
      <w:tr w14:paraId="03E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E487E92">
            <w:pPr>
              <w:keepNext w:val="0"/>
              <w:keepLines w:val="0"/>
              <w:pageBreakBefore w:val="0"/>
              <w:widowControl/>
              <w:kinsoku/>
              <w:wordWrap/>
              <w:overflowPunct/>
              <w:topLinePunct w:val="0"/>
              <w:bidi w:val="0"/>
              <w:snapToGrid/>
              <w:spacing w:line="288" w:lineRule="auto"/>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1.4.1</w:t>
            </w:r>
          </w:p>
        </w:tc>
        <w:tc>
          <w:tcPr>
            <w:tcW w:w="1974" w:type="dxa"/>
            <w:noWrap w:val="0"/>
            <w:vAlign w:val="center"/>
          </w:tcPr>
          <w:p w14:paraId="434A30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供应商资格条件</w:t>
            </w:r>
          </w:p>
        </w:tc>
        <w:tc>
          <w:tcPr>
            <w:tcW w:w="7076" w:type="dxa"/>
            <w:noWrap w:val="0"/>
            <w:vAlign w:val="center"/>
          </w:tcPr>
          <w:p w14:paraId="4551300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1、满足《中华人民共和国政府采购法》第二十二条规定； </w:t>
            </w:r>
          </w:p>
          <w:p w14:paraId="3A8510C6">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2、落实政府采购政策满足的资格要求：本项目专门面向中小企业，供应商应为中小微企业（监狱企业、残疾人福利性企业视同小微企业）。</w:t>
            </w:r>
          </w:p>
          <w:p w14:paraId="2055D422">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14:paraId="697ECB0A">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3.1 </w:t>
            </w:r>
            <w:r>
              <w:rPr>
                <w:rFonts w:hint="eastAsia" w:ascii="宋体" w:hAnsi="宋体" w:eastAsia="宋体" w:cs="宋体"/>
                <w:kern w:val="0"/>
                <w:sz w:val="24"/>
                <w:szCs w:val="24"/>
                <w:highlight w:val="none"/>
                <w:lang w:eastAsia="zh-CN"/>
              </w:rPr>
              <w:t>供应商具备有效的营业执照</w:t>
            </w:r>
            <w:r>
              <w:rPr>
                <w:rFonts w:hint="eastAsia" w:ascii="宋体" w:hAnsi="宋体" w:eastAsia="宋体" w:cs="宋体"/>
                <w:kern w:val="0"/>
                <w:sz w:val="24"/>
                <w:szCs w:val="24"/>
                <w:highlight w:val="none"/>
              </w:rPr>
              <w:t>；</w:t>
            </w:r>
          </w:p>
          <w:p w14:paraId="561506D8">
            <w:pPr>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 供应商</w:t>
            </w:r>
            <w:r>
              <w:rPr>
                <w:rFonts w:hint="eastAsia" w:ascii="宋体" w:hAnsi="宋体" w:eastAsia="宋体" w:cs="宋体"/>
                <w:color w:val="444444"/>
                <w:kern w:val="0"/>
                <w:sz w:val="24"/>
                <w:szCs w:val="24"/>
                <w:lang w:val="en-US" w:eastAsia="zh-CN" w:bidi="ar"/>
              </w:rPr>
              <w:t>须具有相关主管部门核发的城乡规划编制乙级及以上资质</w:t>
            </w:r>
            <w:r>
              <w:rPr>
                <w:rFonts w:hint="eastAsia" w:ascii="宋体" w:hAnsi="宋体" w:eastAsia="宋体" w:cs="宋体"/>
                <w:kern w:val="0"/>
                <w:sz w:val="24"/>
                <w:szCs w:val="24"/>
                <w:lang w:val="en-US" w:eastAsia="zh-CN"/>
              </w:rPr>
              <w:t>；</w:t>
            </w:r>
          </w:p>
          <w:p w14:paraId="291E998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444444"/>
                <w:kern w:val="0"/>
                <w:sz w:val="24"/>
                <w:szCs w:val="24"/>
                <w:lang w:val="en-US" w:eastAsia="zh-CN" w:bidi="ar"/>
              </w:rPr>
            </w:pPr>
            <w:r>
              <w:rPr>
                <w:rFonts w:hint="eastAsia" w:ascii="宋体" w:hAnsi="宋体" w:eastAsia="宋体" w:cs="宋体"/>
                <w:kern w:val="0"/>
                <w:sz w:val="24"/>
                <w:szCs w:val="24"/>
                <w:highlight w:val="none"/>
                <w:lang w:val="en-US" w:eastAsia="zh-CN"/>
              </w:rPr>
              <w:t xml:space="preserve">3.3 </w:t>
            </w:r>
            <w:r>
              <w:rPr>
                <w:rFonts w:hint="eastAsia" w:ascii="宋体" w:hAnsi="宋体" w:eastAsia="宋体" w:cs="宋体"/>
                <w:color w:val="444444"/>
                <w:kern w:val="0"/>
                <w:sz w:val="24"/>
                <w:szCs w:val="24"/>
                <w:lang w:val="en-US" w:eastAsia="zh-CN" w:bidi="ar"/>
              </w:rPr>
              <w:t>拟派项目负责人应具有注册城乡规划师资格证书，且同时具有</w:t>
            </w:r>
            <w:r>
              <w:rPr>
                <w:rFonts w:hint="eastAsia" w:ascii="宋体" w:hAnsi="宋体" w:eastAsia="宋体" w:cs="宋体"/>
                <w:color w:val="444444"/>
                <w:kern w:val="0"/>
                <w:sz w:val="24"/>
                <w:szCs w:val="24"/>
                <w:highlight w:val="none"/>
                <w:lang w:val="en-US" w:eastAsia="zh-CN" w:bidi="ar"/>
              </w:rPr>
              <w:t>高级职称（</w:t>
            </w:r>
            <w:r>
              <w:rPr>
                <w:rFonts w:hint="eastAsia" w:ascii="宋体" w:hAnsi="宋体" w:eastAsia="宋体" w:cs="宋体"/>
                <w:color w:val="444444"/>
                <w:kern w:val="0"/>
                <w:sz w:val="24"/>
                <w:szCs w:val="24"/>
                <w:lang w:val="en-US" w:eastAsia="zh-CN" w:bidi="ar"/>
              </w:rPr>
              <w:t>需提供项目负责人证书及社保缴纳证明）；</w:t>
            </w:r>
          </w:p>
          <w:p w14:paraId="7E02D1A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供应商出具无行贿记录在中国裁判文书网自行查询或自行承诺（查询对象：企业、法定代表人）及企业自行承诺无商业贿赂和不正当竞争行为；</w:t>
            </w:r>
          </w:p>
          <w:p w14:paraId="4AA8220E">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xml:space="preserve"> 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宋体"/>
                <w:kern w:val="0"/>
                <w:sz w:val="24"/>
                <w:szCs w:val="24"/>
                <w:lang w:eastAsia="zh-CN"/>
              </w:rPr>
              <w:t>；</w:t>
            </w:r>
          </w:p>
          <w:p w14:paraId="68365C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4"/>
                <w:szCs w:val="24"/>
                <w:highlight w:val="none"/>
                <w:lang w:val="en-US" w:eastAsia="zh-CN"/>
              </w:rPr>
              <w:t xml:space="preserve">3.6 </w:t>
            </w:r>
            <w:r>
              <w:rPr>
                <w:rFonts w:hint="eastAsia" w:ascii="宋体" w:hAnsi="宋体" w:eastAsia="宋体" w:cs="宋体"/>
                <w:color w:val="444444"/>
                <w:kern w:val="0"/>
                <w:sz w:val="24"/>
                <w:szCs w:val="24"/>
                <w:lang w:val="en-US" w:eastAsia="zh-CN" w:bidi="ar"/>
              </w:rPr>
              <w:t>本项目不接受联合体投标（提供承诺函）。</w:t>
            </w:r>
          </w:p>
        </w:tc>
      </w:tr>
      <w:tr w14:paraId="491F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C1568D7">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9</w:t>
            </w:r>
          </w:p>
        </w:tc>
        <w:tc>
          <w:tcPr>
            <w:tcW w:w="1974" w:type="dxa"/>
            <w:noWrap w:val="0"/>
            <w:vAlign w:val="center"/>
          </w:tcPr>
          <w:p w14:paraId="513AECC1">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磋商有效</w:t>
            </w:r>
            <w:r>
              <w:rPr>
                <w:rFonts w:hint="eastAsia" w:ascii="宋体" w:hAnsi="宋体" w:eastAsia="宋体" w:cs="宋体"/>
                <w:color w:val="000000" w:themeColor="text1"/>
                <w:sz w:val="24"/>
                <w:szCs w:val="24"/>
                <w14:textFill>
                  <w14:solidFill>
                    <w14:schemeClr w14:val="tx1"/>
                  </w14:solidFill>
                </w14:textFill>
              </w:rPr>
              <w:t>期</w:t>
            </w:r>
          </w:p>
        </w:tc>
        <w:tc>
          <w:tcPr>
            <w:tcW w:w="7076" w:type="dxa"/>
            <w:noWrap w:val="0"/>
            <w:vAlign w:val="center"/>
          </w:tcPr>
          <w:p w14:paraId="41C56871">
            <w:pPr>
              <w:adjustRightInd w:val="0"/>
              <w:spacing w:line="324" w:lineRule="auto"/>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60日历天(从磋商截止之日算起)</w:t>
            </w:r>
          </w:p>
        </w:tc>
      </w:tr>
      <w:tr w14:paraId="211B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17D0A">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10</w:t>
            </w:r>
          </w:p>
        </w:tc>
        <w:tc>
          <w:tcPr>
            <w:tcW w:w="1974" w:type="dxa"/>
            <w:noWrap w:val="0"/>
            <w:vAlign w:val="center"/>
          </w:tcPr>
          <w:p w14:paraId="4FEAF724">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10"/>
                <w:sz w:val="24"/>
                <w:szCs w:val="24"/>
                <w14:textFill>
                  <w14:solidFill>
                    <w14:schemeClr w14:val="tx1"/>
                  </w14:solidFill>
                </w14:textFill>
              </w:rPr>
              <w:t>竞争性磋商保证金</w:t>
            </w:r>
          </w:p>
        </w:tc>
        <w:tc>
          <w:tcPr>
            <w:tcW w:w="7076" w:type="dxa"/>
            <w:noWrap w:val="0"/>
            <w:vAlign w:val="center"/>
          </w:tcPr>
          <w:p w14:paraId="672B2779">
            <w:pPr>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根据《河南省财政厅关于优化政府采购营商环境有关问题的通知》（豫财购【2019】4号）第6条的规定，磋商保证金不再收取。</w:t>
            </w:r>
          </w:p>
        </w:tc>
      </w:tr>
      <w:tr w14:paraId="1EF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0888DEB6">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11</w:t>
            </w:r>
          </w:p>
        </w:tc>
        <w:tc>
          <w:tcPr>
            <w:tcW w:w="1974" w:type="dxa"/>
            <w:noWrap w:val="0"/>
            <w:vAlign w:val="center"/>
          </w:tcPr>
          <w:p w14:paraId="41DCE82B">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付款方式</w:t>
            </w:r>
          </w:p>
        </w:tc>
        <w:tc>
          <w:tcPr>
            <w:tcW w:w="7076" w:type="dxa"/>
            <w:noWrap w:val="0"/>
            <w:vAlign w:val="center"/>
          </w:tcPr>
          <w:p w14:paraId="203BDE9E">
            <w:pPr>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z w:val="24"/>
                <w:szCs w:val="24"/>
                <w14:textFill>
                  <w14:solidFill>
                    <w14:schemeClr w14:val="tx1"/>
                  </w14:solidFill>
                </w14:textFill>
              </w:rPr>
              <w:t>双方协商</w:t>
            </w:r>
          </w:p>
        </w:tc>
      </w:tr>
      <w:tr w14:paraId="1314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34FA19A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12</w:t>
            </w:r>
          </w:p>
        </w:tc>
        <w:tc>
          <w:tcPr>
            <w:tcW w:w="1974" w:type="dxa"/>
            <w:noWrap w:val="0"/>
            <w:vAlign w:val="center"/>
          </w:tcPr>
          <w:p w14:paraId="02E1E615">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竞争性磋商响应文件份数</w:t>
            </w:r>
          </w:p>
        </w:tc>
        <w:tc>
          <w:tcPr>
            <w:tcW w:w="7076" w:type="dxa"/>
            <w:noWrap w:val="0"/>
            <w:vAlign w:val="center"/>
          </w:tcPr>
          <w:p w14:paraId="30530EA7">
            <w:pPr>
              <w:adjustRightInd w:val="0"/>
              <w:spacing w:line="324" w:lineRule="auto"/>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本项目为电子化、无纸化交易项目。（不适用）</w:t>
            </w:r>
          </w:p>
        </w:tc>
      </w:tr>
      <w:tr w14:paraId="27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F64701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13</w:t>
            </w:r>
          </w:p>
        </w:tc>
        <w:tc>
          <w:tcPr>
            <w:tcW w:w="1974" w:type="dxa"/>
            <w:noWrap w:val="0"/>
            <w:vAlign w:val="center"/>
          </w:tcPr>
          <w:p w14:paraId="0DFE6319">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磋商响应文件递交截止时间</w:t>
            </w:r>
          </w:p>
        </w:tc>
        <w:tc>
          <w:tcPr>
            <w:tcW w:w="7076" w:type="dxa"/>
            <w:noWrap w:val="0"/>
            <w:vAlign w:val="center"/>
          </w:tcPr>
          <w:p w14:paraId="0C72B5A5">
            <w:pPr>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时间：</w:t>
            </w:r>
            <w:r>
              <w:rPr>
                <w:rFonts w:hint="eastAsia" w:ascii="宋体" w:hAnsi="宋体" w:eastAsia="宋体" w:cs="宋体"/>
                <w:bCs/>
                <w:color w:val="000000" w:themeColor="text1"/>
                <w:kern w:val="0"/>
                <w:sz w:val="24"/>
                <w:szCs w:val="24"/>
                <w14:textFill>
                  <w14:solidFill>
                    <w14:schemeClr w14:val="tx1"/>
                  </w14:solidFill>
                </w14:textFill>
              </w:rPr>
              <w:t>详见竞争性磋商公告</w:t>
            </w:r>
          </w:p>
        </w:tc>
      </w:tr>
      <w:tr w14:paraId="451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6E88BA29">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14</w:t>
            </w:r>
          </w:p>
        </w:tc>
        <w:tc>
          <w:tcPr>
            <w:tcW w:w="1974" w:type="dxa"/>
            <w:noWrap w:val="0"/>
            <w:vAlign w:val="center"/>
          </w:tcPr>
          <w:p w14:paraId="57ACB50F">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磋商响应文件递交</w:t>
            </w:r>
          </w:p>
        </w:tc>
        <w:tc>
          <w:tcPr>
            <w:tcW w:w="7076" w:type="dxa"/>
            <w:noWrap w:val="0"/>
            <w:vAlign w:val="center"/>
          </w:tcPr>
          <w:p w14:paraId="5999F2D5">
            <w:pPr>
              <w:adjustRightInd w:val="0"/>
              <w:spacing w:line="324" w:lineRule="auto"/>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电子</w:t>
            </w:r>
            <w:r>
              <w:rPr>
                <w:rFonts w:hint="eastAsia" w:ascii="宋体" w:hAnsi="宋体" w:eastAsia="宋体" w:cs="宋体"/>
                <w:color w:val="000000" w:themeColor="text1"/>
                <w:spacing w:val="6"/>
                <w:sz w:val="24"/>
                <w:szCs w:val="24"/>
                <w:lang w:val="en-US" w:eastAsia="zh-CN"/>
                <w14:textFill>
                  <w14:solidFill>
                    <w14:schemeClr w14:val="tx1"/>
                  </w14:solidFill>
                </w14:textFill>
              </w:rPr>
              <w:t>化</w:t>
            </w:r>
            <w:r>
              <w:rPr>
                <w:rFonts w:hint="eastAsia" w:ascii="宋体" w:hAnsi="宋体" w:eastAsia="宋体" w:cs="宋体"/>
                <w:color w:val="000000" w:themeColor="text1"/>
                <w:spacing w:val="6"/>
                <w:sz w:val="24"/>
                <w:szCs w:val="24"/>
                <w14:textFill>
                  <w14:solidFill>
                    <w14:schemeClr w14:val="tx1"/>
                  </w14:solidFill>
                </w14:textFill>
              </w:rPr>
              <w:t>响应文件</w:t>
            </w:r>
            <w:r>
              <w:rPr>
                <w:rFonts w:hint="eastAsia" w:ascii="宋体" w:hAnsi="宋体" w:eastAsia="宋体" w:cs="宋体"/>
                <w:color w:val="000000" w:themeColor="text1"/>
                <w:spacing w:val="6"/>
                <w:sz w:val="24"/>
                <w:szCs w:val="24"/>
                <w:lang w:val="en-US" w:eastAsia="zh-CN"/>
                <w14:textFill>
                  <w14:solidFill>
                    <w14:schemeClr w14:val="tx1"/>
                  </w14:solidFill>
                </w14:textFill>
              </w:rPr>
              <w:t>在</w:t>
            </w:r>
            <w:r>
              <w:rPr>
                <w:rFonts w:hint="eastAsia" w:ascii="宋体" w:hAnsi="宋体" w:eastAsia="宋体" w:cs="宋体"/>
                <w:color w:val="000000" w:themeColor="text1"/>
                <w:spacing w:val="6"/>
                <w:sz w:val="24"/>
                <w:szCs w:val="24"/>
                <w14:textFill>
                  <w14:solidFill>
                    <w14:schemeClr w14:val="tx1"/>
                  </w14:solidFill>
                </w14:textFill>
              </w:rPr>
              <w:t>磋商截止时间前上传至“三门峡市公共资源交易中心网站”</w:t>
            </w:r>
          </w:p>
        </w:tc>
      </w:tr>
      <w:tr w14:paraId="332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5030655">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15</w:t>
            </w:r>
          </w:p>
        </w:tc>
        <w:tc>
          <w:tcPr>
            <w:tcW w:w="1974" w:type="dxa"/>
            <w:noWrap w:val="0"/>
            <w:vAlign w:val="center"/>
          </w:tcPr>
          <w:p w14:paraId="2576763D">
            <w:pPr>
              <w:adjustRightInd w:val="0"/>
              <w:spacing w:line="324"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10"/>
                <w:sz w:val="24"/>
                <w:szCs w:val="24"/>
                <w:highlight w:val="none"/>
                <w14:textFill>
                  <w14:solidFill>
                    <w14:schemeClr w14:val="tx1"/>
                  </w14:solidFill>
                </w14:textFill>
              </w:rPr>
              <w:t>磋商时间及地点</w:t>
            </w:r>
          </w:p>
        </w:tc>
        <w:tc>
          <w:tcPr>
            <w:tcW w:w="7076" w:type="dxa"/>
            <w:noWrap w:val="0"/>
            <w:vAlign w:val="center"/>
          </w:tcPr>
          <w:p w14:paraId="31F958C8">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时间：</w:t>
            </w:r>
            <w:r>
              <w:rPr>
                <w:rFonts w:hint="eastAsia" w:ascii="宋体" w:hAnsi="宋体" w:eastAsia="宋体" w:cs="宋体"/>
                <w:bCs/>
                <w:color w:val="000000" w:themeColor="text1"/>
                <w:kern w:val="0"/>
                <w:sz w:val="24"/>
                <w:szCs w:val="24"/>
                <w14:textFill>
                  <w14:solidFill>
                    <w14:schemeClr w14:val="tx1"/>
                  </w14:solidFill>
                </w14:textFill>
              </w:rPr>
              <w:t>2025年</w:t>
            </w:r>
            <w:r>
              <w:rPr>
                <w:rFonts w:hint="eastAsia" w:ascii="宋体" w:hAnsi="宋体" w:eastAsia="宋体" w:cs="宋体"/>
                <w:bCs/>
                <w:color w:val="000000" w:themeColor="text1"/>
                <w:kern w:val="0"/>
                <w:sz w:val="24"/>
                <w:szCs w:val="24"/>
                <w:lang w:val="en-US" w:eastAsia="zh-CN"/>
                <w14:textFill>
                  <w14:solidFill>
                    <w14:schemeClr w14:val="tx1"/>
                  </w14:solidFill>
                </w14:textFill>
              </w:rPr>
              <w:t>10</w:t>
            </w:r>
            <w:r>
              <w:rPr>
                <w:rFonts w:hint="eastAsia" w:ascii="宋体" w:hAnsi="宋体" w:eastAsia="宋体" w:cs="宋体"/>
                <w:bCs/>
                <w:color w:val="000000" w:themeColor="text1"/>
                <w:kern w:val="0"/>
                <w:sz w:val="24"/>
                <w:szCs w:val="24"/>
                <w:lang w:eastAsia="zh-CN"/>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29</w:t>
            </w:r>
            <w:r>
              <w:rPr>
                <w:rFonts w:hint="eastAsia" w:ascii="宋体" w:hAnsi="宋体" w:eastAsia="宋体" w:cs="宋体"/>
                <w:bCs/>
                <w:color w:val="000000" w:themeColor="text1"/>
                <w:kern w:val="0"/>
                <w:sz w:val="24"/>
                <w:szCs w:val="24"/>
                <w14:textFill>
                  <w14:solidFill>
                    <w14:schemeClr w14:val="tx1"/>
                  </w14:solidFill>
                </w14:textFill>
              </w:rPr>
              <w:t>日08时</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0分</w:t>
            </w:r>
          </w:p>
          <w:p w14:paraId="692A3F49">
            <w:pPr>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地点：三门峡市公共资源交易中心开标</w:t>
            </w:r>
            <w:r>
              <w:rPr>
                <w:rFonts w:hint="eastAsia"/>
                <w:lang w:val="en-US" w:eastAsia="zh-CN"/>
              </w:rPr>
              <w:t>二</w:t>
            </w:r>
            <w:r>
              <w:rPr>
                <w:rFonts w:hint="eastAsia" w:ascii="宋体" w:hAnsi="宋体" w:eastAsia="宋体" w:cs="宋体"/>
                <w:color w:val="000000" w:themeColor="text1"/>
                <w:spacing w:val="6"/>
                <w:sz w:val="24"/>
                <w:szCs w:val="24"/>
                <w14:textFill>
                  <w14:solidFill>
                    <w14:schemeClr w14:val="tx1"/>
                  </w14:solidFill>
                </w14:textFill>
              </w:rPr>
              <w:t>室</w:t>
            </w:r>
          </w:p>
        </w:tc>
      </w:tr>
      <w:tr w14:paraId="2ACF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641C75B">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16</w:t>
            </w:r>
          </w:p>
        </w:tc>
        <w:tc>
          <w:tcPr>
            <w:tcW w:w="1974" w:type="dxa"/>
            <w:noWrap w:val="0"/>
            <w:vAlign w:val="center"/>
          </w:tcPr>
          <w:p w14:paraId="1D1D8569">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磋商小组的组建</w:t>
            </w:r>
          </w:p>
        </w:tc>
        <w:tc>
          <w:tcPr>
            <w:tcW w:w="7076" w:type="dxa"/>
            <w:noWrap w:val="0"/>
            <w:vAlign w:val="center"/>
          </w:tcPr>
          <w:p w14:paraId="01FA808B">
            <w:pPr>
              <w:widowControl/>
              <w:spacing w:line="400" w:lineRule="atLeas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4DB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20A1FF98">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17</w:t>
            </w:r>
          </w:p>
        </w:tc>
        <w:tc>
          <w:tcPr>
            <w:tcW w:w="1974" w:type="dxa"/>
            <w:noWrap w:val="0"/>
            <w:vAlign w:val="center"/>
          </w:tcPr>
          <w:p w14:paraId="72FE09AE">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磋商标准及方法</w:t>
            </w:r>
          </w:p>
        </w:tc>
        <w:tc>
          <w:tcPr>
            <w:tcW w:w="7076" w:type="dxa"/>
            <w:noWrap w:val="0"/>
            <w:vAlign w:val="center"/>
          </w:tcPr>
          <w:p w14:paraId="34319710">
            <w:pPr>
              <w:widowControl/>
              <w:spacing w:line="400" w:lineRule="atLeas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69F1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B710A9D">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18</w:t>
            </w:r>
          </w:p>
        </w:tc>
        <w:tc>
          <w:tcPr>
            <w:tcW w:w="1974" w:type="dxa"/>
            <w:noWrap w:val="0"/>
            <w:vAlign w:val="center"/>
          </w:tcPr>
          <w:p w14:paraId="4F5A0D43">
            <w:pPr>
              <w:widowControl/>
              <w:spacing w:line="4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715C0796">
            <w:pPr>
              <w:widowControl/>
              <w:spacing w:line="400" w:lineRule="atLeast"/>
              <w:rPr>
                <w:rFonts w:hint="eastAsia" w:ascii="宋体" w:hAnsi="宋体" w:eastAsia="宋体" w:cs="宋体"/>
                <w:kern w:val="0"/>
                <w:sz w:val="24"/>
                <w:szCs w:val="24"/>
                <w:highlight w:val="none"/>
                <w:lang w:val="en-US" w:eastAsia="zh-CN"/>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41BE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35EA20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19</w:t>
            </w:r>
          </w:p>
        </w:tc>
        <w:tc>
          <w:tcPr>
            <w:tcW w:w="1974" w:type="dxa"/>
            <w:noWrap w:val="0"/>
            <w:vAlign w:val="center"/>
          </w:tcPr>
          <w:p w14:paraId="1A8E3F7B">
            <w:pPr>
              <w:widowControl/>
              <w:spacing w:line="400" w:lineRule="atLeast"/>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采购标的对应的中小企业划分标准所属行业</w:t>
            </w:r>
          </w:p>
        </w:tc>
        <w:tc>
          <w:tcPr>
            <w:tcW w:w="7076" w:type="dxa"/>
            <w:noWrap w:val="0"/>
            <w:vAlign w:val="center"/>
          </w:tcPr>
          <w:p w14:paraId="13CA1CA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本次采购标的对应的中小企业划分标准所属行业为：其他未列明行业。 </w:t>
            </w:r>
          </w:p>
        </w:tc>
      </w:tr>
      <w:tr w14:paraId="64C0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738DA44">
            <w:pPr>
              <w:adjustRightInd w:val="0"/>
              <w:spacing w:line="324" w:lineRule="auto"/>
              <w:jc w:val="center"/>
              <w:rPr>
                <w:rFonts w:hint="eastAsia" w:ascii="宋体" w:hAnsi="宋体" w:eastAsia="宋体" w:cs="宋体"/>
                <w:kern w:val="0"/>
                <w:sz w:val="24"/>
                <w:szCs w:val="24"/>
              </w:rPr>
            </w:pPr>
            <w:r>
              <w:rPr>
                <w:rFonts w:hint="eastAsia" w:ascii="宋体" w:hAnsi="宋体" w:eastAsia="宋体" w:cs="宋体"/>
                <w:color w:val="000000" w:themeColor="text1"/>
                <w:spacing w:val="6"/>
                <w:sz w:val="24"/>
                <w:szCs w:val="24"/>
                <w14:textFill>
                  <w14:solidFill>
                    <w14:schemeClr w14:val="tx1"/>
                  </w14:solidFill>
                </w14:textFill>
              </w:rPr>
              <w:t>20</w:t>
            </w:r>
          </w:p>
        </w:tc>
        <w:tc>
          <w:tcPr>
            <w:tcW w:w="1974" w:type="dxa"/>
            <w:noWrap w:val="0"/>
            <w:vAlign w:val="center"/>
          </w:tcPr>
          <w:p w14:paraId="77C531C5">
            <w:pPr>
              <w:widowControl/>
              <w:spacing w:line="400" w:lineRule="atLeast"/>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p>
        </w:tc>
        <w:tc>
          <w:tcPr>
            <w:tcW w:w="7076" w:type="dxa"/>
            <w:noWrap w:val="0"/>
            <w:vAlign w:val="center"/>
          </w:tcPr>
          <w:p w14:paraId="21B0EE92">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9000</w:t>
            </w:r>
            <w:r>
              <w:rPr>
                <w:rFonts w:hint="eastAsia" w:ascii="宋体" w:hAnsi="宋体" w:eastAsia="宋体" w:cs="宋体"/>
                <w:color w:val="000000" w:themeColor="text1"/>
                <w:spacing w:val="6"/>
                <w:sz w:val="24"/>
                <w:szCs w:val="24"/>
                <w14:textFill>
                  <w14:solidFill>
                    <w14:schemeClr w14:val="tx1"/>
                  </w14:solidFill>
                </w14:textFill>
              </w:rPr>
              <w:t>00.00元</w:t>
            </w:r>
          </w:p>
          <w:p w14:paraId="0539DA2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w:t>
            </w:r>
            <w:r>
              <w:rPr>
                <w:rFonts w:hint="eastAsia" w:ascii="宋体" w:hAnsi="宋体" w:eastAsia="宋体" w:cs="宋体"/>
                <w:color w:val="000000" w:themeColor="text1"/>
                <w:spacing w:val="6"/>
                <w:sz w:val="24"/>
                <w:szCs w:val="24"/>
                <w:lang w:val="en-US" w:eastAsia="zh-CN"/>
                <w14:textFill>
                  <w14:solidFill>
                    <w14:schemeClr w14:val="tx1"/>
                  </w14:solidFill>
                </w14:textFill>
              </w:rPr>
              <w:t>最高限价</w:t>
            </w:r>
            <w:r>
              <w:rPr>
                <w:rFonts w:hint="eastAsia" w:ascii="宋体" w:hAnsi="宋体" w:eastAsia="宋体" w:cs="宋体"/>
                <w:color w:val="000000" w:themeColor="text1"/>
                <w:spacing w:val="6"/>
                <w:sz w:val="24"/>
                <w:szCs w:val="24"/>
                <w14:textFill>
                  <w14:solidFill>
                    <w14:schemeClr w14:val="tx1"/>
                  </w14:solidFill>
                </w14:textFill>
              </w:rPr>
              <w:t>”的，该磋商供应商按无效处理。</w:t>
            </w:r>
          </w:p>
        </w:tc>
      </w:tr>
      <w:tr w14:paraId="66CA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7CC92B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21</w:t>
            </w:r>
          </w:p>
        </w:tc>
        <w:tc>
          <w:tcPr>
            <w:tcW w:w="1974" w:type="dxa"/>
            <w:noWrap w:val="0"/>
            <w:vAlign w:val="center"/>
          </w:tcPr>
          <w:p w14:paraId="777E4799">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报价</w:t>
            </w:r>
          </w:p>
        </w:tc>
        <w:tc>
          <w:tcPr>
            <w:tcW w:w="7076" w:type="dxa"/>
            <w:noWrap w:val="0"/>
            <w:vAlign w:val="center"/>
          </w:tcPr>
          <w:p w14:paraId="7F0523E7">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0E3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133F2190">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22</w:t>
            </w:r>
          </w:p>
        </w:tc>
        <w:tc>
          <w:tcPr>
            <w:tcW w:w="1974" w:type="dxa"/>
            <w:noWrap w:val="0"/>
            <w:vAlign w:val="center"/>
          </w:tcPr>
          <w:p w14:paraId="0C85C70A">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知识产权</w:t>
            </w:r>
          </w:p>
        </w:tc>
        <w:tc>
          <w:tcPr>
            <w:tcW w:w="7076" w:type="dxa"/>
            <w:noWrap w:val="0"/>
            <w:vAlign w:val="top"/>
          </w:tcPr>
          <w:p w14:paraId="777EDAC9">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竞争性磋商文件各个组成部分的文件，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019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C48FAB">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23</w:t>
            </w:r>
          </w:p>
        </w:tc>
        <w:tc>
          <w:tcPr>
            <w:tcW w:w="1974" w:type="dxa"/>
            <w:noWrap w:val="0"/>
            <w:vAlign w:val="center"/>
          </w:tcPr>
          <w:p w14:paraId="31849A0E">
            <w:pPr>
              <w:widowControl/>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履约保证金</w:t>
            </w:r>
          </w:p>
        </w:tc>
        <w:tc>
          <w:tcPr>
            <w:tcW w:w="7076" w:type="dxa"/>
            <w:noWrap w:val="0"/>
            <w:vAlign w:val="center"/>
          </w:tcPr>
          <w:p w14:paraId="2FBD6F07">
            <w:pPr>
              <w:widowControl/>
              <w:autoSpaceDE w:val="0"/>
              <w:autoSpaceDN w:val="0"/>
              <w:adjustRightInd w:val="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不收取</w:t>
            </w:r>
          </w:p>
        </w:tc>
      </w:tr>
      <w:tr w14:paraId="007B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7E36D85A">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24</w:t>
            </w:r>
          </w:p>
        </w:tc>
        <w:tc>
          <w:tcPr>
            <w:tcW w:w="1974" w:type="dxa"/>
            <w:noWrap w:val="0"/>
            <w:vAlign w:val="center"/>
          </w:tcPr>
          <w:p w14:paraId="1FD45A77">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结果公示</w:t>
            </w:r>
          </w:p>
        </w:tc>
        <w:tc>
          <w:tcPr>
            <w:tcW w:w="7076" w:type="dxa"/>
            <w:noWrap w:val="0"/>
            <w:vAlign w:val="center"/>
          </w:tcPr>
          <w:p w14:paraId="3270AB8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本项目磋商结果公告在磋商公告发布的同一媒介予以公示，公示期为一个工作日</w:t>
            </w:r>
          </w:p>
        </w:tc>
      </w:tr>
      <w:tr w14:paraId="5FE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3437F9F">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25</w:t>
            </w:r>
          </w:p>
        </w:tc>
        <w:tc>
          <w:tcPr>
            <w:tcW w:w="1974" w:type="dxa"/>
            <w:noWrap w:val="0"/>
            <w:vAlign w:val="center"/>
          </w:tcPr>
          <w:p w14:paraId="2328CE0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同义词语</w:t>
            </w:r>
          </w:p>
        </w:tc>
        <w:tc>
          <w:tcPr>
            <w:tcW w:w="7076" w:type="dxa"/>
            <w:noWrap w:val="0"/>
            <w:vAlign w:val="center"/>
          </w:tcPr>
          <w:p w14:paraId="330632EE">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构成磋商文件组成部分的“通用合同条款”、“专用合同条款”、“技术标准和要求”等章节中出现的措辞“发包人”和“承包人”，在</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投标阶段应当分别按“采购人”和“供应商”进行理解。</w:t>
            </w:r>
          </w:p>
        </w:tc>
      </w:tr>
      <w:tr w14:paraId="0D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4F703D61">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26</w:t>
            </w:r>
          </w:p>
        </w:tc>
        <w:tc>
          <w:tcPr>
            <w:tcW w:w="1974" w:type="dxa"/>
            <w:noWrap w:val="0"/>
            <w:vAlign w:val="center"/>
          </w:tcPr>
          <w:p w14:paraId="226C9C4D">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解释权</w:t>
            </w:r>
          </w:p>
        </w:tc>
        <w:tc>
          <w:tcPr>
            <w:tcW w:w="7076" w:type="dxa"/>
            <w:noWrap w:val="0"/>
            <w:vAlign w:val="center"/>
          </w:tcPr>
          <w:p w14:paraId="564A53E3">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投标阶段的规定，按磋商公告、供应商须知、</w:t>
            </w:r>
            <w:r>
              <w:rPr>
                <w:rFonts w:hint="eastAsia" w:ascii="宋体" w:hAnsi="宋体" w:cs="宋体"/>
                <w:color w:val="000000" w:themeColor="text1"/>
                <w:spacing w:val="6"/>
                <w:sz w:val="24"/>
                <w:szCs w:val="24"/>
                <w:lang w:eastAsia="zh-CN"/>
                <w14:textFill>
                  <w14:solidFill>
                    <w14:schemeClr w14:val="tx1"/>
                  </w14:solidFill>
                </w14:textFill>
              </w:rPr>
              <w:t>评审办法</w:t>
            </w:r>
            <w:r>
              <w:rPr>
                <w:rFonts w:hint="eastAsia" w:ascii="宋体" w:hAnsi="宋体" w:eastAsia="宋体" w:cs="宋体"/>
                <w:color w:val="000000" w:themeColor="text1"/>
                <w:spacing w:val="6"/>
                <w:sz w:val="24"/>
                <w:szCs w:val="24"/>
                <w14:textFill>
                  <w14:solidFill>
                    <w14:schemeClr w14:val="tx1"/>
                  </w14:solidFill>
                </w14:textFill>
              </w:rPr>
              <w:t xml:space="preserve">、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34FA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EA34AED">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w:t>
            </w:r>
            <w:r>
              <w:rPr>
                <w:rFonts w:hint="eastAsia" w:ascii="宋体" w:hAnsi="宋体" w:eastAsia="宋体" w:cs="宋体"/>
                <w:color w:val="000000" w:themeColor="text1"/>
                <w:spacing w:val="6"/>
                <w:sz w:val="24"/>
                <w:szCs w:val="24"/>
                <w:lang w:val="en-US" w:eastAsia="zh-CN"/>
                <w14:textFill>
                  <w14:solidFill>
                    <w14:schemeClr w14:val="tx1"/>
                  </w14:solidFill>
                </w14:textFill>
              </w:rPr>
              <w:t>7</w:t>
            </w:r>
          </w:p>
        </w:tc>
        <w:tc>
          <w:tcPr>
            <w:tcW w:w="1974" w:type="dxa"/>
            <w:noWrap w:val="0"/>
            <w:vAlign w:val="center"/>
          </w:tcPr>
          <w:p w14:paraId="0F840228">
            <w:pPr>
              <w:autoSpaceDE w:val="0"/>
              <w:autoSpaceDN w:val="0"/>
              <w:adjustRightInd w:val="0"/>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代理服务费</w:t>
            </w:r>
          </w:p>
        </w:tc>
        <w:tc>
          <w:tcPr>
            <w:tcW w:w="7076" w:type="dxa"/>
            <w:noWrap w:val="0"/>
            <w:vAlign w:val="center"/>
          </w:tcPr>
          <w:p w14:paraId="78A810F5">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1.收取标准：参考河南省</w:t>
            </w:r>
            <w:r>
              <w:rPr>
                <w:rFonts w:hint="eastAsia" w:ascii="宋体" w:hAnsi="宋体" w:cs="宋体"/>
                <w:color w:val="000000" w:themeColor="text1"/>
                <w:spacing w:val="6"/>
                <w:sz w:val="24"/>
                <w:szCs w:val="24"/>
                <w:lang w:eastAsia="zh-CN"/>
                <w14:textFill>
                  <w14:solidFill>
                    <w14:schemeClr w14:val="tx1"/>
                  </w14:solidFill>
                </w14:textFill>
              </w:rPr>
              <w:t>磋商</w:t>
            </w:r>
            <w:r>
              <w:rPr>
                <w:rFonts w:hint="eastAsia" w:ascii="宋体" w:hAnsi="宋体" w:eastAsia="宋体" w:cs="宋体"/>
                <w:color w:val="000000" w:themeColor="text1"/>
                <w:spacing w:val="6"/>
                <w:sz w:val="24"/>
                <w:szCs w:val="24"/>
                <w14:textFill>
                  <w14:solidFill>
                    <w14:schemeClr w14:val="tx1"/>
                  </w14:solidFill>
                </w14:textFill>
              </w:rPr>
              <w:t>代理服务收费指导意见（豫招协[2023]002号）规定的收费标准计算，由</w:t>
            </w:r>
            <w:r>
              <w:rPr>
                <w:rFonts w:hint="eastAsia" w:ascii="宋体" w:hAnsi="宋体" w:cs="宋体"/>
                <w:color w:val="000000" w:themeColor="text1"/>
                <w:spacing w:val="6"/>
                <w:sz w:val="24"/>
                <w:szCs w:val="24"/>
                <w:lang w:eastAsia="zh-CN"/>
                <w14:textFill>
                  <w14:solidFill>
                    <w14:schemeClr w14:val="tx1"/>
                  </w14:solidFill>
                </w14:textFill>
              </w:rPr>
              <w:t>成交</w:t>
            </w:r>
            <w:r>
              <w:rPr>
                <w:rFonts w:hint="eastAsia" w:ascii="宋体" w:hAnsi="宋体" w:eastAsia="宋体" w:cs="宋体"/>
                <w:color w:val="000000" w:themeColor="text1"/>
                <w:spacing w:val="6"/>
                <w:sz w:val="24"/>
                <w:szCs w:val="24"/>
                <w14:textFill>
                  <w14:solidFill>
                    <w14:schemeClr w14:val="tx1"/>
                  </w14:solidFill>
                </w14:textFill>
              </w:rPr>
              <w:t>人支付。</w:t>
            </w:r>
          </w:p>
          <w:p w14:paraId="7638A27A">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2.收取方式：成交单位在领取成交通知书时，以现金或转账的方式一次性向代理机构缴纳代理服务费。</w:t>
            </w:r>
          </w:p>
        </w:tc>
      </w:tr>
      <w:tr w14:paraId="791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noWrap w:val="0"/>
            <w:vAlign w:val="center"/>
          </w:tcPr>
          <w:p w14:paraId="59B3E388">
            <w:pPr>
              <w:adjustRightInd w:val="0"/>
              <w:spacing w:line="324" w:lineRule="auto"/>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cs="宋体"/>
                <w:color w:val="000000" w:themeColor="text1"/>
                <w:spacing w:val="6"/>
                <w:sz w:val="24"/>
                <w:szCs w:val="24"/>
                <w:lang w:val="en-US" w:eastAsia="zh-CN"/>
                <w14:textFill>
                  <w14:solidFill>
                    <w14:schemeClr w14:val="tx1"/>
                  </w14:solidFill>
                </w14:textFill>
              </w:rPr>
              <w:t>28</w:t>
            </w:r>
          </w:p>
        </w:tc>
        <w:tc>
          <w:tcPr>
            <w:tcW w:w="1974" w:type="dxa"/>
            <w:noWrap w:val="0"/>
            <w:vAlign w:val="center"/>
          </w:tcPr>
          <w:p w14:paraId="11848C86">
            <w:pPr>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电子化注意事项</w:t>
            </w:r>
          </w:p>
        </w:tc>
        <w:tc>
          <w:tcPr>
            <w:tcW w:w="7076" w:type="dxa"/>
            <w:noWrap w:val="0"/>
            <w:vAlign w:val="center"/>
          </w:tcPr>
          <w:p w14:paraId="0FD42673">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886802">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98496E8">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4B81A944">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0F196A2F">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7937D8FF">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39BC87A8">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43A9796F">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19054882">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随身携带。</w:t>
            </w:r>
          </w:p>
          <w:p w14:paraId="1710F608">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68CB1B2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312D1C7">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BD0FCC">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3F80C46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76358C7B">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5D23F901">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F2B1F9C">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6A0D13AE">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2D43BF4">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00D2B052">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1FA5E446">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321338DA">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72CCB0">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37B24697">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32C162AC">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6AE11EBC">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w:t>
            </w:r>
          </w:p>
          <w:p w14:paraId="34D68181">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对需要回复的响应人连续三次致电未接通的，视为响应人放弃回复，</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000000" w:themeColor="text1"/>
                <w:spacing w:val="6"/>
                <w:sz w:val="24"/>
                <w:szCs w:val="24"/>
                <w14:textFill>
                  <w14:solidFill>
                    <w14:schemeClr w14:val="tx1"/>
                  </w14:solidFill>
                </w14:textFill>
              </w:rPr>
              <w:t>将自行对需要回复的内容进行认定。</w:t>
            </w:r>
          </w:p>
          <w:p w14:paraId="5608F878">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419C1C15">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18D0C8FD">
      <w:pPr>
        <w:spacing w:line="440" w:lineRule="exact"/>
        <w:jc w:val="both"/>
        <w:rPr>
          <w:rFonts w:hint="eastAsia" w:ascii="宋体" w:hAnsi="宋体" w:eastAsia="宋体" w:cs="宋体"/>
          <w:b/>
          <w:bCs/>
          <w:color w:val="auto"/>
          <w:sz w:val="28"/>
          <w:szCs w:val="24"/>
        </w:rPr>
      </w:pPr>
    </w:p>
    <w:p w14:paraId="58EA8AFB">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29F62458">
      <w:pPr>
        <w:widowControl/>
        <w:kinsoku w:val="0"/>
        <w:autoSpaceDE w:val="0"/>
        <w:autoSpaceDN w:val="0"/>
        <w:adjustRightInd w:val="0"/>
        <w:snapToGrid w:val="0"/>
        <w:spacing w:line="360" w:lineRule="auto"/>
        <w:ind w:firstLine="486" w:firstLineChars="200"/>
        <w:jc w:val="left"/>
        <w:textAlignment w:val="baseline"/>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spacing w:val="1"/>
          <w:kern w:val="0"/>
          <w:sz w:val="24"/>
          <w:szCs w:val="24"/>
        </w:rPr>
        <w:t>1.</w:t>
      </w:r>
      <w:r>
        <w:rPr>
          <w:rFonts w:hint="eastAsia" w:ascii="宋体" w:hAnsi="宋体" w:eastAsia="宋体" w:cs="宋体"/>
          <w:b/>
          <w:bCs/>
          <w:snapToGrid w:val="0"/>
          <w:color w:val="auto"/>
          <w:kern w:val="0"/>
          <w:sz w:val="24"/>
          <w:szCs w:val="24"/>
        </w:rPr>
        <w:t>1</w:t>
      </w:r>
      <w:r>
        <w:rPr>
          <w:rFonts w:hint="eastAsia" w:ascii="宋体" w:hAnsi="宋体" w:eastAsia="宋体" w:cs="宋体"/>
          <w:b/>
          <w:snapToGrid w:val="0"/>
          <w:color w:val="auto"/>
          <w:kern w:val="0"/>
          <w:sz w:val="24"/>
          <w:szCs w:val="24"/>
        </w:rPr>
        <w:t>项目概况</w:t>
      </w:r>
    </w:p>
    <w:p w14:paraId="6A6AFCB1">
      <w:pPr>
        <w:widowControl/>
        <w:kinsoku w:val="0"/>
        <w:autoSpaceDE w:val="0"/>
        <w:autoSpaceDN w:val="0"/>
        <w:adjustRightInd w:val="0"/>
        <w:snapToGrid w:val="0"/>
        <w:spacing w:line="360" w:lineRule="auto"/>
        <w:ind w:left="37" w:right="24" w:firstLine="496" w:firstLineChars="200"/>
        <w:jc w:val="left"/>
        <w:textAlignment w:val="baseline"/>
        <w:rPr>
          <w:rFonts w:hint="eastAsia" w:ascii="宋体" w:hAnsi="宋体" w:eastAsia="宋体" w:cs="宋体"/>
          <w:snapToGrid w:val="0"/>
          <w:color w:val="auto"/>
          <w:spacing w:val="1"/>
          <w:kern w:val="0"/>
          <w:sz w:val="24"/>
          <w:szCs w:val="24"/>
        </w:rPr>
      </w:pPr>
      <w:r>
        <w:rPr>
          <w:rFonts w:hint="eastAsia" w:ascii="宋体" w:hAnsi="宋体" w:eastAsia="宋体" w:cs="宋体"/>
          <w:snapToGrid w:val="0"/>
          <w:color w:val="auto"/>
          <w:spacing w:val="4"/>
          <w:kern w:val="0"/>
          <w:sz w:val="24"/>
          <w:szCs w:val="24"/>
        </w:rPr>
        <w:t>1.1.1</w:t>
      </w:r>
      <w:r>
        <w:rPr>
          <w:rFonts w:hint="eastAsia" w:ascii="宋体" w:hAnsi="宋体" w:eastAsia="宋体" w:cs="宋体"/>
          <w:snapToGrid w:val="0"/>
          <w:color w:val="auto"/>
          <w:spacing w:val="2"/>
          <w:kern w:val="0"/>
          <w:sz w:val="24"/>
          <w:szCs w:val="24"/>
        </w:rPr>
        <w:t>本项目</w:t>
      </w:r>
      <w:r>
        <w:rPr>
          <w:rFonts w:hint="eastAsia" w:ascii="宋体" w:hAnsi="宋体" w:eastAsia="宋体" w:cs="宋体"/>
          <w:snapToGrid w:val="0"/>
          <w:color w:val="auto"/>
          <w:spacing w:val="2"/>
          <w:kern w:val="0"/>
          <w:sz w:val="24"/>
          <w:szCs w:val="24"/>
          <w:lang w:eastAsia="zh-CN"/>
        </w:rPr>
        <w:t>参照</w:t>
      </w:r>
      <w:r>
        <w:rPr>
          <w:rFonts w:hint="eastAsia" w:ascii="宋体" w:hAnsi="宋体" w:eastAsia="宋体" w:cs="宋体"/>
          <w:snapToGrid w:val="0"/>
          <w:color w:val="auto"/>
          <w:spacing w:val="-4"/>
          <w:kern w:val="0"/>
          <w:sz w:val="24"/>
          <w:szCs w:val="24"/>
        </w:rPr>
        <w:t>《中华人民共和国政府采购法》《中华人民共和国</w:t>
      </w:r>
      <w:r>
        <w:rPr>
          <w:rFonts w:hint="eastAsia" w:ascii="宋体" w:hAnsi="宋体" w:eastAsia="宋体" w:cs="宋体"/>
          <w:snapToGrid w:val="0"/>
          <w:color w:val="auto"/>
          <w:spacing w:val="-3"/>
          <w:kern w:val="0"/>
          <w:sz w:val="24"/>
          <w:szCs w:val="24"/>
        </w:rPr>
        <w:t>政</w:t>
      </w:r>
      <w:r>
        <w:rPr>
          <w:rFonts w:hint="eastAsia" w:ascii="宋体" w:hAnsi="宋体" w:eastAsia="宋体" w:cs="宋体"/>
          <w:snapToGrid w:val="0"/>
          <w:color w:val="auto"/>
          <w:spacing w:val="1"/>
          <w:kern w:val="0"/>
          <w:sz w:val="24"/>
          <w:szCs w:val="24"/>
        </w:rPr>
        <w:t>府采购法实施条例》等有关法律、法规和规章的规定</w:t>
      </w:r>
      <w:r>
        <w:rPr>
          <w:rFonts w:hint="eastAsia" w:ascii="宋体" w:hAnsi="宋体" w:eastAsia="宋体" w:cs="宋体"/>
          <w:snapToGrid w:val="0"/>
          <w:color w:val="auto"/>
          <w:spacing w:val="-7"/>
          <w:kern w:val="0"/>
          <w:sz w:val="24"/>
          <w:szCs w:val="24"/>
        </w:rPr>
        <w:t>，</w:t>
      </w:r>
      <w:r>
        <w:rPr>
          <w:rFonts w:hint="eastAsia" w:ascii="宋体" w:hAnsi="宋体" w:eastAsia="宋体" w:cs="宋体"/>
          <w:snapToGrid w:val="0"/>
          <w:color w:val="auto"/>
          <w:spacing w:val="2"/>
          <w:kern w:val="0"/>
          <w:sz w:val="24"/>
          <w:szCs w:val="24"/>
        </w:rPr>
        <w:t>本</w:t>
      </w:r>
      <w:r>
        <w:rPr>
          <w:rFonts w:hint="eastAsia" w:ascii="宋体" w:hAnsi="宋体" w:cs="宋体"/>
          <w:snapToGrid w:val="0"/>
          <w:color w:val="auto"/>
          <w:spacing w:val="2"/>
          <w:kern w:val="0"/>
          <w:sz w:val="24"/>
          <w:szCs w:val="24"/>
          <w:lang w:eastAsia="zh-CN"/>
        </w:rPr>
        <w:t>磋商</w:t>
      </w:r>
      <w:r>
        <w:rPr>
          <w:rFonts w:hint="eastAsia" w:ascii="宋体" w:hAnsi="宋体" w:eastAsia="宋体" w:cs="宋体"/>
          <w:snapToGrid w:val="0"/>
          <w:color w:val="auto"/>
          <w:spacing w:val="-5"/>
          <w:kern w:val="0"/>
          <w:sz w:val="24"/>
          <w:szCs w:val="24"/>
        </w:rPr>
        <w:t>项目已具备</w:t>
      </w:r>
      <w:r>
        <w:rPr>
          <w:rFonts w:hint="eastAsia" w:ascii="宋体" w:hAnsi="宋体" w:cs="宋体"/>
          <w:snapToGrid w:val="0"/>
          <w:color w:val="auto"/>
          <w:spacing w:val="-5"/>
          <w:kern w:val="0"/>
          <w:sz w:val="24"/>
          <w:szCs w:val="24"/>
          <w:lang w:eastAsia="zh-CN"/>
        </w:rPr>
        <w:t>磋商</w:t>
      </w:r>
      <w:r>
        <w:rPr>
          <w:rFonts w:hint="eastAsia" w:ascii="宋体" w:hAnsi="宋体" w:eastAsia="宋体" w:cs="宋体"/>
          <w:snapToGrid w:val="0"/>
          <w:color w:val="auto"/>
          <w:spacing w:val="-5"/>
          <w:kern w:val="0"/>
          <w:sz w:val="24"/>
          <w:szCs w:val="24"/>
        </w:rPr>
        <w:t>条件，现对本项目进行</w:t>
      </w:r>
      <w:r>
        <w:rPr>
          <w:rFonts w:hint="eastAsia" w:ascii="宋体" w:hAnsi="宋体" w:cs="宋体"/>
          <w:snapToGrid w:val="0"/>
          <w:color w:val="auto"/>
          <w:spacing w:val="-5"/>
          <w:kern w:val="0"/>
          <w:sz w:val="24"/>
          <w:szCs w:val="24"/>
          <w:lang w:val="en-US" w:eastAsia="zh-CN"/>
        </w:rPr>
        <w:t>竞争性磋商</w:t>
      </w:r>
      <w:r>
        <w:rPr>
          <w:rFonts w:hint="eastAsia" w:ascii="宋体" w:hAnsi="宋体" w:eastAsia="宋体" w:cs="宋体"/>
          <w:snapToGrid w:val="0"/>
          <w:color w:val="auto"/>
          <w:spacing w:val="-4"/>
          <w:kern w:val="0"/>
          <w:sz w:val="24"/>
          <w:szCs w:val="24"/>
        </w:rPr>
        <w:t>。</w:t>
      </w:r>
    </w:p>
    <w:p w14:paraId="119AC155">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1.1.2采购人</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58BA524">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1.1.3采购代</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机</w:t>
      </w:r>
      <w:r>
        <w:rPr>
          <w:rFonts w:hint="eastAsia" w:ascii="宋体" w:hAnsi="宋体" w:eastAsia="宋体" w:cs="宋体"/>
          <w:color w:val="auto"/>
          <w:spacing w:val="-2"/>
          <w:kern w:val="0"/>
          <w:sz w:val="24"/>
          <w:szCs w:val="24"/>
        </w:rPr>
        <w:t>构</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E9A4460">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1.1.4采购项目名称：见投标供应商须知前附表。</w:t>
      </w:r>
    </w:p>
    <w:p w14:paraId="4015A339">
      <w:pPr>
        <w:spacing w:line="360" w:lineRule="auto"/>
        <w:ind w:firstLine="478" w:firstLineChars="200"/>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1.2</w:t>
      </w:r>
      <w:r>
        <w:rPr>
          <w:rFonts w:hint="eastAsia" w:ascii="宋体" w:hAnsi="宋体" w:eastAsia="宋体" w:cs="宋体"/>
          <w:b/>
          <w:color w:val="auto"/>
          <w:spacing w:val="-1"/>
          <w:sz w:val="24"/>
          <w:szCs w:val="24"/>
        </w:rPr>
        <w:t>资</w:t>
      </w:r>
      <w:r>
        <w:rPr>
          <w:rFonts w:hint="eastAsia" w:ascii="宋体" w:hAnsi="宋体" w:eastAsia="宋体" w:cs="宋体"/>
          <w:b/>
          <w:color w:val="auto"/>
          <w:sz w:val="24"/>
          <w:szCs w:val="24"/>
        </w:rPr>
        <w:t>金来源和落实情况</w:t>
      </w:r>
    </w:p>
    <w:p w14:paraId="68AA7949">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来</w:t>
      </w:r>
      <w:r>
        <w:rPr>
          <w:rFonts w:hint="eastAsia" w:ascii="宋体" w:hAnsi="宋体" w:eastAsia="宋体" w:cs="宋体"/>
          <w:color w:val="auto"/>
          <w:spacing w:val="-2"/>
          <w:kern w:val="0"/>
          <w:sz w:val="24"/>
          <w:szCs w:val="24"/>
        </w:rPr>
        <w:t>源</w:t>
      </w:r>
      <w:r>
        <w:rPr>
          <w:rFonts w:hint="eastAsia" w:ascii="宋体" w:hAnsi="宋体" w:eastAsia="宋体" w:cs="宋体"/>
          <w:color w:val="auto"/>
          <w:kern w:val="0"/>
          <w:sz w:val="24"/>
          <w:szCs w:val="24"/>
        </w:rPr>
        <w:t>及</w:t>
      </w:r>
      <w:r>
        <w:rPr>
          <w:rFonts w:hint="eastAsia" w:ascii="宋体" w:hAnsi="宋体" w:eastAsia="宋体" w:cs="宋体"/>
          <w:color w:val="auto"/>
          <w:spacing w:val="-2"/>
          <w:kern w:val="0"/>
          <w:sz w:val="24"/>
          <w:szCs w:val="24"/>
        </w:rPr>
        <w:t>比</w:t>
      </w:r>
      <w:r>
        <w:rPr>
          <w:rFonts w:hint="eastAsia" w:ascii="宋体" w:hAnsi="宋体" w:eastAsia="宋体" w:cs="宋体"/>
          <w:color w:val="auto"/>
          <w:kern w:val="0"/>
          <w:sz w:val="24"/>
          <w:szCs w:val="24"/>
        </w:rPr>
        <w:t>例</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w:t>
      </w:r>
      <w:r>
        <w:rPr>
          <w:rFonts w:hint="eastAsia" w:ascii="宋体" w:hAnsi="宋体" w:eastAsia="宋体" w:cs="宋体"/>
          <w:color w:val="auto"/>
          <w:spacing w:val="-2"/>
          <w:kern w:val="0"/>
          <w:sz w:val="24"/>
          <w:szCs w:val="24"/>
        </w:rPr>
        <w:t>知</w:t>
      </w:r>
      <w:r>
        <w:rPr>
          <w:rFonts w:hint="eastAsia" w:ascii="宋体" w:hAnsi="宋体" w:eastAsia="宋体" w:cs="宋体"/>
          <w:color w:val="auto"/>
          <w:kern w:val="0"/>
          <w:sz w:val="24"/>
          <w:szCs w:val="24"/>
        </w:rPr>
        <w:t>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6ABECD67">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1.2.2资</w:t>
      </w:r>
      <w:r>
        <w:rPr>
          <w:rFonts w:hint="eastAsia" w:ascii="宋体" w:hAnsi="宋体" w:eastAsia="宋体" w:cs="宋体"/>
          <w:color w:val="auto"/>
          <w:spacing w:val="-2"/>
          <w:kern w:val="0"/>
          <w:sz w:val="24"/>
          <w:szCs w:val="24"/>
        </w:rPr>
        <w:t>金</w:t>
      </w:r>
      <w:r>
        <w:rPr>
          <w:rFonts w:hint="eastAsia" w:ascii="宋体" w:hAnsi="宋体" w:eastAsia="宋体" w:cs="宋体"/>
          <w:color w:val="auto"/>
          <w:kern w:val="0"/>
          <w:sz w:val="24"/>
          <w:szCs w:val="24"/>
        </w:rPr>
        <w:t>落</w:t>
      </w:r>
      <w:r>
        <w:rPr>
          <w:rFonts w:hint="eastAsia" w:ascii="宋体" w:hAnsi="宋体" w:eastAsia="宋体" w:cs="宋体"/>
          <w:color w:val="auto"/>
          <w:spacing w:val="-2"/>
          <w:kern w:val="0"/>
          <w:sz w:val="24"/>
          <w:szCs w:val="24"/>
        </w:rPr>
        <w:t>实</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见投标供应商须</w:t>
      </w:r>
      <w:r>
        <w:rPr>
          <w:rFonts w:hint="eastAsia" w:ascii="宋体" w:hAnsi="宋体" w:eastAsia="宋体" w:cs="宋体"/>
          <w:color w:val="auto"/>
          <w:kern w:val="0"/>
          <w:sz w:val="24"/>
          <w:szCs w:val="24"/>
        </w:rPr>
        <w:t>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48246E2E">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lang w:eastAsia="zh-CN"/>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.3采购范</w:t>
      </w:r>
      <w:r>
        <w:rPr>
          <w:rFonts w:hint="eastAsia" w:ascii="宋体" w:hAnsi="宋体" w:eastAsia="宋体" w:cs="宋体"/>
          <w:b/>
          <w:color w:val="auto"/>
          <w:spacing w:val="-3"/>
          <w:kern w:val="0"/>
          <w:sz w:val="24"/>
          <w:szCs w:val="24"/>
        </w:rPr>
        <w:t>围</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eastAsia="zh-CN"/>
        </w:rPr>
        <w:t>服务</w:t>
      </w:r>
      <w:r>
        <w:rPr>
          <w:rFonts w:hint="eastAsia" w:ascii="宋体" w:hAnsi="宋体" w:cs="宋体"/>
          <w:b/>
          <w:color w:val="auto"/>
          <w:kern w:val="0"/>
          <w:sz w:val="24"/>
          <w:szCs w:val="24"/>
          <w:lang w:val="en-US" w:eastAsia="zh-CN"/>
        </w:rPr>
        <w:t>周期</w:t>
      </w:r>
      <w:r>
        <w:rPr>
          <w:rFonts w:hint="eastAsia" w:ascii="宋体" w:hAnsi="宋体" w:eastAsia="宋体" w:cs="宋体"/>
          <w:b/>
          <w:color w:val="auto"/>
          <w:kern w:val="0"/>
          <w:sz w:val="24"/>
          <w:szCs w:val="24"/>
        </w:rPr>
        <w:t>、</w:t>
      </w:r>
      <w:r>
        <w:rPr>
          <w:rFonts w:hint="eastAsia" w:ascii="宋体" w:hAnsi="宋体" w:eastAsia="宋体" w:cs="宋体"/>
          <w:b/>
          <w:color w:val="auto"/>
          <w:spacing w:val="-3"/>
          <w:kern w:val="0"/>
          <w:sz w:val="24"/>
          <w:szCs w:val="24"/>
        </w:rPr>
        <w:t>质量要求</w:t>
      </w:r>
      <w:r>
        <w:rPr>
          <w:rFonts w:hint="eastAsia" w:ascii="宋体" w:hAnsi="宋体" w:cs="宋体"/>
          <w:b/>
          <w:color w:val="auto"/>
          <w:spacing w:val="-3"/>
          <w:kern w:val="0"/>
          <w:sz w:val="24"/>
          <w:szCs w:val="24"/>
          <w:lang w:eastAsia="zh-CN"/>
        </w:rPr>
        <w:t>、</w:t>
      </w:r>
      <w:r>
        <w:rPr>
          <w:rFonts w:hint="eastAsia" w:ascii="宋体" w:hAnsi="宋体" w:eastAsia="宋体" w:cs="宋体"/>
          <w:b/>
          <w:color w:val="auto"/>
          <w:spacing w:val="-3"/>
          <w:kern w:val="0"/>
          <w:sz w:val="24"/>
          <w:szCs w:val="24"/>
        </w:rPr>
        <w:t>合同履约期限</w:t>
      </w:r>
    </w:p>
    <w:p w14:paraId="19919F7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1.3.1采购范</w:t>
      </w:r>
      <w:r>
        <w:rPr>
          <w:rFonts w:hint="eastAsia" w:ascii="宋体" w:hAnsi="宋体" w:eastAsia="宋体" w:cs="宋体"/>
          <w:color w:val="auto"/>
          <w:spacing w:val="-2"/>
          <w:kern w:val="0"/>
          <w:sz w:val="24"/>
          <w:szCs w:val="24"/>
        </w:rPr>
        <w:t>围</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见</w:t>
      </w:r>
      <w:r>
        <w:rPr>
          <w:rFonts w:hint="eastAsia" w:ascii="宋体" w:hAnsi="宋体" w:eastAsia="宋体" w:cs="宋体"/>
          <w:color w:val="auto"/>
          <w:kern w:val="0"/>
          <w:sz w:val="24"/>
          <w:szCs w:val="24"/>
        </w:rPr>
        <w:t>投标供应商须知</w:t>
      </w:r>
      <w:r>
        <w:rPr>
          <w:rFonts w:hint="eastAsia" w:ascii="宋体" w:hAnsi="宋体" w:eastAsia="宋体" w:cs="宋体"/>
          <w:color w:val="auto"/>
          <w:spacing w:val="-2"/>
          <w:kern w:val="0"/>
          <w:sz w:val="24"/>
          <w:szCs w:val="24"/>
        </w:rPr>
        <w:t>前</w:t>
      </w:r>
      <w:r>
        <w:rPr>
          <w:rFonts w:hint="eastAsia" w:ascii="宋体" w:hAnsi="宋体" w:eastAsia="宋体" w:cs="宋体"/>
          <w:color w:val="auto"/>
          <w:kern w:val="0"/>
          <w:sz w:val="24"/>
          <w:szCs w:val="24"/>
        </w:rPr>
        <w:t>附</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w:t>
      </w:r>
    </w:p>
    <w:p w14:paraId="25621832">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r>
        <w:rPr>
          <w:rFonts w:hint="eastAsia" w:ascii="宋体" w:hAnsi="宋体" w:eastAsia="宋体" w:cs="宋体"/>
          <w:color w:val="auto"/>
          <w:kern w:val="0"/>
          <w:sz w:val="24"/>
          <w:szCs w:val="24"/>
          <w:lang w:eastAsia="zh-CN"/>
        </w:rPr>
        <w:t>服务</w:t>
      </w:r>
      <w:r>
        <w:rPr>
          <w:rFonts w:hint="eastAsia" w:ascii="宋体" w:hAnsi="宋体" w:cs="宋体"/>
          <w:color w:val="auto"/>
          <w:kern w:val="0"/>
          <w:sz w:val="24"/>
          <w:szCs w:val="24"/>
          <w:lang w:val="en-US" w:eastAsia="zh-CN"/>
        </w:rPr>
        <w:t>周期</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254E823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sz w:val="24"/>
          <w:szCs w:val="24"/>
        </w:rPr>
        <w:t>1.3.</w:t>
      </w:r>
      <w:r>
        <w:rPr>
          <w:rFonts w:hint="eastAsia" w:ascii="宋体" w:hAnsi="宋体" w:cs="宋体"/>
          <w:bCs/>
          <w:color w:val="auto"/>
          <w:sz w:val="24"/>
          <w:szCs w:val="24"/>
          <w:lang w:val="en-US" w:eastAsia="zh-CN"/>
        </w:rPr>
        <w:t>3</w:t>
      </w:r>
      <w:r>
        <w:rPr>
          <w:rFonts w:hint="eastAsia" w:ascii="宋体" w:hAnsi="宋体" w:eastAsia="宋体" w:cs="宋体"/>
          <w:color w:val="auto"/>
          <w:sz w:val="24"/>
          <w:szCs w:val="24"/>
        </w:rPr>
        <w:t>质量要求：</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1B845921">
      <w:pPr>
        <w:spacing w:line="360" w:lineRule="auto"/>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 xml:space="preserve">1.3.4 </w:t>
      </w:r>
      <w:r>
        <w:rPr>
          <w:rFonts w:hint="eastAsia" w:ascii="宋体" w:hAnsi="宋体" w:eastAsia="宋体" w:cs="宋体"/>
          <w:kern w:val="0"/>
          <w:sz w:val="24"/>
          <w:szCs w:val="24"/>
          <w:highlight w:val="none"/>
        </w:rPr>
        <w:t>合同履约期限</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见</w:t>
      </w:r>
      <w:r>
        <w:rPr>
          <w:rFonts w:hint="eastAsia" w:ascii="宋体" w:hAnsi="宋体" w:eastAsia="宋体" w:cs="宋体"/>
          <w:color w:val="auto"/>
          <w:spacing w:val="-2"/>
          <w:kern w:val="0"/>
          <w:sz w:val="24"/>
          <w:szCs w:val="24"/>
        </w:rPr>
        <w:t>投标供应商须</w:t>
      </w:r>
      <w:r>
        <w:rPr>
          <w:rFonts w:hint="eastAsia" w:ascii="宋体" w:hAnsi="宋体" w:eastAsia="宋体" w:cs="宋体"/>
          <w:color w:val="auto"/>
          <w:kern w:val="0"/>
          <w:sz w:val="24"/>
          <w:szCs w:val="24"/>
        </w:rPr>
        <w:t>知前</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表。</w:t>
      </w:r>
    </w:p>
    <w:p w14:paraId="52F052E0">
      <w:pPr>
        <w:spacing w:line="360" w:lineRule="auto"/>
        <w:ind w:firstLine="486" w:firstLineChars="200"/>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.4投标供应商</w:t>
      </w:r>
      <w:r>
        <w:rPr>
          <w:rFonts w:hint="eastAsia" w:ascii="宋体" w:hAnsi="宋体" w:eastAsia="宋体" w:cs="宋体"/>
          <w:b/>
          <w:color w:val="auto"/>
          <w:spacing w:val="-3"/>
          <w:kern w:val="0"/>
          <w:sz w:val="24"/>
          <w:szCs w:val="24"/>
        </w:rPr>
        <w:t>资</w:t>
      </w:r>
      <w:r>
        <w:rPr>
          <w:rFonts w:hint="eastAsia" w:ascii="宋体" w:hAnsi="宋体" w:eastAsia="宋体" w:cs="宋体"/>
          <w:b/>
          <w:color w:val="auto"/>
          <w:kern w:val="0"/>
          <w:sz w:val="24"/>
          <w:szCs w:val="24"/>
        </w:rPr>
        <w:t>格要求</w:t>
      </w:r>
    </w:p>
    <w:p w14:paraId="74BADCB6">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1.4.1投标供应商</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具</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承</w:t>
      </w:r>
      <w:r>
        <w:rPr>
          <w:rFonts w:hint="eastAsia" w:ascii="宋体" w:hAnsi="宋体" w:eastAsia="宋体" w:cs="宋体"/>
          <w:color w:val="auto"/>
          <w:spacing w:val="-2"/>
          <w:kern w:val="0"/>
          <w:sz w:val="24"/>
          <w:szCs w:val="24"/>
        </w:rPr>
        <w:t>担本</w:t>
      </w:r>
      <w:r>
        <w:rPr>
          <w:rFonts w:hint="eastAsia" w:ascii="宋体" w:hAnsi="宋体" w:cs="宋体"/>
          <w:color w:val="auto"/>
          <w:kern w:val="0"/>
          <w:sz w:val="24"/>
          <w:szCs w:val="24"/>
          <w:lang w:eastAsia="zh-CN"/>
        </w:rPr>
        <w:t>磋商</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条</w:t>
      </w:r>
      <w:r>
        <w:rPr>
          <w:rFonts w:hint="eastAsia" w:ascii="宋体" w:hAnsi="宋体" w:eastAsia="宋体" w:cs="宋体"/>
          <w:color w:val="auto"/>
          <w:kern w:val="0"/>
          <w:sz w:val="24"/>
          <w:szCs w:val="24"/>
        </w:rPr>
        <w:t>件</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力</w:t>
      </w:r>
      <w:r>
        <w:rPr>
          <w:rFonts w:hint="eastAsia" w:ascii="宋体" w:hAnsi="宋体" w:eastAsia="宋体" w:cs="宋体"/>
          <w:color w:val="auto"/>
          <w:kern w:val="0"/>
          <w:sz w:val="24"/>
          <w:szCs w:val="24"/>
        </w:rPr>
        <w:t>和信</w:t>
      </w:r>
      <w:r>
        <w:rPr>
          <w:rFonts w:hint="eastAsia" w:ascii="宋体" w:hAnsi="宋体" w:eastAsia="宋体" w:cs="宋体"/>
          <w:color w:val="auto"/>
          <w:spacing w:val="-2"/>
          <w:kern w:val="0"/>
          <w:sz w:val="24"/>
          <w:szCs w:val="24"/>
        </w:rPr>
        <w:t>誉</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见投标供应商须知前附表。</w:t>
      </w:r>
    </w:p>
    <w:p w14:paraId="394213FB">
      <w:pPr>
        <w:spacing w:line="360" w:lineRule="auto"/>
        <w:ind w:firstLine="480" w:firstLineChars="200"/>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1.4.2</w:t>
      </w:r>
      <w:r>
        <w:rPr>
          <w:rFonts w:hint="eastAsia" w:ascii="宋体" w:hAnsi="宋体" w:eastAsia="宋体" w:cs="宋体"/>
          <w:color w:val="auto"/>
          <w:spacing w:val="-2"/>
          <w:kern w:val="0"/>
          <w:position w:val="-1"/>
          <w:sz w:val="24"/>
          <w:szCs w:val="24"/>
        </w:rPr>
        <w:t>本项目</w:t>
      </w:r>
      <w:r>
        <w:rPr>
          <w:rFonts w:hint="eastAsia" w:ascii="宋体" w:hAnsi="宋体" w:cs="宋体"/>
          <w:color w:val="auto"/>
          <w:spacing w:val="-2"/>
          <w:kern w:val="0"/>
          <w:position w:val="-1"/>
          <w:sz w:val="24"/>
          <w:szCs w:val="24"/>
          <w:lang w:val="en-US" w:eastAsia="zh-CN"/>
        </w:rPr>
        <w:t>不</w:t>
      </w:r>
      <w:r>
        <w:rPr>
          <w:rFonts w:hint="eastAsia" w:ascii="宋体" w:hAnsi="宋体" w:eastAsia="宋体" w:cs="宋体"/>
          <w:color w:val="auto"/>
          <w:kern w:val="0"/>
          <w:position w:val="-1"/>
          <w:sz w:val="24"/>
          <w:szCs w:val="24"/>
        </w:rPr>
        <w:t>接</w:t>
      </w:r>
      <w:r>
        <w:rPr>
          <w:rFonts w:hint="eastAsia" w:ascii="宋体" w:hAnsi="宋体" w:eastAsia="宋体" w:cs="宋体"/>
          <w:color w:val="auto"/>
          <w:spacing w:val="-2"/>
          <w:kern w:val="0"/>
          <w:position w:val="-1"/>
          <w:sz w:val="24"/>
          <w:szCs w:val="24"/>
        </w:rPr>
        <w:t>受</w:t>
      </w:r>
      <w:r>
        <w:rPr>
          <w:rFonts w:hint="eastAsia" w:ascii="宋体" w:hAnsi="宋体" w:eastAsia="宋体" w:cs="宋体"/>
          <w:color w:val="auto"/>
          <w:kern w:val="0"/>
          <w:position w:val="-1"/>
          <w:sz w:val="24"/>
          <w:szCs w:val="24"/>
        </w:rPr>
        <w:t>联</w:t>
      </w:r>
      <w:r>
        <w:rPr>
          <w:rFonts w:hint="eastAsia" w:ascii="宋体" w:hAnsi="宋体" w:eastAsia="宋体" w:cs="宋体"/>
          <w:color w:val="auto"/>
          <w:spacing w:val="-2"/>
          <w:kern w:val="0"/>
          <w:position w:val="-1"/>
          <w:sz w:val="24"/>
          <w:szCs w:val="24"/>
        </w:rPr>
        <w:t>合</w:t>
      </w:r>
      <w:r>
        <w:rPr>
          <w:rFonts w:hint="eastAsia" w:ascii="宋体" w:hAnsi="宋体" w:eastAsia="宋体" w:cs="宋体"/>
          <w:color w:val="auto"/>
          <w:kern w:val="0"/>
          <w:position w:val="-1"/>
          <w:sz w:val="24"/>
          <w:szCs w:val="24"/>
        </w:rPr>
        <w:t>体</w:t>
      </w:r>
      <w:r>
        <w:rPr>
          <w:rFonts w:hint="eastAsia" w:ascii="宋体" w:hAnsi="宋体" w:eastAsia="宋体" w:cs="宋体"/>
          <w:color w:val="auto"/>
          <w:spacing w:val="-2"/>
          <w:kern w:val="0"/>
          <w:position w:val="-1"/>
          <w:sz w:val="24"/>
          <w:szCs w:val="24"/>
        </w:rPr>
        <w:t>投</w:t>
      </w:r>
      <w:r>
        <w:rPr>
          <w:rFonts w:hint="eastAsia" w:ascii="宋体" w:hAnsi="宋体" w:eastAsia="宋体" w:cs="宋体"/>
          <w:color w:val="auto"/>
          <w:kern w:val="0"/>
          <w:position w:val="-1"/>
          <w:sz w:val="24"/>
          <w:szCs w:val="24"/>
        </w:rPr>
        <w:t>标。</w:t>
      </w:r>
    </w:p>
    <w:p w14:paraId="13D75BA5">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1.4.3投标供应商</w:t>
      </w:r>
      <w:r>
        <w:rPr>
          <w:rFonts w:hint="eastAsia" w:ascii="宋体" w:hAnsi="宋体" w:eastAsia="宋体" w:cs="宋体"/>
          <w:color w:val="auto"/>
          <w:spacing w:val="-2"/>
          <w:kern w:val="0"/>
          <w:sz w:val="24"/>
          <w:szCs w:val="24"/>
        </w:rPr>
        <w:t>不</w:t>
      </w:r>
      <w:r>
        <w:rPr>
          <w:rFonts w:hint="eastAsia" w:ascii="宋体" w:hAnsi="宋体" w:eastAsia="宋体" w:cs="宋体"/>
          <w:color w:val="auto"/>
          <w:kern w:val="0"/>
          <w:sz w:val="24"/>
          <w:szCs w:val="24"/>
        </w:rPr>
        <w:t>得</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w:t>
      </w:r>
      <w:r>
        <w:rPr>
          <w:rFonts w:hint="eastAsia" w:ascii="宋体" w:hAnsi="宋体" w:eastAsia="宋体" w:cs="宋体"/>
          <w:color w:val="auto"/>
          <w:spacing w:val="-2"/>
          <w:kern w:val="0"/>
          <w:sz w:val="24"/>
          <w:szCs w:val="24"/>
        </w:rPr>
        <w:t>下列</w:t>
      </w:r>
      <w:r>
        <w:rPr>
          <w:rFonts w:hint="eastAsia" w:ascii="宋体" w:hAnsi="宋体" w:eastAsia="宋体" w:cs="宋体"/>
          <w:color w:val="auto"/>
          <w:kern w:val="0"/>
          <w:sz w:val="24"/>
          <w:szCs w:val="24"/>
        </w:rPr>
        <w:t>情形</w:t>
      </w:r>
      <w:r>
        <w:rPr>
          <w:rFonts w:hint="eastAsia" w:ascii="宋体" w:hAnsi="宋体" w:eastAsia="宋体" w:cs="宋体"/>
          <w:color w:val="auto"/>
          <w:spacing w:val="-2"/>
          <w:kern w:val="0"/>
          <w:sz w:val="24"/>
          <w:szCs w:val="24"/>
        </w:rPr>
        <w:t>之</w:t>
      </w:r>
      <w:r>
        <w:rPr>
          <w:rFonts w:hint="eastAsia" w:ascii="宋体" w:hAnsi="宋体" w:eastAsia="宋体" w:cs="宋体"/>
          <w:color w:val="auto"/>
          <w:kern w:val="0"/>
          <w:sz w:val="24"/>
          <w:szCs w:val="24"/>
        </w:rPr>
        <w:t>一：</w:t>
      </w:r>
    </w:p>
    <w:p w14:paraId="2352B646">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存</w:t>
      </w:r>
      <w:r>
        <w:rPr>
          <w:rFonts w:hint="eastAsia" w:ascii="宋体" w:hAnsi="宋体" w:eastAsia="宋体" w:cs="宋体"/>
          <w:color w:val="auto"/>
          <w:spacing w:val="-2"/>
          <w:kern w:val="0"/>
          <w:sz w:val="24"/>
          <w:szCs w:val="24"/>
        </w:rPr>
        <w:t>在</w:t>
      </w:r>
      <w:r>
        <w:rPr>
          <w:rFonts w:hint="eastAsia" w:ascii="宋体" w:hAnsi="宋体" w:eastAsia="宋体" w:cs="宋体"/>
          <w:color w:val="auto"/>
          <w:kern w:val="0"/>
          <w:sz w:val="24"/>
          <w:szCs w:val="24"/>
        </w:rPr>
        <w:t>利</w:t>
      </w:r>
      <w:r>
        <w:rPr>
          <w:rFonts w:hint="eastAsia" w:ascii="宋体" w:hAnsi="宋体" w:eastAsia="宋体" w:cs="宋体"/>
          <w:color w:val="auto"/>
          <w:spacing w:val="-2"/>
          <w:kern w:val="0"/>
          <w:sz w:val="24"/>
          <w:szCs w:val="24"/>
        </w:rPr>
        <w:t>害关</w:t>
      </w:r>
      <w:r>
        <w:rPr>
          <w:rFonts w:hint="eastAsia" w:ascii="宋体" w:hAnsi="宋体" w:eastAsia="宋体" w:cs="宋体"/>
          <w:color w:val="auto"/>
          <w:kern w:val="0"/>
          <w:sz w:val="24"/>
          <w:szCs w:val="24"/>
        </w:rPr>
        <w:t>系且</w:t>
      </w:r>
      <w:r>
        <w:rPr>
          <w:rFonts w:hint="eastAsia" w:ascii="宋体" w:hAnsi="宋体" w:eastAsia="宋体" w:cs="宋体"/>
          <w:color w:val="auto"/>
          <w:spacing w:val="-2"/>
          <w:kern w:val="0"/>
          <w:sz w:val="24"/>
          <w:szCs w:val="24"/>
        </w:rPr>
        <w:t>可</w:t>
      </w:r>
      <w:r>
        <w:rPr>
          <w:rFonts w:hint="eastAsia" w:ascii="宋体" w:hAnsi="宋体" w:eastAsia="宋体" w:cs="宋体"/>
          <w:color w:val="auto"/>
          <w:kern w:val="0"/>
          <w:sz w:val="24"/>
          <w:szCs w:val="24"/>
        </w:rPr>
        <w:t>能</w:t>
      </w:r>
      <w:r>
        <w:rPr>
          <w:rFonts w:hint="eastAsia" w:ascii="宋体" w:hAnsi="宋体" w:eastAsia="宋体" w:cs="宋体"/>
          <w:color w:val="auto"/>
          <w:spacing w:val="-2"/>
          <w:kern w:val="0"/>
          <w:sz w:val="24"/>
          <w:szCs w:val="24"/>
        </w:rPr>
        <w:t>影</w:t>
      </w:r>
      <w:r>
        <w:rPr>
          <w:rFonts w:hint="eastAsia" w:ascii="宋体" w:hAnsi="宋体" w:eastAsia="宋体" w:cs="宋体"/>
          <w:color w:val="auto"/>
          <w:kern w:val="0"/>
          <w:sz w:val="24"/>
          <w:szCs w:val="24"/>
        </w:rPr>
        <w:t>响</w:t>
      </w:r>
      <w:r>
        <w:rPr>
          <w:rFonts w:hint="eastAsia" w:ascii="宋体" w:hAnsi="宋体" w:cs="宋体"/>
          <w:color w:val="auto"/>
          <w:spacing w:val="-2"/>
          <w:kern w:val="0"/>
          <w:sz w:val="24"/>
          <w:szCs w:val="24"/>
          <w:lang w:eastAsia="zh-CN"/>
        </w:rPr>
        <w:t>磋商</w:t>
      </w:r>
      <w:r>
        <w:rPr>
          <w:rFonts w:hint="eastAsia" w:ascii="宋体" w:hAnsi="宋体" w:eastAsia="宋体" w:cs="宋体"/>
          <w:color w:val="auto"/>
          <w:spacing w:val="-2"/>
          <w:kern w:val="0"/>
          <w:sz w:val="24"/>
          <w:szCs w:val="24"/>
        </w:rPr>
        <w:t>公</w:t>
      </w:r>
      <w:r>
        <w:rPr>
          <w:rFonts w:hint="eastAsia" w:ascii="宋体" w:hAnsi="宋体" w:eastAsia="宋体" w:cs="宋体"/>
          <w:color w:val="auto"/>
          <w:kern w:val="0"/>
          <w:sz w:val="24"/>
          <w:szCs w:val="24"/>
        </w:rPr>
        <w:t>正</w:t>
      </w:r>
      <w:r>
        <w:rPr>
          <w:rFonts w:hint="eastAsia" w:ascii="宋体" w:hAnsi="宋体" w:eastAsia="宋体" w:cs="宋体"/>
          <w:color w:val="auto"/>
          <w:spacing w:val="-2"/>
          <w:kern w:val="0"/>
          <w:sz w:val="24"/>
          <w:szCs w:val="24"/>
        </w:rPr>
        <w:t>性</w:t>
      </w:r>
      <w:r>
        <w:rPr>
          <w:rFonts w:hint="eastAsia" w:ascii="宋体" w:hAnsi="宋体" w:eastAsia="宋体" w:cs="宋体"/>
          <w:color w:val="auto"/>
          <w:kern w:val="0"/>
          <w:sz w:val="24"/>
          <w:szCs w:val="24"/>
        </w:rPr>
        <w:t>；</w:t>
      </w:r>
    </w:p>
    <w:p w14:paraId="5DDDA9D1">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项目的其他投标供应商的单位负责人为同一人；</w:t>
      </w:r>
    </w:p>
    <w:p w14:paraId="39F6131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与本</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项目的其他投标供应商存在直接控股、管理关系；</w:t>
      </w:r>
    </w:p>
    <w:p w14:paraId="40EF16ED">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pacing w:val="-7"/>
          <w:kern w:val="0"/>
          <w:sz w:val="24"/>
          <w:szCs w:val="24"/>
        </w:rPr>
        <w:t>4</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被</w:t>
      </w:r>
      <w:r>
        <w:rPr>
          <w:rFonts w:hint="eastAsia" w:ascii="宋体" w:hAnsi="宋体" w:eastAsia="宋体" w:cs="宋体"/>
          <w:color w:val="auto"/>
          <w:kern w:val="0"/>
          <w:sz w:val="24"/>
          <w:szCs w:val="24"/>
        </w:rPr>
        <w:t>依</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暂</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或</w:t>
      </w:r>
      <w:r>
        <w:rPr>
          <w:rFonts w:hint="eastAsia" w:ascii="宋体" w:hAnsi="宋体" w:eastAsia="宋体" w:cs="宋体"/>
          <w:color w:val="auto"/>
          <w:spacing w:val="-2"/>
          <w:kern w:val="0"/>
          <w:sz w:val="24"/>
          <w:szCs w:val="24"/>
        </w:rPr>
        <w:t>者取</w:t>
      </w:r>
      <w:r>
        <w:rPr>
          <w:rFonts w:hint="eastAsia" w:ascii="宋体" w:hAnsi="宋体" w:eastAsia="宋体" w:cs="宋体"/>
          <w:color w:val="auto"/>
          <w:kern w:val="0"/>
          <w:sz w:val="24"/>
          <w:szCs w:val="24"/>
        </w:rPr>
        <w:t>消投</w:t>
      </w:r>
      <w:r>
        <w:rPr>
          <w:rFonts w:hint="eastAsia" w:ascii="宋体" w:hAnsi="宋体" w:eastAsia="宋体" w:cs="宋体"/>
          <w:color w:val="auto"/>
          <w:spacing w:val="-2"/>
          <w:kern w:val="0"/>
          <w:sz w:val="24"/>
          <w:szCs w:val="24"/>
        </w:rPr>
        <w:t>标</w:t>
      </w:r>
      <w:r>
        <w:rPr>
          <w:rFonts w:hint="eastAsia" w:ascii="宋体" w:hAnsi="宋体" w:eastAsia="宋体" w:cs="宋体"/>
          <w:color w:val="auto"/>
          <w:kern w:val="0"/>
          <w:sz w:val="24"/>
          <w:szCs w:val="24"/>
        </w:rPr>
        <w:t>资</w:t>
      </w:r>
      <w:r>
        <w:rPr>
          <w:rFonts w:hint="eastAsia" w:ascii="宋体" w:hAnsi="宋体" w:eastAsia="宋体" w:cs="宋体"/>
          <w:color w:val="auto"/>
          <w:spacing w:val="-2"/>
          <w:kern w:val="0"/>
          <w:sz w:val="24"/>
          <w:szCs w:val="24"/>
        </w:rPr>
        <w:t>格</w:t>
      </w:r>
      <w:r>
        <w:rPr>
          <w:rFonts w:hint="eastAsia" w:ascii="宋体" w:hAnsi="宋体" w:eastAsia="宋体" w:cs="宋体"/>
          <w:color w:val="auto"/>
          <w:kern w:val="0"/>
          <w:sz w:val="24"/>
          <w:szCs w:val="24"/>
        </w:rPr>
        <w:t>；</w:t>
      </w:r>
    </w:p>
    <w:p w14:paraId="11540A04">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被</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令</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产</w:t>
      </w:r>
      <w:r>
        <w:rPr>
          <w:rFonts w:hint="eastAsia" w:ascii="宋体" w:hAnsi="宋体" w:eastAsia="宋体" w:cs="宋体"/>
          <w:color w:val="auto"/>
          <w:spacing w:val="-2"/>
          <w:kern w:val="0"/>
          <w:sz w:val="24"/>
          <w:szCs w:val="24"/>
        </w:rPr>
        <w:t>停</w:t>
      </w:r>
      <w:r>
        <w:rPr>
          <w:rFonts w:hint="eastAsia" w:ascii="宋体" w:hAnsi="宋体" w:eastAsia="宋体" w:cs="宋体"/>
          <w:color w:val="auto"/>
          <w:kern w:val="0"/>
          <w:sz w:val="24"/>
          <w:szCs w:val="24"/>
        </w:rPr>
        <w:t>业</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暂扣</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吊</w:t>
      </w:r>
      <w:r>
        <w:rPr>
          <w:rFonts w:hint="eastAsia" w:ascii="宋体" w:hAnsi="宋体" w:eastAsia="宋体" w:cs="宋体"/>
          <w:color w:val="auto"/>
          <w:kern w:val="0"/>
          <w:sz w:val="24"/>
          <w:szCs w:val="24"/>
        </w:rPr>
        <w:t>销</w:t>
      </w:r>
      <w:r>
        <w:rPr>
          <w:rFonts w:hint="eastAsia" w:ascii="宋体" w:hAnsi="宋体" w:eastAsia="宋体" w:cs="宋体"/>
          <w:color w:val="auto"/>
          <w:spacing w:val="-2"/>
          <w:kern w:val="0"/>
          <w:sz w:val="24"/>
          <w:szCs w:val="24"/>
        </w:rPr>
        <w:t>许</w:t>
      </w:r>
      <w:r>
        <w:rPr>
          <w:rFonts w:hint="eastAsia" w:ascii="宋体" w:hAnsi="宋体" w:eastAsia="宋体" w:cs="宋体"/>
          <w:color w:val="auto"/>
          <w:kern w:val="0"/>
          <w:sz w:val="24"/>
          <w:szCs w:val="24"/>
        </w:rPr>
        <w:t>可</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暂</w:t>
      </w:r>
      <w:r>
        <w:rPr>
          <w:rFonts w:hint="eastAsia" w:ascii="宋体" w:hAnsi="宋体" w:eastAsia="宋体" w:cs="宋体"/>
          <w:color w:val="auto"/>
          <w:kern w:val="0"/>
          <w:sz w:val="24"/>
          <w:szCs w:val="24"/>
        </w:rPr>
        <w:t>扣或</w:t>
      </w:r>
      <w:r>
        <w:rPr>
          <w:rFonts w:hint="eastAsia" w:ascii="宋体" w:hAnsi="宋体" w:eastAsia="宋体" w:cs="宋体"/>
          <w:color w:val="auto"/>
          <w:spacing w:val="-2"/>
          <w:kern w:val="0"/>
          <w:sz w:val="24"/>
          <w:szCs w:val="24"/>
        </w:rPr>
        <w:t>者</w:t>
      </w:r>
      <w:r>
        <w:rPr>
          <w:rFonts w:hint="eastAsia" w:ascii="宋体" w:hAnsi="宋体" w:eastAsia="宋体" w:cs="宋体"/>
          <w:color w:val="auto"/>
          <w:kern w:val="0"/>
          <w:sz w:val="24"/>
          <w:szCs w:val="24"/>
        </w:rPr>
        <w:t>吊</w:t>
      </w:r>
      <w:r>
        <w:rPr>
          <w:rFonts w:hint="eastAsia" w:ascii="宋体" w:hAnsi="宋体" w:eastAsia="宋体" w:cs="宋体"/>
          <w:color w:val="auto"/>
          <w:spacing w:val="-2"/>
          <w:kern w:val="0"/>
          <w:sz w:val="24"/>
          <w:szCs w:val="24"/>
        </w:rPr>
        <w:t>销</w:t>
      </w:r>
      <w:r>
        <w:rPr>
          <w:rFonts w:hint="eastAsia" w:ascii="宋体" w:hAnsi="宋体" w:eastAsia="宋体" w:cs="宋体"/>
          <w:color w:val="auto"/>
          <w:kern w:val="0"/>
          <w:sz w:val="24"/>
          <w:szCs w:val="24"/>
        </w:rPr>
        <w:t>执</w:t>
      </w:r>
      <w:r>
        <w:rPr>
          <w:rFonts w:hint="eastAsia" w:ascii="宋体" w:hAnsi="宋体" w:eastAsia="宋体" w:cs="宋体"/>
          <w:color w:val="auto"/>
          <w:spacing w:val="-2"/>
          <w:kern w:val="0"/>
          <w:sz w:val="24"/>
          <w:szCs w:val="24"/>
        </w:rPr>
        <w:t>照</w:t>
      </w:r>
      <w:r>
        <w:rPr>
          <w:rFonts w:hint="eastAsia" w:ascii="宋体" w:hAnsi="宋体" w:eastAsia="宋体" w:cs="宋体"/>
          <w:color w:val="auto"/>
          <w:kern w:val="0"/>
          <w:sz w:val="24"/>
          <w:szCs w:val="24"/>
        </w:rPr>
        <w:t>；</w:t>
      </w:r>
    </w:p>
    <w:p w14:paraId="0C44D012">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进</w:t>
      </w:r>
      <w:r>
        <w:rPr>
          <w:rFonts w:hint="eastAsia" w:ascii="宋体" w:hAnsi="宋体" w:eastAsia="宋体" w:cs="宋体"/>
          <w:color w:val="auto"/>
          <w:spacing w:val="-2"/>
          <w:kern w:val="0"/>
          <w:sz w:val="24"/>
          <w:szCs w:val="24"/>
        </w:rPr>
        <w:t>入</w:t>
      </w:r>
      <w:r>
        <w:rPr>
          <w:rFonts w:hint="eastAsia" w:ascii="宋体" w:hAnsi="宋体" w:eastAsia="宋体" w:cs="宋体"/>
          <w:color w:val="auto"/>
          <w:kern w:val="0"/>
          <w:sz w:val="24"/>
          <w:szCs w:val="24"/>
        </w:rPr>
        <w:t>清</w:t>
      </w:r>
      <w:r>
        <w:rPr>
          <w:rFonts w:hint="eastAsia" w:ascii="宋体" w:hAnsi="宋体" w:eastAsia="宋体" w:cs="宋体"/>
          <w:color w:val="auto"/>
          <w:spacing w:val="-2"/>
          <w:kern w:val="0"/>
          <w:sz w:val="24"/>
          <w:szCs w:val="24"/>
        </w:rPr>
        <w:t>算</w:t>
      </w:r>
      <w:r>
        <w:rPr>
          <w:rFonts w:hint="eastAsia" w:ascii="宋体" w:hAnsi="宋体" w:eastAsia="宋体" w:cs="宋体"/>
          <w:color w:val="auto"/>
          <w:kern w:val="0"/>
          <w:sz w:val="24"/>
          <w:szCs w:val="24"/>
        </w:rPr>
        <w:t>程</w:t>
      </w:r>
      <w:r>
        <w:rPr>
          <w:rFonts w:hint="eastAsia" w:ascii="宋体" w:hAnsi="宋体" w:eastAsia="宋体" w:cs="宋体"/>
          <w:color w:val="auto"/>
          <w:spacing w:val="-2"/>
          <w:kern w:val="0"/>
          <w:sz w:val="24"/>
          <w:szCs w:val="24"/>
        </w:rPr>
        <w:t>序</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被宣</w:t>
      </w:r>
      <w:r>
        <w:rPr>
          <w:rFonts w:hint="eastAsia" w:ascii="宋体" w:hAnsi="宋体" w:eastAsia="宋体" w:cs="宋体"/>
          <w:color w:val="auto"/>
          <w:spacing w:val="-2"/>
          <w:kern w:val="0"/>
          <w:sz w:val="24"/>
          <w:szCs w:val="24"/>
        </w:rPr>
        <w:t>告</w:t>
      </w:r>
      <w:r>
        <w:rPr>
          <w:rFonts w:hint="eastAsia" w:ascii="宋体" w:hAnsi="宋体" w:eastAsia="宋体" w:cs="宋体"/>
          <w:color w:val="auto"/>
          <w:kern w:val="0"/>
          <w:sz w:val="24"/>
          <w:szCs w:val="24"/>
        </w:rPr>
        <w:t>破</w:t>
      </w:r>
      <w:r>
        <w:rPr>
          <w:rFonts w:hint="eastAsia" w:ascii="宋体" w:hAnsi="宋体" w:eastAsia="宋体" w:cs="宋体"/>
          <w:color w:val="auto"/>
          <w:spacing w:val="-2"/>
          <w:kern w:val="0"/>
          <w:sz w:val="24"/>
          <w:szCs w:val="24"/>
        </w:rPr>
        <w:t>产</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其</w:t>
      </w:r>
      <w:r>
        <w:rPr>
          <w:rFonts w:hint="eastAsia" w:ascii="宋体" w:hAnsi="宋体" w:eastAsia="宋体" w:cs="宋体"/>
          <w:color w:val="auto"/>
          <w:spacing w:val="-2"/>
          <w:kern w:val="0"/>
          <w:sz w:val="24"/>
          <w:szCs w:val="24"/>
        </w:rPr>
        <w:t>他</w:t>
      </w:r>
      <w:r>
        <w:rPr>
          <w:rFonts w:hint="eastAsia" w:ascii="宋体" w:hAnsi="宋体" w:eastAsia="宋体" w:cs="宋体"/>
          <w:color w:val="auto"/>
          <w:kern w:val="0"/>
          <w:sz w:val="24"/>
          <w:szCs w:val="24"/>
        </w:rPr>
        <w:t>丧</w:t>
      </w:r>
      <w:r>
        <w:rPr>
          <w:rFonts w:hint="eastAsia" w:ascii="宋体" w:hAnsi="宋体" w:eastAsia="宋体" w:cs="宋体"/>
          <w:color w:val="auto"/>
          <w:spacing w:val="-2"/>
          <w:kern w:val="0"/>
          <w:sz w:val="24"/>
          <w:szCs w:val="24"/>
        </w:rPr>
        <w:t>失</w:t>
      </w:r>
      <w:r>
        <w:rPr>
          <w:rFonts w:hint="eastAsia" w:ascii="宋体" w:hAnsi="宋体" w:eastAsia="宋体" w:cs="宋体"/>
          <w:color w:val="auto"/>
          <w:kern w:val="0"/>
          <w:sz w:val="24"/>
          <w:szCs w:val="24"/>
        </w:rPr>
        <w:t>履约</w:t>
      </w:r>
      <w:r>
        <w:rPr>
          <w:rFonts w:hint="eastAsia" w:ascii="宋体" w:hAnsi="宋体" w:eastAsia="宋体" w:cs="宋体"/>
          <w:color w:val="auto"/>
          <w:spacing w:val="-2"/>
          <w:kern w:val="0"/>
          <w:sz w:val="24"/>
          <w:szCs w:val="24"/>
        </w:rPr>
        <w:t>能</w:t>
      </w:r>
      <w:r>
        <w:rPr>
          <w:rFonts w:hint="eastAsia" w:ascii="宋体" w:hAnsi="宋体" w:eastAsia="宋体" w:cs="宋体"/>
          <w:color w:val="auto"/>
          <w:kern w:val="0"/>
          <w:sz w:val="24"/>
          <w:szCs w:val="24"/>
        </w:rPr>
        <w:t>力</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情</w:t>
      </w:r>
      <w:r>
        <w:rPr>
          <w:rFonts w:hint="eastAsia" w:ascii="宋体" w:hAnsi="宋体" w:eastAsia="宋体" w:cs="宋体"/>
          <w:color w:val="auto"/>
          <w:spacing w:val="-2"/>
          <w:kern w:val="0"/>
          <w:sz w:val="24"/>
          <w:szCs w:val="24"/>
        </w:rPr>
        <w:t>形</w:t>
      </w:r>
      <w:r>
        <w:rPr>
          <w:rFonts w:hint="eastAsia" w:ascii="宋体" w:hAnsi="宋体" w:eastAsia="宋体" w:cs="宋体"/>
          <w:color w:val="auto"/>
          <w:kern w:val="0"/>
          <w:sz w:val="24"/>
          <w:szCs w:val="24"/>
        </w:rPr>
        <w:t>；</w:t>
      </w:r>
    </w:p>
    <w:p w14:paraId="30D14823">
      <w:pPr>
        <w:autoSpaceDE w:val="0"/>
        <w:autoSpaceDN w:val="0"/>
        <w:adjustRightInd w:val="0"/>
        <w:spacing w:line="360" w:lineRule="auto"/>
        <w:ind w:left="-2" w:leftChars="-1"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（7）在最近三年</w:t>
      </w:r>
      <w:r>
        <w:rPr>
          <w:rFonts w:hint="eastAsia" w:ascii="宋体" w:hAnsi="宋体" w:eastAsia="宋体" w:cs="宋体"/>
          <w:color w:val="auto"/>
          <w:spacing w:val="-2"/>
          <w:kern w:val="0"/>
          <w:sz w:val="24"/>
          <w:szCs w:val="24"/>
        </w:rPr>
        <w:t>内严重违约、</w:t>
      </w:r>
      <w:r>
        <w:rPr>
          <w:rFonts w:hint="eastAsia" w:ascii="宋体" w:hAnsi="宋体" w:eastAsia="宋体" w:cs="宋体"/>
          <w:color w:val="auto"/>
          <w:kern w:val="0"/>
          <w:sz w:val="24"/>
          <w:szCs w:val="24"/>
        </w:rPr>
        <w:t>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重大</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质量问题</w:t>
      </w:r>
      <w:r>
        <w:rPr>
          <w:rFonts w:hint="eastAsia" w:ascii="宋体" w:hAnsi="宋体" w:eastAsia="宋体" w:cs="宋体"/>
          <w:color w:val="auto"/>
          <w:spacing w:val="-2"/>
          <w:kern w:val="0"/>
          <w:sz w:val="24"/>
          <w:szCs w:val="24"/>
        </w:rPr>
        <w:t>的。</w:t>
      </w:r>
    </w:p>
    <w:p w14:paraId="2EAF19EC">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position w:val="-1"/>
          <w:sz w:val="24"/>
          <w:szCs w:val="24"/>
        </w:rPr>
        <w:t>1</w:t>
      </w:r>
      <w:r>
        <w:rPr>
          <w:rFonts w:hint="eastAsia" w:ascii="宋体" w:hAnsi="宋体" w:eastAsia="宋体" w:cs="宋体"/>
          <w:b/>
          <w:color w:val="auto"/>
          <w:kern w:val="0"/>
          <w:position w:val="-1"/>
          <w:sz w:val="24"/>
          <w:szCs w:val="24"/>
        </w:rPr>
        <w:t>.5费用承担</w:t>
      </w:r>
    </w:p>
    <w:p w14:paraId="2582B68F">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投标供应商准</w:t>
      </w:r>
      <w:r>
        <w:rPr>
          <w:rFonts w:hint="eastAsia" w:ascii="宋体" w:hAnsi="宋体" w:eastAsia="宋体" w:cs="宋体"/>
          <w:color w:val="auto"/>
          <w:spacing w:val="-2"/>
          <w:kern w:val="0"/>
          <w:sz w:val="24"/>
          <w:szCs w:val="24"/>
        </w:rPr>
        <w:t>备</w:t>
      </w:r>
      <w:r>
        <w:rPr>
          <w:rFonts w:hint="eastAsia" w:ascii="宋体" w:hAnsi="宋体" w:eastAsia="宋体" w:cs="宋体"/>
          <w:color w:val="auto"/>
          <w:kern w:val="0"/>
          <w:sz w:val="24"/>
          <w:szCs w:val="24"/>
        </w:rPr>
        <w:t>和</w:t>
      </w:r>
      <w:r>
        <w:rPr>
          <w:rFonts w:hint="eastAsia" w:ascii="宋体" w:hAnsi="宋体" w:eastAsia="宋体" w:cs="宋体"/>
          <w:color w:val="auto"/>
          <w:spacing w:val="-2"/>
          <w:kern w:val="0"/>
          <w:sz w:val="24"/>
          <w:szCs w:val="24"/>
        </w:rPr>
        <w:t>参</w:t>
      </w:r>
      <w:r>
        <w:rPr>
          <w:rFonts w:hint="eastAsia" w:ascii="宋体" w:hAnsi="宋体" w:eastAsia="宋体" w:cs="宋体"/>
          <w:color w:val="auto"/>
          <w:kern w:val="0"/>
          <w:sz w:val="24"/>
          <w:szCs w:val="24"/>
        </w:rPr>
        <w:t>加</w:t>
      </w:r>
      <w:r>
        <w:rPr>
          <w:rFonts w:hint="eastAsia" w:ascii="宋体" w:hAnsi="宋体" w:eastAsia="宋体" w:cs="宋体"/>
          <w:color w:val="auto"/>
          <w:spacing w:val="-2"/>
          <w:kern w:val="0"/>
          <w:sz w:val="24"/>
          <w:szCs w:val="24"/>
        </w:rPr>
        <w:t>投</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活</w:t>
      </w:r>
      <w:r>
        <w:rPr>
          <w:rFonts w:hint="eastAsia" w:ascii="宋体" w:hAnsi="宋体" w:eastAsia="宋体" w:cs="宋体"/>
          <w:color w:val="auto"/>
          <w:kern w:val="0"/>
          <w:sz w:val="24"/>
          <w:szCs w:val="24"/>
        </w:rPr>
        <w:t>动发</w:t>
      </w:r>
      <w:r>
        <w:rPr>
          <w:rFonts w:hint="eastAsia" w:ascii="宋体" w:hAnsi="宋体" w:eastAsia="宋体" w:cs="宋体"/>
          <w:color w:val="auto"/>
          <w:spacing w:val="-2"/>
          <w:kern w:val="0"/>
          <w:sz w:val="24"/>
          <w:szCs w:val="24"/>
        </w:rPr>
        <w:t>生</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费</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自</w:t>
      </w:r>
      <w:r>
        <w:rPr>
          <w:rFonts w:hint="eastAsia" w:ascii="宋体" w:hAnsi="宋体" w:eastAsia="宋体" w:cs="宋体"/>
          <w:color w:val="auto"/>
          <w:kern w:val="0"/>
          <w:sz w:val="24"/>
          <w:szCs w:val="24"/>
        </w:rPr>
        <w:t>理。</w:t>
      </w:r>
    </w:p>
    <w:p w14:paraId="7FF25AF6">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kern w:val="0"/>
          <w:sz w:val="24"/>
          <w:szCs w:val="24"/>
        </w:rPr>
        <w:t>.6保密</w:t>
      </w:r>
    </w:p>
    <w:p w14:paraId="59C1ECF1">
      <w:pPr>
        <w:autoSpaceDE w:val="0"/>
        <w:autoSpaceDN w:val="0"/>
        <w:adjustRightInd w:val="0"/>
        <w:spacing w:line="360" w:lineRule="auto"/>
        <w:ind w:right="143"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参与</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投标活动的各方应对</w:t>
      </w: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rPr>
        <w:t>和</w:t>
      </w:r>
      <w:r>
        <w:rPr>
          <w:rFonts w:hint="eastAsia" w:ascii="宋体" w:hAnsi="宋体" w:eastAsia="宋体" w:cs="宋体"/>
          <w:color w:val="auto"/>
          <w:kern w:val="0"/>
          <w:sz w:val="24"/>
          <w:szCs w:val="24"/>
          <w:lang w:val="en-US" w:eastAsia="zh-CN"/>
        </w:rPr>
        <w:t>响应文件</w:t>
      </w:r>
      <w:r>
        <w:rPr>
          <w:rFonts w:hint="eastAsia" w:ascii="宋体" w:hAnsi="宋体" w:eastAsia="宋体" w:cs="宋体"/>
          <w:color w:val="auto"/>
          <w:kern w:val="0"/>
          <w:sz w:val="24"/>
          <w:szCs w:val="24"/>
        </w:rPr>
        <w:t>中的商业和技术等秘密保密，否则应承担相</w:t>
      </w:r>
      <w:r>
        <w:rPr>
          <w:rFonts w:hint="eastAsia" w:ascii="宋体" w:hAnsi="宋体" w:eastAsia="宋体" w:cs="宋体"/>
          <w:color w:val="auto"/>
          <w:spacing w:val="-2"/>
          <w:kern w:val="0"/>
          <w:sz w:val="24"/>
          <w:szCs w:val="24"/>
        </w:rPr>
        <w:t>应</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法</w:t>
      </w:r>
      <w:r>
        <w:rPr>
          <w:rFonts w:hint="eastAsia" w:ascii="宋体" w:hAnsi="宋体" w:eastAsia="宋体" w:cs="宋体"/>
          <w:color w:val="auto"/>
          <w:kern w:val="0"/>
          <w:sz w:val="24"/>
          <w:szCs w:val="24"/>
        </w:rPr>
        <w:t>律</w:t>
      </w:r>
      <w:r>
        <w:rPr>
          <w:rFonts w:hint="eastAsia" w:ascii="宋体" w:hAnsi="宋体" w:eastAsia="宋体" w:cs="宋体"/>
          <w:color w:val="auto"/>
          <w:spacing w:val="-2"/>
          <w:kern w:val="0"/>
          <w:sz w:val="24"/>
          <w:szCs w:val="24"/>
        </w:rPr>
        <w:t>责</w:t>
      </w:r>
      <w:r>
        <w:rPr>
          <w:rFonts w:hint="eastAsia" w:ascii="宋体" w:hAnsi="宋体" w:eastAsia="宋体" w:cs="宋体"/>
          <w:color w:val="auto"/>
          <w:kern w:val="0"/>
          <w:sz w:val="24"/>
          <w:szCs w:val="24"/>
        </w:rPr>
        <w:t>任。</w:t>
      </w:r>
    </w:p>
    <w:p w14:paraId="3ABCCF7B">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7语言文字</w:t>
      </w:r>
    </w:p>
    <w:p w14:paraId="280A4FD3">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竞争性磋商文件</w:t>
      </w:r>
      <w:r>
        <w:rPr>
          <w:rFonts w:hint="eastAsia" w:ascii="宋体" w:hAnsi="宋体" w:eastAsia="宋体" w:cs="宋体"/>
          <w:color w:val="auto"/>
          <w:kern w:val="0"/>
          <w:sz w:val="24"/>
          <w:szCs w:val="24"/>
          <w:highlight w:val="none"/>
          <w:lang w:eastAsia="zh-CN"/>
        </w:rPr>
        <w:t>及响应文件</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的</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言</w:t>
      </w:r>
      <w:r>
        <w:rPr>
          <w:rFonts w:hint="eastAsia" w:ascii="宋体" w:hAnsi="宋体" w:eastAsia="宋体" w:cs="宋体"/>
          <w:color w:val="auto"/>
          <w:kern w:val="0"/>
          <w:sz w:val="24"/>
          <w:szCs w:val="24"/>
        </w:rPr>
        <w:t>文字</w:t>
      </w:r>
      <w:r>
        <w:rPr>
          <w:rFonts w:hint="eastAsia" w:ascii="宋体" w:hAnsi="宋体" w:eastAsia="宋体" w:cs="宋体"/>
          <w:color w:val="auto"/>
          <w:spacing w:val="-2"/>
          <w:kern w:val="0"/>
          <w:sz w:val="24"/>
          <w:szCs w:val="24"/>
        </w:rPr>
        <w:t>为</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专</w:t>
      </w:r>
      <w:r>
        <w:rPr>
          <w:rFonts w:hint="eastAsia" w:ascii="宋体" w:hAnsi="宋体" w:eastAsia="宋体" w:cs="宋体"/>
          <w:color w:val="auto"/>
          <w:kern w:val="0"/>
          <w:sz w:val="24"/>
          <w:szCs w:val="24"/>
        </w:rPr>
        <w:t>用</w:t>
      </w:r>
      <w:r>
        <w:rPr>
          <w:rFonts w:hint="eastAsia" w:ascii="宋体" w:hAnsi="宋体" w:eastAsia="宋体" w:cs="宋体"/>
          <w:color w:val="auto"/>
          <w:spacing w:val="-2"/>
          <w:kern w:val="0"/>
          <w:sz w:val="24"/>
          <w:szCs w:val="24"/>
        </w:rPr>
        <w:t>术</w:t>
      </w:r>
      <w:r>
        <w:rPr>
          <w:rFonts w:hint="eastAsia" w:ascii="宋体" w:hAnsi="宋体" w:eastAsia="宋体" w:cs="宋体"/>
          <w:color w:val="auto"/>
          <w:kern w:val="0"/>
          <w:sz w:val="24"/>
          <w:szCs w:val="24"/>
        </w:rPr>
        <w:t>语</w:t>
      </w:r>
      <w:r>
        <w:rPr>
          <w:rFonts w:hint="eastAsia" w:ascii="宋体" w:hAnsi="宋体" w:eastAsia="宋体" w:cs="宋体"/>
          <w:color w:val="auto"/>
          <w:spacing w:val="-2"/>
          <w:kern w:val="0"/>
          <w:sz w:val="24"/>
          <w:szCs w:val="24"/>
        </w:rPr>
        <w:t>使</w:t>
      </w:r>
      <w:r>
        <w:rPr>
          <w:rFonts w:hint="eastAsia" w:ascii="宋体" w:hAnsi="宋体" w:eastAsia="宋体" w:cs="宋体"/>
          <w:color w:val="auto"/>
          <w:kern w:val="0"/>
          <w:sz w:val="24"/>
          <w:szCs w:val="24"/>
        </w:rPr>
        <w:t>用外</w:t>
      </w:r>
      <w:r>
        <w:rPr>
          <w:rFonts w:hint="eastAsia" w:ascii="宋体" w:hAnsi="宋体" w:eastAsia="宋体" w:cs="宋体"/>
          <w:color w:val="auto"/>
          <w:spacing w:val="-2"/>
          <w:kern w:val="0"/>
          <w:sz w:val="24"/>
          <w:szCs w:val="24"/>
        </w:rPr>
        <w:t>文</w:t>
      </w:r>
      <w:r>
        <w:rPr>
          <w:rFonts w:hint="eastAsia" w:ascii="宋体" w:hAnsi="宋体" w:eastAsia="宋体" w:cs="宋体"/>
          <w:color w:val="auto"/>
          <w:kern w:val="0"/>
          <w:sz w:val="24"/>
          <w:szCs w:val="24"/>
        </w:rPr>
        <w:t>的</w:t>
      </w:r>
      <w:r>
        <w:rPr>
          <w:rFonts w:hint="eastAsia" w:ascii="宋体" w:hAnsi="宋体" w:eastAsia="宋体" w:cs="宋体"/>
          <w:color w:val="auto"/>
          <w:spacing w:val="-2"/>
          <w:kern w:val="0"/>
          <w:sz w:val="24"/>
          <w:szCs w:val="24"/>
        </w:rPr>
        <w:t>，</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附</w:t>
      </w:r>
      <w:r>
        <w:rPr>
          <w:rFonts w:hint="eastAsia" w:ascii="宋体" w:hAnsi="宋体" w:eastAsia="宋体" w:cs="宋体"/>
          <w:color w:val="auto"/>
          <w:kern w:val="0"/>
          <w:sz w:val="24"/>
          <w:szCs w:val="24"/>
        </w:rPr>
        <w:t>有</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文</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释。</w:t>
      </w:r>
    </w:p>
    <w:p w14:paraId="72B45DF3">
      <w:pPr>
        <w:autoSpaceDE w:val="0"/>
        <w:autoSpaceDN w:val="0"/>
        <w:adjustRightInd w:val="0"/>
        <w:spacing w:line="360" w:lineRule="auto"/>
        <w:ind w:right="-20" w:firstLine="486" w:firstLineChars="200"/>
        <w:jc w:val="left"/>
        <w:rPr>
          <w:rFonts w:hint="eastAsia" w:ascii="宋体" w:hAnsi="宋体" w:eastAsia="宋体" w:cs="宋体"/>
          <w:b/>
          <w:color w:val="auto"/>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8计量单位</w:t>
      </w:r>
    </w:p>
    <w:p w14:paraId="162BCF6D">
      <w:pPr>
        <w:autoSpaceDE w:val="0"/>
        <w:autoSpaceDN w:val="0"/>
        <w:adjustRightInd w:val="0"/>
        <w:spacing w:line="360" w:lineRule="auto"/>
        <w:ind w:right="-2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w:t>
      </w:r>
      <w:r>
        <w:rPr>
          <w:rFonts w:hint="eastAsia" w:ascii="宋体" w:hAnsi="宋体" w:eastAsia="宋体" w:cs="宋体"/>
          <w:color w:val="auto"/>
          <w:spacing w:val="-2"/>
          <w:kern w:val="0"/>
          <w:sz w:val="24"/>
          <w:szCs w:val="24"/>
        </w:rPr>
        <w:t>计</w:t>
      </w:r>
      <w:r>
        <w:rPr>
          <w:rFonts w:hint="eastAsia" w:ascii="宋体" w:hAnsi="宋体" w:eastAsia="宋体" w:cs="宋体"/>
          <w:color w:val="auto"/>
          <w:kern w:val="0"/>
          <w:sz w:val="24"/>
          <w:szCs w:val="24"/>
        </w:rPr>
        <w:t>量</w:t>
      </w:r>
      <w:r>
        <w:rPr>
          <w:rFonts w:hint="eastAsia" w:ascii="宋体" w:hAnsi="宋体" w:eastAsia="宋体" w:cs="宋体"/>
          <w:color w:val="auto"/>
          <w:spacing w:val="-2"/>
          <w:kern w:val="0"/>
          <w:sz w:val="24"/>
          <w:szCs w:val="24"/>
        </w:rPr>
        <w:t>均</w:t>
      </w:r>
      <w:r>
        <w:rPr>
          <w:rFonts w:hint="eastAsia" w:ascii="宋体" w:hAnsi="宋体" w:eastAsia="宋体" w:cs="宋体"/>
          <w:color w:val="auto"/>
          <w:kern w:val="0"/>
          <w:sz w:val="24"/>
          <w:szCs w:val="24"/>
        </w:rPr>
        <w:t>采</w:t>
      </w:r>
      <w:r>
        <w:rPr>
          <w:rFonts w:hint="eastAsia" w:ascii="宋体" w:hAnsi="宋体" w:eastAsia="宋体" w:cs="宋体"/>
          <w:color w:val="auto"/>
          <w:spacing w:val="-2"/>
          <w:kern w:val="0"/>
          <w:sz w:val="24"/>
          <w:szCs w:val="24"/>
        </w:rPr>
        <w:t>用</w:t>
      </w:r>
      <w:r>
        <w:rPr>
          <w:rFonts w:hint="eastAsia" w:ascii="宋体" w:hAnsi="宋体" w:eastAsia="宋体" w:cs="宋体"/>
          <w:color w:val="auto"/>
          <w:kern w:val="0"/>
          <w:sz w:val="24"/>
          <w:szCs w:val="24"/>
        </w:rPr>
        <w:t>中</w:t>
      </w:r>
      <w:r>
        <w:rPr>
          <w:rFonts w:hint="eastAsia" w:ascii="宋体" w:hAnsi="宋体" w:eastAsia="宋体" w:cs="宋体"/>
          <w:color w:val="auto"/>
          <w:spacing w:val="-2"/>
          <w:kern w:val="0"/>
          <w:sz w:val="24"/>
          <w:szCs w:val="24"/>
        </w:rPr>
        <w:t>华</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民</w:t>
      </w:r>
      <w:r>
        <w:rPr>
          <w:rFonts w:hint="eastAsia" w:ascii="宋体" w:hAnsi="宋体" w:eastAsia="宋体" w:cs="宋体"/>
          <w:color w:val="auto"/>
          <w:kern w:val="0"/>
          <w:sz w:val="24"/>
          <w:szCs w:val="24"/>
        </w:rPr>
        <w:t>共和</w:t>
      </w:r>
      <w:r>
        <w:rPr>
          <w:rFonts w:hint="eastAsia" w:ascii="宋体" w:hAnsi="宋体" w:eastAsia="宋体" w:cs="宋体"/>
          <w:color w:val="auto"/>
          <w:spacing w:val="-2"/>
          <w:kern w:val="0"/>
          <w:sz w:val="24"/>
          <w:szCs w:val="24"/>
        </w:rPr>
        <w:t>国</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计</w:t>
      </w:r>
      <w:r>
        <w:rPr>
          <w:rFonts w:hint="eastAsia" w:ascii="宋体" w:hAnsi="宋体" w:eastAsia="宋体" w:cs="宋体"/>
          <w:color w:val="auto"/>
          <w:spacing w:val="-2"/>
          <w:kern w:val="0"/>
          <w:sz w:val="24"/>
          <w:szCs w:val="24"/>
        </w:rPr>
        <w:t>量</w:t>
      </w:r>
      <w:r>
        <w:rPr>
          <w:rFonts w:hint="eastAsia" w:ascii="宋体" w:hAnsi="宋体" w:eastAsia="宋体" w:cs="宋体"/>
          <w:color w:val="auto"/>
          <w:kern w:val="0"/>
          <w:sz w:val="24"/>
          <w:szCs w:val="24"/>
        </w:rPr>
        <w:t>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p w14:paraId="2D2F61B0">
      <w:pPr>
        <w:autoSpaceDE w:val="0"/>
        <w:autoSpaceDN w:val="0"/>
        <w:adjustRightInd w:val="0"/>
        <w:spacing w:line="360" w:lineRule="auto"/>
        <w:ind w:right="-20" w:firstLine="486" w:firstLineChars="200"/>
        <w:jc w:val="left"/>
        <w:rPr>
          <w:rFonts w:hint="eastAsia" w:ascii="宋体" w:hAnsi="宋体" w:eastAsia="宋体" w:cs="宋体"/>
          <w:b/>
          <w:color w:val="auto"/>
          <w:spacing w:val="-2"/>
          <w:kern w:val="0"/>
          <w:sz w:val="24"/>
          <w:szCs w:val="24"/>
        </w:rPr>
      </w:pPr>
      <w:r>
        <w:rPr>
          <w:rFonts w:hint="eastAsia" w:ascii="宋体" w:hAnsi="宋体" w:eastAsia="宋体" w:cs="宋体"/>
          <w:b/>
          <w:color w:val="auto"/>
          <w:spacing w:val="1"/>
          <w:kern w:val="0"/>
          <w:sz w:val="24"/>
          <w:szCs w:val="24"/>
        </w:rPr>
        <w:t>1</w:t>
      </w:r>
      <w:r>
        <w:rPr>
          <w:rFonts w:hint="eastAsia" w:ascii="宋体" w:hAnsi="宋体" w:eastAsia="宋体" w:cs="宋体"/>
          <w:b/>
          <w:color w:val="auto"/>
          <w:spacing w:val="-1"/>
          <w:kern w:val="0"/>
          <w:sz w:val="24"/>
          <w:szCs w:val="24"/>
        </w:rPr>
        <w:t>.</w:t>
      </w:r>
      <w:r>
        <w:rPr>
          <w:rFonts w:hint="eastAsia" w:ascii="宋体" w:hAnsi="宋体" w:eastAsia="宋体" w:cs="宋体"/>
          <w:b/>
          <w:color w:val="auto"/>
          <w:kern w:val="0"/>
          <w:sz w:val="24"/>
          <w:szCs w:val="24"/>
        </w:rPr>
        <w:t>9</w:t>
      </w:r>
      <w:r>
        <w:rPr>
          <w:rFonts w:hint="eastAsia" w:ascii="宋体" w:hAnsi="宋体" w:eastAsia="宋体" w:cs="宋体"/>
          <w:b/>
          <w:color w:val="auto"/>
          <w:sz w:val="24"/>
          <w:szCs w:val="24"/>
        </w:rPr>
        <w:t>踏勘现场</w:t>
      </w:r>
    </w:p>
    <w:p w14:paraId="068241D7">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1.9.1采购人不组织现场踏勘，由投标供应商自行踏勘。</w:t>
      </w:r>
    </w:p>
    <w:p w14:paraId="46D591B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1.9.2投标供应商踏勘现场发生的费用自理。</w:t>
      </w:r>
    </w:p>
    <w:p w14:paraId="30F012E6">
      <w:pPr>
        <w:spacing w:line="360" w:lineRule="auto"/>
        <w:ind w:firstLine="464" w:firstLineChars="200"/>
        <w:rPr>
          <w:rFonts w:hint="eastAsia" w:ascii="宋体" w:hAnsi="宋体" w:eastAsia="宋体" w:cs="宋体"/>
          <w:color w:val="auto"/>
          <w:sz w:val="24"/>
          <w:szCs w:val="28"/>
        </w:rPr>
      </w:pPr>
      <w:r>
        <w:rPr>
          <w:rFonts w:hint="eastAsia" w:ascii="宋体" w:hAnsi="宋体" w:eastAsia="宋体" w:cs="宋体"/>
          <w:snapToGrid w:val="0"/>
          <w:color w:val="auto"/>
          <w:spacing w:val="-4"/>
          <w:kern w:val="0"/>
          <w:sz w:val="24"/>
          <w:szCs w:val="24"/>
        </w:rPr>
        <w:t>1.9.3</w:t>
      </w:r>
      <w:r>
        <w:rPr>
          <w:rFonts w:hint="eastAsia" w:ascii="宋体" w:hAnsi="宋体" w:eastAsia="宋体" w:cs="宋体"/>
          <w:snapToGrid w:val="0"/>
          <w:color w:val="auto"/>
          <w:spacing w:val="-2"/>
          <w:kern w:val="0"/>
          <w:sz w:val="24"/>
          <w:szCs w:val="24"/>
        </w:rPr>
        <w:t>除采购人的原因外，潜在投标供应商自行负责在踏勘现场中所发生的人员伤亡和财产</w:t>
      </w:r>
      <w:r>
        <w:rPr>
          <w:rFonts w:hint="eastAsia" w:ascii="宋体" w:hAnsi="宋体" w:eastAsia="宋体" w:cs="宋体"/>
          <w:snapToGrid w:val="0"/>
          <w:color w:val="auto"/>
          <w:spacing w:val="-8"/>
          <w:kern w:val="0"/>
          <w:sz w:val="24"/>
          <w:szCs w:val="24"/>
        </w:rPr>
        <w:t>损失。</w:t>
      </w:r>
    </w:p>
    <w:p w14:paraId="46246DFF">
      <w:pPr>
        <w:widowControl/>
        <w:kinsoku w:val="0"/>
        <w:autoSpaceDE w:val="0"/>
        <w:autoSpaceDN w:val="0"/>
        <w:adjustRightInd w:val="0"/>
        <w:snapToGrid w:val="0"/>
        <w:spacing w:line="360" w:lineRule="auto"/>
        <w:ind w:left="37" w:right="24" w:firstLine="464" w:firstLineChars="200"/>
        <w:jc w:val="left"/>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spacing w:val="-4"/>
          <w:kern w:val="0"/>
          <w:sz w:val="24"/>
          <w:szCs w:val="24"/>
        </w:rPr>
        <w:t>1.9.4</w:t>
      </w:r>
      <w:r>
        <w:rPr>
          <w:rFonts w:hint="eastAsia" w:ascii="宋体" w:hAnsi="宋体" w:eastAsia="宋体" w:cs="宋体"/>
          <w:snapToGrid w:val="0"/>
          <w:color w:val="auto"/>
          <w:spacing w:val="-2"/>
          <w:kern w:val="0"/>
          <w:sz w:val="24"/>
          <w:szCs w:val="24"/>
        </w:rPr>
        <w:t>采购人在踏勘现场中介绍的项目现场和相关的周边环境情况，供潜在投标供应商在编</w:t>
      </w:r>
      <w:r>
        <w:rPr>
          <w:rFonts w:hint="eastAsia" w:ascii="宋体" w:hAnsi="宋体" w:eastAsia="宋体" w:cs="宋体"/>
          <w:snapToGrid w:val="0"/>
          <w:color w:val="auto"/>
          <w:spacing w:val="-6"/>
          <w:kern w:val="0"/>
          <w:sz w:val="24"/>
          <w:szCs w:val="24"/>
        </w:rPr>
        <w:t>制投标文件</w:t>
      </w:r>
      <w:r>
        <w:rPr>
          <w:rFonts w:hint="eastAsia" w:ascii="宋体" w:hAnsi="宋体" w:eastAsia="宋体" w:cs="宋体"/>
          <w:snapToGrid w:val="0"/>
          <w:color w:val="auto"/>
          <w:spacing w:val="-3"/>
          <w:kern w:val="0"/>
          <w:sz w:val="24"/>
          <w:szCs w:val="24"/>
        </w:rPr>
        <w:t>时参考，采购人不对投标供应商据此作出的判断和决策负责。</w:t>
      </w:r>
    </w:p>
    <w:p w14:paraId="76B1D714">
      <w:pPr>
        <w:autoSpaceDE w:val="0"/>
        <w:autoSpaceDN w:val="0"/>
        <w:adjustRightInd w:val="0"/>
        <w:spacing w:line="360" w:lineRule="auto"/>
        <w:ind w:right="-2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1.10投标预</w:t>
      </w:r>
      <w:r>
        <w:rPr>
          <w:rFonts w:hint="eastAsia" w:ascii="宋体" w:hAnsi="宋体" w:eastAsia="宋体" w:cs="宋体"/>
          <w:b/>
          <w:color w:val="auto"/>
          <w:spacing w:val="-3"/>
          <w:kern w:val="0"/>
          <w:sz w:val="24"/>
          <w:szCs w:val="24"/>
        </w:rPr>
        <w:t>备</w:t>
      </w:r>
      <w:r>
        <w:rPr>
          <w:rFonts w:hint="eastAsia" w:ascii="宋体" w:hAnsi="宋体" w:eastAsia="宋体" w:cs="宋体"/>
          <w:b/>
          <w:color w:val="auto"/>
          <w:kern w:val="0"/>
          <w:sz w:val="24"/>
          <w:szCs w:val="24"/>
        </w:rPr>
        <w:t>会</w:t>
      </w:r>
    </w:p>
    <w:p w14:paraId="4F39B145">
      <w:pPr>
        <w:pStyle w:val="17"/>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不召开</w:t>
      </w:r>
    </w:p>
    <w:p w14:paraId="41808522">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1.11响应和偏差</w:t>
      </w:r>
    </w:p>
    <w:p w14:paraId="325667D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投标文件应当对</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文件的实质性要求和条件作出满足性或更有利于采购人的响应，否则，投标供应商的投标将被否决。实质性要求和条件见投标供应商须知前附表。</w:t>
      </w:r>
    </w:p>
    <w:p w14:paraId="467F319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1.12投标费用</w:t>
      </w:r>
    </w:p>
    <w:p w14:paraId="2B49E1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投标供应商承担其</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投标文件编制与递交所涉及的一切费用。在任何情况下采购人和采购代理机构对上述费用均不承担任何责任。</w:t>
      </w:r>
    </w:p>
    <w:p w14:paraId="77CCA3C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1.13保证</w:t>
      </w:r>
    </w:p>
    <w:p w14:paraId="66B5BD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投标供应商应保证在</w:t>
      </w:r>
      <w:r>
        <w:rPr>
          <w:rFonts w:hint="eastAsia" w:ascii="宋体" w:hAnsi="宋体" w:eastAsia="宋体" w:cs="宋体"/>
          <w:color w:val="auto"/>
          <w:kern w:val="0"/>
          <w:sz w:val="24"/>
          <w:szCs w:val="24"/>
        </w:rPr>
        <w:t>电子化</w:t>
      </w:r>
      <w:r>
        <w:rPr>
          <w:rFonts w:hint="eastAsia" w:ascii="宋体" w:hAnsi="宋体" w:eastAsia="宋体" w:cs="宋体"/>
          <w:color w:val="auto"/>
          <w:sz w:val="24"/>
          <w:szCs w:val="24"/>
        </w:rPr>
        <w:t>投标文件中所提交的资料和数据是真实的。</w:t>
      </w:r>
    </w:p>
    <w:p w14:paraId="6856BE7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1.14定义及解释</w:t>
      </w:r>
    </w:p>
    <w:p w14:paraId="222947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1.14.1</w:t>
      </w:r>
      <w:r>
        <w:rPr>
          <w:rFonts w:hint="eastAsia" w:ascii="宋体" w:hAnsi="宋体" w:eastAsia="宋体" w:cs="宋体"/>
          <w:color w:val="auto"/>
          <w:sz w:val="24"/>
          <w:szCs w:val="24"/>
        </w:rPr>
        <w:t>货物：系指投标供应商按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文件规定而提供的货物及其他有关资料和材料。</w:t>
      </w:r>
    </w:p>
    <w:p w14:paraId="332E77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1.14.2</w:t>
      </w:r>
      <w:r>
        <w:rPr>
          <w:rFonts w:hint="eastAsia" w:ascii="宋体" w:hAnsi="宋体" w:eastAsia="宋体" w:cs="宋体"/>
          <w:color w:val="auto"/>
          <w:sz w:val="24"/>
          <w:szCs w:val="24"/>
        </w:rPr>
        <w:t>服务：系指投标供应商按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文件提供的服务。</w:t>
      </w:r>
    </w:p>
    <w:p w14:paraId="63B477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1.14.3</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三门峡市自然资源和规划局城乡一体化示范区分局</w:t>
      </w:r>
    </w:p>
    <w:p w14:paraId="51FEDA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1.14.4</w:t>
      </w:r>
      <w:r>
        <w:rPr>
          <w:rFonts w:hint="eastAsia" w:ascii="宋体" w:hAnsi="宋体" w:eastAsia="宋体" w:cs="宋体"/>
          <w:color w:val="auto"/>
          <w:sz w:val="24"/>
          <w:szCs w:val="24"/>
        </w:rPr>
        <w:t>投标供应商：是指响应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、参加投标竞争的法人或者其他组织。</w:t>
      </w:r>
    </w:p>
    <w:p w14:paraId="644C70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1.14.5采购代理机构：中基建安工程管理有限公司。</w:t>
      </w:r>
    </w:p>
    <w:p w14:paraId="5234BA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1.14.6</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：是指按照《中华人民共和国政府采购法》和《政府采购竞争性磋商采购方式管理暂行办法》的规定组建的专门负责本次</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的评标工作的临时机构。</w:t>
      </w:r>
    </w:p>
    <w:p w14:paraId="243AE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1.14.7</w:t>
      </w:r>
      <w:r>
        <w:rPr>
          <w:rFonts w:hint="eastAsia" w:ascii="宋体" w:hAnsi="宋体" w:eastAsia="宋体" w:cs="宋体"/>
          <w:color w:val="auto"/>
          <w:sz w:val="24"/>
          <w:szCs w:val="24"/>
        </w:rPr>
        <w:t>日期、天数、时间：无特别说明时是指公历日及北京时间。</w:t>
      </w:r>
    </w:p>
    <w:p w14:paraId="2534BB40">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竞争性磋</w:t>
      </w:r>
      <w:r>
        <w:rPr>
          <w:rFonts w:hint="eastAsia" w:ascii="宋体" w:hAnsi="宋体" w:cs="宋体"/>
          <w:b/>
          <w:bCs/>
          <w:color w:val="auto"/>
          <w:sz w:val="24"/>
          <w:szCs w:val="24"/>
          <w:highlight w:val="none"/>
          <w:lang w:val="en-US" w:eastAsia="zh-CN"/>
        </w:rPr>
        <w:t>商</w:t>
      </w:r>
      <w:r>
        <w:rPr>
          <w:rFonts w:hint="eastAsia" w:ascii="宋体" w:hAnsi="宋体" w:eastAsia="宋体" w:cs="宋体"/>
          <w:b/>
          <w:bCs/>
          <w:color w:val="auto"/>
          <w:sz w:val="24"/>
          <w:szCs w:val="24"/>
          <w:highlight w:val="none"/>
        </w:rPr>
        <w:t>文件</w:t>
      </w:r>
    </w:p>
    <w:p w14:paraId="1164C0E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2.1</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文件的组成</w:t>
      </w:r>
    </w:p>
    <w:p w14:paraId="5F6681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2.1.1本</w:t>
      </w:r>
      <w:r>
        <w:rPr>
          <w:rFonts w:hint="eastAsia" w:ascii="宋体" w:hAnsi="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rPr>
        <w:t>文件</w:t>
      </w:r>
      <w:r>
        <w:rPr>
          <w:rFonts w:hint="eastAsia" w:ascii="宋体" w:hAnsi="宋体" w:eastAsia="宋体" w:cs="宋体"/>
          <w:bCs/>
          <w:color w:val="auto"/>
          <w:sz w:val="24"/>
          <w:szCs w:val="24"/>
        </w:rPr>
        <w:t>包括：</w:t>
      </w:r>
    </w:p>
    <w:p w14:paraId="02A138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2.1.1.1</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公告</w:t>
      </w:r>
    </w:p>
    <w:p w14:paraId="250FB2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2.1.1.2投标供应商须知</w:t>
      </w:r>
    </w:p>
    <w:p w14:paraId="4BC1B0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2.1.1.3</w:t>
      </w:r>
      <w:r>
        <w:rPr>
          <w:rFonts w:hint="eastAsia" w:ascii="宋体" w:hAnsi="宋体" w:eastAsia="宋体" w:cs="宋体"/>
          <w:color w:val="auto"/>
          <w:sz w:val="24"/>
          <w:szCs w:val="24"/>
          <w:lang w:eastAsia="zh-CN"/>
        </w:rPr>
        <w:t>服务内容及要求</w:t>
      </w:r>
    </w:p>
    <w:p w14:paraId="6FC5A4E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2.1.1.4</w:t>
      </w:r>
      <w:r>
        <w:rPr>
          <w:rFonts w:hint="eastAsia" w:ascii="宋体" w:hAnsi="宋体" w:cs="宋体"/>
          <w:color w:val="auto"/>
          <w:sz w:val="24"/>
          <w:szCs w:val="24"/>
          <w:lang w:eastAsia="zh-CN"/>
        </w:rPr>
        <w:t>评审办法</w:t>
      </w:r>
    </w:p>
    <w:p w14:paraId="3218FB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2.1.1.5</w:t>
      </w:r>
      <w:r>
        <w:rPr>
          <w:rFonts w:hint="eastAsia" w:ascii="宋体" w:hAnsi="宋体" w:eastAsia="宋体" w:cs="宋体"/>
          <w:color w:val="auto"/>
          <w:sz w:val="24"/>
          <w:szCs w:val="24"/>
        </w:rPr>
        <w:t>合同条款及格式</w:t>
      </w:r>
    </w:p>
    <w:p w14:paraId="1CC412B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2.1.1.6</w:t>
      </w:r>
      <w:r>
        <w:rPr>
          <w:rFonts w:hint="eastAsia" w:ascii="宋体" w:hAnsi="宋体" w:cs="宋体"/>
          <w:bCs/>
          <w:color w:val="auto"/>
          <w:sz w:val="24"/>
          <w:szCs w:val="24"/>
          <w:lang w:val="en-US" w:eastAsia="zh-CN"/>
        </w:rPr>
        <w:t>响</w:t>
      </w:r>
      <w:r>
        <w:rPr>
          <w:rFonts w:hint="eastAsia" w:ascii="宋体" w:hAnsi="宋体" w:cs="宋体"/>
          <w:bCs/>
          <w:color w:val="auto"/>
          <w:sz w:val="24"/>
          <w:szCs w:val="24"/>
          <w:highlight w:val="none"/>
          <w:lang w:val="en-US" w:eastAsia="zh-CN"/>
        </w:rPr>
        <w:t>应</w:t>
      </w:r>
      <w:r>
        <w:rPr>
          <w:rFonts w:hint="eastAsia" w:ascii="宋体" w:hAnsi="宋体" w:eastAsia="宋体" w:cs="宋体"/>
          <w:color w:val="auto"/>
          <w:sz w:val="24"/>
          <w:szCs w:val="24"/>
          <w:highlight w:val="none"/>
        </w:rPr>
        <w:t>文件格式</w:t>
      </w:r>
    </w:p>
    <w:p w14:paraId="68FF6A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2.1.2根据本章第2.2款对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文件所做的澄清、修改，构成</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文件的组成部分。</w:t>
      </w:r>
    </w:p>
    <w:p w14:paraId="5A4EE6D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2.2</w:t>
      </w:r>
      <w:r>
        <w:rPr>
          <w:rFonts w:hint="eastAsia" w:ascii="宋体" w:hAnsi="宋体" w:cs="宋体"/>
          <w:b/>
          <w:bCs/>
          <w:color w:val="auto"/>
          <w:sz w:val="24"/>
          <w:szCs w:val="24"/>
          <w:lang w:eastAsia="zh-CN"/>
        </w:rPr>
        <w:t>磋商</w:t>
      </w:r>
      <w:r>
        <w:rPr>
          <w:rFonts w:hint="eastAsia" w:ascii="宋体" w:hAnsi="宋体" w:eastAsia="宋体" w:cs="宋体"/>
          <w:b/>
          <w:bCs/>
          <w:color w:val="auto"/>
          <w:sz w:val="24"/>
          <w:szCs w:val="24"/>
        </w:rPr>
        <w:t>文件的澄清或者修改</w:t>
      </w:r>
    </w:p>
    <w:p w14:paraId="58B1AE8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2.2.1投标供应商应详细阅读</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文件中的全部内容。如对</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文件有异议的，应在</w:t>
      </w:r>
      <w:r>
        <w:rPr>
          <w:rFonts w:hint="eastAsia" w:ascii="宋体" w:hAnsi="宋体" w:eastAsia="宋体" w:cs="宋体"/>
          <w:bCs/>
          <w:color w:val="auto"/>
          <w:sz w:val="24"/>
          <w:szCs w:val="24"/>
          <w:lang w:eastAsia="zh-CN"/>
        </w:rPr>
        <w:t>提交首次响应文件截止时间前</w:t>
      </w:r>
      <w:r>
        <w:rPr>
          <w:rFonts w:hint="eastAsia" w:ascii="宋体" w:hAnsi="宋体" w:eastAsia="宋体" w:cs="宋体"/>
          <w:bCs/>
          <w:color w:val="auto"/>
          <w:sz w:val="24"/>
          <w:szCs w:val="24"/>
          <w:lang w:val="en-US" w:eastAsia="zh-CN"/>
        </w:rPr>
        <w:t>5日</w:t>
      </w:r>
      <w:r>
        <w:rPr>
          <w:rFonts w:hint="eastAsia" w:ascii="宋体" w:hAnsi="宋体" w:eastAsia="宋体" w:cs="宋体"/>
          <w:bCs/>
          <w:color w:val="auto"/>
          <w:sz w:val="24"/>
          <w:szCs w:val="24"/>
        </w:rPr>
        <w:t>在三门峡市公共资源交易平台上一次性提出，否则，将被视为完全理解并接受</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文件的全部内容。</w:t>
      </w:r>
    </w:p>
    <w:p w14:paraId="70A5E9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2.2.2采购人或者采购代理机构可以对已发出的</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文件进行必要的澄清或者修改，但不得改变采购标的和资格条件。澄清或者修改的内容为</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文件的组成部分。澄清或者修改的内容可能影响投标文件编制的，采购人或者采购代理机构在投标截止时间至少5日前，通知所有获取</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rPr>
        <w:t>文件的潜在投标供应商；不足5日的，顺延提交投标文件的截止时间。</w:t>
      </w:r>
    </w:p>
    <w:p w14:paraId="4DAB2F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文件的澄清或者修改将通过交易平台系统内部“答疑文件”告知投标供应商，发布给所有下载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文件的投标供应商，并在原公告发布媒体上发布澄清公告，但不指明澄清问题的来源。对于项目中已经下载</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文件的投标供应商，系统将通过第三方短信群发方式提醒投标供应商进行查询。各投标供应商须重新下载最新的答疑文件，以此编制投标文件。</w:t>
      </w:r>
    </w:p>
    <w:p w14:paraId="5ECBFF6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6F6994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2.2.5因交易中心平台在开标前具有保密性，投标供应商在投标截止时间前须自行查看项目进展、变更通知、澄清及回复，因投标供应商未及时查看而造成的后果自行承担。</w:t>
      </w:r>
    </w:p>
    <w:p w14:paraId="7AF1E4A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p>
    <w:p w14:paraId="46C37CB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3.1电子化</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文件的组成</w:t>
      </w:r>
    </w:p>
    <w:p w14:paraId="5B5003E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、响应函及响应函附录</w:t>
      </w:r>
    </w:p>
    <w:p w14:paraId="1F4A3E54">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、法定代表人身份证明</w:t>
      </w:r>
    </w:p>
    <w:p w14:paraId="6B8AB399">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、授权委托书</w:t>
      </w:r>
    </w:p>
    <w:p w14:paraId="535F090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、资格审查</w:t>
      </w:r>
    </w:p>
    <w:p w14:paraId="34ABD581">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eastAsia="zh-CN"/>
        </w:rPr>
        <w:t>、供应商基本情况表</w:t>
      </w:r>
    </w:p>
    <w:p w14:paraId="3B13BE86">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、技术部分</w:t>
      </w:r>
    </w:p>
    <w:p w14:paraId="2378C777">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lang w:val="en-US" w:eastAsia="zh-CN"/>
        </w:rPr>
        <w:t>、商务部分</w:t>
      </w:r>
    </w:p>
    <w:p w14:paraId="1199595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lang w:val="en-US" w:eastAsia="zh-CN"/>
        </w:rPr>
        <w:t>、其他内容</w:t>
      </w:r>
    </w:p>
    <w:p w14:paraId="6EEA89DC">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w:t>
      </w:r>
      <w:r>
        <w:rPr>
          <w:rFonts w:hint="eastAsia" w:ascii="宋体" w:hAnsi="宋体" w:cs="宋体"/>
          <w:bCs/>
          <w:color w:val="auto"/>
          <w:sz w:val="24"/>
          <w:szCs w:val="24"/>
          <w:lang w:val="en-US" w:eastAsia="zh-CN"/>
        </w:rPr>
        <w:t>磋商报价</w:t>
      </w:r>
    </w:p>
    <w:p w14:paraId="2D8A79AD">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3.2.1请投标供应商认真测算所投全部服务内容，</w:t>
      </w:r>
      <w:r>
        <w:rPr>
          <w:rFonts w:hint="eastAsia" w:ascii="宋体" w:hAnsi="宋体" w:cs="宋体"/>
          <w:bCs/>
          <w:color w:val="auto"/>
          <w:sz w:val="24"/>
          <w:szCs w:val="24"/>
          <w:lang w:val="en-US" w:eastAsia="zh-CN"/>
        </w:rPr>
        <w:t>磋商报价</w:t>
      </w:r>
      <w:r>
        <w:rPr>
          <w:rFonts w:hint="eastAsia" w:ascii="宋体" w:hAnsi="宋体" w:eastAsia="宋体" w:cs="宋体"/>
          <w:bCs/>
          <w:color w:val="auto"/>
          <w:sz w:val="24"/>
          <w:szCs w:val="24"/>
          <w:lang w:val="en-US" w:eastAsia="zh-CN"/>
        </w:rPr>
        <w:t>应是投标文件所确定的服务范围内的全部工作内容的价格体现。</w:t>
      </w:r>
    </w:p>
    <w:p w14:paraId="1F488DFE">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3.2.2投标供应商只能提出一个报价，采购人不接受任何有选择的报价，报价不得超过最高投标限价。</w:t>
      </w:r>
    </w:p>
    <w:p w14:paraId="79E8F61F">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3.2.3投标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bCs/>
          <w:color w:val="auto"/>
          <w:sz w:val="24"/>
          <w:szCs w:val="24"/>
          <w:lang w:val="en-US" w:eastAsia="zh-CN"/>
        </w:rPr>
        <w:t>认定该报价人以低于成本报价，其报价应作无效报价处理。</w:t>
      </w:r>
    </w:p>
    <w:p w14:paraId="2ACE2353">
      <w:pPr>
        <w:spacing w:line="360"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3.2.4如报价表中的大写金额和小写金额不一致的，以大写金额为准；对不同文字文本响应文件的解释发生异议的，以中文文本为准。</w:t>
      </w:r>
    </w:p>
    <w:p w14:paraId="511B1681">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3.3投标有效期</w:t>
      </w:r>
    </w:p>
    <w:p w14:paraId="0540EACC">
      <w:pPr>
        <w:pStyle w:val="4"/>
        <w:rPr>
          <w:rFonts w:hint="eastAsia" w:ascii="宋体" w:hAnsi="宋体" w:eastAsia="宋体" w:cs="宋体"/>
          <w:color w:val="auto"/>
          <w:sz w:val="24"/>
          <w:szCs w:val="24"/>
        </w:rPr>
      </w:pPr>
      <w:r>
        <w:rPr>
          <w:rFonts w:hint="eastAsia" w:ascii="宋体" w:hAnsi="宋体" w:eastAsia="宋体" w:cs="宋体"/>
          <w:bCs/>
          <w:color w:val="auto"/>
          <w:sz w:val="24"/>
          <w:szCs w:val="24"/>
        </w:rPr>
        <w:t>3.3.1</w:t>
      </w:r>
      <w:r>
        <w:rPr>
          <w:rFonts w:hint="eastAsia" w:ascii="宋体" w:hAnsi="宋体" w:eastAsia="宋体" w:cs="宋体"/>
          <w:color w:val="000000" w:themeColor="text1"/>
          <w:spacing w:val="6"/>
          <w:sz w:val="24"/>
          <w:szCs w:val="24"/>
          <w:lang w:val="en-US" w:eastAsia="zh-CN"/>
          <w14:textFill>
            <w14:solidFill>
              <w14:schemeClr w14:val="tx1"/>
            </w14:solidFill>
          </w14:textFill>
        </w:rPr>
        <w:t>磋商有效期为</w:t>
      </w:r>
      <w:r>
        <w:rPr>
          <w:rFonts w:hint="eastAsia" w:ascii="宋体" w:hAnsi="宋体" w:eastAsia="宋体" w:cs="宋体"/>
          <w:color w:val="000000" w:themeColor="text1"/>
          <w:spacing w:val="6"/>
          <w:sz w:val="24"/>
          <w:szCs w:val="24"/>
          <w14:textFill>
            <w14:solidFill>
              <w14:schemeClr w14:val="tx1"/>
            </w14:solidFill>
          </w14:textFill>
        </w:rPr>
        <w:t>60日历天(从磋商截止之日算起)</w:t>
      </w:r>
      <w:r>
        <w:rPr>
          <w:rFonts w:hint="eastAsia" w:ascii="宋体" w:hAnsi="宋体" w:eastAsia="宋体" w:cs="宋体"/>
          <w:color w:val="auto"/>
          <w:sz w:val="24"/>
          <w:szCs w:val="24"/>
        </w:rPr>
        <w:t>。</w:t>
      </w:r>
    </w:p>
    <w:p w14:paraId="2498E9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3.3.2</w:t>
      </w:r>
      <w:r>
        <w:rPr>
          <w:rFonts w:hint="eastAsia" w:ascii="宋体" w:hAnsi="宋体" w:eastAsia="宋体" w:cs="宋体"/>
          <w:color w:val="auto"/>
          <w:sz w:val="24"/>
          <w:szCs w:val="24"/>
        </w:rPr>
        <w:t>在特殊情况下，采购人可征求投标供应商同意延长投标有效期。投标供应商可以拒绝采购人的这种要求。同意延长投标有效期的投标供应商不需要也不允许修改其电子化投标文件。</w:t>
      </w:r>
    </w:p>
    <w:p w14:paraId="14C186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3.4投标保证金</w:t>
      </w:r>
    </w:p>
    <w:p w14:paraId="288F6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根据《河南省财政厅关于优化政府采购营商环境有关问题的通知》（豫财购【2019】4号）第6条的规定，投标保证金不再收取，需提供</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承诺函（详见</w:t>
      </w:r>
      <w:r>
        <w:rPr>
          <w:rFonts w:hint="eastAsia" w:ascii="宋体" w:hAnsi="宋体" w:eastAsia="宋体" w:cs="宋体"/>
          <w:bCs/>
          <w:color w:val="auto"/>
          <w:sz w:val="24"/>
          <w:szCs w:val="24"/>
        </w:rPr>
        <w:t>电子化投标文件格式</w:t>
      </w:r>
      <w:r>
        <w:rPr>
          <w:rFonts w:hint="eastAsia" w:ascii="宋体" w:hAnsi="宋体" w:eastAsia="宋体" w:cs="宋体"/>
          <w:color w:val="auto"/>
          <w:sz w:val="24"/>
          <w:szCs w:val="24"/>
        </w:rPr>
        <w:t>）。</w:t>
      </w:r>
    </w:p>
    <w:p w14:paraId="1C9E178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电子化投标文件的编制</w:t>
      </w:r>
    </w:p>
    <w:p w14:paraId="1C1543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0B0AF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文件中要求供应商按照投标文件格式进行投标文件编制，在投标文件编制时，应明确将投标单位企业基本情况、业绩情况编入投标文件，便于进行资格审查及评标打分。</w:t>
      </w:r>
    </w:p>
    <w:p w14:paraId="1A78AB8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.3电子化投标文件的签署</w:t>
      </w:r>
    </w:p>
    <w:p w14:paraId="4E75B338">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1533243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4.投标</w:t>
      </w:r>
    </w:p>
    <w:p w14:paraId="7E16C79C">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4.1投标文件的加密</w:t>
      </w:r>
    </w:p>
    <w:p w14:paraId="60E3336E">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网上上传的电子投标文件应使用数字证书认证并加密。</w:t>
      </w:r>
    </w:p>
    <w:p w14:paraId="7AD226D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4.2投标文件的上传</w:t>
      </w:r>
    </w:p>
    <w:p w14:paraId="11ADC274">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电子化投标文件应在投标截止时间前成功上传至三门峡市公共资源电子化交易系统。至投标截止时间止，仍未上传成功的电子化投标文件将不予接收。</w:t>
      </w:r>
    </w:p>
    <w:p w14:paraId="2399C63D">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1E777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新点客服电话:4009980000</w:t>
      </w:r>
    </w:p>
    <w:p w14:paraId="2431728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4.3投标截止时间</w:t>
      </w:r>
    </w:p>
    <w:p w14:paraId="737A7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4.3.1</w:t>
      </w:r>
      <w:r>
        <w:rPr>
          <w:rFonts w:hint="eastAsia" w:ascii="宋体" w:hAnsi="宋体" w:eastAsia="宋体" w:cs="宋体"/>
          <w:color w:val="auto"/>
          <w:sz w:val="24"/>
          <w:szCs w:val="24"/>
        </w:rPr>
        <w:t>电子化投标文件的截止时间见本须知前附表规定。</w:t>
      </w:r>
    </w:p>
    <w:p w14:paraId="25FC78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4.3.2</w:t>
      </w:r>
      <w:r>
        <w:rPr>
          <w:rFonts w:hint="eastAsia" w:ascii="宋体" w:hAnsi="宋体" w:eastAsia="宋体" w:cs="宋体"/>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3A1035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4.3.3</w:t>
      </w:r>
      <w:r>
        <w:rPr>
          <w:rFonts w:hint="eastAsia" w:ascii="宋体" w:hAnsi="宋体" w:eastAsia="宋体" w:cs="宋体"/>
          <w:color w:val="auto"/>
          <w:sz w:val="24"/>
          <w:szCs w:val="24"/>
        </w:rPr>
        <w:t>到投标截止时间止，上传成功的电子化投标文件少于3个的，采购人将依法重新组织</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w:t>
      </w:r>
    </w:p>
    <w:p w14:paraId="0E71D74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4.4电子化投标文件的补充、修改与撤回</w:t>
      </w:r>
    </w:p>
    <w:p w14:paraId="377729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在投标截止时间之后，投标供应商不得补充、修改电子化投标文件。</w:t>
      </w:r>
    </w:p>
    <w:p w14:paraId="2B81577A">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5.开标</w:t>
      </w:r>
    </w:p>
    <w:p w14:paraId="3B39AA1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5.1开标时间和地点</w:t>
      </w:r>
    </w:p>
    <w:p w14:paraId="0B2B93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5.1.1采购人在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开标时间和地点通过远程开标大厅进行公开开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0C54E3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31543F00">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5.2开标程序</w:t>
      </w:r>
    </w:p>
    <w:p w14:paraId="03FC0CD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（1）公布投标单位名单；</w:t>
      </w:r>
    </w:p>
    <w:p w14:paraId="6AA55B2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（2）投标供应商远程解密投标文件；</w:t>
      </w:r>
    </w:p>
    <w:p w14:paraId="7ABDFD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（3）投标文件导入；</w:t>
      </w:r>
    </w:p>
    <w:p w14:paraId="2761083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（4）唱标；</w:t>
      </w:r>
    </w:p>
    <w:p w14:paraId="070E80E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（5）异议与回复(如有)；</w:t>
      </w:r>
    </w:p>
    <w:p w14:paraId="4356CDDC">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（6）开标结束。</w:t>
      </w:r>
    </w:p>
    <w:p w14:paraId="28D92E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供应商不足3家的，不得开标。供应商未参加开标的，视同认可开标结果。</w:t>
      </w:r>
    </w:p>
    <w:p w14:paraId="33E9239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5.3电子化投标文件解密异常的处理</w:t>
      </w:r>
    </w:p>
    <w:p w14:paraId="35D7B3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如出现投标供应商的电子投标文件无法解密等异常情况，投标供应商应及时致电中介服务机构说明。投标文件异常，按以下步骤进行处理：</w:t>
      </w:r>
    </w:p>
    <w:p w14:paraId="126660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200EF6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（2）经技术人员排查后，是投标供应商文件自身问题导致投标文件无法解密的，该投标文件将不予接收、解密和唱标。开标会议继续进行。</w:t>
      </w:r>
    </w:p>
    <w:p w14:paraId="44BF8F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E8DF14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（4）待所有供应商投标文件解密完成后，由</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方操作，对所有已解密文件进行唱标。</w:t>
      </w:r>
    </w:p>
    <w:p w14:paraId="4728C42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E802CC6">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5.4开标异议</w:t>
      </w:r>
    </w:p>
    <w:p w14:paraId="024E0257">
      <w:pPr>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开标时投标供应商可登录到交易系统中在开标大厅中点击开标一览表查看自己的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152DB2F0">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6.评标</w:t>
      </w:r>
    </w:p>
    <w:p w14:paraId="2FD54EDC">
      <w:pPr>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6.1磋商小组</w:t>
      </w:r>
    </w:p>
    <w:p w14:paraId="6886E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6.1.1</w:t>
      </w:r>
      <w:r>
        <w:rPr>
          <w:rFonts w:hint="eastAsia" w:ascii="宋体" w:hAnsi="宋体" w:eastAsia="宋体" w:cs="宋体"/>
          <w:color w:val="auto"/>
          <w:sz w:val="24"/>
          <w:szCs w:val="24"/>
        </w:rPr>
        <w:t>评标由采购人依法组建的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负责。</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由采购人，以及有关技术、经济等方面的专家组成。</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成员人数以及技术、经济等方面专家的确定方式见投标供应商须知前附表。</w:t>
      </w:r>
    </w:p>
    <w:p w14:paraId="745C170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6.1.2</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成员有下列情形之一的，应当回避：</w:t>
      </w:r>
    </w:p>
    <w:p w14:paraId="3601180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（1）参加采购活动前三年内，与供应商存在劳动关系，或者担任过供应商的董事、监事，或者是供应商的控股股东或实际控制人；</w:t>
      </w:r>
    </w:p>
    <w:p w14:paraId="1C37B5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713FF16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（3）项目主管部门或者行政监督部门的人员；</w:t>
      </w:r>
    </w:p>
    <w:p w14:paraId="1069BCCA">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（4）曾因在</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、评标以及其他与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投标有关活动中从事违法行为而受过行政处罚或刑事处罚的。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成员有前款规定情形之一的，应当主动提出回避；</w:t>
      </w:r>
    </w:p>
    <w:p w14:paraId="14507B4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14:paraId="6072C1E5">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6.1.3评标过程中，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成员有回避事由、擅离职守或者因健康等原因不能继续评标的，采购人有权更换。被更换的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成员作出的评审结论无效，由更换后的</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成员重新进行评审。</w:t>
      </w:r>
    </w:p>
    <w:p w14:paraId="60411B25">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6.2评标原则</w:t>
      </w:r>
    </w:p>
    <w:p w14:paraId="6F6C2C06">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评标活动遵循公平、公正、科学和择优的原则。</w:t>
      </w:r>
    </w:p>
    <w:p w14:paraId="05A6B272">
      <w:pPr>
        <w:autoSpaceDE w:val="0"/>
        <w:autoSpaceDN w:val="0"/>
        <w:adjustRightIn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6.3评标</w:t>
      </w:r>
    </w:p>
    <w:p w14:paraId="3E58CB1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6.3.1评标方法综合评分法，详见</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文件第四章。</w:t>
      </w:r>
    </w:p>
    <w:p w14:paraId="7FC3F33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6.3.2</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w:t>
      </w:r>
    </w:p>
    <w:p w14:paraId="05BB2F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应当对投标供应商的投标文件进行</w:t>
      </w:r>
      <w:r>
        <w:rPr>
          <w:rFonts w:hint="eastAsia" w:ascii="宋体" w:hAnsi="宋体" w:eastAsia="宋体" w:cs="宋体"/>
          <w:color w:val="auto"/>
          <w:sz w:val="24"/>
          <w:szCs w:val="24"/>
          <w:lang w:val="en-US" w:eastAsia="zh-CN"/>
        </w:rPr>
        <w:t xml:space="preserve"> 资格性评审、</w:t>
      </w:r>
      <w:r>
        <w:rPr>
          <w:rFonts w:hint="eastAsia" w:ascii="宋体" w:hAnsi="宋体" w:eastAsia="宋体" w:cs="宋体"/>
          <w:color w:val="auto"/>
          <w:sz w:val="24"/>
          <w:szCs w:val="24"/>
        </w:rPr>
        <w:t>形式评审和符合性评审，以确定其是否满足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文件的实质性要求。</w:t>
      </w:r>
    </w:p>
    <w:p w14:paraId="2E917E0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6.3.3投标文件的澄清</w:t>
      </w:r>
    </w:p>
    <w:p w14:paraId="4794AABD">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在评标期间，为有助于电子化投标文件的审查、评价和比较，</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在评标中发现的计算错误并进行核实的修改不在此列。</w:t>
      </w:r>
    </w:p>
    <w:p w14:paraId="56858C93">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6.3.4电子化投标文件计算错误的修正</w:t>
      </w:r>
    </w:p>
    <w:p w14:paraId="2DB62F9A">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将对确定为实质上响应</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文件要求的电子化投标文件进行校核，看其是否有计算或表达上的错误，修正错误的原则如下：</w:t>
      </w:r>
    </w:p>
    <w:p w14:paraId="27227DF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sz w:val="24"/>
          <w:szCs w:val="24"/>
        </w:rPr>
        <w:t>电子化投标文件中的大写金额和小写金额不一致的，以大写金额为准；</w:t>
      </w:r>
    </w:p>
    <w:p w14:paraId="69B828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对不同文字文本电子化投标文件的解释发生异议的，以中文文本为准。</w:t>
      </w:r>
    </w:p>
    <w:p w14:paraId="4E3FB849">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按上述修正错误的原则及方法调整或修正电子化投标文件的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，投标供应商同意后，调整后的</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对投标供应商起约束作用。</w:t>
      </w:r>
    </w:p>
    <w:p w14:paraId="2A9A5BC1">
      <w:pPr>
        <w:autoSpaceDE w:val="0"/>
        <w:autoSpaceDN w:val="0"/>
        <w:adjustRightIn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投标无效</w:t>
      </w:r>
    </w:p>
    <w:p w14:paraId="202F3EE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电子化投标文件有下列情形之一的，由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初审后按无效标处理：</w:t>
      </w:r>
    </w:p>
    <w:p w14:paraId="0366BF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文件规定要求签署、盖章的；</w:t>
      </w:r>
    </w:p>
    <w:p w14:paraId="03264D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磋商报价</w:t>
      </w:r>
      <w:r>
        <w:rPr>
          <w:rFonts w:hint="eastAsia" w:ascii="宋体" w:hAnsi="宋体" w:eastAsia="宋体" w:cs="宋体"/>
          <w:color w:val="auto"/>
          <w:sz w:val="24"/>
          <w:szCs w:val="24"/>
        </w:rPr>
        <w:t>高于</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文件中投标最高限价的；</w:t>
      </w:r>
    </w:p>
    <w:p w14:paraId="50713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（3）电子化投标文件附有采购人不能接受的条件的；</w:t>
      </w:r>
    </w:p>
    <w:p w14:paraId="6FC744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（4）以他人的名义投标、串通投标、以行贿手段谋取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或者以其他弄虚作假方式投标的；</w:t>
      </w:r>
    </w:p>
    <w:p w14:paraId="68203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（5）采取不正当手段谋取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的。</w:t>
      </w:r>
    </w:p>
    <w:p w14:paraId="665FB6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6</w:t>
      </w:r>
      <w:r>
        <w:rPr>
          <w:rFonts w:hint="eastAsia" w:ascii="宋体" w:hAnsi="宋体" w:eastAsia="宋体" w:cs="宋体"/>
          <w:color w:val="auto"/>
          <w:kern w:val="0"/>
          <w:sz w:val="24"/>
          <w:szCs w:val="24"/>
        </w:rPr>
        <w:t>评标时，</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是评标的重要依据，但不是唯一依据，</w:t>
      </w:r>
      <w:r>
        <w:rPr>
          <w:rFonts w:hint="eastAsia" w:ascii="宋体" w:hAnsi="宋体" w:eastAsia="宋体" w:cs="宋体"/>
          <w:color w:val="auto"/>
          <w:sz w:val="24"/>
          <w:szCs w:val="24"/>
        </w:rPr>
        <w:t>采购人不承诺将合同授予报价最低或最高的投标供应商。</w:t>
      </w:r>
    </w:p>
    <w:p w14:paraId="29C847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7</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认为投标供应商的报价明显低于其他通过符合性审查投标供应商的报价，有可能影响</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质量或者不能诚信履约的，应当要求其在评标现场合理的时间内提供书面说明，必要时提交相关证明材料；投标供应商不能证明其报价合理性的，</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应当将其作为无效投标处理。</w:t>
      </w:r>
    </w:p>
    <w:p w14:paraId="6FBC080E">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6.3.</w:t>
      </w:r>
      <w:r>
        <w:rPr>
          <w:rFonts w:hint="eastAsia" w:ascii="宋体" w:hAnsi="宋体" w:eastAsia="宋体" w:cs="宋体"/>
          <w:bCs/>
          <w:color w:val="auto"/>
          <w:sz w:val="24"/>
          <w:szCs w:val="24"/>
          <w:lang w:val="en-US" w:eastAsia="zh-CN"/>
        </w:rPr>
        <w:t>8</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依据本须知规定的评标标准和方法，对电子化投标文件进行评审和比较，按评委计分结果,</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按照得分由高到低的顺序推荐3名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选供应商，并向采购人提供书面评标报告。</w:t>
      </w:r>
    </w:p>
    <w:p w14:paraId="748B9829">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kern w:val="0"/>
          <w:sz w:val="24"/>
          <w:szCs w:val="24"/>
        </w:rPr>
        <w:t>6.3.</w:t>
      </w:r>
      <w:r>
        <w:rPr>
          <w:rFonts w:hint="eastAsia" w:ascii="宋体" w:hAnsi="宋体" w:eastAsia="宋体" w:cs="宋体"/>
          <w:bCs/>
          <w:color w:val="auto"/>
          <w:kern w:val="0"/>
          <w:sz w:val="24"/>
          <w:szCs w:val="24"/>
          <w:lang w:val="en-US" w:eastAsia="zh-CN"/>
        </w:rPr>
        <w:t>9</w:t>
      </w:r>
      <w:r>
        <w:rPr>
          <w:rFonts w:hint="eastAsia" w:ascii="宋体" w:hAnsi="宋体" w:eastAsia="宋体" w:cs="宋体"/>
          <w:color w:val="auto"/>
          <w:kern w:val="0"/>
          <w:sz w:val="24"/>
          <w:szCs w:val="24"/>
        </w:rPr>
        <w:t>本项目采用综合评分法，按评审后得分由高到低顺序排列。得分相同的，按</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由低到高的顺序排列。得分且</w:t>
      </w:r>
      <w:r>
        <w:rPr>
          <w:rFonts w:hint="eastAsia" w:ascii="宋体" w:hAnsi="宋体" w:cs="宋体"/>
          <w:color w:val="auto"/>
          <w:kern w:val="0"/>
          <w:sz w:val="24"/>
          <w:szCs w:val="24"/>
          <w:lang w:eastAsia="zh-CN"/>
        </w:rPr>
        <w:t>磋商报价</w:t>
      </w:r>
      <w:r>
        <w:rPr>
          <w:rFonts w:hint="eastAsia" w:ascii="宋体" w:hAnsi="宋体" w:eastAsia="宋体" w:cs="宋体"/>
          <w:color w:val="auto"/>
          <w:kern w:val="0"/>
          <w:sz w:val="24"/>
          <w:szCs w:val="24"/>
        </w:rPr>
        <w:t>相同的，按技术标得分由高到低的顺序排列。技术指标仍相同的，按商务标由高到低的顺序排列，以上各项都相同的，由</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确定排名第一的为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8DA8DA4">
      <w:pPr>
        <w:autoSpaceDE w:val="0"/>
        <w:autoSpaceDN w:val="0"/>
        <w:adjustRightIn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6.3.1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sz w:val="24"/>
          <w:szCs w:val="24"/>
        </w:rPr>
        <w:t>评标过程的保密</w:t>
      </w:r>
    </w:p>
    <w:p w14:paraId="5EC9D39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开标后，直至授予</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供应商合同为止，凡属于对电子化投标文件的审查、澄清、评价和比较有关的资料，</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候选供应商的推荐情况，及其他任何与评标有关的情况均应严格保密。</w:t>
      </w:r>
    </w:p>
    <w:p w14:paraId="7E195F19">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在电子化投标文件的评审和比较、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候选供应商推荐以及授予合同的过程中，投标供应商向采购人和</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施加影响的任何行为，都将会导致其投标被拒绝。</w:t>
      </w:r>
    </w:p>
    <w:p w14:paraId="1D64B3A0">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供应商确定后，采购人不对未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供应商就评标过程以及未能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原因做出任何解释。未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供应商不得向</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组成人员或其他有关人员索问评标过程的情况和材料。</w:t>
      </w:r>
    </w:p>
    <w:p w14:paraId="45BB5796">
      <w:pPr>
        <w:autoSpaceDE w:val="0"/>
        <w:autoSpaceDN w:val="0"/>
        <w:adjustRightIn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7.授予合同</w:t>
      </w:r>
    </w:p>
    <w:p w14:paraId="26221767">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w:t>
      </w:r>
    </w:p>
    <w:p w14:paraId="79FD276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7.1.1采购代理机构应当在评标结束后2个工作日内将评标报告送采购人。采购人应当自收到评标报告之日起5个工作日内，在评标报告确定的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候选供应商名单中，选定排名第一</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候选供应商并列的，由采购人按照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文件规定的方式确定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文件未规定的，采取随机抽取的方式确定。采购人在收到评标报告5个工作日内未按评标报告推荐的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候选供应商顺序确定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供应商，又不能说明合法理由的，视同按评标报告推荐的顺序确定排名第一的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7228F0A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7.1.2采购代理机构自</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供应商确定之日起2个工作日内，在</w:t>
      </w:r>
      <w:r>
        <w:rPr>
          <w:rFonts w:hint="eastAsia" w:ascii="宋体" w:hAnsi="宋体" w:eastAsia="宋体" w:cs="宋体"/>
          <w:kern w:val="0"/>
          <w:sz w:val="24"/>
          <w:szCs w:val="24"/>
          <w:highlight w:val="none"/>
          <w:lang w:eastAsia="zh-CN"/>
        </w:rPr>
        <w:t>《中国</w:t>
      </w:r>
      <w:r>
        <w:rPr>
          <w:rFonts w:hint="eastAsia" w:ascii="宋体" w:hAnsi="宋体" w:cs="宋体"/>
          <w:kern w:val="0"/>
          <w:sz w:val="24"/>
          <w:szCs w:val="24"/>
          <w:highlight w:val="none"/>
          <w:lang w:val="en-US" w:eastAsia="zh-CN"/>
        </w:rPr>
        <w:t>招标</w:t>
      </w:r>
      <w:r>
        <w:rPr>
          <w:rFonts w:hint="eastAsia" w:ascii="宋体" w:hAnsi="宋体" w:eastAsia="宋体" w:cs="宋体"/>
          <w:kern w:val="0"/>
          <w:sz w:val="24"/>
          <w:szCs w:val="24"/>
          <w:highlight w:val="none"/>
          <w:lang w:eastAsia="zh-CN"/>
        </w:rPr>
        <w:t>投标公共服务平台》</w:t>
      </w:r>
      <w:r>
        <w:rPr>
          <w:rFonts w:hint="eastAsia" w:ascii="宋体" w:hAnsi="宋体" w:eastAsia="宋体" w:cs="宋体"/>
          <w:kern w:val="0"/>
          <w:sz w:val="24"/>
          <w:szCs w:val="24"/>
        </w:rPr>
        <w:t>、</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shd w:val="clear" w:color="auto" w:fill="auto"/>
          <w:lang w:val="en-US" w:eastAsia="zh-CN"/>
        </w:rPr>
        <w:t>河南省政府采购网</w:t>
      </w:r>
      <w:r>
        <w:rPr>
          <w:rFonts w:hint="eastAsia" w:ascii="宋体" w:hAnsi="宋体" w:eastAsia="宋体" w:cs="宋体"/>
          <w:kern w:val="0"/>
          <w:sz w:val="24"/>
          <w:szCs w:val="24"/>
          <w:shd w:val="clear" w:color="auto" w:fill="auto"/>
        </w:rPr>
        <w:t>》</w:t>
      </w:r>
      <w:r>
        <w:rPr>
          <w:rFonts w:hint="eastAsia" w:ascii="宋体" w:hAnsi="宋体" w:eastAsia="宋体" w:cs="宋体"/>
          <w:kern w:val="0"/>
          <w:sz w:val="24"/>
          <w:szCs w:val="24"/>
        </w:rPr>
        <w:t>和《三门峡市公共资源交易中心网》</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文件随</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结果同时公告。</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供应商为中小企业的，同时公告其《中小企业声明函》；</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供应商为残疾人福利性单位的，同时公告其《残疾人福利性单位声明函》，接受社会监督。</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公告期限为1个工作日。</w:t>
      </w:r>
    </w:p>
    <w:p w14:paraId="5AAF1E7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7.2</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7A4B258E">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rPr>
        <w:t>的同时，向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供应商发出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通知书发出后，采购人不得违法改变</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供应商无正当理由不得放弃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AE11D3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7.3履约保证金</w:t>
      </w:r>
    </w:p>
    <w:p w14:paraId="78FF61E3">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本项目不收取履约保证金。如供应商违反政府采购合同约定给采购人造成损失的,采购人按照合同约定,要求供应商承担赔偿责任。</w:t>
      </w:r>
    </w:p>
    <w:p w14:paraId="1CFE65A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7.4签订合同</w:t>
      </w:r>
    </w:p>
    <w:p w14:paraId="3B46D59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7.4.1采购人和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供应商应当在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文件订立书面合同。所签订的合同不得对</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文件确定的事项和</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文件作实质性修改。</w:t>
      </w:r>
    </w:p>
    <w:p w14:paraId="683B3CB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7.4.2</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供应商无正当理由拒签合同、在签订合同时向采购人提出附加条件的，采购人有权取消其</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资格，给采购人带来损失的，还应给予赔偿；采购人可以按照评标报告推荐的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候选供应商排序，确定排名下一位的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候选供应商为</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供应商，也可以重新开展采购活动。当出现法规规定的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无效或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结果无效情形时，采购人可与排名下一位的</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候选供应商另行签订合同，或依法重新开展采购活动。</w:t>
      </w:r>
    </w:p>
    <w:p w14:paraId="797FD73A">
      <w:pPr>
        <w:autoSpaceDE w:val="0"/>
        <w:autoSpaceDN w:val="0"/>
        <w:adjustRightInd w:val="0"/>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eastAsia="宋体" w:cs="宋体"/>
          <w:color w:val="auto"/>
          <w:sz w:val="24"/>
          <w:szCs w:val="24"/>
        </w:rPr>
        <w:t>7.4.3采购人不得向</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供应商提出任何不合理的要求作为签订合同的条件。</w:t>
      </w:r>
    </w:p>
    <w:p w14:paraId="1A7DFC05">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7.5质疑</w:t>
      </w:r>
    </w:p>
    <w:p w14:paraId="57519723">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各有关当事人对</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结果有异议的，可以在</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结果公告期限届满之日起七个工作日内，按《政府采购质疑和投诉办法》（财政部令第94号）要求以书面形式同时向采购人和采购代理机构提出质疑，逾期提交或未按照要求提交的质疑函将不予受理。</w:t>
      </w:r>
    </w:p>
    <w:p w14:paraId="1C4A6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8.纪律和监督</w:t>
      </w:r>
    </w:p>
    <w:p w14:paraId="14682B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8.1对采购人的纪律要求</w:t>
      </w:r>
    </w:p>
    <w:p w14:paraId="41691B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采购人不得泄露</w:t>
      </w:r>
      <w:r>
        <w:rPr>
          <w:rFonts w:hint="eastAsia" w:ascii="宋体" w:hAnsi="宋体" w:cs="宋体"/>
          <w:color w:val="auto"/>
          <w:sz w:val="24"/>
          <w:szCs w:val="24"/>
          <w:lang w:eastAsia="zh-CN"/>
        </w:rPr>
        <w:t>磋商响应</w:t>
      </w:r>
      <w:r>
        <w:rPr>
          <w:rFonts w:hint="eastAsia" w:ascii="宋体" w:hAnsi="宋体" w:eastAsia="宋体" w:cs="宋体"/>
          <w:color w:val="auto"/>
          <w:sz w:val="24"/>
          <w:szCs w:val="24"/>
        </w:rPr>
        <w:t>活动中应当保密的情况和资料，不得与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供应商串通损害国家利益、社会公共利益或者他人合法权益。</w:t>
      </w:r>
    </w:p>
    <w:p w14:paraId="0DEF5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供应商的纪律要求</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或者与采购人串通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，不得向采购人或者</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成员行贿谋取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或者以其他方式弄虚作假骗取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供应商不得以任何方式干扰、影响评标工作。</w:t>
      </w:r>
    </w:p>
    <w:p w14:paraId="272287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8.2.1有下列情形之一的，属于</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437BA8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供应商之间协商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文件的实质性内容；</w:t>
      </w:r>
    </w:p>
    <w:p w14:paraId="111736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供应商；</w:t>
      </w:r>
    </w:p>
    <w:p w14:paraId="224D22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供应商之间约定部分供应商放弃</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或者</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w:t>
      </w:r>
    </w:p>
    <w:p w14:paraId="0971E1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供应商之间为谋取</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或者排斥特定供应商而采取的其他联合行动。</w:t>
      </w:r>
    </w:p>
    <w:p w14:paraId="7CA1B7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8.2.2有下列情形之一的，视为</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供应商相互串通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502C3F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文件由同一单位或者个人编制；</w:t>
      </w:r>
    </w:p>
    <w:p w14:paraId="544A6E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供应商委托同一单位或者个人办理</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事宜；</w:t>
      </w:r>
    </w:p>
    <w:p w14:paraId="5C1AC1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文件载明的项目管理成员为同一人；</w:t>
      </w:r>
    </w:p>
    <w:p w14:paraId="51DB21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文件异常一致或者</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报价呈规律性差异；</w:t>
      </w:r>
    </w:p>
    <w:p w14:paraId="1356EA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文件制作机器码一致视为串通</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行为；</w:t>
      </w:r>
    </w:p>
    <w:p w14:paraId="1FE90D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8.2.3有下列情形之一的，属于以他人名义</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w:t>
      </w:r>
    </w:p>
    <w:p w14:paraId="2C07CF43">
      <w:pPr>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（一）使用通过受让或者租借等方式获取的资格、资质证书</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的</w:t>
      </w:r>
    </w:p>
    <w:p w14:paraId="10261C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8.2.4有下列情形之一的，属于以其他方式弄虚作假的行为：</w:t>
      </w:r>
    </w:p>
    <w:p w14:paraId="723D05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（一）使用伪造、变造的许可证件；</w:t>
      </w:r>
    </w:p>
    <w:p w14:paraId="7BAA41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（二）提供虚假的财务状况或者业绩；</w:t>
      </w:r>
    </w:p>
    <w:p w14:paraId="1CB05F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（三）提供虚假的项目负责人或者主要技术人员简历、劳动关系证明；</w:t>
      </w:r>
    </w:p>
    <w:p w14:paraId="292BE1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（四）提供虚假的信用状况；</w:t>
      </w:r>
    </w:p>
    <w:p w14:paraId="33EDDD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（五）其他弄虚作假的行为。</w:t>
      </w:r>
    </w:p>
    <w:p w14:paraId="50564A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8.3对</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成员的纪律要求</w:t>
      </w:r>
    </w:p>
    <w:p w14:paraId="48347876">
      <w:pPr>
        <w:spacing w:line="360" w:lineRule="auto"/>
        <w:ind w:firstLine="504" w:firstLineChars="200"/>
        <w:rPr>
          <w:rFonts w:hint="eastAsia" w:ascii="宋体" w:hAnsi="宋体" w:eastAsia="宋体" w:cs="宋体"/>
          <w:color w:val="auto"/>
          <w:sz w:val="24"/>
          <w:szCs w:val="24"/>
        </w:rPr>
      </w:pP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color w:val="auto"/>
          <w:sz w:val="24"/>
          <w:szCs w:val="24"/>
        </w:rPr>
        <w:t>成员应当客观、公正地履行职责，遵守职业道德，不得擅离职守，影响评标程序正常进行，不得使用第四章“评标方法和标准”没有规定的评审因素和标准进行评标。</w:t>
      </w:r>
    </w:p>
    <w:p w14:paraId="4FFE1D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8.4对与评标活动有关的工作人员的纪律要求</w:t>
      </w:r>
    </w:p>
    <w:p w14:paraId="4721EA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文件的评审和比较、</w:t>
      </w:r>
      <w:r>
        <w:rPr>
          <w:rFonts w:hint="eastAsia" w:ascii="宋体" w:hAnsi="宋体" w:cs="宋体"/>
          <w:color w:val="auto"/>
          <w:sz w:val="24"/>
          <w:szCs w:val="24"/>
          <w:lang w:eastAsia="zh-CN"/>
        </w:rPr>
        <w:t>成交</w:t>
      </w:r>
      <w:r>
        <w:rPr>
          <w:rFonts w:hint="eastAsia" w:ascii="宋体" w:hAnsi="宋体" w:eastAsia="宋体" w:cs="宋体"/>
          <w:color w:val="auto"/>
          <w:sz w:val="24"/>
          <w:szCs w:val="24"/>
        </w:rPr>
        <w:t>候选供应商的推荐情况以及评标有关的其他情况。在评标活动中，与评标活动有关的工作人员不得擅离职守，影响评标程序正常进行。</w:t>
      </w:r>
    </w:p>
    <w:p w14:paraId="09CF78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9.需要补充的其他内容</w:t>
      </w:r>
    </w:p>
    <w:p w14:paraId="2A3526F7">
      <w:pPr>
        <w:spacing w:line="360" w:lineRule="auto"/>
        <w:ind w:firstLine="480" w:firstLineChars="200"/>
        <w:jc w:val="left"/>
        <w:rPr>
          <w:rFonts w:hint="eastAsia" w:ascii="宋体" w:hAnsi="宋体" w:eastAsia="宋体" w:cs="宋体"/>
          <w:color w:val="auto"/>
          <w:sz w:val="24"/>
          <w:szCs w:val="24"/>
        </w:rPr>
        <w:sectPr>
          <w:footerReference r:id="rId4" w:type="default"/>
          <w:pgSz w:w="11906" w:h="16838"/>
          <w:pgMar w:top="1440" w:right="1418" w:bottom="1440" w:left="1418" w:header="851" w:footer="992" w:gutter="0"/>
          <w:pgNumType w:start="1"/>
          <w:cols w:space="720" w:num="1"/>
          <w:docGrid w:type="lines" w:linePitch="312" w:charSpace="0"/>
        </w:sectPr>
      </w:pPr>
      <w:r>
        <w:rPr>
          <w:rFonts w:hint="eastAsia" w:ascii="宋体" w:hAnsi="宋体" w:eastAsia="宋体" w:cs="宋体"/>
          <w:color w:val="auto"/>
          <w:sz w:val="24"/>
          <w:szCs w:val="24"/>
        </w:rPr>
        <w:t>需要补充的其他内容：见</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供应商须知前附表。</w:t>
      </w:r>
    </w:p>
    <w:p w14:paraId="5CB6EE8A">
      <w:pPr>
        <w:pStyle w:val="2"/>
        <w:numPr>
          <w:ilvl w:val="0"/>
          <w:numId w:val="0"/>
        </w:numPr>
        <w:bidi w:val="0"/>
        <w:jc w:val="center"/>
        <w:rPr>
          <w:rFonts w:hint="eastAsia" w:ascii="宋体" w:hAnsi="宋体" w:eastAsia="宋体" w:cs="宋体"/>
          <w:color w:val="auto"/>
          <w:highlight w:val="none"/>
          <w:lang w:eastAsia="zh-CN"/>
        </w:rPr>
      </w:pPr>
      <w:bookmarkStart w:id="4" w:name="_Toc8061"/>
      <w:bookmarkStart w:id="5" w:name="_Toc4965"/>
      <w:r>
        <w:rPr>
          <w:rFonts w:hint="eastAsia" w:ascii="宋体" w:hAnsi="宋体" w:eastAsia="宋体" w:cs="宋体"/>
          <w:color w:val="auto"/>
          <w:highlight w:val="none"/>
          <w:lang w:val="en-US" w:eastAsia="zh-CN"/>
        </w:rPr>
        <w:t xml:space="preserve">第三章 </w:t>
      </w:r>
      <w:r>
        <w:rPr>
          <w:rFonts w:hint="eastAsia" w:ascii="宋体" w:hAnsi="宋体" w:eastAsia="宋体" w:cs="宋体"/>
          <w:color w:val="auto"/>
          <w:highlight w:val="none"/>
          <w:lang w:eastAsia="zh-CN"/>
        </w:rPr>
        <w:t>服务内容及要求</w:t>
      </w:r>
      <w:bookmarkEnd w:id="4"/>
      <w:bookmarkEnd w:id="5"/>
    </w:p>
    <w:p w14:paraId="1958E83F">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采购</w:t>
      </w: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编号：SGZ[2025]433-ZC292；</w:t>
      </w:r>
    </w:p>
    <w:p w14:paraId="5FADABE5">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项目名称：</w:t>
      </w: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p>
    <w:p w14:paraId="48E38C96">
      <w:pPr>
        <w:spacing w:line="360" w:lineRule="auto"/>
        <w:ind w:firstLine="480" w:firstLineChars="200"/>
        <w:jc w:val="left"/>
        <w:rPr>
          <w:rFonts w:hint="eastAsia" w:ascii="宋体" w:hAnsi="宋体" w:eastAsia="宋体" w:cs="宋体"/>
          <w:color w:val="444444"/>
          <w:kern w:val="0"/>
          <w:sz w:val="24"/>
          <w:szCs w:val="24"/>
          <w:lang w:val="en-US" w:eastAsia="zh-CN" w:bidi="ar"/>
        </w:rPr>
      </w:pPr>
      <w:r>
        <w:rPr>
          <w:rFonts w:hint="eastAsia" w:ascii="宋体" w:hAnsi="宋体" w:eastAsia="宋体" w:cs="宋体"/>
          <w:kern w:val="0"/>
          <w:sz w:val="24"/>
          <w:szCs w:val="24"/>
        </w:rPr>
        <w:t>3、采购方式</w:t>
      </w:r>
      <w:r>
        <w:rPr>
          <w:rFonts w:hint="eastAsia" w:ascii="宋体" w:hAnsi="宋体" w:eastAsia="宋体" w:cs="宋体"/>
          <w:color w:val="444444"/>
          <w:kern w:val="0"/>
          <w:sz w:val="24"/>
          <w:szCs w:val="24"/>
          <w:lang w:val="en-US" w:eastAsia="zh-CN" w:bidi="ar"/>
        </w:rPr>
        <w:t>：竞争性磋商</w:t>
      </w:r>
    </w:p>
    <w:p w14:paraId="2B314AB2">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4、预算金额：</w:t>
      </w:r>
      <w:r>
        <w:rPr>
          <w:rFonts w:hint="eastAsia" w:ascii="宋体" w:hAnsi="宋体" w:eastAsia="宋体" w:cs="宋体"/>
          <w:kern w:val="0"/>
          <w:sz w:val="24"/>
          <w:szCs w:val="24"/>
          <w:highlight w:val="none"/>
          <w:lang w:val="en-US" w:eastAsia="zh-CN"/>
        </w:rPr>
        <w:t>900000</w:t>
      </w:r>
      <w:r>
        <w:rPr>
          <w:rFonts w:hint="eastAsia" w:ascii="宋体" w:hAnsi="宋体" w:eastAsia="宋体" w:cs="宋体"/>
          <w:kern w:val="0"/>
          <w:sz w:val="24"/>
          <w:szCs w:val="24"/>
          <w:highlight w:val="none"/>
        </w:rPr>
        <w:t>元</w:t>
      </w:r>
    </w:p>
    <w:p w14:paraId="313993BE">
      <w:pPr>
        <w:widowControl/>
        <w:shd w:val="clear" w:color="auto" w:fill="auto"/>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最高限价：</w:t>
      </w:r>
      <w:r>
        <w:rPr>
          <w:rFonts w:hint="eastAsia" w:ascii="宋体" w:hAnsi="宋体" w:eastAsia="宋体" w:cs="宋体"/>
          <w:kern w:val="0"/>
          <w:sz w:val="24"/>
          <w:szCs w:val="24"/>
          <w:highlight w:val="none"/>
          <w:lang w:val="en-US" w:eastAsia="zh-CN"/>
        </w:rPr>
        <w:t>900000</w:t>
      </w:r>
      <w:r>
        <w:rPr>
          <w:rFonts w:hint="eastAsia" w:ascii="宋体" w:hAnsi="宋体" w:eastAsia="宋体" w:cs="宋体"/>
          <w:kern w:val="0"/>
          <w:sz w:val="24"/>
          <w:szCs w:val="24"/>
          <w:highlight w:val="none"/>
        </w:rPr>
        <w:t>元</w:t>
      </w:r>
    </w:p>
    <w:p w14:paraId="5852C59D">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07A469AA">
      <w:pPr>
        <w:keepNext w:val="0"/>
        <w:keepLines w:val="0"/>
        <w:pageBreakBefore w:val="0"/>
        <w:widowControl/>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highlight w:val="none"/>
        </w:rPr>
      </w:pPr>
      <w:r>
        <w:rPr>
          <w:rFonts w:hint="eastAsia" w:ascii="宋体" w:hAnsi="宋体" w:eastAsia="宋体" w:cs="宋体"/>
          <w:kern w:val="0"/>
          <w:sz w:val="24"/>
          <w:szCs w:val="24"/>
        </w:rPr>
        <w:t>5.1、</w:t>
      </w:r>
      <w:r>
        <w:rPr>
          <w:rFonts w:hint="eastAsia" w:ascii="宋体" w:hAnsi="宋体" w:eastAsia="宋体" w:cs="宋体"/>
          <w:kern w:val="0"/>
          <w:sz w:val="24"/>
          <w:szCs w:val="24"/>
          <w:highlight w:val="none"/>
          <w:lang w:val="en-US" w:eastAsia="zh-CN"/>
        </w:rPr>
        <w:t>采购内容</w:t>
      </w:r>
      <w:r>
        <w:rPr>
          <w:rFonts w:hint="eastAsia" w:ascii="宋体" w:hAnsi="宋体" w:eastAsia="宋体" w:cs="宋体"/>
          <w:kern w:val="0"/>
          <w:sz w:val="24"/>
          <w:szCs w:val="24"/>
          <w:highlight w:val="none"/>
        </w:rPr>
        <w:t>：</w:t>
      </w:r>
      <w:r>
        <w:rPr>
          <w:rFonts w:hint="eastAsia" w:ascii="宋体" w:hAnsi="宋体" w:eastAsia="宋体" w:cs="宋体"/>
          <w:spacing w:val="0"/>
          <w:w w:val="100"/>
          <w:kern w:val="0"/>
          <w:sz w:val="24"/>
          <w:szCs w:val="24"/>
          <w:highlight w:val="none"/>
          <w:lang w:val="en-US" w:eastAsia="zh-CN"/>
        </w:rPr>
        <w:t>本项目为</w:t>
      </w:r>
      <w:r>
        <w:rPr>
          <w:rFonts w:hint="eastAsia" w:ascii="宋体" w:hAnsi="宋体" w:eastAsia="宋体" w:cs="宋体"/>
          <w:color w:val="444444"/>
          <w:kern w:val="0"/>
          <w:sz w:val="24"/>
          <w:szCs w:val="24"/>
          <w:lang w:val="en-US" w:eastAsia="zh-CN" w:bidi="ar"/>
        </w:rPr>
        <w:t>三门峡市自然资源和规划局城乡一体化示范区分局现代农业产业园发展规划项目</w:t>
      </w:r>
      <w:r>
        <w:rPr>
          <w:rFonts w:hint="eastAsia" w:ascii="宋体" w:hAnsi="宋体" w:eastAsia="宋体" w:cs="宋体"/>
          <w:spacing w:val="0"/>
          <w:w w:val="100"/>
          <w:kern w:val="0"/>
          <w:sz w:val="24"/>
          <w:szCs w:val="24"/>
          <w:highlight w:val="none"/>
          <w:lang w:val="en-US" w:eastAsia="zh-CN"/>
        </w:rPr>
        <w:t>，</w:t>
      </w:r>
      <w:r>
        <w:rPr>
          <w:rFonts w:hint="eastAsia" w:ascii="宋体" w:hAnsi="宋体" w:eastAsia="宋体" w:cs="宋体"/>
          <w:color w:val="auto"/>
          <w:spacing w:val="0"/>
          <w:w w:val="100"/>
          <w:kern w:val="0"/>
          <w:sz w:val="24"/>
          <w:szCs w:val="24"/>
          <w:highlight w:val="none"/>
          <w:lang w:val="en-US" w:eastAsia="zh-CN"/>
        </w:rPr>
        <w:t>项目内容为：</w:t>
      </w:r>
      <w:r>
        <w:rPr>
          <w:rFonts w:hint="eastAsia" w:ascii="宋体" w:hAnsi="宋体" w:eastAsia="宋体" w:cs="宋体"/>
          <w:color w:val="auto"/>
          <w:kern w:val="2"/>
          <w:sz w:val="24"/>
          <w:szCs w:val="24"/>
          <w:highlight w:val="none"/>
          <w:lang w:val="en-US" w:eastAsia="zh-CN" w:bidi="ar-SA"/>
        </w:rPr>
        <w:t>三门峡市城乡一体化示范区城乡融合(现代农业产业园)发展规划编制;区域涉及阳店镇、大王镇，区域总面积约286平方公里</w:t>
      </w:r>
      <w:r>
        <w:rPr>
          <w:rFonts w:hint="eastAsia" w:ascii="宋体" w:hAnsi="宋体" w:eastAsia="宋体" w:cs="宋体"/>
          <w:color w:val="auto"/>
          <w:kern w:val="0"/>
          <w:sz w:val="24"/>
          <w:szCs w:val="24"/>
          <w:highlight w:val="none"/>
        </w:rPr>
        <w:t>。</w:t>
      </w:r>
    </w:p>
    <w:p w14:paraId="329BE195">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5.2资金来源：</w:t>
      </w:r>
      <w:r>
        <w:rPr>
          <w:rFonts w:hint="eastAsia" w:ascii="宋体" w:hAnsi="宋体" w:eastAsia="宋体" w:cs="宋体"/>
          <w:kern w:val="0"/>
          <w:sz w:val="24"/>
          <w:szCs w:val="24"/>
          <w:highlight w:val="none"/>
          <w:lang w:val="en-US" w:eastAsia="zh-CN"/>
        </w:rPr>
        <w:t>财政资金</w:t>
      </w:r>
      <w:r>
        <w:rPr>
          <w:rFonts w:hint="eastAsia" w:ascii="宋体" w:hAnsi="宋体" w:eastAsia="宋体" w:cs="宋体"/>
          <w:kern w:val="0"/>
          <w:sz w:val="24"/>
          <w:szCs w:val="24"/>
          <w:highlight w:val="none"/>
        </w:rPr>
        <w:t>，已落实</w:t>
      </w:r>
    </w:p>
    <w:p w14:paraId="024DC57F">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5.3项目地点：</w:t>
      </w:r>
      <w:r>
        <w:rPr>
          <w:rFonts w:hint="eastAsia" w:ascii="宋体" w:hAnsi="宋体" w:eastAsia="宋体" w:cs="宋体"/>
          <w:spacing w:val="0"/>
          <w:w w:val="100"/>
          <w:kern w:val="0"/>
          <w:sz w:val="24"/>
          <w:szCs w:val="24"/>
          <w:highlight w:val="none"/>
          <w:u w:val="none"/>
          <w:lang w:val="en-US" w:eastAsia="zh-CN"/>
        </w:rPr>
        <w:t>三门峡市城乡一体化示范区</w:t>
      </w:r>
    </w:p>
    <w:p w14:paraId="2C2D95B4">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5.4服务周期：</w:t>
      </w:r>
      <w:r>
        <w:rPr>
          <w:rFonts w:hint="eastAsia" w:ascii="宋体" w:hAnsi="宋体" w:cs="宋体"/>
          <w:color w:val="auto"/>
          <w:sz w:val="24"/>
          <w:szCs w:val="24"/>
          <w:highlight w:val="none"/>
          <w:lang w:val="en-US" w:eastAsia="zh-CN"/>
        </w:rPr>
        <w:t>自签订合同之日起至现代农业产业园发展规划项⽬编制完成之日止</w:t>
      </w:r>
    </w:p>
    <w:p w14:paraId="7A794F9D">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5.5质量要求：</w:t>
      </w:r>
      <w:r>
        <w:rPr>
          <w:rFonts w:hint="eastAsia" w:ascii="宋体" w:hAnsi="宋体" w:eastAsia="宋体" w:cs="宋体"/>
          <w:sz w:val="24"/>
          <w:szCs w:val="24"/>
          <w:lang w:val="en-US" w:eastAsia="zh-CN"/>
        </w:rPr>
        <w:t>合格，符合国家相关法律、法规及规范要求，满足采购人要求</w:t>
      </w:r>
    </w:p>
    <w:p w14:paraId="424F96E7">
      <w:pPr>
        <w:spacing w:line="360" w:lineRule="auto"/>
        <w:ind w:firstLine="480" w:firstLineChars="200"/>
        <w:jc w:val="left"/>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rPr>
        <w:t>6、合同履约期限：</w:t>
      </w:r>
      <w:r>
        <w:rPr>
          <w:rFonts w:hint="eastAsia" w:ascii="宋体" w:hAnsi="宋体" w:eastAsia="宋体" w:cs="宋体"/>
          <w:kern w:val="0"/>
          <w:sz w:val="24"/>
          <w:szCs w:val="24"/>
          <w:highlight w:val="none"/>
          <w:lang w:val="en-US" w:eastAsia="zh-CN"/>
        </w:rPr>
        <w:t>按合同约定执行。</w:t>
      </w:r>
    </w:p>
    <w:p w14:paraId="26293C96">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7、本项目是否接受联合体投标：</w:t>
      </w:r>
      <w:r>
        <w:rPr>
          <w:rFonts w:hint="eastAsia" w:ascii="宋体" w:hAnsi="宋体" w:cs="宋体"/>
          <w:kern w:val="0"/>
          <w:sz w:val="24"/>
          <w:szCs w:val="24"/>
          <w:highlight w:val="none"/>
          <w:lang w:val="en-US" w:eastAsia="zh-CN"/>
        </w:rPr>
        <w:t>否</w:t>
      </w:r>
    </w:p>
    <w:p w14:paraId="3CF41650">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14:paraId="7F59508E">
      <w:pPr>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9、是否专门面向中小企业：</w:t>
      </w:r>
      <w:r>
        <w:rPr>
          <w:rFonts w:hint="eastAsia" w:ascii="宋体" w:hAnsi="宋体" w:eastAsia="宋体" w:cs="宋体"/>
          <w:kern w:val="0"/>
          <w:sz w:val="24"/>
          <w:szCs w:val="24"/>
          <w:highlight w:val="none"/>
          <w:lang w:val="en-US" w:eastAsia="zh-CN"/>
        </w:rPr>
        <w:t>是</w:t>
      </w:r>
    </w:p>
    <w:p w14:paraId="1E96FCC4">
      <w:pPr>
        <w:rPr>
          <w:rFonts w:hint="eastAsia" w:ascii="宋体" w:hAnsi="宋体" w:eastAsia="宋体" w:cs="宋体"/>
          <w:color w:val="auto"/>
          <w:sz w:val="24"/>
          <w:szCs w:val="24"/>
        </w:rPr>
      </w:pPr>
    </w:p>
    <w:p w14:paraId="2FA21B3D">
      <w:pPr>
        <w:pStyle w:val="3"/>
        <w:outlineLvl w:val="9"/>
        <w:rPr>
          <w:rFonts w:hint="eastAsia" w:ascii="宋体" w:hAnsi="宋体" w:eastAsia="宋体" w:cs="宋体"/>
          <w:color w:val="auto"/>
          <w:sz w:val="24"/>
          <w:szCs w:val="24"/>
        </w:rPr>
      </w:pPr>
    </w:p>
    <w:p w14:paraId="5373E181">
      <w:pPr>
        <w:rPr>
          <w:rFonts w:hint="eastAsia" w:ascii="宋体" w:hAnsi="宋体" w:eastAsia="宋体" w:cs="宋体"/>
          <w:color w:val="auto"/>
          <w:sz w:val="24"/>
          <w:szCs w:val="24"/>
        </w:rPr>
      </w:pPr>
    </w:p>
    <w:p w14:paraId="0285DE2C">
      <w:pPr>
        <w:pStyle w:val="3"/>
        <w:outlineLvl w:val="9"/>
        <w:rPr>
          <w:rFonts w:hint="eastAsia" w:ascii="宋体" w:hAnsi="宋体" w:eastAsia="宋体" w:cs="宋体"/>
          <w:color w:val="auto"/>
          <w:sz w:val="24"/>
          <w:szCs w:val="24"/>
        </w:rPr>
      </w:pPr>
    </w:p>
    <w:p w14:paraId="437B0FBC">
      <w:pPr>
        <w:rPr>
          <w:rFonts w:hint="eastAsia" w:ascii="宋体" w:hAnsi="宋体" w:eastAsia="宋体" w:cs="宋体"/>
          <w:color w:val="auto"/>
          <w:sz w:val="24"/>
          <w:szCs w:val="24"/>
        </w:rPr>
      </w:pPr>
    </w:p>
    <w:p w14:paraId="3A96B838">
      <w:pPr>
        <w:rPr>
          <w:rFonts w:hint="eastAsia" w:ascii="宋体" w:hAnsi="宋体" w:eastAsia="宋体" w:cs="宋体"/>
          <w:b/>
          <w:bCs/>
          <w:color w:val="auto"/>
          <w:sz w:val="40"/>
          <w:szCs w:val="40"/>
        </w:rPr>
      </w:pPr>
      <w:bookmarkStart w:id="6" w:name="_Toc23949"/>
      <w:r>
        <w:rPr>
          <w:rFonts w:hint="eastAsia" w:ascii="宋体" w:hAnsi="宋体" w:eastAsia="宋体" w:cs="宋体"/>
          <w:b/>
          <w:bCs/>
          <w:color w:val="auto"/>
          <w:sz w:val="40"/>
          <w:szCs w:val="40"/>
        </w:rPr>
        <w:br w:type="page"/>
      </w:r>
    </w:p>
    <w:p w14:paraId="1F552C2B">
      <w:pPr>
        <w:jc w:val="center"/>
        <w:outlineLvl w:val="0"/>
        <w:rPr>
          <w:rFonts w:hint="eastAsia" w:ascii="宋体" w:hAnsi="宋体" w:eastAsia="宋体" w:cs="宋体"/>
          <w:b/>
          <w:bCs/>
          <w:color w:val="auto"/>
          <w:sz w:val="40"/>
          <w:szCs w:val="40"/>
        </w:rPr>
      </w:pPr>
      <w:bookmarkStart w:id="7" w:name="_Toc17042"/>
      <w:r>
        <w:rPr>
          <w:rFonts w:hint="eastAsia" w:ascii="宋体" w:hAnsi="宋体" w:eastAsia="宋体" w:cs="宋体"/>
          <w:b/>
          <w:bCs/>
          <w:color w:val="auto"/>
          <w:sz w:val="40"/>
          <w:szCs w:val="40"/>
        </w:rPr>
        <w:t xml:space="preserve">第四章 </w:t>
      </w:r>
      <w:bookmarkEnd w:id="6"/>
      <w:bookmarkEnd w:id="7"/>
      <w:r>
        <w:rPr>
          <w:rFonts w:hint="eastAsia" w:ascii="宋体" w:hAnsi="宋体" w:cs="宋体"/>
          <w:b/>
          <w:bCs/>
          <w:color w:val="auto"/>
          <w:sz w:val="40"/>
          <w:szCs w:val="40"/>
          <w:lang w:eastAsia="zh-CN"/>
        </w:rPr>
        <w:t>评审办法</w:t>
      </w:r>
    </w:p>
    <w:p w14:paraId="1D82C06E">
      <w:pPr>
        <w:widowControl/>
        <w:spacing w:line="425" w:lineRule="atLeast"/>
        <w:jc w:val="center"/>
        <w:textAlignment w:val="baseline"/>
        <w:rPr>
          <w:rFonts w:hint="eastAsia" w:ascii="宋体" w:hAnsi="宋体" w:eastAsia="宋体" w:cs="宋体"/>
          <w:b/>
          <w:sz w:val="24"/>
          <w:szCs w:val="20"/>
          <w:lang w:val="zh-CN"/>
        </w:rPr>
      </w:pPr>
      <w:r>
        <w:rPr>
          <w:rFonts w:hint="eastAsia" w:ascii="宋体" w:hAnsi="宋体" w:cs="宋体"/>
          <w:b/>
          <w:kern w:val="0"/>
          <w:sz w:val="24"/>
          <w:lang w:eastAsia="zh-CN"/>
        </w:rPr>
        <w:t>评审办法</w:t>
      </w:r>
      <w:r>
        <w:rPr>
          <w:rFonts w:hint="eastAsia" w:ascii="宋体" w:hAnsi="宋体" w:eastAsia="宋体" w:cs="宋体"/>
          <w:b/>
          <w:kern w:val="0"/>
          <w:sz w:val="24"/>
        </w:rPr>
        <w:t>前附表</w:t>
      </w:r>
    </w:p>
    <w:tbl>
      <w:tblPr>
        <w:tblStyle w:val="19"/>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62"/>
        <w:gridCol w:w="1914"/>
        <w:gridCol w:w="5701"/>
      </w:tblGrid>
      <w:tr w14:paraId="0B85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noWrap w:val="0"/>
            <w:tcMar>
              <w:left w:w="57" w:type="dxa"/>
              <w:right w:w="57" w:type="dxa"/>
            </w:tcMar>
            <w:vAlign w:val="center"/>
          </w:tcPr>
          <w:p w14:paraId="37C68B0A">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914" w:type="dxa"/>
            <w:noWrap w:val="0"/>
            <w:tcMar>
              <w:left w:w="57" w:type="dxa"/>
              <w:right w:w="57" w:type="dxa"/>
            </w:tcMar>
            <w:vAlign w:val="center"/>
          </w:tcPr>
          <w:p w14:paraId="4852C34F">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5701" w:type="dxa"/>
            <w:noWrap w:val="0"/>
            <w:tcMar>
              <w:left w:w="57" w:type="dxa"/>
              <w:right w:w="57" w:type="dxa"/>
            </w:tcMar>
            <w:vAlign w:val="center"/>
          </w:tcPr>
          <w:p w14:paraId="2E748E00">
            <w:pPr>
              <w:spacing w:before="206" w:line="360" w:lineRule="auto"/>
              <w:ind w:left="147" w:right="139"/>
              <w:rPr>
                <w:rFonts w:hint="eastAsia" w:ascii="宋体" w:hAnsi="宋体" w:eastAsia="宋体" w:cs="宋体"/>
                <w:b/>
                <w:bCs/>
                <w:sz w:val="21"/>
                <w:szCs w:val="21"/>
              </w:rPr>
            </w:pPr>
            <w:r>
              <w:rPr>
                <w:rFonts w:hint="eastAsia" w:ascii="宋体" w:hAnsi="宋体" w:eastAsia="宋体" w:cs="宋体"/>
                <w:b/>
                <w:bCs/>
                <w:sz w:val="21"/>
                <w:szCs w:val="21"/>
              </w:rPr>
              <w:t>评审标准</w:t>
            </w:r>
          </w:p>
        </w:tc>
      </w:tr>
      <w:tr w14:paraId="0B6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50D05357">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2.1.1</w:t>
            </w:r>
          </w:p>
        </w:tc>
        <w:tc>
          <w:tcPr>
            <w:tcW w:w="1362" w:type="dxa"/>
            <w:vMerge w:val="restart"/>
            <w:noWrap w:val="0"/>
            <w:tcMar>
              <w:left w:w="57" w:type="dxa"/>
              <w:right w:w="57" w:type="dxa"/>
            </w:tcMar>
            <w:vAlign w:val="center"/>
          </w:tcPr>
          <w:p w14:paraId="39BB79DA">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符合性评审标准</w:t>
            </w:r>
          </w:p>
        </w:tc>
        <w:tc>
          <w:tcPr>
            <w:tcW w:w="1914" w:type="dxa"/>
            <w:noWrap w:val="0"/>
            <w:tcMar>
              <w:left w:w="57" w:type="dxa"/>
              <w:right w:w="57" w:type="dxa"/>
            </w:tcMar>
            <w:vAlign w:val="center"/>
          </w:tcPr>
          <w:p w14:paraId="51EE4A4D">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供应商名称</w:t>
            </w:r>
          </w:p>
        </w:tc>
        <w:tc>
          <w:tcPr>
            <w:tcW w:w="5701" w:type="dxa"/>
            <w:noWrap w:val="0"/>
            <w:tcMar>
              <w:left w:w="57" w:type="dxa"/>
              <w:right w:w="57" w:type="dxa"/>
            </w:tcMar>
            <w:vAlign w:val="center"/>
          </w:tcPr>
          <w:p w14:paraId="6B3EAE50">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与营业执照一致</w:t>
            </w:r>
          </w:p>
        </w:tc>
      </w:tr>
      <w:tr w14:paraId="1F0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31141D4E">
            <w:pPr>
              <w:spacing w:line="240" w:lineRule="auto"/>
              <w:rPr>
                <w:rFonts w:hint="eastAsia" w:ascii="宋体" w:hAnsi="宋体" w:eastAsia="宋体" w:cs="宋体"/>
                <w:color w:val="000000"/>
                <w:sz w:val="24"/>
                <w:lang w:val="en-US" w:eastAsia="zh-CN"/>
              </w:rPr>
            </w:pPr>
          </w:p>
        </w:tc>
        <w:tc>
          <w:tcPr>
            <w:tcW w:w="1362" w:type="dxa"/>
            <w:vMerge w:val="continue"/>
            <w:noWrap w:val="0"/>
            <w:tcMar>
              <w:left w:w="57" w:type="dxa"/>
              <w:right w:w="57" w:type="dxa"/>
            </w:tcMar>
            <w:vAlign w:val="center"/>
          </w:tcPr>
          <w:p w14:paraId="134F6E74">
            <w:pPr>
              <w:spacing w:line="240" w:lineRule="auto"/>
              <w:rPr>
                <w:rFonts w:hint="eastAsia" w:ascii="宋体" w:hAnsi="宋体" w:eastAsia="宋体" w:cs="宋体"/>
                <w:color w:val="000000"/>
                <w:sz w:val="24"/>
                <w:lang w:val="en-US" w:eastAsia="zh-CN"/>
              </w:rPr>
            </w:pPr>
          </w:p>
        </w:tc>
        <w:tc>
          <w:tcPr>
            <w:tcW w:w="1914" w:type="dxa"/>
            <w:noWrap w:val="0"/>
            <w:tcMar>
              <w:left w:w="57" w:type="dxa"/>
              <w:right w:w="57" w:type="dxa"/>
            </w:tcMar>
            <w:vAlign w:val="center"/>
          </w:tcPr>
          <w:p w14:paraId="7D3C6101">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签字盖章</w:t>
            </w:r>
          </w:p>
        </w:tc>
        <w:tc>
          <w:tcPr>
            <w:tcW w:w="5701" w:type="dxa"/>
            <w:noWrap w:val="0"/>
            <w:tcMar>
              <w:left w:w="57" w:type="dxa"/>
              <w:right w:w="57" w:type="dxa"/>
            </w:tcMar>
            <w:vAlign w:val="center"/>
          </w:tcPr>
          <w:p w14:paraId="78D11EBA">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按</w:t>
            </w:r>
            <w:r>
              <w:rPr>
                <w:rFonts w:hint="eastAsia" w:ascii="宋体" w:hAnsi="宋体" w:cs="宋体"/>
                <w:color w:val="000000"/>
                <w:sz w:val="24"/>
                <w:lang w:val="en-US" w:eastAsia="zh-CN"/>
              </w:rPr>
              <w:t>磋商</w:t>
            </w:r>
            <w:r>
              <w:rPr>
                <w:rFonts w:hint="eastAsia" w:ascii="宋体" w:hAnsi="宋体" w:eastAsia="宋体" w:cs="宋体"/>
                <w:color w:val="000000"/>
                <w:sz w:val="24"/>
                <w:lang w:val="en-US" w:eastAsia="zh-CN"/>
              </w:rPr>
              <w:t>文件要求签署、盖章</w:t>
            </w:r>
          </w:p>
        </w:tc>
      </w:tr>
      <w:tr w14:paraId="739E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62C8B3D1">
            <w:pPr>
              <w:spacing w:line="240" w:lineRule="auto"/>
              <w:rPr>
                <w:rFonts w:hint="eastAsia" w:ascii="宋体" w:hAnsi="宋体" w:eastAsia="宋体" w:cs="宋体"/>
                <w:color w:val="000000"/>
                <w:sz w:val="24"/>
                <w:lang w:val="en-US" w:eastAsia="zh-CN"/>
              </w:rPr>
            </w:pPr>
          </w:p>
        </w:tc>
        <w:tc>
          <w:tcPr>
            <w:tcW w:w="1362" w:type="dxa"/>
            <w:vMerge w:val="continue"/>
            <w:noWrap w:val="0"/>
            <w:tcMar>
              <w:left w:w="57" w:type="dxa"/>
              <w:right w:w="57" w:type="dxa"/>
            </w:tcMar>
            <w:vAlign w:val="center"/>
          </w:tcPr>
          <w:p w14:paraId="522FB9AA">
            <w:pPr>
              <w:spacing w:line="240" w:lineRule="auto"/>
              <w:rPr>
                <w:rFonts w:hint="eastAsia" w:ascii="宋体" w:hAnsi="宋体" w:eastAsia="宋体" w:cs="宋体"/>
                <w:color w:val="000000"/>
                <w:sz w:val="24"/>
                <w:lang w:val="en-US" w:eastAsia="zh-CN"/>
              </w:rPr>
            </w:pPr>
          </w:p>
        </w:tc>
        <w:tc>
          <w:tcPr>
            <w:tcW w:w="1914" w:type="dxa"/>
            <w:noWrap w:val="0"/>
            <w:tcMar>
              <w:left w:w="57" w:type="dxa"/>
              <w:right w:w="57" w:type="dxa"/>
            </w:tcMar>
            <w:vAlign w:val="center"/>
          </w:tcPr>
          <w:p w14:paraId="5BA1164C">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报价唯一</w:t>
            </w:r>
          </w:p>
        </w:tc>
        <w:tc>
          <w:tcPr>
            <w:tcW w:w="5701" w:type="dxa"/>
            <w:noWrap w:val="0"/>
            <w:tcMar>
              <w:left w:w="57" w:type="dxa"/>
              <w:right w:w="57" w:type="dxa"/>
            </w:tcMar>
            <w:vAlign w:val="center"/>
          </w:tcPr>
          <w:p w14:paraId="0D27099E">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只能有一个有效报价。</w:t>
            </w:r>
          </w:p>
        </w:tc>
      </w:tr>
      <w:tr w14:paraId="510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7FB84F84">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p w14:paraId="2BCE360C">
            <w:pPr>
              <w:spacing w:line="360" w:lineRule="auto"/>
              <w:rPr>
                <w:rFonts w:hint="eastAsia" w:ascii="宋体" w:hAnsi="宋体" w:eastAsia="宋体" w:cs="宋体"/>
                <w:sz w:val="21"/>
                <w:szCs w:val="21"/>
              </w:rPr>
            </w:pPr>
          </w:p>
          <w:p w14:paraId="27113F54"/>
        </w:tc>
        <w:tc>
          <w:tcPr>
            <w:tcW w:w="1362" w:type="dxa"/>
            <w:vMerge w:val="restart"/>
            <w:noWrap w:val="0"/>
            <w:tcMar>
              <w:left w:w="57" w:type="dxa"/>
              <w:right w:w="57" w:type="dxa"/>
            </w:tcMar>
            <w:vAlign w:val="center"/>
          </w:tcPr>
          <w:p w14:paraId="6410A025">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资格评审标准</w:t>
            </w:r>
          </w:p>
        </w:tc>
        <w:tc>
          <w:tcPr>
            <w:tcW w:w="1914" w:type="dxa"/>
            <w:noWrap w:val="0"/>
            <w:tcMar>
              <w:left w:w="57" w:type="dxa"/>
              <w:right w:w="57" w:type="dxa"/>
            </w:tcMar>
            <w:vAlign w:val="center"/>
          </w:tcPr>
          <w:p w14:paraId="3044D49D">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中华人民共和国政府采购法》第二十二条</w:t>
            </w:r>
          </w:p>
        </w:tc>
        <w:tc>
          <w:tcPr>
            <w:tcW w:w="5701" w:type="dxa"/>
            <w:noWrap w:val="0"/>
            <w:vAlign w:val="center"/>
          </w:tcPr>
          <w:p w14:paraId="36666557">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满足《中华人民共和国政府采购法》第二十二条规定，供应商提供承诺书</w:t>
            </w:r>
          </w:p>
        </w:tc>
      </w:tr>
      <w:tr w14:paraId="3480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49" w:type="dxa"/>
            <w:vMerge w:val="continue"/>
            <w:noWrap w:val="0"/>
            <w:tcMar>
              <w:left w:w="57" w:type="dxa"/>
              <w:right w:w="57" w:type="dxa"/>
            </w:tcMar>
            <w:vAlign w:val="center"/>
          </w:tcPr>
          <w:p w14:paraId="0C96B559">
            <w:pPr>
              <w:spacing w:line="240" w:lineRule="auto"/>
              <w:rPr>
                <w:rFonts w:hint="eastAsia" w:ascii="宋体" w:hAnsi="宋体" w:eastAsia="宋体" w:cs="宋体"/>
                <w:color w:val="000000"/>
                <w:sz w:val="24"/>
                <w:lang w:val="en-US" w:eastAsia="zh-CN"/>
              </w:rPr>
            </w:pPr>
          </w:p>
        </w:tc>
        <w:tc>
          <w:tcPr>
            <w:tcW w:w="1362" w:type="dxa"/>
            <w:vMerge w:val="continue"/>
            <w:noWrap w:val="0"/>
            <w:tcMar>
              <w:left w:w="57" w:type="dxa"/>
              <w:right w:w="57" w:type="dxa"/>
            </w:tcMar>
            <w:vAlign w:val="center"/>
          </w:tcPr>
          <w:p w14:paraId="1C5CEEC6">
            <w:pPr>
              <w:spacing w:line="240" w:lineRule="auto"/>
              <w:rPr>
                <w:rFonts w:hint="eastAsia" w:ascii="宋体" w:hAnsi="宋体" w:eastAsia="宋体" w:cs="宋体"/>
                <w:color w:val="000000"/>
                <w:sz w:val="24"/>
                <w:lang w:val="en-US" w:eastAsia="zh-CN"/>
              </w:rPr>
            </w:pPr>
          </w:p>
        </w:tc>
        <w:tc>
          <w:tcPr>
            <w:tcW w:w="1914" w:type="dxa"/>
            <w:noWrap w:val="0"/>
            <w:tcMar>
              <w:left w:w="57" w:type="dxa"/>
              <w:right w:w="57" w:type="dxa"/>
            </w:tcMar>
            <w:vAlign w:val="center"/>
          </w:tcPr>
          <w:p w14:paraId="26BB7D0D">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营业执照</w:t>
            </w:r>
          </w:p>
        </w:tc>
        <w:tc>
          <w:tcPr>
            <w:tcW w:w="5701" w:type="dxa"/>
            <w:noWrap w:val="0"/>
            <w:vAlign w:val="center"/>
          </w:tcPr>
          <w:p w14:paraId="0D1B684E">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供应商具备有效的营业执照。</w:t>
            </w:r>
          </w:p>
        </w:tc>
      </w:tr>
      <w:tr w14:paraId="5459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4A9C91D5">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6DF2AA62">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15A4BFCC">
            <w:pPr>
              <w:spacing w:line="240" w:lineRule="auto"/>
              <w:jc w:val="center"/>
              <w:rPr>
                <w:rFonts w:hint="eastAsia" w:ascii="宋体" w:hAnsi="宋体" w:eastAsia="宋体" w:cs="宋体"/>
                <w:b/>
                <w:bCs/>
                <w:sz w:val="21"/>
                <w:szCs w:val="21"/>
              </w:rPr>
            </w:pPr>
            <w:r>
              <w:rPr>
                <w:rFonts w:hint="eastAsia" w:ascii="宋体" w:hAnsi="宋体" w:eastAsia="宋体" w:cs="宋体"/>
                <w:color w:val="000000"/>
                <w:sz w:val="24"/>
                <w:lang w:eastAsia="zh-CN"/>
              </w:rPr>
              <w:t>企业资质</w:t>
            </w:r>
          </w:p>
        </w:tc>
        <w:tc>
          <w:tcPr>
            <w:tcW w:w="5701" w:type="dxa"/>
            <w:noWrap w:val="0"/>
            <w:vAlign w:val="center"/>
          </w:tcPr>
          <w:p w14:paraId="24556231">
            <w:pPr>
              <w:spacing w:line="240" w:lineRule="auto"/>
              <w:jc w:val="left"/>
              <w:rPr>
                <w:rFonts w:hint="eastAsia" w:ascii="宋体" w:hAnsi="宋体" w:eastAsia="宋体" w:cs="宋体"/>
                <w:b/>
                <w:bCs/>
                <w:sz w:val="21"/>
                <w:szCs w:val="21"/>
              </w:rPr>
            </w:pPr>
            <w:r>
              <w:rPr>
                <w:rFonts w:hint="eastAsia" w:ascii="宋体" w:hAnsi="宋体" w:eastAsia="宋体" w:cs="宋体"/>
                <w:kern w:val="0"/>
                <w:sz w:val="24"/>
                <w:szCs w:val="24"/>
              </w:rPr>
              <w:t xml:space="preserve"> 供应商</w:t>
            </w:r>
            <w:r>
              <w:rPr>
                <w:rFonts w:hint="eastAsia" w:ascii="宋体" w:hAnsi="宋体" w:eastAsia="宋体" w:cs="宋体"/>
                <w:color w:val="444444"/>
                <w:kern w:val="0"/>
                <w:sz w:val="24"/>
                <w:szCs w:val="24"/>
                <w:lang w:val="en-US" w:eastAsia="zh-CN" w:bidi="ar"/>
              </w:rPr>
              <w:t>须具有相关主管部门核发的城乡规划编制乙级及以上资质</w:t>
            </w:r>
          </w:p>
        </w:tc>
      </w:tr>
      <w:tr w14:paraId="370F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7125D511">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45D6CD5A">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0B4F68B5">
            <w:pPr>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color w:val="000000"/>
                <w:sz w:val="24"/>
              </w:rPr>
              <w:t>项目负责人</w:t>
            </w:r>
          </w:p>
        </w:tc>
        <w:tc>
          <w:tcPr>
            <w:tcW w:w="5701" w:type="dxa"/>
            <w:noWrap w:val="0"/>
            <w:vAlign w:val="center"/>
          </w:tcPr>
          <w:p w14:paraId="167C9A40">
            <w:pPr>
              <w:spacing w:line="240" w:lineRule="auto"/>
              <w:jc w:val="left"/>
              <w:rPr>
                <w:rFonts w:hint="eastAsia" w:ascii="宋体" w:hAnsi="宋体" w:eastAsia="宋体" w:cs="宋体"/>
                <w:b/>
                <w:bCs/>
                <w:sz w:val="21"/>
                <w:szCs w:val="21"/>
              </w:rPr>
            </w:pPr>
            <w:r>
              <w:rPr>
                <w:rFonts w:hint="eastAsia" w:ascii="宋体" w:hAnsi="宋体" w:eastAsia="宋体" w:cs="宋体"/>
                <w:color w:val="444444"/>
                <w:kern w:val="0"/>
                <w:sz w:val="24"/>
                <w:szCs w:val="24"/>
                <w:lang w:val="en-US" w:eastAsia="zh-CN" w:bidi="ar"/>
              </w:rPr>
              <w:t>拟派项目负责人应具有注册城乡规划师资格证书，且同时具有</w:t>
            </w:r>
            <w:r>
              <w:rPr>
                <w:rFonts w:hint="eastAsia" w:ascii="宋体" w:hAnsi="宋体" w:eastAsia="宋体" w:cs="宋体"/>
                <w:color w:val="444444"/>
                <w:kern w:val="0"/>
                <w:sz w:val="24"/>
                <w:szCs w:val="24"/>
                <w:highlight w:val="none"/>
                <w:lang w:val="en-US" w:eastAsia="zh-CN" w:bidi="ar"/>
              </w:rPr>
              <w:t>高级</w:t>
            </w:r>
            <w:r>
              <w:rPr>
                <w:rFonts w:hint="eastAsia" w:ascii="宋体" w:hAnsi="宋体" w:cs="宋体"/>
                <w:color w:val="444444"/>
                <w:kern w:val="0"/>
                <w:sz w:val="24"/>
                <w:szCs w:val="24"/>
                <w:highlight w:val="none"/>
                <w:lang w:val="en-US" w:eastAsia="zh-CN" w:bidi="ar"/>
              </w:rPr>
              <w:t>及以上</w:t>
            </w:r>
            <w:r>
              <w:rPr>
                <w:rFonts w:hint="eastAsia" w:ascii="宋体" w:hAnsi="宋体" w:eastAsia="宋体" w:cs="宋体"/>
                <w:color w:val="444444"/>
                <w:kern w:val="0"/>
                <w:sz w:val="24"/>
                <w:szCs w:val="24"/>
                <w:highlight w:val="none"/>
                <w:lang w:val="en-US" w:eastAsia="zh-CN" w:bidi="ar"/>
              </w:rPr>
              <w:t>职称</w:t>
            </w:r>
            <w:r>
              <w:rPr>
                <w:rFonts w:hint="eastAsia" w:ascii="宋体" w:hAnsi="宋体" w:eastAsia="宋体" w:cs="宋体"/>
                <w:color w:val="444444"/>
                <w:kern w:val="0"/>
                <w:sz w:val="24"/>
                <w:szCs w:val="24"/>
                <w:lang w:val="en-US" w:eastAsia="zh-CN" w:bidi="ar"/>
              </w:rPr>
              <w:t>（需提供项目负责人证书及社保缴纳证明）</w:t>
            </w:r>
          </w:p>
        </w:tc>
      </w:tr>
      <w:tr w14:paraId="3677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noWrap w:val="0"/>
            <w:tcMar>
              <w:left w:w="57" w:type="dxa"/>
              <w:right w:w="57" w:type="dxa"/>
            </w:tcMar>
            <w:vAlign w:val="center"/>
          </w:tcPr>
          <w:p w14:paraId="3BDC8C25">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3AB8917E">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0A54EC44">
            <w:pPr>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kern w:val="0"/>
                <w:sz w:val="24"/>
                <w:szCs w:val="24"/>
              </w:rPr>
              <w:t>无商业贿赂和不正当竞争行为</w:t>
            </w:r>
          </w:p>
        </w:tc>
        <w:tc>
          <w:tcPr>
            <w:tcW w:w="5701" w:type="dxa"/>
            <w:noWrap w:val="0"/>
            <w:vAlign w:val="center"/>
          </w:tcPr>
          <w:p w14:paraId="4DA87714">
            <w:pPr>
              <w:spacing w:line="240" w:lineRule="auto"/>
              <w:jc w:val="left"/>
              <w:rPr>
                <w:rFonts w:hint="eastAsia" w:ascii="宋体" w:hAnsi="宋体" w:eastAsia="宋体" w:cs="宋体"/>
                <w:b/>
                <w:bCs/>
                <w:sz w:val="21"/>
                <w:szCs w:val="21"/>
              </w:rPr>
            </w:pPr>
            <w:r>
              <w:rPr>
                <w:rFonts w:hint="eastAsia" w:ascii="宋体" w:hAnsi="宋体" w:eastAsia="宋体" w:cs="宋体"/>
                <w:kern w:val="0"/>
                <w:sz w:val="24"/>
                <w:szCs w:val="24"/>
              </w:rPr>
              <w:t>供应商出具无行贿记录在中国裁判文书网自行查询或自行承诺（查询对象：企业、法定代表人）及企业自行承诺无商业贿赂和不正当竞争行为</w:t>
            </w:r>
          </w:p>
        </w:tc>
      </w:tr>
      <w:tr w14:paraId="25D8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7D0FE637">
            <w:pPr>
              <w:spacing w:line="360" w:lineRule="auto"/>
              <w:rPr>
                <w:rFonts w:hint="eastAsia" w:ascii="宋体" w:hAnsi="宋体" w:eastAsia="宋体" w:cs="宋体"/>
                <w:sz w:val="21"/>
                <w:szCs w:val="21"/>
              </w:rPr>
            </w:pPr>
          </w:p>
        </w:tc>
        <w:tc>
          <w:tcPr>
            <w:tcW w:w="1362" w:type="dxa"/>
            <w:vMerge w:val="continue"/>
            <w:noWrap w:val="0"/>
            <w:tcMar>
              <w:left w:w="57" w:type="dxa"/>
              <w:right w:w="57" w:type="dxa"/>
            </w:tcMar>
            <w:vAlign w:val="center"/>
          </w:tcPr>
          <w:p w14:paraId="1C10BAE7">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3AC17A6F">
            <w:pPr>
              <w:spacing w:line="240" w:lineRule="auto"/>
              <w:jc w:val="center"/>
              <w:rPr>
                <w:rFonts w:hint="eastAsia" w:ascii="宋体" w:hAnsi="宋体" w:eastAsia="宋体" w:cs="宋体"/>
                <w:b/>
                <w:bCs/>
                <w:sz w:val="21"/>
                <w:szCs w:val="21"/>
              </w:rPr>
            </w:pPr>
            <w:r>
              <w:rPr>
                <w:rFonts w:hint="eastAsia" w:ascii="宋体" w:hAnsi="宋体" w:eastAsia="宋体" w:cs="宋体"/>
                <w:color w:val="000000"/>
                <w:sz w:val="24"/>
              </w:rPr>
              <w:t>信誉及信用查询</w:t>
            </w:r>
          </w:p>
        </w:tc>
        <w:tc>
          <w:tcPr>
            <w:tcW w:w="5701" w:type="dxa"/>
            <w:noWrap w:val="0"/>
            <w:vAlign w:val="center"/>
          </w:tcPr>
          <w:p w14:paraId="0CAE1F63">
            <w:pPr>
              <w:spacing w:line="240" w:lineRule="auto"/>
              <w:rPr>
                <w:rFonts w:hint="eastAsia" w:ascii="宋体" w:hAnsi="宋体" w:eastAsia="宋体" w:cs="宋体"/>
                <w:b/>
                <w:bCs/>
                <w:sz w:val="21"/>
                <w:szCs w:val="21"/>
                <w:lang w:val="en-US" w:eastAsia="zh-CN"/>
              </w:rPr>
            </w:pPr>
            <w:r>
              <w:rPr>
                <w:rFonts w:hint="eastAsia" w:ascii="宋体" w:hAnsi="宋体" w:eastAsia="宋体" w:cs="宋体"/>
                <w:color w:val="000000"/>
                <w:sz w:val="24"/>
                <w:lang w:val="en-US" w:eastAsia="zh-CN"/>
              </w:rPr>
              <w:t>供应商没有被列入“中国执行信息公开网”的“失信被执行人”、“信用中国”的“重大税收违法失信主体”及“中国政府采购网站”的“政府采购严重违法失信行为记录名单”的供应商。【查询渠道：“中国执行信息公开网”（http://zxgk.court.gov.cn/）“信用中国”网站（www.creditchina.gov.cn）、“中国政府采购网”（www.ccgp.gov.cn）】（提供网站的查询信息截图,查询结果页面加盖公章，查询时间自公告发布之日起至</w:t>
            </w:r>
            <w:r>
              <w:rPr>
                <w:rFonts w:hint="eastAsia" w:ascii="宋体" w:hAnsi="宋体" w:cs="宋体"/>
                <w:color w:val="000000"/>
                <w:sz w:val="24"/>
                <w:lang w:val="en-US" w:eastAsia="zh-CN"/>
              </w:rPr>
              <w:t>响应</w:t>
            </w:r>
            <w:r>
              <w:rPr>
                <w:rFonts w:hint="eastAsia" w:ascii="宋体" w:hAnsi="宋体" w:eastAsia="宋体" w:cs="宋体"/>
                <w:color w:val="000000"/>
                <w:sz w:val="24"/>
                <w:lang w:val="en-US" w:eastAsia="zh-CN"/>
              </w:rPr>
              <w:t>截止时间）</w:t>
            </w:r>
          </w:p>
        </w:tc>
      </w:tr>
      <w:tr w14:paraId="0C8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7D2A9DD9">
            <w:pPr>
              <w:spacing w:line="360" w:lineRule="auto"/>
              <w:rPr>
                <w:rFonts w:hint="eastAsia" w:ascii="宋体" w:hAnsi="宋体" w:eastAsia="宋体" w:cs="宋体"/>
                <w:sz w:val="21"/>
                <w:szCs w:val="21"/>
              </w:rPr>
            </w:pPr>
          </w:p>
        </w:tc>
        <w:tc>
          <w:tcPr>
            <w:tcW w:w="1362" w:type="dxa"/>
            <w:vMerge w:val="continue"/>
            <w:noWrap w:val="0"/>
            <w:tcMar>
              <w:left w:w="57" w:type="dxa"/>
              <w:right w:w="57" w:type="dxa"/>
            </w:tcMar>
            <w:vAlign w:val="center"/>
          </w:tcPr>
          <w:p w14:paraId="101AB072">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28409761">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中小企业证明</w:t>
            </w:r>
            <w:r>
              <w:rPr>
                <w:rFonts w:hint="eastAsia" w:ascii="宋体" w:hAnsi="宋体" w:cs="宋体"/>
                <w:color w:val="000000"/>
                <w:sz w:val="24"/>
                <w:lang w:val="en-US" w:eastAsia="zh-CN"/>
              </w:rPr>
              <w:t>材料</w:t>
            </w:r>
          </w:p>
        </w:tc>
        <w:tc>
          <w:tcPr>
            <w:tcW w:w="5701" w:type="dxa"/>
            <w:noWrap w:val="0"/>
            <w:vAlign w:val="center"/>
          </w:tcPr>
          <w:p w14:paraId="6D36F3A1">
            <w:p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本项目为专门面向中小企业采购项目，供应商需是中小微企业（监狱企业、残疾人福利性企业视同小微企业）。</w:t>
            </w:r>
          </w:p>
          <w:p w14:paraId="5B119081">
            <w:pPr>
              <w:numPr>
                <w:ilvl w:val="0"/>
                <w:numId w:val="1"/>
              </w:num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中小微企业提供：中小企业声明函。</w:t>
            </w:r>
          </w:p>
          <w:p w14:paraId="22417A52">
            <w:pPr>
              <w:numPr>
                <w:ilvl w:val="0"/>
                <w:numId w:val="1"/>
              </w:num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残疾人福利性企业提供：残疾人福利性单位声明函。</w:t>
            </w:r>
          </w:p>
          <w:p w14:paraId="65AF28C5">
            <w:pPr>
              <w:numPr>
                <w:ilvl w:val="0"/>
                <w:numId w:val="1"/>
              </w:numPr>
              <w:spacing w:line="24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监狱企业提供：省级以上监狱管理局、戒毒管理局（含新疆生产建设兵团）出具的属于监狱企业的证明文件。</w:t>
            </w:r>
          </w:p>
        </w:tc>
      </w:tr>
      <w:tr w14:paraId="552A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9" w:type="dxa"/>
            <w:vMerge w:val="continue"/>
            <w:noWrap w:val="0"/>
            <w:tcMar>
              <w:left w:w="57" w:type="dxa"/>
              <w:right w:w="57" w:type="dxa"/>
            </w:tcMar>
            <w:vAlign w:val="center"/>
          </w:tcPr>
          <w:p w14:paraId="7DE4003C"/>
        </w:tc>
        <w:tc>
          <w:tcPr>
            <w:tcW w:w="1362" w:type="dxa"/>
            <w:vMerge w:val="continue"/>
            <w:noWrap w:val="0"/>
            <w:tcMar>
              <w:left w:w="57" w:type="dxa"/>
              <w:right w:w="57" w:type="dxa"/>
            </w:tcMar>
            <w:vAlign w:val="center"/>
          </w:tcPr>
          <w:p w14:paraId="7D8BBD70">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1A1FFEB5">
            <w:pPr>
              <w:spacing w:line="240" w:lineRule="auto"/>
              <w:jc w:val="center"/>
              <w:rPr>
                <w:rFonts w:hint="eastAsia" w:ascii="宋体" w:hAnsi="宋体" w:eastAsia="宋体" w:cs="宋体"/>
                <w:color w:val="000000"/>
                <w:sz w:val="24"/>
              </w:rPr>
            </w:pPr>
            <w:r>
              <w:rPr>
                <w:rFonts w:hint="eastAsia" w:ascii="宋体" w:hAnsi="宋体" w:eastAsia="宋体" w:cs="宋体"/>
                <w:color w:val="444444"/>
                <w:kern w:val="0"/>
                <w:sz w:val="24"/>
                <w:szCs w:val="24"/>
                <w:lang w:val="en-US" w:eastAsia="zh-CN" w:bidi="ar"/>
              </w:rPr>
              <w:t>非联合体投标</w:t>
            </w:r>
          </w:p>
        </w:tc>
        <w:tc>
          <w:tcPr>
            <w:tcW w:w="5701" w:type="dxa"/>
            <w:noWrap w:val="0"/>
            <w:vAlign w:val="center"/>
          </w:tcPr>
          <w:p w14:paraId="432AD643">
            <w:pPr>
              <w:spacing w:line="240" w:lineRule="auto"/>
              <w:rPr>
                <w:rFonts w:hint="eastAsia" w:ascii="宋体" w:hAnsi="宋体" w:eastAsia="宋体" w:cs="宋体"/>
                <w:color w:val="000000"/>
                <w:sz w:val="24"/>
                <w:lang w:val="en-US" w:eastAsia="zh-CN"/>
              </w:rPr>
            </w:pPr>
            <w:r>
              <w:rPr>
                <w:rFonts w:hint="eastAsia" w:ascii="宋体" w:hAnsi="宋体" w:eastAsia="宋体" w:cs="宋体"/>
                <w:color w:val="444444"/>
                <w:kern w:val="0"/>
                <w:sz w:val="24"/>
                <w:szCs w:val="24"/>
                <w:lang w:val="en-US" w:eastAsia="zh-CN" w:bidi="ar"/>
              </w:rPr>
              <w:t>本项目不接受联合体投标（提供承诺函）</w:t>
            </w:r>
          </w:p>
        </w:tc>
      </w:tr>
      <w:tr w14:paraId="5B1E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restart"/>
            <w:noWrap w:val="0"/>
            <w:tcMar>
              <w:left w:w="57" w:type="dxa"/>
              <w:right w:w="57" w:type="dxa"/>
            </w:tcMar>
            <w:vAlign w:val="center"/>
          </w:tcPr>
          <w:p w14:paraId="074AD03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2.1.3</w:t>
            </w:r>
          </w:p>
        </w:tc>
        <w:tc>
          <w:tcPr>
            <w:tcW w:w="1362" w:type="dxa"/>
            <w:vMerge w:val="restart"/>
            <w:noWrap w:val="0"/>
            <w:tcMar>
              <w:left w:w="57" w:type="dxa"/>
              <w:right w:w="57" w:type="dxa"/>
            </w:tcMar>
            <w:vAlign w:val="center"/>
          </w:tcPr>
          <w:p w14:paraId="5F85C9A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实质</w:t>
            </w:r>
            <w:r>
              <w:rPr>
                <w:rFonts w:hint="eastAsia" w:ascii="宋体" w:hAnsi="宋体" w:eastAsia="宋体" w:cs="宋体"/>
                <w:sz w:val="21"/>
                <w:szCs w:val="21"/>
              </w:rPr>
              <w:t>性响应评审标准</w:t>
            </w:r>
          </w:p>
        </w:tc>
        <w:tc>
          <w:tcPr>
            <w:tcW w:w="1914" w:type="dxa"/>
            <w:noWrap w:val="0"/>
            <w:tcMar>
              <w:left w:w="57" w:type="dxa"/>
              <w:right w:w="57" w:type="dxa"/>
            </w:tcMar>
            <w:vAlign w:val="center"/>
          </w:tcPr>
          <w:p w14:paraId="3B7E16D6">
            <w:pPr>
              <w:spacing w:line="24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4"/>
              </w:rPr>
              <w:t>服务范围</w:t>
            </w:r>
          </w:p>
        </w:tc>
        <w:tc>
          <w:tcPr>
            <w:tcW w:w="5701" w:type="dxa"/>
            <w:noWrap w:val="0"/>
            <w:vAlign w:val="center"/>
          </w:tcPr>
          <w:p w14:paraId="652FB2F8">
            <w:pPr>
              <w:pStyle w:val="13"/>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三门峡市城乡一体化示范区城乡融合(现代农业产业园)发展规划编制;区域涉及阳店镇、大王镇，区域总面积约286平方公里；</w:t>
            </w:r>
          </w:p>
        </w:tc>
      </w:tr>
      <w:tr w14:paraId="3BFE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vMerge w:val="continue"/>
            <w:noWrap w:val="0"/>
            <w:tcMar>
              <w:left w:w="57" w:type="dxa"/>
              <w:right w:w="57" w:type="dxa"/>
            </w:tcMar>
            <w:vAlign w:val="center"/>
          </w:tcPr>
          <w:p w14:paraId="17FE87AC">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1C0227FF">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0855A864">
            <w:pPr>
              <w:spacing w:line="24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4"/>
              </w:rPr>
              <w:t>服务</w:t>
            </w:r>
            <w:r>
              <w:rPr>
                <w:rFonts w:hint="eastAsia" w:ascii="宋体" w:hAnsi="宋体" w:cs="宋体"/>
                <w:color w:val="000000"/>
                <w:sz w:val="24"/>
                <w:lang w:val="en-US" w:eastAsia="zh-CN"/>
              </w:rPr>
              <w:t>周期</w:t>
            </w:r>
          </w:p>
        </w:tc>
        <w:tc>
          <w:tcPr>
            <w:tcW w:w="5701" w:type="dxa"/>
            <w:noWrap w:val="0"/>
            <w:vAlign w:val="center"/>
          </w:tcPr>
          <w:p w14:paraId="5228911F">
            <w:pPr>
              <w:pStyle w:val="25"/>
              <w:widowControl/>
              <w:numPr>
                <w:ilvl w:val="0"/>
                <w:numId w:val="0"/>
              </w:numPr>
              <w:spacing w:line="240" w:lineRule="auto"/>
              <w:ind w:left="0" w:leftChars="0" w:firstLine="0" w:firstLineChars="0"/>
              <w:rPr>
                <w:rFonts w:hint="eastAsia" w:ascii="宋体" w:hAnsi="宋体" w:eastAsia="宋体" w:cs="宋体"/>
                <w:kern w:val="2"/>
                <w:sz w:val="24"/>
                <w:szCs w:val="22"/>
                <w:highlight w:val="none"/>
                <w:lang w:val="en-US" w:eastAsia="zh-CN" w:bidi="ar-SA"/>
              </w:rPr>
            </w:pPr>
            <w:r>
              <w:rPr>
                <w:rFonts w:hint="eastAsia" w:ascii="宋体" w:hAnsi="宋体" w:cs="宋体"/>
                <w:kern w:val="2"/>
                <w:sz w:val="24"/>
                <w:szCs w:val="22"/>
                <w:highlight w:val="none"/>
                <w:lang w:val="en-US" w:eastAsia="zh-CN" w:bidi="ar-SA"/>
              </w:rPr>
              <w:t>自签订合同之日起至现代农业产业园发展规划项⽬编制完成之日止</w:t>
            </w:r>
            <w:r>
              <w:rPr>
                <w:rFonts w:hint="eastAsia" w:ascii="宋体" w:hAnsi="宋体" w:eastAsia="宋体" w:cs="宋体"/>
                <w:kern w:val="2"/>
                <w:sz w:val="24"/>
                <w:szCs w:val="22"/>
                <w:highlight w:val="none"/>
                <w:lang w:val="en-US" w:eastAsia="zh-CN" w:bidi="ar-SA"/>
              </w:rPr>
              <w:t>；</w:t>
            </w:r>
          </w:p>
        </w:tc>
      </w:tr>
      <w:tr w14:paraId="44D1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9" w:type="dxa"/>
            <w:vMerge w:val="continue"/>
            <w:noWrap w:val="0"/>
            <w:tcMar>
              <w:left w:w="57" w:type="dxa"/>
              <w:right w:w="57" w:type="dxa"/>
            </w:tcMar>
            <w:vAlign w:val="center"/>
          </w:tcPr>
          <w:p w14:paraId="676F7404">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5BE65A6C">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37AF769F">
            <w:pPr>
              <w:spacing w:line="24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质量要求</w:t>
            </w:r>
          </w:p>
        </w:tc>
        <w:tc>
          <w:tcPr>
            <w:tcW w:w="5701" w:type="dxa"/>
            <w:noWrap w:val="0"/>
            <w:vAlign w:val="center"/>
          </w:tcPr>
          <w:p w14:paraId="25CC7331">
            <w:pPr>
              <w:pStyle w:val="16"/>
              <w:spacing w:beforeAutospacing="0" w:afterAutospacing="0" w:line="240"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合格，符合国家相关法律、法规及规范要求，满足采购人要求；</w:t>
            </w:r>
          </w:p>
        </w:tc>
      </w:tr>
      <w:tr w14:paraId="676B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9" w:type="dxa"/>
            <w:vMerge w:val="continue"/>
            <w:noWrap w:val="0"/>
            <w:tcMar>
              <w:left w:w="57" w:type="dxa"/>
              <w:right w:w="57" w:type="dxa"/>
            </w:tcMar>
            <w:vAlign w:val="center"/>
          </w:tcPr>
          <w:p w14:paraId="65673029">
            <w:pPr>
              <w:spacing w:line="360" w:lineRule="auto"/>
              <w:jc w:val="center"/>
              <w:rPr>
                <w:rFonts w:hint="eastAsia" w:ascii="宋体" w:hAnsi="宋体" w:eastAsia="宋体" w:cs="宋体"/>
                <w:sz w:val="21"/>
                <w:szCs w:val="21"/>
              </w:rPr>
            </w:pPr>
          </w:p>
        </w:tc>
        <w:tc>
          <w:tcPr>
            <w:tcW w:w="1362" w:type="dxa"/>
            <w:vMerge w:val="continue"/>
            <w:noWrap w:val="0"/>
            <w:tcMar>
              <w:left w:w="57" w:type="dxa"/>
              <w:right w:w="57" w:type="dxa"/>
            </w:tcMar>
            <w:vAlign w:val="center"/>
          </w:tcPr>
          <w:p w14:paraId="1CC7714A">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67F5F01F">
            <w:pPr>
              <w:spacing w:line="240" w:lineRule="auto"/>
              <w:jc w:val="center"/>
              <w:rPr>
                <w:rFonts w:hint="eastAsia" w:ascii="宋体" w:hAnsi="宋体" w:eastAsia="宋体" w:cs="宋体"/>
                <w:kern w:val="2"/>
                <w:sz w:val="24"/>
                <w:szCs w:val="22"/>
                <w:highlight w:val="none"/>
                <w:lang w:val="en-US" w:eastAsia="zh-CN" w:bidi="ar-SA"/>
              </w:rPr>
            </w:pPr>
            <w:r>
              <w:rPr>
                <w:rFonts w:hint="eastAsia" w:ascii="宋体" w:hAnsi="宋体" w:cs="宋体"/>
                <w:kern w:val="2"/>
                <w:sz w:val="24"/>
                <w:szCs w:val="22"/>
                <w:highlight w:val="none"/>
                <w:lang w:val="en-US" w:eastAsia="zh-CN" w:bidi="ar-SA"/>
              </w:rPr>
              <w:t>磋商报价</w:t>
            </w:r>
          </w:p>
        </w:tc>
        <w:tc>
          <w:tcPr>
            <w:tcW w:w="5701" w:type="dxa"/>
            <w:noWrap w:val="0"/>
            <w:vAlign w:val="center"/>
          </w:tcPr>
          <w:p w14:paraId="60B424AB">
            <w:pPr>
              <w:spacing w:line="240" w:lineRule="auto"/>
              <w:rPr>
                <w:rFonts w:hint="eastAsia" w:ascii="宋体" w:hAnsi="宋体" w:eastAsia="宋体" w:cs="宋体"/>
                <w:kern w:val="2"/>
                <w:sz w:val="24"/>
                <w:szCs w:val="22"/>
                <w:highlight w:val="none"/>
                <w:lang w:val="en-US" w:eastAsia="zh-CN" w:bidi="ar-SA"/>
              </w:rPr>
            </w:pPr>
            <w:r>
              <w:rPr>
                <w:rFonts w:hint="eastAsia" w:ascii="宋体" w:hAnsi="宋体" w:cs="宋体"/>
                <w:kern w:val="2"/>
                <w:sz w:val="24"/>
                <w:szCs w:val="22"/>
                <w:highlight w:val="none"/>
                <w:lang w:val="en-US" w:eastAsia="zh-CN" w:bidi="ar-SA"/>
              </w:rPr>
              <w:t>磋商报价</w:t>
            </w:r>
            <w:r>
              <w:rPr>
                <w:rFonts w:hint="eastAsia" w:ascii="宋体" w:hAnsi="宋体" w:eastAsia="宋体" w:cs="宋体"/>
                <w:kern w:val="2"/>
                <w:sz w:val="24"/>
                <w:szCs w:val="22"/>
                <w:highlight w:val="none"/>
                <w:lang w:val="en-US" w:eastAsia="zh-CN" w:bidi="ar-SA"/>
              </w:rPr>
              <w:t>都不得高于采购人公布的</w:t>
            </w:r>
            <w:r>
              <w:rPr>
                <w:rFonts w:hint="eastAsia" w:ascii="宋体" w:hAnsi="宋体" w:cs="宋体"/>
                <w:kern w:val="2"/>
                <w:sz w:val="24"/>
                <w:szCs w:val="22"/>
                <w:highlight w:val="none"/>
                <w:lang w:val="en-US" w:eastAsia="zh-CN" w:bidi="ar-SA"/>
              </w:rPr>
              <w:t>最高限价，</w:t>
            </w:r>
            <w:r>
              <w:rPr>
                <w:rFonts w:hint="eastAsia" w:ascii="宋体" w:hAnsi="宋体" w:eastAsia="宋体" w:cs="宋体"/>
                <w:kern w:val="2"/>
                <w:sz w:val="24"/>
                <w:szCs w:val="22"/>
                <w:highlight w:val="none"/>
                <w:lang w:val="en-US" w:eastAsia="zh-CN" w:bidi="ar-SA"/>
              </w:rPr>
              <w:t>否则其投标将被否决。</w:t>
            </w:r>
          </w:p>
        </w:tc>
      </w:tr>
      <w:tr w14:paraId="6674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noWrap w:val="0"/>
            <w:tcMar>
              <w:left w:w="57" w:type="dxa"/>
              <w:right w:w="57" w:type="dxa"/>
            </w:tcMar>
            <w:vAlign w:val="center"/>
          </w:tcPr>
          <w:p w14:paraId="5BC84F4F">
            <w:pPr>
              <w:tabs>
                <w:tab w:val="right" w:pos="2948"/>
              </w:tabs>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14:paraId="706BD17B">
            <w:pPr>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条款内容</w:t>
            </w:r>
          </w:p>
        </w:tc>
        <w:tc>
          <w:tcPr>
            <w:tcW w:w="5701" w:type="dxa"/>
            <w:noWrap w:val="0"/>
            <w:tcMar>
              <w:left w:w="57" w:type="dxa"/>
              <w:right w:w="57" w:type="dxa"/>
            </w:tcMar>
            <w:vAlign w:val="center"/>
          </w:tcPr>
          <w:p w14:paraId="3354F728">
            <w:pPr>
              <w:spacing w:line="36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编列内容</w:t>
            </w:r>
          </w:p>
        </w:tc>
      </w:tr>
      <w:tr w14:paraId="7789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noWrap w:val="0"/>
            <w:tcMar>
              <w:left w:w="57" w:type="dxa"/>
              <w:right w:w="57" w:type="dxa"/>
            </w:tcMar>
            <w:vAlign w:val="center"/>
          </w:tcPr>
          <w:p w14:paraId="7BFD90F9">
            <w:pPr>
              <w:keepNext w:val="0"/>
              <w:keepLines w:val="0"/>
              <w:pageBreakBefore w:val="0"/>
              <w:kinsoku/>
              <w:wordWrap/>
              <w:overflowPunct/>
              <w:topLinePunct w:val="0"/>
              <w:autoSpaceDE/>
              <w:autoSpaceDN/>
              <w:bidi w:val="0"/>
              <w:spacing w:beforeAutospacing="0" w:line="240" w:lineRule="auto"/>
              <w:ind w:firstLine="480" w:firstLineChars="200"/>
              <w:jc w:val="center"/>
              <w:textAlignment w:val="auto"/>
              <w:rPr>
                <w:rFonts w:hint="eastAsia" w:ascii="宋体" w:hAnsi="宋体" w:eastAsia="宋体" w:cs="宋体"/>
                <w:sz w:val="24"/>
              </w:rPr>
            </w:pPr>
            <w:r>
              <w:rPr>
                <w:rFonts w:hint="eastAsia" w:ascii="宋体" w:hAnsi="宋体" w:eastAsia="宋体" w:cs="宋体"/>
                <w:sz w:val="24"/>
              </w:rPr>
              <w:t>2.2.1</w:t>
            </w:r>
          </w:p>
        </w:tc>
        <w:tc>
          <w:tcPr>
            <w:tcW w:w="1914" w:type="dxa"/>
            <w:noWrap w:val="0"/>
            <w:tcMar>
              <w:left w:w="57" w:type="dxa"/>
              <w:right w:w="57" w:type="dxa"/>
            </w:tcMar>
            <w:vAlign w:val="center"/>
          </w:tcPr>
          <w:p w14:paraId="061BC637">
            <w:pPr>
              <w:keepNext w:val="0"/>
              <w:keepLines w:val="0"/>
              <w:pageBreakBefore w:val="0"/>
              <w:kinsoku/>
              <w:wordWrap/>
              <w:overflowPunct/>
              <w:topLinePunct w:val="0"/>
              <w:autoSpaceDE/>
              <w:autoSpaceDN/>
              <w:bidi w:val="0"/>
              <w:spacing w:beforeAutospacing="0" w:line="240" w:lineRule="auto"/>
              <w:jc w:val="center"/>
              <w:textAlignment w:val="auto"/>
              <w:rPr>
                <w:rFonts w:hint="eastAsia" w:ascii="宋体" w:hAnsi="宋体" w:eastAsia="宋体" w:cs="宋体"/>
                <w:sz w:val="24"/>
              </w:rPr>
            </w:pPr>
            <w:r>
              <w:rPr>
                <w:rFonts w:hint="eastAsia" w:ascii="宋体" w:hAnsi="宋体" w:eastAsia="宋体" w:cs="宋体"/>
                <w:sz w:val="24"/>
              </w:rPr>
              <w:t>分值构成</w:t>
            </w:r>
          </w:p>
          <w:p w14:paraId="70FE51A1">
            <w:pPr>
              <w:keepNext w:val="0"/>
              <w:keepLines w:val="0"/>
              <w:pageBreakBefore w:val="0"/>
              <w:kinsoku/>
              <w:wordWrap/>
              <w:overflowPunct/>
              <w:topLinePunct w:val="0"/>
              <w:autoSpaceDE/>
              <w:autoSpaceDN/>
              <w:bidi w:val="0"/>
              <w:spacing w:beforeAutospacing="0" w:line="240" w:lineRule="auto"/>
              <w:jc w:val="center"/>
              <w:textAlignment w:val="auto"/>
              <w:rPr>
                <w:rFonts w:hint="eastAsia" w:ascii="宋体" w:hAnsi="宋体" w:eastAsia="宋体" w:cs="宋体"/>
                <w:sz w:val="24"/>
              </w:rPr>
            </w:pPr>
            <w:r>
              <w:rPr>
                <w:rFonts w:hint="eastAsia" w:ascii="宋体" w:hAnsi="宋体" w:eastAsia="宋体" w:cs="宋体"/>
                <w:sz w:val="24"/>
              </w:rPr>
              <w:t>（总分100分）</w:t>
            </w:r>
          </w:p>
        </w:tc>
        <w:tc>
          <w:tcPr>
            <w:tcW w:w="5701" w:type="dxa"/>
            <w:noWrap w:val="0"/>
            <w:tcMar>
              <w:left w:w="57" w:type="dxa"/>
              <w:right w:w="57" w:type="dxa"/>
            </w:tcMar>
            <w:vAlign w:val="center"/>
          </w:tcPr>
          <w:p w14:paraId="43B05A98">
            <w:pPr>
              <w:keepNext w:val="0"/>
              <w:keepLines w:val="0"/>
              <w:pageBreakBefore w:val="0"/>
              <w:widowControl/>
              <w:kinsoku/>
              <w:wordWrap/>
              <w:overflowPunct/>
              <w:topLinePunct w:val="0"/>
              <w:autoSpaceDE/>
              <w:autoSpaceDN/>
              <w:bidi w:val="0"/>
              <w:spacing w:beforeAutospacing="0" w:line="240" w:lineRule="auto"/>
              <w:ind w:firstLine="480" w:firstLineChars="200"/>
              <w:jc w:val="both"/>
              <w:textAlignment w:val="auto"/>
              <w:rPr>
                <w:rFonts w:hint="eastAsia" w:ascii="宋体" w:hAnsi="宋体" w:eastAsia="宋体" w:cs="宋体"/>
                <w:sz w:val="24"/>
              </w:rPr>
            </w:pPr>
            <w:r>
              <w:rPr>
                <w:rFonts w:hint="eastAsia" w:ascii="宋体" w:hAnsi="宋体" w:eastAsia="宋体" w:cs="宋体"/>
                <w:kern w:val="0"/>
                <w:sz w:val="24"/>
                <w:szCs w:val="24"/>
              </w:rPr>
              <w:t>磋商</w:t>
            </w:r>
            <w:r>
              <w:rPr>
                <w:rFonts w:hint="eastAsia" w:ascii="宋体" w:hAnsi="宋体" w:eastAsia="宋体" w:cs="宋体"/>
                <w:sz w:val="24"/>
              </w:rPr>
              <w:t>报价：</w:t>
            </w:r>
            <w:r>
              <w:rPr>
                <w:rFonts w:hint="eastAsia" w:ascii="宋体" w:hAnsi="宋体" w:eastAsia="宋体" w:cs="宋体"/>
                <w:sz w:val="24"/>
                <w:lang w:val="en-US" w:eastAsia="zh-CN"/>
              </w:rPr>
              <w:t>20</w:t>
            </w:r>
            <w:r>
              <w:rPr>
                <w:rFonts w:hint="eastAsia" w:ascii="宋体" w:hAnsi="宋体" w:eastAsia="宋体" w:cs="宋体"/>
                <w:sz w:val="24"/>
              </w:rPr>
              <w:t>分</w:t>
            </w:r>
          </w:p>
          <w:p w14:paraId="20105357">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技术标：</w:t>
            </w:r>
            <w:r>
              <w:rPr>
                <w:rFonts w:hint="eastAsia" w:ascii="宋体" w:hAnsi="宋体" w:eastAsia="宋体" w:cs="宋体"/>
                <w:sz w:val="24"/>
                <w:lang w:val="en-US" w:eastAsia="zh-CN"/>
              </w:rPr>
              <w:t>50</w:t>
            </w:r>
            <w:r>
              <w:rPr>
                <w:rFonts w:hint="eastAsia" w:ascii="宋体" w:hAnsi="宋体" w:eastAsia="宋体" w:cs="宋体"/>
                <w:sz w:val="24"/>
              </w:rPr>
              <w:t>分</w:t>
            </w:r>
          </w:p>
          <w:p w14:paraId="4B0F5C2E">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商务</w:t>
            </w:r>
            <w:r>
              <w:rPr>
                <w:rFonts w:hint="eastAsia" w:ascii="宋体" w:hAnsi="宋体" w:eastAsia="宋体" w:cs="宋体"/>
                <w:sz w:val="24"/>
              </w:rPr>
              <w:t>标：</w:t>
            </w:r>
            <w:r>
              <w:rPr>
                <w:rFonts w:hint="eastAsia" w:ascii="宋体" w:hAnsi="宋体" w:eastAsia="宋体" w:cs="宋体"/>
                <w:sz w:val="24"/>
                <w:lang w:val="en-US" w:eastAsia="zh-CN"/>
              </w:rPr>
              <w:t>30</w:t>
            </w:r>
            <w:r>
              <w:rPr>
                <w:rFonts w:hint="eastAsia" w:ascii="宋体" w:hAnsi="宋体" w:eastAsia="宋体" w:cs="宋体"/>
                <w:sz w:val="24"/>
              </w:rPr>
              <w:t>分</w:t>
            </w:r>
          </w:p>
        </w:tc>
      </w:tr>
      <w:tr w14:paraId="573A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noWrap w:val="0"/>
            <w:tcMar>
              <w:left w:w="57" w:type="dxa"/>
              <w:right w:w="57" w:type="dxa"/>
            </w:tcMar>
            <w:vAlign w:val="center"/>
          </w:tcPr>
          <w:p w14:paraId="1B1EF12B">
            <w:pPr>
              <w:tabs>
                <w:tab w:val="right" w:pos="2948"/>
              </w:tabs>
              <w:spacing w:line="36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条款号</w:t>
            </w:r>
          </w:p>
        </w:tc>
        <w:tc>
          <w:tcPr>
            <w:tcW w:w="1914" w:type="dxa"/>
            <w:noWrap w:val="0"/>
            <w:tcMar>
              <w:left w:w="57" w:type="dxa"/>
              <w:right w:w="57" w:type="dxa"/>
            </w:tcMar>
            <w:vAlign w:val="center"/>
          </w:tcPr>
          <w:p w14:paraId="27240360">
            <w:pPr>
              <w:spacing w:line="360" w:lineRule="auto"/>
              <w:jc w:val="center"/>
              <w:rPr>
                <w:rFonts w:hint="eastAsia" w:ascii="宋体" w:hAnsi="宋体" w:eastAsia="宋体" w:cs="宋体"/>
                <w:kern w:val="0"/>
                <w:sz w:val="21"/>
                <w:szCs w:val="21"/>
              </w:rPr>
            </w:pPr>
            <w:r>
              <w:rPr>
                <w:rFonts w:hint="eastAsia" w:ascii="宋体" w:hAnsi="宋体" w:eastAsia="宋体" w:cs="宋体"/>
                <w:b/>
                <w:kern w:val="0"/>
                <w:sz w:val="21"/>
                <w:szCs w:val="21"/>
              </w:rPr>
              <w:t>评分因素</w:t>
            </w:r>
          </w:p>
        </w:tc>
        <w:tc>
          <w:tcPr>
            <w:tcW w:w="5701" w:type="dxa"/>
            <w:noWrap w:val="0"/>
            <w:tcMar>
              <w:left w:w="57" w:type="dxa"/>
              <w:right w:w="57" w:type="dxa"/>
            </w:tcMar>
            <w:vAlign w:val="center"/>
          </w:tcPr>
          <w:p w14:paraId="4E07E4E0">
            <w:pPr>
              <w:spacing w:line="360" w:lineRule="auto"/>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14:paraId="6E3B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9" w:type="dxa"/>
            <w:noWrap w:val="0"/>
            <w:tcMar>
              <w:left w:w="57" w:type="dxa"/>
              <w:right w:w="57" w:type="dxa"/>
            </w:tcMar>
            <w:vAlign w:val="center"/>
          </w:tcPr>
          <w:p w14:paraId="3F666D35">
            <w:pPr>
              <w:spacing w:line="360" w:lineRule="auto"/>
              <w:jc w:val="center"/>
              <w:textAlignment w:val="center"/>
              <w:rPr>
                <w:rFonts w:hint="eastAsia" w:ascii="宋体" w:hAnsi="宋体" w:eastAsia="宋体" w:cs="宋体"/>
                <w:kern w:val="0"/>
                <w:sz w:val="21"/>
                <w:szCs w:val="21"/>
              </w:rPr>
            </w:pPr>
            <w:r>
              <w:rPr>
                <w:rFonts w:hint="eastAsia" w:ascii="宋体" w:hAnsi="宋体" w:eastAsia="宋体" w:cs="宋体"/>
                <w:sz w:val="21"/>
                <w:szCs w:val="21"/>
              </w:rPr>
              <w:t>2.2.2（</w:t>
            </w:r>
            <w:r>
              <w:rPr>
                <w:rFonts w:hint="eastAsia" w:ascii="宋体" w:hAnsi="宋体" w:eastAsia="宋体" w:cs="宋体"/>
                <w:sz w:val="21"/>
                <w:szCs w:val="21"/>
                <w:lang w:val="en-US" w:eastAsia="zh-CN"/>
              </w:rPr>
              <w:t>1</w:t>
            </w:r>
            <w:r>
              <w:rPr>
                <w:rFonts w:hint="eastAsia" w:ascii="宋体" w:hAnsi="宋体" w:eastAsia="宋体" w:cs="宋体"/>
                <w:sz w:val="21"/>
                <w:szCs w:val="21"/>
              </w:rPr>
              <w:t>）</w:t>
            </w:r>
          </w:p>
        </w:tc>
        <w:tc>
          <w:tcPr>
            <w:tcW w:w="1362" w:type="dxa"/>
            <w:noWrap w:val="0"/>
            <w:tcMar>
              <w:left w:w="57" w:type="dxa"/>
              <w:right w:w="57" w:type="dxa"/>
            </w:tcMar>
            <w:vAlign w:val="center"/>
          </w:tcPr>
          <w:p w14:paraId="2739C35C">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06421B4C">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7F22E36F">
            <w:pPr>
              <w:spacing w:line="360" w:lineRule="auto"/>
              <w:jc w:val="center"/>
              <w:rPr>
                <w:rFonts w:hint="eastAsia" w:ascii="宋体" w:hAnsi="宋体" w:eastAsia="宋体" w:cs="宋体"/>
                <w:sz w:val="21"/>
                <w:szCs w:val="21"/>
              </w:rPr>
            </w:pPr>
            <w:r>
              <w:rPr>
                <w:rFonts w:hint="eastAsia" w:ascii="宋体" w:hAnsi="宋体" w:eastAsia="宋体" w:cs="宋体"/>
                <w:kern w:val="0"/>
                <w:sz w:val="24"/>
                <w:szCs w:val="24"/>
              </w:rPr>
              <w:t>（20分）</w:t>
            </w:r>
          </w:p>
        </w:tc>
        <w:tc>
          <w:tcPr>
            <w:tcW w:w="1914" w:type="dxa"/>
            <w:noWrap w:val="0"/>
            <w:tcMar>
              <w:left w:w="57" w:type="dxa"/>
              <w:right w:w="57" w:type="dxa"/>
            </w:tcMar>
            <w:vAlign w:val="center"/>
          </w:tcPr>
          <w:p w14:paraId="29B35E1C">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w:t>
            </w:r>
          </w:p>
          <w:p w14:paraId="5598EA2B">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报价</w:t>
            </w:r>
          </w:p>
          <w:p w14:paraId="3C50BA30">
            <w:pPr>
              <w:pStyle w:val="22"/>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kern w:val="0"/>
                <w:sz w:val="24"/>
                <w:szCs w:val="24"/>
              </w:rPr>
              <w:t>（20分）</w:t>
            </w:r>
          </w:p>
        </w:tc>
        <w:tc>
          <w:tcPr>
            <w:tcW w:w="5701" w:type="dxa"/>
            <w:noWrap w:val="0"/>
            <w:tcMar>
              <w:left w:w="57" w:type="dxa"/>
              <w:right w:w="57" w:type="dxa"/>
            </w:tcMar>
            <w:vAlign w:val="center"/>
          </w:tcPr>
          <w:p w14:paraId="3C8FE99B">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1、超出采购人最高限价的</w:t>
            </w:r>
            <w:r>
              <w:rPr>
                <w:rFonts w:hint="eastAsia" w:ascii="宋体" w:hAnsi="宋体" w:cs="宋体"/>
                <w:sz w:val="24"/>
                <w:lang w:val="en-US" w:eastAsia="zh-CN"/>
              </w:rPr>
              <w:t>磋商报价</w:t>
            </w:r>
            <w:r>
              <w:rPr>
                <w:rFonts w:hint="eastAsia" w:ascii="宋体" w:hAnsi="宋体" w:eastAsia="宋体" w:cs="宋体"/>
                <w:sz w:val="24"/>
                <w:lang w:val="en-US" w:eastAsia="zh-CN"/>
              </w:rPr>
              <w:t>为无效报价、按废标处理。</w:t>
            </w:r>
          </w:p>
          <w:p w14:paraId="2289E5E1">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2、所有未进入详细评审的投标为无效投标，其报价不作为评分依据。</w:t>
            </w:r>
          </w:p>
          <w:p w14:paraId="586E40C9">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3、价格分统一采用低价优先法计算，既满足</w:t>
            </w:r>
            <w:r>
              <w:rPr>
                <w:rFonts w:hint="eastAsia" w:ascii="宋体" w:hAnsi="宋体" w:cs="宋体"/>
                <w:sz w:val="24"/>
                <w:lang w:val="en-US" w:eastAsia="zh-CN"/>
              </w:rPr>
              <w:t>磋商</w:t>
            </w:r>
            <w:r>
              <w:rPr>
                <w:rFonts w:hint="eastAsia" w:ascii="宋体" w:hAnsi="宋体" w:eastAsia="宋体" w:cs="宋体"/>
                <w:sz w:val="24"/>
                <w:lang w:val="en-US" w:eastAsia="zh-CN"/>
              </w:rPr>
              <w:t>文件要求且</w:t>
            </w:r>
            <w:r>
              <w:rPr>
                <w:rFonts w:hint="eastAsia" w:ascii="宋体" w:hAnsi="宋体" w:cs="宋体"/>
                <w:sz w:val="24"/>
                <w:lang w:val="en-US" w:eastAsia="zh-CN"/>
              </w:rPr>
              <w:t>磋商报价</w:t>
            </w:r>
            <w:r>
              <w:rPr>
                <w:rFonts w:hint="eastAsia" w:ascii="宋体" w:hAnsi="宋体" w:eastAsia="宋体" w:cs="宋体"/>
                <w:sz w:val="24"/>
                <w:lang w:val="en-US" w:eastAsia="zh-CN"/>
              </w:rPr>
              <w:t>最低的</w:t>
            </w:r>
            <w:r>
              <w:rPr>
                <w:rFonts w:hint="eastAsia" w:ascii="宋体" w:hAnsi="宋体" w:cs="宋体"/>
                <w:sz w:val="24"/>
                <w:lang w:val="en-US" w:eastAsia="zh-CN"/>
              </w:rPr>
              <w:t>磋商报价</w:t>
            </w:r>
            <w:r>
              <w:rPr>
                <w:rFonts w:hint="eastAsia" w:ascii="宋体" w:hAnsi="宋体" w:eastAsia="宋体" w:cs="宋体"/>
                <w:sz w:val="24"/>
                <w:lang w:val="en-US" w:eastAsia="zh-CN"/>
              </w:rPr>
              <w:t>为评标基准价，其价格分为满分。其他供应商的价格分统一按照下列公式计算：</w:t>
            </w:r>
          </w:p>
          <w:p w14:paraId="12BAFEA2">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本项目磋商报价超出最高限价的，采购人不予接受，且磋商为无效标。磋商报价得分：价格分采用低价优先法计算，即满足竞争性磋商文件要求且</w:t>
            </w:r>
            <w:r>
              <w:rPr>
                <w:rFonts w:hint="eastAsia" w:ascii="宋体" w:hAnsi="宋体" w:eastAsia="宋体" w:cs="宋体"/>
                <w:sz w:val="24"/>
                <w:lang w:val="en-US" w:eastAsia="zh-CN"/>
              </w:rPr>
              <w:t>最终</w:t>
            </w:r>
            <w:r>
              <w:rPr>
                <w:rFonts w:hint="eastAsia" w:ascii="宋体" w:hAnsi="宋体" w:eastAsia="宋体" w:cs="宋体"/>
                <w:sz w:val="24"/>
              </w:rPr>
              <w:t>磋商价格最低的磋商报价为评标基准价，得20分，其他磋商供应商的价格分按照下列公式计算：</w:t>
            </w:r>
          </w:p>
          <w:p w14:paraId="33B0D908">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报价得分=（评标基准价/磋商报价）×20×100%</w:t>
            </w:r>
          </w:p>
          <w:p w14:paraId="511C0F53">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注：1本项目专门面向中小企业</w:t>
            </w:r>
            <w:r>
              <w:rPr>
                <w:rFonts w:hint="eastAsia" w:ascii="宋体" w:hAnsi="宋体" w:eastAsia="宋体" w:cs="宋体"/>
                <w:sz w:val="24"/>
                <w:lang w:val="en-US" w:eastAsia="zh-CN"/>
              </w:rPr>
              <w:t>采购，小微企业不再进行价格扣除。</w:t>
            </w:r>
          </w:p>
          <w:p w14:paraId="696773CA">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sz w:val="24"/>
              </w:rPr>
              <w:t>2.如</w:t>
            </w:r>
            <w:r>
              <w:rPr>
                <w:rFonts w:hint="eastAsia" w:ascii="宋体" w:hAnsi="宋体" w:eastAsia="宋体" w:cs="宋体"/>
                <w:sz w:val="24"/>
                <w:lang w:val="en-US" w:eastAsia="zh-CN"/>
              </w:rPr>
              <w:t>磋商小组</w:t>
            </w:r>
            <w:r>
              <w:rPr>
                <w:rFonts w:hint="eastAsia" w:ascii="宋体" w:hAnsi="宋体" w:eastAsia="宋体" w:cs="宋体"/>
                <w:sz w:val="24"/>
              </w:rPr>
              <w:t>一致认为</w:t>
            </w:r>
            <w:r>
              <w:rPr>
                <w:rFonts w:hint="eastAsia" w:ascii="宋体" w:hAnsi="宋体" w:cs="宋体"/>
                <w:sz w:val="24"/>
                <w:lang w:eastAsia="zh-CN"/>
              </w:rPr>
              <w:t>磋商报价</w:t>
            </w:r>
            <w:r>
              <w:rPr>
                <w:rFonts w:hint="eastAsia" w:ascii="宋体" w:hAnsi="宋体" w:eastAsia="宋体" w:cs="宋体"/>
                <w:sz w:val="24"/>
              </w:rPr>
              <w:t>明显低于其他通过符合性审查投标供应商的报价，有可能影响产品质量或者不能诚信履约的，应当要求其在评标现场合理的时间内提供说明资料，必要时提交相关证明材料；投标供应商不能证明其报价合理性的，经</w:t>
            </w:r>
            <w:r>
              <w:rPr>
                <w:rFonts w:hint="eastAsia" w:ascii="宋体" w:hAnsi="宋体" w:cs="宋体"/>
                <w:color w:val="000000" w:themeColor="text1"/>
                <w:spacing w:val="6"/>
                <w:sz w:val="24"/>
                <w:szCs w:val="24"/>
                <w:lang w:val="en-US" w:eastAsia="zh-CN"/>
                <w14:textFill>
                  <w14:solidFill>
                    <w14:schemeClr w14:val="tx1"/>
                  </w14:solidFill>
                </w14:textFill>
              </w:rPr>
              <w:t>磋商小组</w:t>
            </w:r>
            <w:r>
              <w:rPr>
                <w:rFonts w:hint="eastAsia" w:ascii="宋体" w:hAnsi="宋体" w:eastAsia="宋体" w:cs="宋体"/>
                <w:sz w:val="24"/>
              </w:rPr>
              <w:t>取得一致意见后，</w:t>
            </w:r>
            <w:r>
              <w:rPr>
                <w:rFonts w:hint="eastAsia" w:ascii="宋体" w:hAnsi="宋体" w:cs="宋体"/>
                <w:sz w:val="24"/>
                <w:lang w:eastAsia="zh-CN"/>
              </w:rPr>
              <w:t>磋商小组</w:t>
            </w:r>
            <w:r>
              <w:rPr>
                <w:rFonts w:hint="eastAsia" w:ascii="宋体" w:hAnsi="宋体" w:eastAsia="宋体" w:cs="宋体"/>
                <w:sz w:val="24"/>
              </w:rPr>
              <w:t>应当将其作为无效投标处理。</w:t>
            </w:r>
          </w:p>
        </w:tc>
      </w:tr>
      <w:tr w14:paraId="6B3D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9" w:type="dxa"/>
            <w:vMerge w:val="restart"/>
            <w:noWrap w:val="0"/>
            <w:tcMar>
              <w:left w:w="57" w:type="dxa"/>
              <w:right w:w="57" w:type="dxa"/>
            </w:tcMar>
            <w:vAlign w:val="center"/>
          </w:tcPr>
          <w:p w14:paraId="1AF6719E">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 (2)</w:t>
            </w:r>
          </w:p>
        </w:tc>
        <w:tc>
          <w:tcPr>
            <w:tcW w:w="1362" w:type="dxa"/>
            <w:vMerge w:val="restart"/>
            <w:noWrap w:val="0"/>
            <w:tcMar>
              <w:left w:w="57" w:type="dxa"/>
              <w:right w:w="57" w:type="dxa"/>
            </w:tcMar>
            <w:vAlign w:val="center"/>
          </w:tcPr>
          <w:p w14:paraId="2A3AA16E">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技术标评分（</w:t>
            </w: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914" w:type="dxa"/>
            <w:noWrap w:val="0"/>
            <w:tcMar>
              <w:left w:w="57" w:type="dxa"/>
              <w:right w:w="57" w:type="dxa"/>
            </w:tcMar>
            <w:vAlign w:val="center"/>
          </w:tcPr>
          <w:p w14:paraId="57982C0B">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sz w:val="24"/>
              </w:rPr>
              <w:t>针对项目的理解与解读</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center"/>
          </w:tcPr>
          <w:p w14:paraId="19D7BEF4">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rPr>
              <w:t>对项目发展背景和对政策进行深入解读，准确理解本次规划的意义，解读充分，项目理解把握程度和整体思路符合</w:t>
            </w:r>
            <w:r>
              <w:rPr>
                <w:rFonts w:hint="eastAsia" w:ascii="宋体" w:hAnsi="宋体" w:cs="宋体"/>
                <w:sz w:val="24"/>
                <w:lang w:eastAsia="zh-CN"/>
              </w:rPr>
              <w:t>磋商</w:t>
            </w:r>
            <w:r>
              <w:rPr>
                <w:rFonts w:hint="eastAsia" w:ascii="宋体" w:hAnsi="宋体" w:eastAsia="宋体" w:cs="宋体"/>
                <w:sz w:val="24"/>
              </w:rPr>
              <w:t>要求，理念先进、编制思路清晰、重点突出的得1</w:t>
            </w:r>
            <w:r>
              <w:rPr>
                <w:rFonts w:hint="eastAsia" w:ascii="宋体" w:hAnsi="宋体" w:eastAsia="宋体" w:cs="宋体"/>
                <w:sz w:val="24"/>
                <w:lang w:val="en-US" w:eastAsia="zh-CN"/>
              </w:rPr>
              <w:t>0</w:t>
            </w:r>
            <w:r>
              <w:rPr>
                <w:rFonts w:hint="eastAsia" w:ascii="宋体" w:hAnsi="宋体" w:eastAsia="宋体" w:cs="宋体"/>
                <w:sz w:val="24"/>
              </w:rPr>
              <w:t>分；对本项目的整体理解把握程度和整体思路符合</w:t>
            </w:r>
            <w:r>
              <w:rPr>
                <w:rFonts w:hint="eastAsia" w:ascii="宋体" w:hAnsi="宋体" w:cs="宋体"/>
                <w:sz w:val="24"/>
                <w:lang w:eastAsia="zh-CN"/>
              </w:rPr>
              <w:t>磋商</w:t>
            </w:r>
            <w:r>
              <w:rPr>
                <w:rFonts w:hint="eastAsia" w:ascii="宋体" w:hAnsi="宋体" w:eastAsia="宋体" w:cs="宋体"/>
                <w:sz w:val="24"/>
              </w:rPr>
              <w:t>要求，理念及编制思路合理、有重点的得的得</w:t>
            </w:r>
            <w:r>
              <w:rPr>
                <w:rFonts w:hint="eastAsia" w:ascii="宋体" w:hAnsi="宋体" w:eastAsia="宋体" w:cs="宋体"/>
                <w:sz w:val="24"/>
                <w:lang w:val="en-US" w:eastAsia="zh-CN"/>
              </w:rPr>
              <w:t>6</w:t>
            </w:r>
            <w:r>
              <w:rPr>
                <w:rFonts w:hint="eastAsia" w:ascii="宋体" w:hAnsi="宋体" w:eastAsia="宋体" w:cs="宋体"/>
                <w:sz w:val="24"/>
              </w:rPr>
              <w:t>分；对本项目理解把握程度和整体思路基本符合</w:t>
            </w:r>
            <w:r>
              <w:rPr>
                <w:rFonts w:hint="eastAsia" w:ascii="宋体" w:hAnsi="宋体" w:cs="宋体"/>
                <w:sz w:val="24"/>
                <w:lang w:eastAsia="zh-CN"/>
              </w:rPr>
              <w:t>磋商</w:t>
            </w:r>
            <w:r>
              <w:rPr>
                <w:rFonts w:hint="eastAsia" w:ascii="宋体" w:hAnsi="宋体" w:eastAsia="宋体" w:cs="宋体"/>
                <w:sz w:val="24"/>
              </w:rPr>
              <w:t>要求，理念及编制思路可行的得</w:t>
            </w:r>
            <w:r>
              <w:rPr>
                <w:rFonts w:hint="eastAsia" w:ascii="宋体" w:hAnsi="宋体" w:eastAsia="宋体" w:cs="宋体"/>
                <w:sz w:val="24"/>
                <w:lang w:val="en-US" w:eastAsia="zh-CN"/>
              </w:rPr>
              <w:t>3</w:t>
            </w:r>
            <w:r>
              <w:rPr>
                <w:rFonts w:hint="eastAsia" w:ascii="宋体" w:hAnsi="宋体" w:eastAsia="宋体" w:cs="宋体"/>
                <w:sz w:val="24"/>
              </w:rPr>
              <w:t>分，缺项或不合理的，本项不得分。</w:t>
            </w:r>
          </w:p>
        </w:tc>
      </w:tr>
      <w:tr w14:paraId="5C3B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49" w:type="dxa"/>
            <w:vMerge w:val="continue"/>
            <w:noWrap w:val="0"/>
            <w:tcMar>
              <w:left w:w="57" w:type="dxa"/>
              <w:right w:w="57" w:type="dxa"/>
            </w:tcMar>
            <w:vAlign w:val="center"/>
          </w:tcPr>
          <w:p w14:paraId="40E9F131">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39BC5C82">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649E387F">
            <w:pPr>
              <w:pStyle w:val="18"/>
              <w:keepNext w:val="0"/>
              <w:keepLines w:val="0"/>
              <w:pageBreakBefore w:val="0"/>
              <w:kinsoku/>
              <w:wordWrap/>
              <w:overflowPunct/>
              <w:topLinePunct w:val="0"/>
              <w:autoSpaceDE/>
              <w:autoSpaceDN/>
              <w:bidi w:val="0"/>
              <w:spacing w:before="0" w:beforeAutospacing="0" w:after="0" w:line="240" w:lineRule="auto"/>
              <w:ind w:left="0" w:leftChars="0" w:firstLine="0" w:firstLineChars="0"/>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sz w:val="24"/>
              </w:rPr>
              <w:t>针对项目编制的工作方案</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center"/>
          </w:tcPr>
          <w:p w14:paraId="0D778318">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供应商针对本项目所提出的工作方案，对本项目各环节具体步骤清楚、工作目标明确；供应商对本项目的组织机构分配及主要人员岗位职责分工等内容。</w:t>
            </w:r>
          </w:p>
          <w:p w14:paraId="3E668E0C">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规划编制的工作方案全面合理、针对性强，得10分；规划编制的工作方案比较全面、有一定的针对性，得6分；规划编制的工作方案有一定偏差，规划编制方案一般，针对性一般得3分；无方案不得分。</w:t>
            </w:r>
          </w:p>
        </w:tc>
      </w:tr>
      <w:tr w14:paraId="6394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49" w:type="dxa"/>
            <w:vMerge w:val="continue"/>
            <w:noWrap w:val="0"/>
            <w:tcMar>
              <w:left w:w="57" w:type="dxa"/>
              <w:right w:w="57" w:type="dxa"/>
            </w:tcMar>
            <w:vAlign w:val="center"/>
          </w:tcPr>
          <w:p w14:paraId="415FA728">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3667F22E">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79A4BA66">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质量控</w:t>
            </w:r>
          </w:p>
          <w:p w14:paraId="7FC3988F">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制措施</w:t>
            </w:r>
            <w:r>
              <w:rPr>
                <w:rFonts w:hint="eastAsia" w:ascii="宋体" w:hAnsi="宋体" w:cs="宋体"/>
                <w:sz w:val="24"/>
                <w:lang w:eastAsia="zh-CN"/>
              </w:rPr>
              <w:t>（</w:t>
            </w:r>
            <w:r>
              <w:rPr>
                <w:rFonts w:hint="eastAsia" w:ascii="宋体" w:hAnsi="宋体" w:cs="宋体"/>
                <w:sz w:val="24"/>
                <w:lang w:val="en-US" w:eastAsia="zh-CN"/>
              </w:rPr>
              <w:t>10分）</w:t>
            </w:r>
          </w:p>
          <w:p w14:paraId="708E8DB3">
            <w:pPr>
              <w:keepNext w:val="0"/>
              <w:keepLines w:val="0"/>
              <w:pageBreakBefore w:val="0"/>
              <w:kinsoku/>
              <w:wordWrap/>
              <w:overflowPunct/>
              <w:topLinePunct w:val="0"/>
              <w:autoSpaceDE/>
              <w:autoSpaceDN/>
              <w:bidi w:val="0"/>
              <w:spacing w:beforeAutospacing="0" w:line="240" w:lineRule="auto"/>
              <w:jc w:val="center"/>
              <w:textAlignment w:val="auto"/>
              <w:rPr>
                <w:rFonts w:hint="eastAsia" w:ascii="宋体" w:hAnsi="宋体" w:eastAsia="宋体" w:cs="宋体"/>
                <w:color w:val="000000"/>
                <w:sz w:val="21"/>
                <w:szCs w:val="21"/>
              </w:rPr>
            </w:pPr>
          </w:p>
        </w:tc>
        <w:tc>
          <w:tcPr>
            <w:tcW w:w="5701" w:type="dxa"/>
            <w:noWrap w:val="0"/>
            <w:tcMar>
              <w:left w:w="57" w:type="dxa"/>
              <w:right w:w="57" w:type="dxa"/>
            </w:tcMar>
            <w:vAlign w:val="center"/>
          </w:tcPr>
          <w:p w14:paraId="294CD217">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的工作制度的完整性、质量控制措施的科学合理性、可行程度等方面进行综合评价：质量体系和工作制度完整、质量控制措施科学合理、可行性高，得10分；质量体系和工作制度较完整、质量控制措施较科学合理、可行性一般，得6分；质量体系和工作制度欠完整、质量控制措施合理性差，可行性差，得4分。未提供的不计分。</w:t>
            </w:r>
          </w:p>
        </w:tc>
      </w:tr>
      <w:tr w14:paraId="13AE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51D8E03B">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6D72CE57">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2C8E6359">
            <w:pPr>
              <w:keepNext w:val="0"/>
              <w:keepLines w:val="0"/>
              <w:pageBreakBefore w:val="0"/>
              <w:kinsoku/>
              <w:wordWrap/>
              <w:overflowPunct/>
              <w:topLinePunct w:val="0"/>
              <w:autoSpaceDE/>
              <w:autoSpaceDN/>
              <w:bidi w:val="0"/>
              <w:spacing w:beforeAutospacing="0"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sz w:val="24"/>
                <w:szCs w:val="24"/>
              </w:rPr>
              <w:t>进度计划及保证措施</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center"/>
          </w:tcPr>
          <w:p w14:paraId="0ABC8B89">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的进度计划及保证措施进行评分，严格按成果提交时限要求，制定详细进度计划，时间节点清晰合理，进度计划保证措施科学全面的，得10分；满足成果提交时限要求，进度计划较详细，时间节点较为明确，进度保证措施较全面的，得6分；只承诺满足成果提交时限，进度计划粗略，时间节点划分较为简单，进度保证措施较少的，得4分；未提供的不计分。</w:t>
            </w:r>
          </w:p>
        </w:tc>
      </w:tr>
      <w:tr w14:paraId="73C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9" w:type="dxa"/>
            <w:vMerge w:val="continue"/>
            <w:noWrap w:val="0"/>
            <w:tcMar>
              <w:left w:w="57" w:type="dxa"/>
              <w:right w:w="57" w:type="dxa"/>
            </w:tcMar>
            <w:vAlign w:val="center"/>
          </w:tcPr>
          <w:p w14:paraId="205A7861">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3269D64E">
            <w:pPr>
              <w:spacing w:line="360" w:lineRule="auto"/>
              <w:jc w:val="center"/>
              <w:rPr>
                <w:rFonts w:hint="eastAsia" w:ascii="宋体" w:hAnsi="宋体" w:eastAsia="宋体" w:cs="宋体"/>
                <w:kern w:val="0"/>
                <w:sz w:val="21"/>
                <w:szCs w:val="21"/>
              </w:rPr>
            </w:pPr>
          </w:p>
        </w:tc>
        <w:tc>
          <w:tcPr>
            <w:tcW w:w="1914" w:type="dxa"/>
            <w:noWrap w:val="0"/>
            <w:tcMar>
              <w:left w:w="57" w:type="dxa"/>
              <w:right w:w="57" w:type="dxa"/>
            </w:tcMar>
            <w:vAlign w:val="center"/>
          </w:tcPr>
          <w:p w14:paraId="46CDF421">
            <w:pPr>
              <w:keepNext w:val="0"/>
              <w:keepLines w:val="0"/>
              <w:pageBreakBefore w:val="0"/>
              <w:widowControl/>
              <w:kinsoku/>
              <w:wordWrap/>
              <w:overflowPunct/>
              <w:topLinePunct w:val="0"/>
              <w:autoSpaceDE/>
              <w:autoSpaceDN/>
              <w:bidi w:val="0"/>
              <w:spacing w:beforeAutospacing="0"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4"/>
                <w:szCs w:val="24"/>
              </w:rPr>
              <w:t>服务承诺</w:t>
            </w:r>
            <w:r>
              <w:rPr>
                <w:rFonts w:hint="eastAsia" w:ascii="宋体" w:hAnsi="宋体" w:cs="宋体"/>
                <w:sz w:val="24"/>
                <w:lang w:eastAsia="zh-CN"/>
              </w:rPr>
              <w:t>（</w:t>
            </w:r>
            <w:r>
              <w:rPr>
                <w:rFonts w:hint="eastAsia" w:ascii="宋体" w:hAnsi="宋体" w:cs="宋体"/>
                <w:sz w:val="24"/>
                <w:lang w:val="en-US" w:eastAsia="zh-CN"/>
              </w:rPr>
              <w:t>10分）</w:t>
            </w:r>
          </w:p>
        </w:tc>
        <w:tc>
          <w:tcPr>
            <w:tcW w:w="5701" w:type="dxa"/>
            <w:noWrap w:val="0"/>
            <w:tcMar>
              <w:left w:w="57" w:type="dxa"/>
              <w:right w:w="57" w:type="dxa"/>
            </w:tcMar>
            <w:vAlign w:val="top"/>
          </w:tcPr>
          <w:p w14:paraId="6F7DED5C">
            <w:pPr>
              <w:keepNext w:val="0"/>
              <w:keepLines w:val="0"/>
              <w:pageBreakBefore w:val="0"/>
              <w:kinsoku/>
              <w:wordWrap/>
              <w:overflowPunct/>
              <w:topLinePunct w:val="0"/>
              <w:autoSpaceDE/>
              <w:autoSpaceDN/>
              <w:bidi w:val="0"/>
              <w:spacing w:beforeAutospacing="0" w:line="240" w:lineRule="auto"/>
              <w:ind w:firstLine="48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4"/>
                <w:szCs w:val="24"/>
              </w:rPr>
              <w:t>根据供应商针对本项目提供的服务承诺进行综合评审，服务承诺完善，能充分贴合本项目采购需求，针对性强，可行性高的，得</w:t>
            </w:r>
            <w:r>
              <w:rPr>
                <w:rFonts w:hint="eastAsia" w:ascii="宋体" w:hAnsi="宋体" w:cs="宋体"/>
                <w:sz w:val="24"/>
                <w:szCs w:val="24"/>
                <w:lang w:val="en-US" w:eastAsia="zh-CN"/>
              </w:rPr>
              <w:t>10</w:t>
            </w:r>
            <w:r>
              <w:rPr>
                <w:rFonts w:hint="eastAsia" w:ascii="宋体" w:hAnsi="宋体" w:eastAsia="宋体" w:cs="宋体"/>
                <w:sz w:val="24"/>
                <w:szCs w:val="24"/>
              </w:rPr>
              <w:t>分；服务承诺较完善，基本贴合本项目采购需求的，得</w:t>
            </w:r>
            <w:r>
              <w:rPr>
                <w:rFonts w:hint="eastAsia" w:ascii="宋体" w:hAnsi="宋体" w:cs="宋体"/>
                <w:sz w:val="24"/>
                <w:szCs w:val="24"/>
                <w:lang w:val="en-US" w:eastAsia="zh-CN"/>
              </w:rPr>
              <w:t>6</w:t>
            </w:r>
            <w:r>
              <w:rPr>
                <w:rFonts w:hint="eastAsia" w:ascii="宋体" w:hAnsi="宋体" w:eastAsia="宋体" w:cs="宋体"/>
                <w:sz w:val="24"/>
                <w:szCs w:val="24"/>
              </w:rPr>
              <w:t>分；服务承诺跟本项目实际需求不贴合，有较大缺陷的，得2分；未提供的不计分。</w:t>
            </w:r>
          </w:p>
        </w:tc>
      </w:tr>
      <w:tr w14:paraId="2E6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9" w:type="dxa"/>
            <w:vMerge w:val="restart"/>
            <w:noWrap w:val="0"/>
            <w:tcMar>
              <w:left w:w="57" w:type="dxa"/>
              <w:right w:w="57" w:type="dxa"/>
            </w:tcMar>
            <w:vAlign w:val="center"/>
          </w:tcPr>
          <w:p w14:paraId="5819992E">
            <w:pPr>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2.2.</w:t>
            </w:r>
            <w:r>
              <w:rPr>
                <w:rFonts w:hint="eastAsia" w:ascii="宋体" w:hAnsi="宋体" w:eastAsia="宋体" w:cs="宋体"/>
                <w:kern w:val="0"/>
                <w:sz w:val="21"/>
                <w:szCs w:val="21"/>
                <w:lang w:val="en-US" w:eastAsia="zh-CN"/>
              </w:rPr>
              <w:t>2</w:t>
            </w:r>
          </w:p>
          <w:p w14:paraId="35EF5AE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362" w:type="dxa"/>
            <w:vMerge w:val="restart"/>
            <w:noWrap w:val="0"/>
            <w:tcMar>
              <w:left w:w="57" w:type="dxa"/>
              <w:right w:w="57" w:type="dxa"/>
            </w:tcMar>
            <w:vAlign w:val="center"/>
          </w:tcPr>
          <w:p w14:paraId="6C564AFE">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商务</w:t>
            </w:r>
            <w:r>
              <w:rPr>
                <w:rFonts w:hint="eastAsia" w:ascii="宋体" w:hAnsi="宋体" w:eastAsia="宋体" w:cs="宋体"/>
                <w:sz w:val="24"/>
                <w:szCs w:val="24"/>
              </w:rPr>
              <w:t>标评分</w:t>
            </w:r>
          </w:p>
          <w:p w14:paraId="2504B720">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sz w:val="21"/>
                <w:szCs w:val="21"/>
              </w:rPr>
            </w:pP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914" w:type="dxa"/>
            <w:noWrap w:val="0"/>
            <w:tcMar>
              <w:left w:w="57" w:type="dxa"/>
              <w:right w:w="57" w:type="dxa"/>
            </w:tcMar>
            <w:vAlign w:val="center"/>
          </w:tcPr>
          <w:p w14:paraId="620BB236">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4"/>
                <w:szCs w:val="24"/>
              </w:rPr>
              <w:t>业绩</w:t>
            </w:r>
            <w:r>
              <w:rPr>
                <w:rFonts w:hint="eastAsia" w:ascii="宋体" w:hAnsi="宋体" w:cs="宋体"/>
                <w:sz w:val="24"/>
                <w:lang w:eastAsia="zh-CN"/>
              </w:rPr>
              <w:t>（</w:t>
            </w:r>
            <w:r>
              <w:rPr>
                <w:rFonts w:hint="eastAsia" w:ascii="宋体" w:hAnsi="宋体" w:cs="宋体"/>
                <w:sz w:val="24"/>
                <w:lang w:val="en-US" w:eastAsia="zh-CN"/>
              </w:rPr>
              <w:t>12分）</w:t>
            </w:r>
          </w:p>
        </w:tc>
        <w:tc>
          <w:tcPr>
            <w:tcW w:w="5701" w:type="dxa"/>
            <w:noWrap w:val="0"/>
            <w:tcMar>
              <w:left w:w="57" w:type="dxa"/>
              <w:right w:w="57" w:type="dxa"/>
            </w:tcMar>
            <w:vAlign w:val="top"/>
          </w:tcPr>
          <w:p w14:paraId="5AD57D4B">
            <w:pPr>
              <w:keepNext w:val="0"/>
              <w:keepLines w:val="0"/>
              <w:pageBreakBefore w:val="0"/>
              <w:kinsoku/>
              <w:wordWrap/>
              <w:overflowPunct/>
              <w:topLinePunct w:val="0"/>
              <w:autoSpaceDE/>
              <w:autoSpaceDN/>
              <w:bidi w:val="0"/>
              <w:spacing w:beforeAutospacing="0" w:line="240" w:lineRule="auto"/>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4"/>
                <w:szCs w:val="24"/>
                <w:highlight w:val="none"/>
              </w:rPr>
              <w:t>供应商自202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1月1日</w:t>
            </w:r>
            <w:r>
              <w:rPr>
                <w:rFonts w:hint="eastAsia" w:ascii="宋体" w:hAnsi="宋体" w:eastAsia="宋体" w:cs="宋体"/>
                <w:sz w:val="24"/>
                <w:szCs w:val="24"/>
                <w:highlight w:val="none"/>
              </w:rPr>
              <w:t>以来（以合同签订时间为准）具有</w:t>
            </w:r>
            <w:r>
              <w:rPr>
                <w:rFonts w:hint="eastAsia" w:ascii="宋体" w:hAnsi="宋体" w:cs="宋体"/>
                <w:sz w:val="24"/>
                <w:szCs w:val="24"/>
                <w:highlight w:val="none"/>
                <w:lang w:val="en-US" w:eastAsia="zh-CN"/>
              </w:rPr>
              <w:t>类似</w:t>
            </w:r>
            <w:r>
              <w:rPr>
                <w:rFonts w:hint="eastAsia" w:ascii="宋体" w:hAnsi="宋体" w:eastAsia="宋体" w:cs="宋体"/>
                <w:sz w:val="24"/>
                <w:szCs w:val="24"/>
                <w:highlight w:val="none"/>
                <w:lang w:eastAsia="zh-CN"/>
              </w:rPr>
              <w:t>规划</w:t>
            </w:r>
            <w:r>
              <w:rPr>
                <w:rFonts w:hint="eastAsia" w:ascii="宋体" w:hAnsi="宋体" w:eastAsia="宋体" w:cs="宋体"/>
                <w:sz w:val="24"/>
                <w:szCs w:val="24"/>
                <w:highlight w:val="none"/>
              </w:rPr>
              <w:t>项目业绩，每个项目得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分，最多得1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分。（投标文件提供合同</w:t>
            </w:r>
            <w:r>
              <w:rPr>
                <w:rFonts w:hint="eastAsia"/>
                <w:lang w:val="en-US" w:eastAsia="zh-CN"/>
              </w:rPr>
              <w:t>原件扫描件</w:t>
            </w:r>
            <w:r>
              <w:rPr>
                <w:rFonts w:hint="eastAsia" w:ascii="宋体" w:hAnsi="宋体" w:eastAsia="宋体" w:cs="宋体"/>
                <w:sz w:val="24"/>
                <w:szCs w:val="24"/>
                <w:highlight w:val="none"/>
              </w:rPr>
              <w:t>加盖供应商公章，否则不予计分。）</w:t>
            </w:r>
          </w:p>
        </w:tc>
      </w:tr>
      <w:tr w14:paraId="5B8A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9" w:type="dxa"/>
            <w:vMerge w:val="continue"/>
            <w:noWrap w:val="0"/>
            <w:tcMar>
              <w:left w:w="57" w:type="dxa"/>
              <w:right w:w="57" w:type="dxa"/>
            </w:tcMar>
            <w:vAlign w:val="center"/>
          </w:tcPr>
          <w:p w14:paraId="68536054">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0A00124C">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20BFFDCB">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4"/>
                <w:szCs w:val="24"/>
              </w:rPr>
              <w:t>项目团队</w:t>
            </w:r>
            <w:r>
              <w:rPr>
                <w:rFonts w:hint="eastAsia" w:ascii="宋体" w:hAnsi="宋体" w:cs="宋体"/>
                <w:sz w:val="24"/>
                <w:lang w:eastAsia="zh-CN"/>
              </w:rPr>
              <w:t>（</w:t>
            </w:r>
            <w:r>
              <w:rPr>
                <w:rFonts w:hint="eastAsia" w:ascii="宋体" w:hAnsi="宋体" w:cs="宋体"/>
                <w:sz w:val="24"/>
                <w:lang w:val="en-US" w:eastAsia="zh-CN"/>
              </w:rPr>
              <w:t>12分）</w:t>
            </w:r>
          </w:p>
        </w:tc>
        <w:tc>
          <w:tcPr>
            <w:tcW w:w="5701" w:type="dxa"/>
            <w:noWrap w:val="0"/>
            <w:tcMar>
              <w:left w:w="57" w:type="dxa"/>
              <w:right w:w="57" w:type="dxa"/>
            </w:tcMar>
            <w:vAlign w:val="top"/>
          </w:tcPr>
          <w:p w14:paraId="210EE525">
            <w:pPr>
              <w:pStyle w:val="5"/>
              <w:keepNext w:val="0"/>
              <w:keepLines w:val="0"/>
              <w:pageBreakBefore w:val="0"/>
              <w:kinsoku/>
              <w:wordWrap/>
              <w:overflowPunct/>
              <w:topLinePunct w:val="0"/>
              <w:autoSpaceDE/>
              <w:autoSpaceDN/>
              <w:bidi w:val="0"/>
              <w:spacing w:beforeAutospacing="0" w:after="0"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针对供应商拟派项目团队成员（不含项目负责人）进行评审：本项最多得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59C9D854">
            <w:pPr>
              <w:pStyle w:val="5"/>
              <w:keepNext w:val="0"/>
              <w:keepLines w:val="0"/>
              <w:pageBreakBefore w:val="0"/>
              <w:kinsoku/>
              <w:wordWrap/>
              <w:overflowPunct/>
              <w:topLinePunct w:val="0"/>
              <w:autoSpaceDE/>
              <w:autoSpaceDN/>
              <w:bidi w:val="0"/>
              <w:spacing w:beforeAutospacing="0" w:after="0" w:line="24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具有城乡规划高级</w:t>
            </w:r>
            <w:r>
              <w:rPr>
                <w:rFonts w:hint="eastAsia" w:ascii="宋体" w:hAnsi="宋体" w:cs="宋体"/>
                <w:sz w:val="24"/>
                <w:szCs w:val="24"/>
                <w:highlight w:val="none"/>
                <w:lang w:val="en-US" w:eastAsia="zh-CN"/>
              </w:rPr>
              <w:t>及以上</w:t>
            </w:r>
            <w:r>
              <w:rPr>
                <w:rFonts w:hint="eastAsia" w:ascii="宋体" w:hAnsi="宋体" w:eastAsia="宋体" w:cs="宋体"/>
                <w:sz w:val="24"/>
                <w:szCs w:val="24"/>
                <w:highlight w:val="none"/>
                <w:lang w:val="en-US" w:eastAsia="zh-CN"/>
              </w:rPr>
              <w:t>职称的，每人3分；</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中级职称证和注册城乡规划师的，每人得3分；具有中级职称证的，每人得1分。最多得12分。</w:t>
            </w:r>
          </w:p>
        </w:tc>
      </w:tr>
      <w:tr w14:paraId="3582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9" w:type="dxa"/>
            <w:vMerge w:val="continue"/>
            <w:noWrap w:val="0"/>
            <w:tcMar>
              <w:left w:w="57" w:type="dxa"/>
              <w:right w:w="57" w:type="dxa"/>
            </w:tcMar>
            <w:vAlign w:val="center"/>
          </w:tcPr>
          <w:p w14:paraId="3B9FF94B">
            <w:pPr>
              <w:spacing w:line="360" w:lineRule="auto"/>
              <w:jc w:val="center"/>
              <w:rPr>
                <w:rFonts w:hint="eastAsia" w:ascii="宋体" w:hAnsi="宋体" w:eastAsia="宋体" w:cs="宋体"/>
                <w:kern w:val="0"/>
                <w:sz w:val="21"/>
                <w:szCs w:val="21"/>
              </w:rPr>
            </w:pPr>
          </w:p>
        </w:tc>
        <w:tc>
          <w:tcPr>
            <w:tcW w:w="1362" w:type="dxa"/>
            <w:vMerge w:val="continue"/>
            <w:noWrap w:val="0"/>
            <w:tcMar>
              <w:left w:w="57" w:type="dxa"/>
              <w:right w:w="57" w:type="dxa"/>
            </w:tcMar>
            <w:vAlign w:val="center"/>
          </w:tcPr>
          <w:p w14:paraId="268A9657">
            <w:pPr>
              <w:spacing w:line="360" w:lineRule="auto"/>
              <w:jc w:val="center"/>
              <w:rPr>
                <w:rFonts w:hint="eastAsia" w:ascii="宋体" w:hAnsi="宋体" w:eastAsia="宋体" w:cs="宋体"/>
                <w:sz w:val="21"/>
                <w:szCs w:val="21"/>
              </w:rPr>
            </w:pPr>
          </w:p>
        </w:tc>
        <w:tc>
          <w:tcPr>
            <w:tcW w:w="1914" w:type="dxa"/>
            <w:noWrap w:val="0"/>
            <w:tcMar>
              <w:left w:w="57" w:type="dxa"/>
              <w:right w:w="57" w:type="dxa"/>
            </w:tcMar>
            <w:vAlign w:val="center"/>
          </w:tcPr>
          <w:p w14:paraId="24C91D2D">
            <w:pPr>
              <w:keepNext w:val="0"/>
              <w:keepLines w:val="0"/>
              <w:pageBreakBefore w:val="0"/>
              <w:kinsoku/>
              <w:wordWrap/>
              <w:overflowPunct/>
              <w:topLinePunct w:val="0"/>
              <w:autoSpaceDE/>
              <w:autoSpaceDN/>
              <w:bidi w:val="0"/>
              <w:adjustRightInd w:val="0"/>
              <w:snapToGrid w:val="0"/>
              <w:spacing w:beforeAutospacing="0"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4"/>
                <w:szCs w:val="24"/>
              </w:rPr>
              <w:t>管理体系</w:t>
            </w:r>
            <w:r>
              <w:rPr>
                <w:rFonts w:hint="eastAsia" w:ascii="宋体" w:hAnsi="宋体" w:cs="宋体"/>
                <w:sz w:val="24"/>
                <w:lang w:eastAsia="zh-CN"/>
              </w:rPr>
              <w:t>（</w:t>
            </w:r>
            <w:r>
              <w:rPr>
                <w:rFonts w:hint="eastAsia" w:ascii="宋体" w:hAnsi="宋体" w:cs="宋体"/>
                <w:sz w:val="24"/>
                <w:lang w:val="en-US" w:eastAsia="zh-CN"/>
              </w:rPr>
              <w:t>6分）</w:t>
            </w:r>
          </w:p>
        </w:tc>
        <w:tc>
          <w:tcPr>
            <w:tcW w:w="5701" w:type="dxa"/>
            <w:noWrap w:val="0"/>
            <w:tcMar>
              <w:left w:w="57" w:type="dxa"/>
              <w:right w:w="57" w:type="dxa"/>
            </w:tcMar>
            <w:vAlign w:val="top"/>
          </w:tcPr>
          <w:p w14:paraId="19B422D2">
            <w:pPr>
              <w:pStyle w:val="5"/>
              <w:keepNext w:val="0"/>
              <w:keepLines w:val="0"/>
              <w:pageBreakBefore w:val="0"/>
              <w:kinsoku/>
              <w:wordWrap/>
              <w:overflowPunct/>
              <w:topLinePunct w:val="0"/>
              <w:autoSpaceDE/>
              <w:autoSpaceDN/>
              <w:bidi w:val="0"/>
              <w:spacing w:beforeAutospacing="0" w:after="0"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供应商具有有效的ISO9001质量管理体系认证证书、环境管理体系认证证书、职业健康管理体系认证证书，每有一项得2分，此项最多得6分</w:t>
            </w:r>
          </w:p>
        </w:tc>
      </w:tr>
    </w:tbl>
    <w:p w14:paraId="46AEB685">
      <w:pPr>
        <w:widowControl/>
        <w:kinsoku w:val="0"/>
        <w:autoSpaceDE w:val="0"/>
        <w:autoSpaceDN w:val="0"/>
        <w:adjustRightInd w:val="0"/>
        <w:snapToGrid w:val="0"/>
        <w:spacing w:line="500" w:lineRule="exact"/>
        <w:ind w:right="79"/>
        <w:jc w:val="left"/>
        <w:textAlignment w:val="baseline"/>
        <w:rPr>
          <w:rFonts w:hint="eastAsia" w:ascii="宋体" w:hAnsi="宋体" w:eastAsia="宋体" w:cs="宋体"/>
          <w:color w:val="auto"/>
          <w:spacing w:val="-1"/>
          <w:sz w:val="24"/>
          <w:szCs w:val="24"/>
        </w:rPr>
      </w:pPr>
    </w:p>
    <w:p w14:paraId="45CE7626">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baseline"/>
        <w:rPr>
          <w:rStyle w:val="32"/>
          <w:rFonts w:hint="eastAsia" w:ascii="宋体" w:hAnsi="宋体" w:eastAsia="宋体" w:cs="宋体"/>
          <w:b/>
          <w:bCs w:val="0"/>
          <w:color w:val="auto"/>
          <w:kern w:val="0"/>
          <w:sz w:val="24"/>
          <w:szCs w:val="24"/>
          <w:lang w:val="en-US" w:eastAsia="zh-CN" w:bidi="ar-SA"/>
        </w:rPr>
      </w:pPr>
      <w:bookmarkStart w:id="8" w:name="_Toc29118"/>
      <w:r>
        <w:rPr>
          <w:rStyle w:val="32"/>
          <w:rFonts w:hint="eastAsia" w:ascii="宋体" w:hAnsi="宋体" w:eastAsia="宋体" w:cs="宋体"/>
          <w:b/>
          <w:bCs w:val="0"/>
          <w:color w:val="auto"/>
          <w:kern w:val="0"/>
          <w:sz w:val="24"/>
          <w:szCs w:val="24"/>
          <w:lang w:val="en-US" w:eastAsia="zh-CN" w:bidi="ar-SA"/>
        </w:rPr>
        <w:t>备注：</w:t>
      </w:r>
    </w:p>
    <w:p w14:paraId="7DF9C197">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2"/>
          <w:rFonts w:hint="eastAsia" w:ascii="宋体" w:hAnsi="宋体" w:eastAsia="宋体" w:cs="宋体"/>
          <w:b/>
          <w:bCs w:val="0"/>
          <w:color w:val="auto"/>
          <w:kern w:val="0"/>
          <w:sz w:val="24"/>
          <w:szCs w:val="24"/>
          <w:highlight w:val="cyan"/>
          <w:lang w:val="en-US" w:eastAsia="zh-CN" w:bidi="ar-SA"/>
        </w:rPr>
      </w:pPr>
      <w:r>
        <w:rPr>
          <w:rStyle w:val="32"/>
          <w:rFonts w:hint="eastAsia" w:ascii="宋体" w:hAnsi="宋体" w:eastAsia="宋体" w:cs="宋体"/>
          <w:b/>
          <w:bCs w:val="0"/>
          <w:color w:val="auto"/>
          <w:kern w:val="0"/>
          <w:sz w:val="24"/>
          <w:szCs w:val="24"/>
          <w:lang w:val="en-US" w:eastAsia="zh-CN" w:bidi="ar-SA"/>
        </w:rPr>
        <w:t>1、评委可以根据各磋商响应文件编制的内容在各分项区间进行打分；以上</w:t>
      </w:r>
      <w:r>
        <w:rPr>
          <w:rStyle w:val="32"/>
          <w:rFonts w:hint="eastAsia" w:ascii="宋体" w:hAnsi="宋体" w:eastAsia="宋体" w:cs="宋体"/>
          <w:b/>
          <w:bCs w:val="0"/>
          <w:color w:val="auto"/>
          <w:kern w:val="0"/>
          <w:sz w:val="24"/>
          <w:szCs w:val="24"/>
          <w:highlight w:val="none"/>
          <w:lang w:val="en-US" w:eastAsia="zh-CN" w:bidi="ar-SA"/>
        </w:rPr>
        <w:t>项目若有缺项，该项为0分。供应商得分＝报价部分得分+</w:t>
      </w:r>
      <w:r>
        <w:rPr>
          <w:rStyle w:val="32"/>
          <w:rFonts w:hint="eastAsia" w:ascii="宋体" w:hAnsi="宋体" w:cs="宋体"/>
          <w:b/>
          <w:bCs w:val="0"/>
          <w:color w:val="auto"/>
          <w:kern w:val="0"/>
          <w:sz w:val="24"/>
          <w:szCs w:val="24"/>
          <w:highlight w:val="none"/>
          <w:lang w:val="en-US" w:eastAsia="zh-CN" w:bidi="ar-SA"/>
        </w:rPr>
        <w:t>商务部分</w:t>
      </w:r>
      <w:r>
        <w:rPr>
          <w:rStyle w:val="32"/>
          <w:rFonts w:hint="eastAsia" w:ascii="宋体" w:hAnsi="宋体" w:eastAsia="宋体" w:cs="宋体"/>
          <w:b/>
          <w:bCs w:val="0"/>
          <w:color w:val="auto"/>
          <w:kern w:val="0"/>
          <w:sz w:val="24"/>
          <w:szCs w:val="24"/>
          <w:highlight w:val="none"/>
          <w:lang w:val="en-US" w:eastAsia="zh-CN" w:bidi="ar-SA"/>
        </w:rPr>
        <w:t>得分+技术部分得分。</w:t>
      </w:r>
    </w:p>
    <w:p w14:paraId="5BE48289">
      <w:pPr>
        <w:keepNext w:val="0"/>
        <w:keepLines w:val="0"/>
        <w:pageBreakBefore w:val="0"/>
        <w:widowControl/>
        <w:kinsoku/>
        <w:wordWrap/>
        <w:overflowPunct/>
        <w:topLinePunct w:val="0"/>
        <w:autoSpaceDE/>
        <w:autoSpaceDN/>
        <w:bidi w:val="0"/>
        <w:adjustRightInd/>
        <w:spacing w:line="440" w:lineRule="exact"/>
        <w:ind w:firstLine="482" w:firstLineChars="200"/>
        <w:jc w:val="left"/>
        <w:textAlignment w:val="baseline"/>
        <w:rPr>
          <w:rStyle w:val="32"/>
          <w:rFonts w:hint="eastAsia" w:ascii="宋体" w:hAnsi="宋体" w:eastAsia="宋体" w:cs="宋体"/>
          <w:b/>
          <w:bCs w:val="0"/>
          <w:color w:val="auto"/>
          <w:kern w:val="0"/>
          <w:sz w:val="24"/>
          <w:szCs w:val="24"/>
          <w:lang w:val="en-US" w:eastAsia="zh-CN" w:bidi="ar-SA"/>
        </w:rPr>
      </w:pPr>
      <w:r>
        <w:rPr>
          <w:rStyle w:val="32"/>
          <w:rFonts w:hint="eastAsia" w:ascii="宋体" w:hAnsi="宋体" w:eastAsia="宋体" w:cs="宋体"/>
          <w:b/>
          <w:bCs w:val="0"/>
          <w:color w:val="auto"/>
          <w:kern w:val="0"/>
          <w:sz w:val="24"/>
          <w:szCs w:val="24"/>
          <w:lang w:val="en-US" w:eastAsia="zh-CN" w:bidi="ar-SA"/>
        </w:rPr>
        <w:t>2、潜在供应商提供资料必须真实、有效，一经发现有造假的，取消其</w:t>
      </w:r>
      <w:r>
        <w:rPr>
          <w:rStyle w:val="32"/>
          <w:rFonts w:hint="eastAsia" w:ascii="宋体" w:hAnsi="宋体" w:cs="宋体"/>
          <w:b/>
          <w:bCs w:val="0"/>
          <w:color w:val="auto"/>
          <w:kern w:val="0"/>
          <w:sz w:val="24"/>
          <w:szCs w:val="24"/>
          <w:lang w:val="en-US" w:eastAsia="zh-CN" w:bidi="ar-SA"/>
        </w:rPr>
        <w:t>成交</w:t>
      </w:r>
      <w:r>
        <w:rPr>
          <w:rStyle w:val="32"/>
          <w:rFonts w:hint="eastAsia" w:ascii="宋体" w:hAnsi="宋体" w:eastAsia="宋体" w:cs="宋体"/>
          <w:b/>
          <w:bCs w:val="0"/>
          <w:color w:val="auto"/>
          <w:kern w:val="0"/>
          <w:sz w:val="24"/>
          <w:szCs w:val="24"/>
          <w:lang w:val="en-US" w:eastAsia="zh-CN" w:bidi="ar-SA"/>
        </w:rPr>
        <w:t>资格。</w:t>
      </w:r>
    </w:p>
    <w:p w14:paraId="10B02B47">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1.评</w:t>
      </w:r>
      <w:r>
        <w:rPr>
          <w:rFonts w:hint="eastAsia" w:ascii="宋体" w:hAnsi="宋体" w:eastAsia="宋体" w:cs="宋体"/>
          <w:b/>
          <w:sz w:val="24"/>
          <w:lang w:val="en-US" w:eastAsia="zh-CN"/>
        </w:rPr>
        <w:t>审</w:t>
      </w:r>
      <w:r>
        <w:rPr>
          <w:rFonts w:hint="eastAsia" w:ascii="宋体" w:hAnsi="宋体" w:eastAsia="宋体" w:cs="宋体"/>
          <w:b/>
          <w:sz w:val="24"/>
        </w:rPr>
        <w:t>方法</w:t>
      </w:r>
    </w:p>
    <w:p w14:paraId="584CF79F">
      <w:pPr>
        <w:spacing w:line="360" w:lineRule="auto"/>
        <w:ind w:firstLine="480" w:firstLineChars="200"/>
        <w:rPr>
          <w:rFonts w:hint="eastAsia" w:ascii="宋体" w:hAnsi="宋体" w:eastAsia="宋体" w:cs="宋体"/>
          <w:sz w:val="24"/>
        </w:rPr>
      </w:pPr>
      <w:bookmarkStart w:id="9" w:name="_Toc449367501"/>
      <w:r>
        <w:rPr>
          <w:rFonts w:hint="eastAsia" w:ascii="宋体" w:hAnsi="宋体" w:eastAsia="宋体" w:cs="宋体"/>
          <w:sz w:val="24"/>
        </w:rPr>
        <w:t>本项目采用综合评分法进行评审，即在最大限度地满足竞争性磋商文件全部实质性要求且按评审因素的量化指标评审得分最高的供应商为成交候选供应商的评审方法。</w:t>
      </w:r>
    </w:p>
    <w:p w14:paraId="5C50353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2.评审标准</w:t>
      </w:r>
      <w:bookmarkEnd w:id="9"/>
    </w:p>
    <w:p w14:paraId="4E126EB3">
      <w:pPr>
        <w:keepNext w:val="0"/>
        <w:keepLines w:val="0"/>
        <w:pageBreakBefore w:val="0"/>
        <w:widowControl/>
        <w:kinsoku/>
        <w:wordWrap/>
        <w:overflowPunct/>
        <w:topLinePunct w:val="0"/>
        <w:autoSpaceDE/>
        <w:autoSpaceDN/>
        <w:bidi w:val="0"/>
        <w:adjustRightInd/>
        <w:spacing w:line="480" w:lineRule="exact"/>
        <w:ind w:firstLine="482" w:firstLineChars="200"/>
        <w:jc w:val="left"/>
        <w:textAlignment w:val="baseline"/>
        <w:rPr>
          <w:rFonts w:hint="eastAsia" w:ascii="宋体" w:hAnsi="宋体" w:eastAsia="宋体" w:cs="宋体"/>
        </w:rPr>
      </w:pPr>
      <w:r>
        <w:rPr>
          <w:rFonts w:hint="eastAsia" w:ascii="宋体" w:hAnsi="宋体" w:eastAsia="宋体" w:cs="宋体"/>
          <w:b/>
          <w:sz w:val="24"/>
        </w:rPr>
        <w:t>2.1初步评审标准</w:t>
      </w:r>
    </w:p>
    <w:p w14:paraId="6B5B284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2.1.1</w:t>
      </w:r>
      <w:r>
        <w:rPr>
          <w:rFonts w:hint="eastAsia" w:ascii="宋体" w:hAnsi="宋体" w:eastAsia="宋体" w:cs="宋体"/>
          <w:sz w:val="24"/>
          <w:lang w:eastAsia="zh-CN"/>
        </w:rPr>
        <w:t>符合性</w:t>
      </w:r>
      <w:r>
        <w:rPr>
          <w:rFonts w:hint="eastAsia" w:ascii="宋体" w:hAnsi="宋体" w:eastAsia="宋体" w:cs="宋体"/>
          <w:sz w:val="24"/>
        </w:rPr>
        <w:t>评审标准：见</w:t>
      </w:r>
      <w:r>
        <w:rPr>
          <w:rFonts w:hint="eastAsia" w:ascii="宋体" w:hAnsi="宋体" w:cs="宋体"/>
          <w:sz w:val="24"/>
          <w:lang w:eastAsia="zh-CN"/>
        </w:rPr>
        <w:t>评审办法</w:t>
      </w:r>
      <w:r>
        <w:rPr>
          <w:rFonts w:hint="eastAsia" w:ascii="宋体" w:hAnsi="宋体" w:eastAsia="宋体" w:cs="宋体"/>
          <w:sz w:val="24"/>
        </w:rPr>
        <w:t>前附表。</w:t>
      </w:r>
    </w:p>
    <w:p w14:paraId="0B0662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2.1.2资格评审标准：见</w:t>
      </w:r>
      <w:r>
        <w:rPr>
          <w:rFonts w:hint="eastAsia" w:ascii="宋体" w:hAnsi="宋体" w:cs="宋体"/>
          <w:sz w:val="24"/>
          <w:lang w:eastAsia="zh-CN"/>
        </w:rPr>
        <w:t>评审办法</w:t>
      </w:r>
      <w:r>
        <w:rPr>
          <w:rFonts w:hint="eastAsia" w:ascii="宋体" w:hAnsi="宋体" w:eastAsia="宋体" w:cs="宋体"/>
          <w:sz w:val="24"/>
        </w:rPr>
        <w:t>前附表。</w:t>
      </w:r>
    </w:p>
    <w:p w14:paraId="34C2250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2.1.3响应性评审标准：见</w:t>
      </w:r>
      <w:r>
        <w:rPr>
          <w:rFonts w:hint="eastAsia" w:ascii="宋体" w:hAnsi="宋体" w:cs="宋体"/>
          <w:sz w:val="24"/>
          <w:lang w:eastAsia="zh-CN"/>
        </w:rPr>
        <w:t>评审办法</w:t>
      </w:r>
      <w:r>
        <w:rPr>
          <w:rFonts w:hint="eastAsia" w:ascii="宋体" w:hAnsi="宋体" w:eastAsia="宋体" w:cs="宋体"/>
          <w:sz w:val="24"/>
        </w:rPr>
        <w:t>前附表。</w:t>
      </w:r>
    </w:p>
    <w:p w14:paraId="23B01256">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2.2分值构成与评分标准</w:t>
      </w:r>
    </w:p>
    <w:p w14:paraId="733C9B9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2.2.1分值构成</w:t>
      </w:r>
    </w:p>
    <w:p w14:paraId="1F0C099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报价得分：</w:t>
      </w:r>
      <w:r>
        <w:rPr>
          <w:rFonts w:hint="eastAsia" w:ascii="宋体" w:hAnsi="宋体" w:cs="宋体"/>
          <w:sz w:val="24"/>
          <w:lang w:val="en-US" w:eastAsia="zh-CN"/>
        </w:rPr>
        <w:t>20</w:t>
      </w:r>
      <w:r>
        <w:rPr>
          <w:rFonts w:hint="eastAsia" w:ascii="宋体" w:hAnsi="宋体" w:eastAsia="宋体" w:cs="宋体"/>
          <w:sz w:val="24"/>
          <w:lang w:val="en-US" w:eastAsia="zh-CN"/>
        </w:rPr>
        <w:t>分</w:t>
      </w:r>
    </w:p>
    <w:p w14:paraId="7327C48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val="en-US"/>
        </w:rPr>
      </w:pPr>
      <w:r>
        <w:rPr>
          <w:rFonts w:hint="eastAsia" w:ascii="宋体" w:hAnsi="宋体" w:eastAsia="宋体" w:cs="宋体"/>
          <w:sz w:val="24"/>
        </w:rPr>
        <w:t>（2）技术</w:t>
      </w:r>
      <w:r>
        <w:rPr>
          <w:rFonts w:hint="eastAsia" w:ascii="宋体" w:hAnsi="宋体" w:eastAsia="宋体" w:cs="宋体"/>
          <w:sz w:val="24"/>
          <w:lang w:val="en-US" w:eastAsia="zh-CN"/>
        </w:rPr>
        <w:t>得分：</w:t>
      </w:r>
      <w:r>
        <w:rPr>
          <w:rFonts w:hint="eastAsia" w:ascii="宋体" w:hAnsi="宋体" w:cs="宋体"/>
          <w:sz w:val="24"/>
          <w:lang w:val="en-US" w:eastAsia="zh-CN"/>
        </w:rPr>
        <w:t>5</w:t>
      </w:r>
      <w:r>
        <w:rPr>
          <w:rFonts w:hint="eastAsia" w:ascii="宋体" w:hAnsi="宋体" w:eastAsia="宋体" w:cs="宋体"/>
          <w:sz w:val="24"/>
          <w:lang w:val="en-US" w:eastAsia="zh-CN"/>
        </w:rPr>
        <w:t>0分</w:t>
      </w:r>
    </w:p>
    <w:p w14:paraId="5B1040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rPr>
        <w:t>（3）</w:t>
      </w:r>
      <w:r>
        <w:rPr>
          <w:rFonts w:hint="eastAsia" w:ascii="宋体" w:hAnsi="宋体" w:eastAsia="宋体" w:cs="宋体"/>
          <w:sz w:val="24"/>
          <w:highlight w:val="none"/>
        </w:rPr>
        <w:t>综合</w:t>
      </w:r>
      <w:r>
        <w:rPr>
          <w:rFonts w:hint="eastAsia" w:ascii="宋体" w:hAnsi="宋体" w:eastAsia="宋体" w:cs="宋体"/>
          <w:sz w:val="24"/>
          <w:highlight w:val="none"/>
          <w:lang w:val="en-US" w:eastAsia="zh-CN"/>
        </w:rPr>
        <w:t>得分：</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0分</w:t>
      </w:r>
    </w:p>
    <w:p w14:paraId="213A5E4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2.2.</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评分标准</w:t>
      </w:r>
    </w:p>
    <w:p w14:paraId="0C2201F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（1）报价部分：见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374BC4B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（2）技术部分：见</w:t>
      </w:r>
      <w:r>
        <w:rPr>
          <w:rFonts w:hint="eastAsia" w:ascii="宋体" w:hAnsi="宋体" w:cs="宋体"/>
          <w:sz w:val="24"/>
          <w:highlight w:val="none"/>
          <w:lang w:eastAsia="zh-CN"/>
        </w:rPr>
        <w:t>评审办法</w:t>
      </w:r>
      <w:r>
        <w:rPr>
          <w:rFonts w:hint="eastAsia" w:ascii="宋体" w:hAnsi="宋体" w:eastAsia="宋体" w:cs="宋体"/>
          <w:sz w:val="24"/>
          <w:highlight w:val="none"/>
        </w:rPr>
        <w:t>前附表；</w:t>
      </w:r>
    </w:p>
    <w:p w14:paraId="6710CCF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highlight w:val="none"/>
        </w:rPr>
        <w:t>（3）</w:t>
      </w:r>
      <w:r>
        <w:rPr>
          <w:rFonts w:hint="eastAsia" w:ascii="宋体" w:hAnsi="宋体" w:cs="宋体"/>
          <w:sz w:val="24"/>
          <w:highlight w:val="none"/>
          <w:lang w:val="en-US" w:eastAsia="zh-CN"/>
        </w:rPr>
        <w:t>商务部分</w:t>
      </w:r>
      <w:r>
        <w:rPr>
          <w:rFonts w:hint="eastAsia" w:ascii="宋体" w:hAnsi="宋体" w:eastAsia="宋体" w:cs="宋体"/>
          <w:sz w:val="24"/>
          <w:highlight w:val="none"/>
        </w:rPr>
        <w:t>：见</w:t>
      </w:r>
      <w:r>
        <w:rPr>
          <w:rFonts w:hint="eastAsia" w:ascii="宋体" w:hAnsi="宋体" w:cs="宋体"/>
          <w:sz w:val="24"/>
          <w:highlight w:val="none"/>
          <w:lang w:eastAsia="zh-CN"/>
        </w:rPr>
        <w:t>评</w:t>
      </w:r>
      <w:r>
        <w:rPr>
          <w:rFonts w:hint="eastAsia" w:ascii="宋体" w:hAnsi="宋体" w:cs="宋体"/>
          <w:sz w:val="24"/>
          <w:lang w:eastAsia="zh-CN"/>
        </w:rPr>
        <w:t>审办法</w:t>
      </w:r>
      <w:r>
        <w:rPr>
          <w:rFonts w:hint="eastAsia" w:ascii="宋体" w:hAnsi="宋体" w:eastAsia="宋体" w:cs="宋体"/>
          <w:sz w:val="24"/>
        </w:rPr>
        <w:t>前附表；</w:t>
      </w:r>
    </w:p>
    <w:p w14:paraId="1B5C69F3">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bookmarkStart w:id="10" w:name="_Toc449367502"/>
      <w:r>
        <w:rPr>
          <w:rFonts w:hint="eastAsia" w:ascii="宋体" w:hAnsi="宋体" w:eastAsia="宋体" w:cs="宋体"/>
          <w:b/>
          <w:sz w:val="24"/>
        </w:rPr>
        <w:t>3.评标程序</w:t>
      </w:r>
      <w:bookmarkEnd w:id="10"/>
    </w:p>
    <w:p w14:paraId="344A840B">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3.1初步评审</w:t>
      </w:r>
    </w:p>
    <w:p w14:paraId="4385844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3.1.1磋商小组依据本章第2.1项规定的评审标准对磋商响应文件进行初步评审。有一项不符合评审标准的，作废标处理。</w:t>
      </w:r>
    </w:p>
    <w:p w14:paraId="059054F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3.1.2供应商有以下情形之一的，磋商小组应当否决其磋商响应文件：</w:t>
      </w:r>
    </w:p>
    <w:p w14:paraId="56F56CD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（1）未按磋商文件规定要求签署、盖章的；</w:t>
      </w:r>
    </w:p>
    <w:p w14:paraId="7ABE061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（2）供应商不按要求参加磋商的；</w:t>
      </w:r>
    </w:p>
    <w:p w14:paraId="747DC48A">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（3）有弄虚作假、串通、行贿等违法行为的；</w:t>
      </w:r>
    </w:p>
    <w:p w14:paraId="1526E6E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（4）响应内容与采购需求及采购项目要求有实质性偏离的；</w:t>
      </w:r>
    </w:p>
    <w:p w14:paraId="1ECF5FC1">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（5）同一供应商提交两个以上不同报价的；</w:t>
      </w:r>
    </w:p>
    <w:p w14:paraId="79E9BFD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（6）恶意提高（压低）报价或报价超过预算控制金额的；</w:t>
      </w:r>
    </w:p>
    <w:p w14:paraId="3F5BB9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kern w:val="0"/>
          <w:sz w:val="24"/>
          <w:szCs w:val="24"/>
          <w:highlight w:val="none"/>
        </w:rPr>
        <w:t>服务周期</w:t>
      </w:r>
      <w:r>
        <w:rPr>
          <w:rFonts w:hint="eastAsia" w:ascii="宋体" w:hAnsi="宋体" w:eastAsia="宋体" w:cs="宋体"/>
          <w:kern w:val="0"/>
          <w:sz w:val="24"/>
          <w:szCs w:val="24"/>
          <w:highlight w:val="none"/>
          <w:lang w:val="en-US" w:eastAsia="zh-CN"/>
        </w:rPr>
        <w:t>、质量要求</w:t>
      </w:r>
      <w:r>
        <w:rPr>
          <w:rFonts w:hint="eastAsia" w:ascii="宋体" w:hAnsi="宋体" w:eastAsia="宋体" w:cs="宋体"/>
          <w:sz w:val="24"/>
        </w:rPr>
        <w:t>不满足磋商文件要求的；</w:t>
      </w:r>
    </w:p>
    <w:p w14:paraId="16C39550">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（8）资格证明不全或者不具备磋商文件中规定的供应商资格要求的；</w:t>
      </w:r>
    </w:p>
    <w:p w14:paraId="1C37142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（9）不符合法律、法规和磋商文件中规定的其他实质性要求的。</w:t>
      </w:r>
    </w:p>
    <w:p w14:paraId="1154B20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3.1.3</w:t>
      </w:r>
      <w:r>
        <w:rPr>
          <w:rFonts w:hint="eastAsia" w:ascii="宋体" w:hAnsi="宋体" w:cs="宋体"/>
          <w:sz w:val="24"/>
          <w:lang w:eastAsia="zh-CN"/>
        </w:rPr>
        <w:t>磋商报价</w:t>
      </w:r>
      <w:r>
        <w:rPr>
          <w:rFonts w:hint="eastAsia" w:ascii="宋体" w:hAnsi="宋体" w:eastAsia="宋体" w:cs="宋体"/>
          <w:sz w:val="24"/>
        </w:rPr>
        <w:t>有算术错误的，磋商小组按以下原则对报价进行修正，修正的价格经供应商书面确认后具有约束力。供应商不接受修正价格的，其投标作废标处理。</w:t>
      </w:r>
    </w:p>
    <w:p w14:paraId="21F67A9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29F257BB">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（3）单价金额小数点或者百分比有明显错位的，以报价一览表的总价为准，并修改单价；</w:t>
      </w:r>
    </w:p>
    <w:p w14:paraId="5AF39CC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（4）总价金额与按单价汇总金额不一致的，以单价金额计算结果为准。</w:t>
      </w:r>
    </w:p>
    <w:p w14:paraId="31FBFD0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7CF77B00">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lang w:eastAsia="zh-CN"/>
        </w:rPr>
      </w:pPr>
      <w:r>
        <w:rPr>
          <w:rFonts w:hint="eastAsia" w:ascii="宋体" w:hAnsi="宋体" w:eastAsia="宋体" w:cs="宋体"/>
          <w:b/>
          <w:sz w:val="24"/>
        </w:rPr>
        <w:t>3.2详细评审</w:t>
      </w:r>
    </w:p>
    <w:p w14:paraId="671164A2">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3.2.1磋商小组按本章第2.2款规定的量化因素和分值进行打分，并计算出综合评估得分。</w:t>
      </w:r>
      <w:r>
        <w:rPr>
          <w:rFonts w:hint="eastAsia" w:ascii="宋体" w:hAnsi="宋体" w:eastAsia="宋体" w:cs="宋体"/>
          <w:b/>
          <w:sz w:val="24"/>
        </w:rPr>
        <w:t>每个供应商最终得分为各评委打分的算术平均值。</w:t>
      </w:r>
    </w:p>
    <w:p w14:paraId="25B19B5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3.2.2评分分值计算保留小数点后两位，小数点后第三位“四舍五入”。</w:t>
      </w:r>
    </w:p>
    <w:p w14:paraId="57F3D334">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3.2.3磋商小组汇总供应商的各项得分，相加后为供应商最终得分。</w:t>
      </w:r>
    </w:p>
    <w:p w14:paraId="21A6CDA9">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3.2.4本项目有</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w:t>
      </w:r>
      <w:r>
        <w:rPr>
          <w:rFonts w:hint="eastAsia" w:ascii="宋体" w:hAnsi="宋体" w:eastAsia="宋体" w:cs="宋体"/>
          <w:sz w:val="24"/>
          <w:lang w:eastAsia="zh-CN"/>
        </w:rPr>
        <w:t>，</w:t>
      </w:r>
      <w:r>
        <w:rPr>
          <w:rFonts w:hint="eastAsia" w:ascii="宋体" w:hAnsi="宋体" w:eastAsia="宋体" w:cs="宋体"/>
          <w:sz w:val="24"/>
        </w:rPr>
        <w:t>最后报价（</w:t>
      </w:r>
      <w:r>
        <w:rPr>
          <w:rFonts w:hint="eastAsia" w:ascii="宋体" w:hAnsi="宋体" w:eastAsia="宋体" w:cs="宋体"/>
          <w:sz w:val="24"/>
          <w:lang w:val="en-US" w:eastAsia="zh-CN"/>
        </w:rPr>
        <w:t>第</w:t>
      </w:r>
      <w:r>
        <w:rPr>
          <w:rFonts w:hint="eastAsia" w:ascii="宋体" w:hAnsi="宋体" w:eastAsia="宋体" w:cs="宋体"/>
          <w:sz w:val="24"/>
        </w:rPr>
        <w:t>二轮报价）是供应商响应文件的有效组成部分。</w:t>
      </w:r>
    </w:p>
    <w:p w14:paraId="69834E56">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rPr>
      </w:pPr>
      <w:r>
        <w:rPr>
          <w:rFonts w:hint="eastAsia" w:ascii="宋体" w:hAnsi="宋体" w:eastAsia="宋体" w:cs="宋体"/>
          <w:sz w:val="24"/>
        </w:rPr>
        <w:t>3.2.</w:t>
      </w:r>
      <w:r>
        <w:rPr>
          <w:rFonts w:hint="eastAsia" w:ascii="宋体" w:hAnsi="宋体" w:cs="宋体"/>
          <w:sz w:val="24"/>
          <w:lang w:val="en-US" w:eastAsia="zh-CN"/>
        </w:rPr>
        <w:t>5</w:t>
      </w:r>
      <w:r>
        <w:rPr>
          <w:rFonts w:hint="eastAsia" w:ascii="宋体" w:hAnsi="宋体" w:eastAsia="宋体" w:cs="宋体"/>
          <w:sz w:val="24"/>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14:paraId="255EC738">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3.3磋商响应文件的澄清和补正</w:t>
      </w:r>
    </w:p>
    <w:p w14:paraId="542A618D">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3.3.1在评标过程中，磋商小组可以书面形式要求供应商对所提交磋商响应文件中不明确的内容进行书面澄清或说明，或者对细微偏差进行补正。磋商小组不接受供应商主动提出的澄清、说明或补正。</w:t>
      </w:r>
    </w:p>
    <w:p w14:paraId="7ED801F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3.3.2澄清、说明和补正不得改变磋商响应文件的实质性内容（算术性错误修正的除外）。供应商的书面澄清、说明和补正属于磋商响应文件的组成部分。</w:t>
      </w:r>
    </w:p>
    <w:p w14:paraId="307036C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3.3.3磋商小组对供应商提交的澄清、说明或补正有疑问的，可以要求供应商进一步澄清、说明或补正，直至满足磋商小组的要求。</w:t>
      </w:r>
    </w:p>
    <w:p w14:paraId="0D25BA6F">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b/>
          <w:sz w:val="24"/>
        </w:rPr>
      </w:pPr>
      <w:r>
        <w:rPr>
          <w:rFonts w:hint="eastAsia" w:ascii="宋体" w:hAnsi="宋体" w:eastAsia="宋体" w:cs="宋体"/>
          <w:b/>
          <w:sz w:val="24"/>
        </w:rPr>
        <w:t>3.4定标办法</w:t>
      </w:r>
    </w:p>
    <w:p w14:paraId="183EF1C5">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3.4.1磋商小组按照上述办法打分，最后按照各供应商最终得分从高到低排序。</w:t>
      </w:r>
    </w:p>
    <w:p w14:paraId="35D6AA8E">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3.4.2磋商小组完成评标后，应当向采购人提交书面评</w:t>
      </w:r>
      <w:r>
        <w:rPr>
          <w:rFonts w:hint="eastAsia" w:ascii="宋体" w:hAnsi="宋体" w:eastAsia="宋体" w:cs="宋体"/>
          <w:sz w:val="24"/>
          <w:lang w:val="en-US" w:eastAsia="zh-CN"/>
        </w:rPr>
        <w:t>审</w:t>
      </w:r>
      <w:r>
        <w:rPr>
          <w:rFonts w:hint="eastAsia" w:ascii="宋体" w:hAnsi="宋体" w:eastAsia="宋体" w:cs="宋体"/>
          <w:sz w:val="24"/>
        </w:rPr>
        <w:t>报告。向采购人推荐</w:t>
      </w: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3家成交候选人，得分最高的供应商为第一成交候选人，得分第二的供应商为第二成交候选人。</w:t>
      </w:r>
    </w:p>
    <w:p w14:paraId="105CE058">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3.4.3按供应商得分由高到低排序，采购人应当确定排名第一的成交候选人为成交人。排名第一的成交候选人放弃</w:t>
      </w:r>
      <w:r>
        <w:rPr>
          <w:rFonts w:hint="eastAsia" w:ascii="宋体" w:hAnsi="宋体" w:cs="宋体"/>
          <w:sz w:val="24"/>
          <w:lang w:eastAsia="zh-CN"/>
        </w:rPr>
        <w:t>成交</w:t>
      </w:r>
      <w:r>
        <w:rPr>
          <w:rFonts w:hint="eastAsia" w:ascii="宋体" w:hAnsi="宋体" w:eastAsia="宋体" w:cs="宋体"/>
          <w:sz w:val="24"/>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cs="宋体"/>
          <w:sz w:val="24"/>
          <w:lang w:eastAsia="zh-CN"/>
        </w:rPr>
        <w:t>磋商</w:t>
      </w:r>
      <w:r>
        <w:rPr>
          <w:rFonts w:hint="eastAsia" w:ascii="宋体" w:hAnsi="宋体" w:eastAsia="宋体" w:cs="宋体"/>
          <w:sz w:val="24"/>
        </w:rPr>
        <w:t>。</w:t>
      </w:r>
    </w:p>
    <w:p w14:paraId="305F7A84">
      <w:pPr>
        <w:keepNext w:val="0"/>
        <w:keepLines w:val="0"/>
        <w:pageBreakBefore w:val="0"/>
        <w:widowControl/>
        <w:kinsoku/>
        <w:wordWrap/>
        <w:overflowPunct/>
        <w:topLinePunct w:val="0"/>
        <w:autoSpaceDE/>
        <w:autoSpaceDN/>
        <w:bidi w:val="0"/>
        <w:adjustRightInd/>
        <w:snapToGrid w:val="0"/>
        <w:spacing w:line="480" w:lineRule="exact"/>
        <w:ind w:right="31" w:rightChars="15" w:firstLine="482" w:firstLineChars="200"/>
        <w:textAlignment w:val="baseline"/>
        <w:rPr>
          <w:rFonts w:hint="eastAsia" w:ascii="宋体" w:hAnsi="宋体" w:eastAsia="宋体" w:cs="宋体"/>
          <w:sz w:val="24"/>
        </w:rPr>
      </w:pPr>
      <w:bookmarkStart w:id="11" w:name="_Toc449367503"/>
      <w:r>
        <w:rPr>
          <w:rFonts w:hint="eastAsia" w:ascii="宋体" w:hAnsi="宋体" w:eastAsia="宋体" w:cs="宋体"/>
          <w:b/>
          <w:sz w:val="24"/>
        </w:rPr>
        <w:t>4.评标报告</w:t>
      </w:r>
      <w:bookmarkEnd w:id="11"/>
    </w:p>
    <w:p w14:paraId="44E0229F">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rPr>
      </w:pPr>
      <w:r>
        <w:rPr>
          <w:rFonts w:hint="eastAsia" w:ascii="宋体" w:hAnsi="宋体" w:eastAsia="宋体" w:cs="宋体"/>
          <w:sz w:val="24"/>
        </w:rPr>
        <w:t>磋商小组根据供应商须知前附表的规定向采购人提交评标报告。评标报告应当由磋商小组</w:t>
      </w:r>
      <w:r>
        <w:rPr>
          <w:rFonts w:hint="eastAsia" w:ascii="宋体" w:hAnsi="宋体" w:eastAsia="宋体" w:cs="宋体"/>
          <w:sz w:val="24"/>
          <w:lang w:val="en-US" w:eastAsia="zh-CN"/>
        </w:rPr>
        <w:t>全体</w:t>
      </w:r>
      <w:r>
        <w:rPr>
          <w:rFonts w:hint="eastAsia" w:ascii="宋体" w:hAnsi="宋体" w:eastAsia="宋体" w:cs="宋体"/>
          <w:sz w:val="24"/>
        </w:rPr>
        <w:t>成员签字，并于</w:t>
      </w:r>
      <w:r>
        <w:rPr>
          <w:rFonts w:hint="eastAsia" w:ascii="宋体" w:hAnsi="宋体" w:eastAsia="宋体" w:cs="宋体"/>
          <w:sz w:val="24"/>
          <w:lang w:val="en-US" w:eastAsia="zh-CN"/>
        </w:rPr>
        <w:t>评审</w:t>
      </w:r>
      <w:r>
        <w:rPr>
          <w:rFonts w:hint="eastAsia" w:ascii="宋体" w:hAnsi="宋体" w:eastAsia="宋体" w:cs="宋体"/>
          <w:sz w:val="24"/>
        </w:rPr>
        <w:t>结束后抄送有关行政监督部门。</w:t>
      </w:r>
    </w:p>
    <w:p w14:paraId="1E0E7933">
      <w:pPr>
        <w:keepNext w:val="0"/>
        <w:keepLines w:val="0"/>
        <w:pageBreakBefore w:val="0"/>
        <w:widowControl/>
        <w:kinsoku/>
        <w:wordWrap/>
        <w:overflowPunct/>
        <w:topLinePunct w:val="0"/>
        <w:autoSpaceDE/>
        <w:autoSpaceDN/>
        <w:bidi w:val="0"/>
        <w:adjustRightInd/>
        <w:snapToGrid w:val="0"/>
        <w:spacing w:line="480" w:lineRule="exact"/>
        <w:ind w:right="31" w:rightChars="15"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34D57686">
      <w:pPr>
        <w:spacing w:line="360" w:lineRule="auto"/>
        <w:ind w:right="-340" w:rightChars="-162"/>
        <w:rPr>
          <w:rFonts w:hint="eastAsia" w:ascii="宋体" w:hAnsi="宋体" w:eastAsia="宋体" w:cs="宋体"/>
        </w:rPr>
      </w:pPr>
    </w:p>
    <w:p w14:paraId="320B926C">
      <w:pPr>
        <w:rPr>
          <w:rFonts w:hint="eastAsia" w:ascii="宋体" w:hAnsi="宋体" w:eastAsia="宋体" w:cs="宋体"/>
          <w:color w:val="auto"/>
          <w:sz w:val="40"/>
          <w:szCs w:val="40"/>
        </w:rPr>
      </w:pPr>
      <w:r>
        <w:rPr>
          <w:rFonts w:hint="eastAsia" w:ascii="宋体" w:hAnsi="宋体" w:eastAsia="宋体" w:cs="宋体"/>
          <w:color w:val="auto"/>
          <w:sz w:val="40"/>
          <w:szCs w:val="40"/>
        </w:rPr>
        <w:br w:type="page"/>
      </w:r>
    </w:p>
    <w:p w14:paraId="658B8AE9">
      <w:pPr>
        <w:pStyle w:val="2"/>
        <w:keepNext w:val="0"/>
        <w:keepLines w:val="0"/>
        <w:spacing w:before="0" w:after="0" w:line="500" w:lineRule="exact"/>
        <w:jc w:val="center"/>
        <w:rPr>
          <w:rFonts w:hint="eastAsia" w:ascii="宋体" w:hAnsi="宋体" w:eastAsia="宋体" w:cs="宋体"/>
          <w:color w:val="auto"/>
          <w:sz w:val="40"/>
          <w:szCs w:val="40"/>
        </w:rPr>
      </w:pPr>
      <w:bookmarkStart w:id="12" w:name="_Toc30139"/>
      <w:r>
        <w:rPr>
          <w:rFonts w:hint="eastAsia" w:ascii="宋体" w:hAnsi="宋体" w:eastAsia="宋体" w:cs="宋体"/>
          <w:color w:val="auto"/>
          <w:sz w:val="40"/>
          <w:szCs w:val="40"/>
        </w:rPr>
        <w:t>第五章</w:t>
      </w:r>
      <w:bookmarkStart w:id="13" w:name="_Toc269828236"/>
      <w:r>
        <w:rPr>
          <w:rFonts w:hint="eastAsia" w:ascii="宋体" w:hAnsi="宋体" w:eastAsia="宋体" w:cs="宋体"/>
          <w:color w:val="auto"/>
          <w:sz w:val="40"/>
          <w:szCs w:val="40"/>
        </w:rPr>
        <w:t xml:space="preserve"> 合同主要条款</w:t>
      </w:r>
      <w:bookmarkEnd w:id="13"/>
      <w:r>
        <w:rPr>
          <w:rFonts w:hint="eastAsia" w:ascii="宋体" w:hAnsi="宋体" w:eastAsia="宋体" w:cs="宋体"/>
          <w:color w:val="auto"/>
          <w:sz w:val="40"/>
          <w:szCs w:val="40"/>
        </w:rPr>
        <w:t>及格式</w:t>
      </w:r>
      <w:bookmarkEnd w:id="8"/>
      <w:bookmarkEnd w:id="12"/>
    </w:p>
    <w:p w14:paraId="43164426">
      <w:pPr>
        <w:spacing w:line="360" w:lineRule="auto"/>
        <w:jc w:val="center"/>
        <w:textAlignment w:val="baseline"/>
        <w:rPr>
          <w:rFonts w:hint="eastAsia" w:ascii="宋体" w:hAnsi="宋体" w:eastAsia="宋体" w:cs="宋体"/>
          <w:b/>
          <w:bCs/>
          <w:kern w:val="0"/>
          <w:sz w:val="24"/>
          <w:szCs w:val="24"/>
        </w:rPr>
      </w:pPr>
    </w:p>
    <w:p w14:paraId="7463EBEC">
      <w:pPr>
        <w:spacing w:line="360" w:lineRule="auto"/>
        <w:jc w:val="center"/>
        <w:textAlignment w:val="baseline"/>
        <w:rPr>
          <w:rFonts w:hint="eastAsia" w:ascii="宋体" w:hAnsi="宋体" w:eastAsia="宋体" w:cs="宋体"/>
          <w:b/>
          <w:bCs/>
          <w:kern w:val="0"/>
          <w:sz w:val="24"/>
          <w:szCs w:val="24"/>
        </w:rPr>
      </w:pPr>
    </w:p>
    <w:p w14:paraId="121C15C4">
      <w:pPr>
        <w:pStyle w:val="10"/>
        <w:numPr>
          <w:ilvl w:val="0"/>
          <w:numId w:val="0"/>
        </w:numPr>
        <w:ind w:leftChars="0"/>
        <w:jc w:val="center"/>
        <w:rPr>
          <w:rFonts w:hint="eastAsia" w:ascii="宋体" w:hAnsi="宋体" w:eastAsia="宋体" w:cs="宋体"/>
          <w:lang w:eastAsia="zh-CN"/>
        </w:rPr>
      </w:pPr>
      <w:r>
        <w:rPr>
          <w:rFonts w:hint="eastAsia" w:ascii="宋体" w:hAnsi="宋体" w:eastAsia="宋体" w:cs="宋体"/>
          <w:lang w:val="en-US" w:eastAsia="zh-CN"/>
        </w:rPr>
        <w:t>以实际签订合同为准</w:t>
      </w:r>
    </w:p>
    <w:p w14:paraId="38F94A67">
      <w:pPr>
        <w:rPr>
          <w:rFonts w:hint="eastAsia" w:ascii="宋体" w:hAnsi="宋体" w:eastAsia="宋体" w:cs="宋体"/>
          <w:b/>
          <w:bCs/>
          <w:color w:val="auto"/>
          <w:sz w:val="40"/>
          <w:szCs w:val="40"/>
        </w:rPr>
      </w:pPr>
      <w:r>
        <w:rPr>
          <w:rFonts w:hint="eastAsia" w:ascii="宋体" w:hAnsi="宋体" w:eastAsia="宋体" w:cs="宋体"/>
          <w:b/>
          <w:bCs/>
          <w:color w:val="auto"/>
          <w:sz w:val="40"/>
          <w:szCs w:val="40"/>
        </w:rPr>
        <w:br w:type="page"/>
      </w:r>
    </w:p>
    <w:p w14:paraId="1D44F845">
      <w:pPr>
        <w:spacing w:line="360" w:lineRule="auto"/>
        <w:jc w:val="center"/>
        <w:textAlignment w:val="baseline"/>
        <w:outlineLvl w:val="0"/>
        <w:rPr>
          <w:rFonts w:hint="eastAsia" w:ascii="宋体" w:hAnsi="宋体" w:eastAsia="宋体" w:cs="宋体"/>
          <w:b/>
          <w:bCs/>
          <w:color w:val="auto"/>
          <w:sz w:val="40"/>
          <w:szCs w:val="40"/>
        </w:rPr>
      </w:pPr>
      <w:bookmarkStart w:id="14" w:name="_Toc29091"/>
      <w:r>
        <w:rPr>
          <w:rFonts w:hint="eastAsia" w:ascii="宋体" w:hAnsi="宋体" w:eastAsia="宋体" w:cs="宋体"/>
          <w:b/>
          <w:bCs/>
          <w:color w:val="auto"/>
          <w:sz w:val="40"/>
          <w:szCs w:val="40"/>
        </w:rPr>
        <w:t xml:space="preserve">第六章 </w:t>
      </w:r>
      <w:r>
        <w:rPr>
          <w:rFonts w:hint="eastAsia" w:ascii="宋体" w:hAnsi="宋体" w:eastAsia="宋体" w:cs="宋体"/>
          <w:b/>
          <w:sz w:val="32"/>
          <w:szCs w:val="32"/>
        </w:rPr>
        <w:t xml:space="preserve"> </w:t>
      </w:r>
      <w:r>
        <w:rPr>
          <w:rFonts w:hint="eastAsia" w:ascii="宋体" w:hAnsi="宋体" w:eastAsia="宋体" w:cs="宋体"/>
          <w:b/>
          <w:bCs/>
          <w:color w:val="auto"/>
          <w:sz w:val="40"/>
          <w:szCs w:val="40"/>
          <w:lang w:val="en-US" w:eastAsia="zh-CN"/>
        </w:rPr>
        <w:t>响应</w:t>
      </w:r>
      <w:r>
        <w:rPr>
          <w:rFonts w:hint="eastAsia" w:ascii="宋体" w:hAnsi="宋体" w:eastAsia="宋体" w:cs="宋体"/>
          <w:b/>
          <w:bCs/>
          <w:color w:val="auto"/>
          <w:sz w:val="40"/>
          <w:szCs w:val="40"/>
        </w:rPr>
        <w:t>文件格式</w:t>
      </w:r>
      <w:bookmarkEnd w:id="14"/>
    </w:p>
    <w:p w14:paraId="5D115FDB">
      <w:pPr>
        <w:pStyle w:val="3"/>
        <w:ind w:left="0" w:leftChars="0" w:firstLine="0" w:firstLineChars="0"/>
        <w:outlineLvl w:val="9"/>
        <w:rPr>
          <w:rFonts w:hint="eastAsia" w:ascii="宋体" w:hAnsi="宋体" w:eastAsia="宋体" w:cs="宋体"/>
        </w:rPr>
      </w:pPr>
    </w:p>
    <w:p w14:paraId="6C19F528">
      <w:pPr>
        <w:widowControl/>
        <w:spacing w:line="360" w:lineRule="auto"/>
        <w:jc w:val="center"/>
        <w:rPr>
          <w:rFonts w:hint="eastAsia" w:ascii="宋体" w:hAnsi="宋体" w:eastAsia="宋体" w:cs="宋体"/>
          <w:b/>
          <w:bCs/>
          <w:color w:val="auto"/>
          <w:sz w:val="36"/>
          <w:szCs w:val="36"/>
          <w:u w:val="none"/>
          <w:lang w:val="en-US"/>
        </w:rPr>
      </w:pPr>
      <w:r>
        <w:rPr>
          <w:rFonts w:hint="eastAsia" w:ascii="宋体" w:hAnsi="宋体" w:eastAsia="宋体" w:cs="宋体"/>
          <w:b/>
          <w:bCs/>
          <w:color w:val="auto"/>
          <w:spacing w:val="0"/>
          <w:w w:val="100"/>
          <w:kern w:val="2"/>
          <w:sz w:val="36"/>
          <w:szCs w:val="36"/>
          <w:u w:val="single"/>
          <w:lang w:val="en-US" w:eastAsia="zh-CN"/>
        </w:rPr>
        <w:t xml:space="preserve">                    </w:t>
      </w:r>
      <w:r>
        <w:rPr>
          <w:rFonts w:hint="eastAsia" w:ascii="宋体" w:hAnsi="宋体" w:eastAsia="宋体" w:cs="宋体"/>
          <w:b/>
          <w:bCs/>
          <w:color w:val="auto"/>
          <w:spacing w:val="0"/>
          <w:w w:val="100"/>
          <w:kern w:val="2"/>
          <w:sz w:val="36"/>
          <w:szCs w:val="36"/>
          <w:u w:val="none"/>
          <w:lang w:val="en-US" w:eastAsia="zh-CN"/>
        </w:rPr>
        <w:t>（项目名称）</w:t>
      </w:r>
    </w:p>
    <w:p w14:paraId="52AC8A0C">
      <w:pPr>
        <w:pStyle w:val="17"/>
        <w:ind w:firstLine="210"/>
        <w:rPr>
          <w:rFonts w:hint="eastAsia" w:ascii="宋体" w:hAnsi="宋体" w:eastAsia="宋体" w:cs="宋体"/>
          <w:color w:val="auto"/>
        </w:rPr>
      </w:pPr>
    </w:p>
    <w:p w14:paraId="71CFFC85">
      <w:pPr>
        <w:widowControl/>
        <w:spacing w:line="360" w:lineRule="auto"/>
        <w:jc w:val="center"/>
        <w:rPr>
          <w:rFonts w:hint="eastAsia" w:ascii="宋体" w:hAnsi="宋体" w:eastAsia="宋体" w:cs="宋体"/>
          <w:b/>
          <w:bCs/>
          <w:color w:val="auto"/>
          <w:kern w:val="0"/>
          <w:sz w:val="84"/>
          <w:szCs w:val="84"/>
          <w:lang w:val="en-US" w:eastAsia="zh-CN"/>
        </w:rPr>
      </w:pPr>
    </w:p>
    <w:p w14:paraId="4991F3B0">
      <w:pPr>
        <w:widowControl/>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lang w:val="en-US" w:eastAsia="zh-CN"/>
        </w:rPr>
        <w:t>响 应</w:t>
      </w:r>
      <w:r>
        <w:rPr>
          <w:rFonts w:hint="eastAsia" w:ascii="宋体" w:hAnsi="宋体" w:eastAsia="宋体" w:cs="宋体"/>
          <w:b/>
          <w:bCs/>
          <w:color w:val="auto"/>
          <w:kern w:val="0"/>
          <w:sz w:val="84"/>
          <w:szCs w:val="84"/>
        </w:rPr>
        <w:t xml:space="preserve"> 文 件</w:t>
      </w:r>
    </w:p>
    <w:p w14:paraId="38E7148E">
      <w:pPr>
        <w:spacing w:line="360" w:lineRule="auto"/>
        <w:rPr>
          <w:rFonts w:hint="eastAsia" w:ascii="宋体" w:hAnsi="宋体" w:eastAsia="宋体" w:cs="宋体"/>
          <w:b/>
          <w:bCs/>
          <w:color w:val="auto"/>
          <w:sz w:val="32"/>
          <w:szCs w:val="32"/>
        </w:rPr>
      </w:pPr>
    </w:p>
    <w:p w14:paraId="71909D2E">
      <w:pPr>
        <w:ind w:firstLine="2891" w:firstLineChars="900"/>
        <w:rPr>
          <w:rFonts w:hint="default" w:ascii="宋体" w:hAnsi="宋体" w:eastAsia="宋体" w:cs="宋体"/>
          <w:bCs/>
          <w:color w:val="auto"/>
          <w:sz w:val="30"/>
          <w:szCs w:val="30"/>
          <w:u w:val="single"/>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u w:val="single"/>
          <w:lang w:val="en-US" w:eastAsia="zh-CN"/>
        </w:rPr>
        <w:t xml:space="preserve">            </w:t>
      </w:r>
    </w:p>
    <w:p w14:paraId="54CE6B7B">
      <w:pPr>
        <w:ind w:firstLine="1807" w:firstLineChars="600"/>
        <w:rPr>
          <w:rFonts w:hint="eastAsia" w:ascii="宋体" w:hAnsi="宋体" w:eastAsia="宋体" w:cs="宋体"/>
          <w:b/>
          <w:bCs/>
          <w:color w:val="auto"/>
          <w:sz w:val="32"/>
          <w:szCs w:val="32"/>
        </w:rPr>
      </w:pPr>
      <w:r>
        <w:rPr>
          <w:rFonts w:hint="eastAsia" w:ascii="宋体" w:hAnsi="宋体" w:eastAsia="宋体" w:cs="宋体"/>
          <w:b/>
          <w:bCs/>
          <w:color w:val="auto"/>
          <w:sz w:val="30"/>
          <w:szCs w:val="30"/>
          <w:lang w:eastAsia="zh-CN"/>
        </w:rPr>
        <w:t xml:space="preserve">    </w:t>
      </w:r>
    </w:p>
    <w:p w14:paraId="2DDE17F2">
      <w:pPr>
        <w:spacing w:line="480" w:lineRule="auto"/>
        <w:rPr>
          <w:rFonts w:hint="eastAsia" w:ascii="宋体" w:hAnsi="宋体" w:eastAsia="宋体" w:cs="宋体"/>
          <w:b/>
          <w:bCs/>
          <w:color w:val="auto"/>
          <w:sz w:val="28"/>
          <w:szCs w:val="28"/>
        </w:rPr>
      </w:pPr>
    </w:p>
    <w:p w14:paraId="162AA538">
      <w:pPr>
        <w:pStyle w:val="17"/>
        <w:ind w:firstLine="210"/>
        <w:rPr>
          <w:rFonts w:hint="eastAsia" w:ascii="宋体" w:hAnsi="宋体" w:eastAsia="宋体" w:cs="宋体"/>
          <w:color w:val="auto"/>
        </w:rPr>
      </w:pPr>
    </w:p>
    <w:p w14:paraId="6CD87999">
      <w:pPr>
        <w:pStyle w:val="17"/>
        <w:ind w:firstLine="0" w:firstLineChars="0"/>
        <w:rPr>
          <w:rFonts w:hint="eastAsia" w:ascii="宋体" w:hAnsi="宋体" w:eastAsia="宋体" w:cs="宋体"/>
          <w:color w:val="auto"/>
        </w:rPr>
      </w:pPr>
    </w:p>
    <w:p w14:paraId="032E273D">
      <w:pPr>
        <w:spacing w:line="480" w:lineRule="auto"/>
        <w:rPr>
          <w:rFonts w:hint="eastAsia" w:ascii="宋体" w:hAnsi="宋体" w:eastAsia="宋体" w:cs="宋体"/>
          <w:color w:val="auto"/>
          <w:sz w:val="28"/>
          <w:szCs w:val="28"/>
        </w:rPr>
      </w:pPr>
    </w:p>
    <w:p w14:paraId="249746E9">
      <w:pPr>
        <w:pStyle w:val="17"/>
        <w:ind w:firstLine="210"/>
        <w:rPr>
          <w:rFonts w:hint="eastAsia" w:ascii="宋体" w:hAnsi="宋体" w:eastAsia="宋体" w:cs="宋体"/>
          <w:color w:val="auto"/>
        </w:rPr>
      </w:pPr>
    </w:p>
    <w:p w14:paraId="56B43B47">
      <w:pPr>
        <w:pStyle w:val="3"/>
        <w:ind w:left="0" w:leftChars="0" w:firstLine="0" w:firstLineChars="0"/>
        <w:outlineLvl w:val="9"/>
        <w:rPr>
          <w:rFonts w:hint="eastAsia" w:ascii="宋体" w:hAnsi="宋体" w:eastAsia="宋体" w:cs="宋体"/>
          <w:color w:val="auto"/>
        </w:rPr>
      </w:pPr>
    </w:p>
    <w:p w14:paraId="1F9C0CC3">
      <w:pPr>
        <w:spacing w:line="360" w:lineRule="auto"/>
        <w:ind w:firstLine="1280" w:firstLineChars="400"/>
        <w:jc w:val="both"/>
        <w:rPr>
          <w:rFonts w:hint="eastAsia" w:ascii="宋体" w:hAnsi="宋体" w:eastAsia="宋体" w:cs="宋体"/>
          <w:sz w:val="32"/>
          <w:szCs w:val="32"/>
        </w:rPr>
      </w:pPr>
      <w:r>
        <w:rPr>
          <w:rFonts w:hint="eastAsia" w:ascii="宋体" w:hAnsi="宋体" w:eastAsia="宋体" w:cs="宋体"/>
          <w:sz w:val="32"/>
          <w:szCs w:val="32"/>
        </w:rPr>
        <w:t>供应商名称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（盖章）</w:t>
      </w:r>
    </w:p>
    <w:p w14:paraId="5FF90D94">
      <w:pPr>
        <w:spacing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法定代表人：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rPr>
        <w:t>（</w:t>
      </w:r>
      <w:r>
        <w:rPr>
          <w:rFonts w:hint="eastAsia" w:ascii="宋体" w:hAnsi="宋体" w:eastAsia="宋体" w:cs="宋体"/>
          <w:sz w:val="32"/>
          <w:szCs w:val="32"/>
        </w:rPr>
        <w:t>签字或盖章）</w:t>
      </w:r>
    </w:p>
    <w:p w14:paraId="7EF3ED21">
      <w:pPr>
        <w:jc w:val="center"/>
        <w:rPr>
          <w:rFonts w:hint="eastAsia" w:ascii="宋体" w:hAnsi="宋体" w:eastAsia="宋体" w:cs="宋体"/>
          <w:sz w:val="32"/>
          <w:szCs w:val="32"/>
        </w:rPr>
      </w:pPr>
      <w:r>
        <w:rPr>
          <w:rFonts w:hint="eastAsia" w:ascii="宋体" w:hAnsi="宋体" w:eastAsia="宋体" w:cs="宋体"/>
          <w:sz w:val="32"/>
          <w:szCs w:val="32"/>
        </w:rPr>
        <w:t>年  月  日</w:t>
      </w:r>
    </w:p>
    <w:p w14:paraId="6F72F1F6">
      <w:pPr>
        <w:rPr>
          <w:rFonts w:hint="eastAsia" w:ascii="宋体" w:hAnsi="宋体" w:eastAsia="宋体" w:cs="宋体"/>
          <w:color w:val="auto"/>
        </w:rPr>
      </w:pPr>
    </w:p>
    <w:p w14:paraId="547F319D">
      <w:pPr>
        <w:spacing w:line="360" w:lineRule="auto"/>
        <w:ind w:firstLine="1066" w:firstLineChars="295"/>
        <w:jc w:val="center"/>
        <w:rPr>
          <w:rFonts w:hint="eastAsia" w:ascii="宋体" w:hAnsi="宋体" w:eastAsia="宋体" w:cs="宋体"/>
          <w:b/>
          <w:bCs/>
          <w:color w:val="auto"/>
          <w:sz w:val="36"/>
          <w:szCs w:val="36"/>
        </w:rPr>
      </w:pPr>
    </w:p>
    <w:p w14:paraId="457ABEBA">
      <w:pPr>
        <w:spacing w:line="360" w:lineRule="auto"/>
        <w:jc w:val="center"/>
        <w:rPr>
          <w:rFonts w:hint="eastAsia" w:ascii="宋体" w:hAnsi="宋体" w:eastAsia="宋体" w:cs="宋体"/>
          <w:b/>
          <w:bCs/>
          <w:color w:val="auto"/>
          <w:sz w:val="36"/>
          <w:szCs w:val="36"/>
        </w:rPr>
      </w:pPr>
    </w:p>
    <w:p w14:paraId="0E8A05A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6FE1B650">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目录</w:t>
      </w:r>
    </w:p>
    <w:p w14:paraId="1AC995E3">
      <w:pPr>
        <w:spacing w:line="360" w:lineRule="auto"/>
        <w:rPr>
          <w:rFonts w:hint="eastAsia" w:ascii="宋体" w:hAnsi="宋体" w:eastAsia="宋体" w:cs="宋体"/>
          <w:bCs/>
          <w:color w:val="auto"/>
          <w:sz w:val="24"/>
          <w:szCs w:val="24"/>
        </w:rPr>
      </w:pPr>
    </w:p>
    <w:p w14:paraId="456165DE">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一、响应函及响应函附录</w:t>
      </w:r>
    </w:p>
    <w:p w14:paraId="636CD175">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二、法定代表人身份证明</w:t>
      </w:r>
    </w:p>
    <w:p w14:paraId="01CD80E3">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三、授权委托书</w:t>
      </w:r>
    </w:p>
    <w:p w14:paraId="1C488BC6">
      <w:pPr>
        <w:spacing w:beforeLines="100" w:line="510" w:lineRule="exact"/>
        <w:ind w:left="1260" w:leftChars="600"/>
        <w:rPr>
          <w:rFonts w:hint="eastAsia" w:ascii="宋体" w:hAnsi="宋体" w:eastAsia="宋体" w:cs="宋体"/>
          <w:sz w:val="24"/>
        </w:rPr>
      </w:pPr>
      <w:r>
        <w:rPr>
          <w:rFonts w:hint="eastAsia" w:ascii="宋体" w:hAnsi="宋体" w:eastAsia="宋体" w:cs="宋体"/>
          <w:sz w:val="24"/>
          <w:lang w:val="zh-CN"/>
        </w:rPr>
        <w:t>四、</w:t>
      </w:r>
      <w:r>
        <w:rPr>
          <w:rFonts w:hint="eastAsia" w:ascii="宋体" w:hAnsi="宋体" w:eastAsia="宋体" w:cs="宋体"/>
          <w:sz w:val="24"/>
        </w:rPr>
        <w:t>资格审查</w:t>
      </w:r>
    </w:p>
    <w:p w14:paraId="64EA0422">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lang w:val="zh-CN"/>
        </w:rPr>
        <w:t>五、供应商基本情况表</w:t>
      </w:r>
    </w:p>
    <w:p w14:paraId="31228A66">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zh-CN"/>
        </w:rPr>
        <w:t>、</w:t>
      </w:r>
      <w:r>
        <w:rPr>
          <w:rFonts w:hint="eastAsia" w:ascii="宋体" w:hAnsi="宋体" w:eastAsia="宋体" w:cs="宋体"/>
          <w:sz w:val="24"/>
        </w:rPr>
        <w:t>技术部分</w:t>
      </w:r>
    </w:p>
    <w:p w14:paraId="25058B38">
      <w:pPr>
        <w:spacing w:beforeLines="100" w:line="510" w:lineRule="exact"/>
        <w:ind w:left="1260" w:leftChars="600"/>
        <w:rPr>
          <w:rFonts w:hint="eastAsia" w:ascii="宋体" w:hAnsi="宋体" w:eastAsia="宋体" w:cs="宋体"/>
          <w:sz w:val="24"/>
          <w:lang w:val="zh-CN"/>
        </w:rPr>
      </w:pPr>
      <w:r>
        <w:rPr>
          <w:rFonts w:hint="eastAsia" w:ascii="宋体" w:hAnsi="宋体" w:eastAsia="宋体" w:cs="宋体"/>
          <w:sz w:val="24"/>
        </w:rPr>
        <w:t>七</w:t>
      </w:r>
      <w:r>
        <w:rPr>
          <w:rFonts w:hint="eastAsia" w:ascii="宋体" w:hAnsi="宋体" w:eastAsia="宋体" w:cs="宋体"/>
          <w:sz w:val="24"/>
          <w:lang w:val="zh-CN"/>
        </w:rPr>
        <w:t>、</w:t>
      </w:r>
      <w:r>
        <w:rPr>
          <w:rFonts w:hint="eastAsia" w:ascii="宋体" w:hAnsi="宋体" w:eastAsia="宋体" w:cs="宋体"/>
          <w:sz w:val="24"/>
        </w:rPr>
        <w:t>商务部分</w:t>
      </w:r>
    </w:p>
    <w:p w14:paraId="4EEF6407">
      <w:pPr>
        <w:spacing w:beforeLines="100" w:line="510" w:lineRule="exact"/>
        <w:ind w:left="1260" w:leftChars="600"/>
        <w:rPr>
          <w:rFonts w:hint="eastAsia" w:ascii="宋体" w:hAnsi="宋体" w:eastAsia="宋体" w:cs="宋体"/>
          <w:sz w:val="24"/>
        </w:rPr>
      </w:pPr>
      <w:r>
        <w:rPr>
          <w:rFonts w:hint="eastAsia" w:ascii="宋体" w:hAnsi="宋体" w:eastAsia="宋体" w:cs="宋体"/>
          <w:sz w:val="24"/>
        </w:rPr>
        <w:t>八</w:t>
      </w:r>
      <w:r>
        <w:rPr>
          <w:rFonts w:hint="eastAsia" w:ascii="宋体" w:hAnsi="宋体" w:eastAsia="宋体" w:cs="宋体"/>
          <w:sz w:val="24"/>
          <w:lang w:val="zh-CN"/>
        </w:rPr>
        <w:t>、其他内容</w:t>
      </w:r>
    </w:p>
    <w:p w14:paraId="6D891448">
      <w:pPr>
        <w:spacing w:beforeLines="100" w:line="510" w:lineRule="exact"/>
        <w:rPr>
          <w:rFonts w:hint="eastAsia" w:ascii="宋体" w:hAnsi="宋体" w:eastAsia="宋体" w:cs="宋体"/>
          <w:sz w:val="24"/>
        </w:rPr>
      </w:pPr>
    </w:p>
    <w:p w14:paraId="7C2EA436">
      <w:pPr>
        <w:spacing w:beforeLines="100" w:line="510" w:lineRule="exact"/>
        <w:rPr>
          <w:rFonts w:hint="eastAsia" w:ascii="宋体" w:hAnsi="宋体" w:eastAsia="宋体" w:cs="宋体"/>
          <w:sz w:val="24"/>
        </w:rPr>
      </w:pPr>
    </w:p>
    <w:p w14:paraId="6E01BF64">
      <w:pPr>
        <w:spacing w:beforeLines="100" w:line="510" w:lineRule="exact"/>
        <w:rPr>
          <w:rFonts w:hint="eastAsia" w:ascii="宋体" w:hAnsi="宋体" w:eastAsia="宋体" w:cs="宋体"/>
          <w:sz w:val="24"/>
        </w:rPr>
      </w:pPr>
    </w:p>
    <w:p w14:paraId="18FDACF3">
      <w:pPr>
        <w:spacing w:beforeLines="100" w:line="510" w:lineRule="exact"/>
        <w:rPr>
          <w:rFonts w:hint="eastAsia" w:ascii="宋体" w:hAnsi="宋体" w:eastAsia="宋体" w:cs="宋体"/>
          <w:sz w:val="24"/>
        </w:rPr>
      </w:pPr>
    </w:p>
    <w:p w14:paraId="11247053">
      <w:pPr>
        <w:spacing w:beforeLines="100" w:line="510" w:lineRule="exact"/>
        <w:rPr>
          <w:rFonts w:hint="eastAsia" w:ascii="宋体" w:hAnsi="宋体" w:eastAsia="宋体" w:cs="宋体"/>
          <w:sz w:val="24"/>
        </w:rPr>
      </w:pPr>
      <w:r>
        <w:rPr>
          <w:rFonts w:hint="eastAsia" w:ascii="宋体" w:hAnsi="宋体" w:eastAsia="宋体" w:cs="宋体"/>
          <w:sz w:val="24"/>
        </w:rPr>
        <w:br w:type="page"/>
      </w:r>
    </w:p>
    <w:p w14:paraId="00399DD9">
      <w:pPr>
        <w:pStyle w:val="3"/>
        <w:pageBreakBefore w:val="0"/>
        <w:widowControl w:val="0"/>
        <w:kinsoku/>
        <w:overflowPunct/>
        <w:autoSpaceDE/>
        <w:autoSpaceDN/>
        <w:bidi w:val="0"/>
        <w:adjustRightInd/>
        <w:spacing w:before="0" w:beforeAutospacing="0" w:after="0" w:afterAutospacing="0" w:line="480" w:lineRule="auto"/>
        <w:rPr>
          <w:rFonts w:hint="eastAsia"/>
          <w:lang w:val="en-US" w:eastAsia="zh-CN"/>
        </w:rPr>
      </w:pPr>
      <w:bookmarkStart w:id="15" w:name="_Toc375040623"/>
      <w:bookmarkStart w:id="16" w:name="_Toc375041320"/>
      <w:bookmarkStart w:id="17" w:name="_Toc375041763"/>
      <w:bookmarkStart w:id="18" w:name="_Toc374947247"/>
      <w:bookmarkStart w:id="19" w:name="_Toc375041569"/>
      <w:bookmarkStart w:id="20" w:name="_Toc384309419"/>
      <w:bookmarkStart w:id="21" w:name="_Toc375040687"/>
      <w:r>
        <w:rPr>
          <w:rFonts w:hint="eastAsia"/>
          <w:lang w:val="en-US" w:eastAsia="zh-CN"/>
        </w:rPr>
        <w:t>一、响应函及</w:t>
      </w:r>
      <w:bookmarkEnd w:id="15"/>
      <w:bookmarkEnd w:id="16"/>
      <w:bookmarkEnd w:id="17"/>
      <w:bookmarkEnd w:id="18"/>
      <w:bookmarkEnd w:id="19"/>
      <w:bookmarkEnd w:id="20"/>
      <w:bookmarkEnd w:id="21"/>
      <w:r>
        <w:rPr>
          <w:rFonts w:hint="eastAsia"/>
          <w:lang w:val="en-US" w:eastAsia="zh-CN"/>
        </w:rPr>
        <w:t>响应函附录</w:t>
      </w:r>
    </w:p>
    <w:p w14:paraId="53633F02">
      <w:pPr>
        <w:pageBreakBefore w:val="0"/>
        <w:widowControl w:val="0"/>
        <w:kinsoku/>
        <w:overflowPunct/>
        <w:autoSpaceDE/>
        <w:autoSpaceDN/>
        <w:bidi w:val="0"/>
        <w:adjustRightInd/>
        <w:spacing w:beforeAutospacing="0" w:afterAutospacing="0" w:line="480" w:lineRule="auto"/>
        <w:jc w:val="center"/>
        <w:rPr>
          <w:rFonts w:hint="eastAsia" w:ascii="宋体" w:hAnsi="宋体" w:eastAsia="宋体" w:cs="宋体"/>
          <w:b/>
          <w:sz w:val="24"/>
        </w:rPr>
      </w:pPr>
      <w:bookmarkStart w:id="22" w:name="_Toc375041321"/>
      <w:bookmarkStart w:id="23" w:name="_Toc375041570"/>
      <w:r>
        <w:rPr>
          <w:rFonts w:hint="eastAsia" w:ascii="宋体" w:hAnsi="宋体" w:eastAsia="宋体" w:cs="宋体"/>
          <w:b/>
          <w:sz w:val="24"/>
        </w:rPr>
        <w:t>（一）响应函</w:t>
      </w:r>
      <w:bookmarkEnd w:id="22"/>
      <w:bookmarkEnd w:id="23"/>
    </w:p>
    <w:p w14:paraId="20139CF7">
      <w:pPr>
        <w:pageBreakBefore w:val="0"/>
        <w:widowControl w:val="0"/>
        <w:kinsoku/>
        <w:overflowPunct/>
        <w:autoSpaceDE/>
        <w:autoSpaceDN/>
        <w:bidi w:val="0"/>
        <w:adjustRightInd/>
        <w:spacing w:beforeAutospacing="0" w:afterAutospacing="0" w:line="480" w:lineRule="auto"/>
        <w:rPr>
          <w:rFonts w:hint="eastAsia" w:ascii="宋体" w:hAnsi="宋体" w:eastAsia="宋体" w:cs="宋体"/>
          <w:sz w:val="24"/>
          <w:szCs w:val="24"/>
          <w:u w:val="single"/>
          <w:lang w:bidi="zh-CN"/>
        </w:rPr>
      </w:pPr>
      <w:r>
        <w:rPr>
          <w:rFonts w:hint="eastAsia" w:ascii="宋体" w:hAnsi="宋体" w:eastAsia="宋体" w:cs="宋体"/>
          <w:sz w:val="24"/>
          <w:szCs w:val="24"/>
          <w:u w:val="single"/>
          <w:lang w:bidi="zh-CN"/>
        </w:rPr>
        <w:t>致：</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（采购人名称）：</w:t>
      </w:r>
    </w:p>
    <w:p w14:paraId="678AE868">
      <w:pPr>
        <w:pageBreakBefore w:val="0"/>
        <w:widowControl w:val="0"/>
        <w:numPr>
          <w:ilvl w:val="0"/>
          <w:numId w:val="2"/>
        </w:numPr>
        <w:kinsoku/>
        <w:wordWrap w:val="0"/>
        <w:overflowPunct/>
        <w:topLinePunct/>
        <w:autoSpaceDE/>
        <w:autoSpaceDN/>
        <w:bidi w:val="0"/>
        <w:adjustRightInd/>
        <w:snapToGrid w:val="0"/>
        <w:spacing w:beforeAutospacing="0" w:afterAutospacing="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zh-CN"/>
        </w:rPr>
        <w:t>我方已仔细研究了</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u w:val="single"/>
          <w:lang w:bidi="zh-CN"/>
        </w:rPr>
        <w:t>（项目名称）</w:t>
      </w:r>
      <w:r>
        <w:rPr>
          <w:rFonts w:hint="eastAsia" w:ascii="宋体" w:hAnsi="宋体" w:eastAsia="宋体" w:cs="宋体"/>
          <w:sz w:val="24"/>
          <w:szCs w:val="24"/>
          <w:lang w:bidi="zh-CN"/>
        </w:rPr>
        <w:t>磋商文件的全部内容，愿以报价</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val="en-US" w:bidi="zh-CN"/>
        </w:rPr>
        <w:t xml:space="preserve"> </w:t>
      </w:r>
      <w:r>
        <w:rPr>
          <w:rFonts w:hint="eastAsia" w:ascii="宋体" w:hAnsi="宋体" w:eastAsia="宋体" w:cs="宋体"/>
          <w:sz w:val="24"/>
          <w:szCs w:val="24"/>
          <w:lang w:bidi="zh-CN"/>
        </w:rPr>
        <w:t>（大写）</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（小写），对本项目进行第一轮报价；服务</w:t>
      </w:r>
      <w:r>
        <w:rPr>
          <w:rFonts w:hint="eastAsia" w:ascii="宋体" w:hAnsi="宋体" w:cs="宋体"/>
          <w:sz w:val="24"/>
          <w:szCs w:val="24"/>
          <w:lang w:val="en-US" w:bidi="zh-CN"/>
        </w:rPr>
        <w:t>周期</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，质量要求</w:t>
      </w:r>
      <w:r>
        <w:rPr>
          <w:rFonts w:hint="eastAsia" w:ascii="宋体" w:hAnsi="宋体" w:eastAsia="宋体" w:cs="宋体"/>
          <w:sz w:val="24"/>
          <w:szCs w:val="24"/>
          <w:lang w:val="en-US" w:bidi="zh-CN"/>
        </w:rPr>
        <w:t xml:space="preserve"> </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w:t>
      </w:r>
    </w:p>
    <w:p w14:paraId="6742A730">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u w:val="single"/>
          <w:lang w:bidi="zh-CN"/>
        </w:rPr>
      </w:pPr>
      <w:r>
        <w:rPr>
          <w:rFonts w:hint="eastAsia" w:ascii="宋体" w:hAnsi="宋体" w:eastAsia="宋体" w:cs="宋体"/>
          <w:sz w:val="24"/>
          <w:szCs w:val="24"/>
          <w:lang w:bidi="zh-CN"/>
        </w:rPr>
        <w:t>2．我方承诺在响应文件递交截止之日起</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日历天内不修改、撤销响应文件。</w:t>
      </w:r>
    </w:p>
    <w:p w14:paraId="4E0A4F0A">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3．我方已详细审阅全部竞争性磋商文件，包括修改文件（如果有的话），及有关附件，我方完全知道必须放弃提出含糊不清或误解的权力。</w:t>
      </w:r>
    </w:p>
    <w:p w14:paraId="3ABD7AC6">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4. 我方承认</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u w:val="none"/>
          <w:lang w:bidi="zh-CN"/>
        </w:rPr>
        <w:t>函附表</w:t>
      </w:r>
      <w:r>
        <w:rPr>
          <w:rFonts w:hint="eastAsia" w:ascii="宋体" w:hAnsi="宋体" w:eastAsia="宋体" w:cs="宋体"/>
          <w:sz w:val="24"/>
          <w:szCs w:val="24"/>
          <w:highlight w:val="none"/>
          <w:lang w:bidi="zh-CN"/>
        </w:rPr>
        <w:t>是我方</w:t>
      </w:r>
      <w:r>
        <w:rPr>
          <w:rFonts w:hint="eastAsia" w:ascii="宋体" w:hAnsi="宋体" w:cs="宋体"/>
          <w:sz w:val="24"/>
          <w:szCs w:val="24"/>
          <w:highlight w:val="none"/>
          <w:lang w:val="en-US" w:bidi="zh-CN"/>
        </w:rPr>
        <w:t>响应</w:t>
      </w:r>
      <w:r>
        <w:rPr>
          <w:rFonts w:hint="eastAsia" w:ascii="宋体" w:hAnsi="宋体" w:eastAsia="宋体" w:cs="宋体"/>
          <w:sz w:val="24"/>
          <w:szCs w:val="24"/>
          <w:highlight w:val="none"/>
          <w:lang w:bidi="zh-CN"/>
        </w:rPr>
        <w:t>函的组</w:t>
      </w:r>
      <w:r>
        <w:rPr>
          <w:rFonts w:hint="eastAsia" w:ascii="宋体" w:hAnsi="宋体" w:eastAsia="宋体" w:cs="宋体"/>
          <w:sz w:val="24"/>
          <w:szCs w:val="24"/>
          <w:lang w:bidi="zh-CN"/>
        </w:rPr>
        <w:t>成部分。</w:t>
      </w:r>
    </w:p>
    <w:p w14:paraId="245BE9B2">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5. 一旦我方</w:t>
      </w:r>
      <w:r>
        <w:rPr>
          <w:rFonts w:hint="eastAsia" w:ascii="宋体" w:hAnsi="宋体" w:cs="宋体"/>
          <w:sz w:val="24"/>
          <w:szCs w:val="24"/>
          <w:lang w:bidi="zh-CN"/>
        </w:rPr>
        <w:t>成交</w:t>
      </w:r>
      <w:r>
        <w:rPr>
          <w:rFonts w:hint="eastAsia" w:ascii="宋体" w:hAnsi="宋体" w:eastAsia="宋体" w:cs="宋体"/>
          <w:sz w:val="24"/>
          <w:szCs w:val="24"/>
          <w:lang w:bidi="zh-CN"/>
        </w:rPr>
        <w:t>，我们将按照竞争性磋商文件中规定的各项要求和我们的响应文件中的表述和承诺，按期、按质、按量完成工作内容及义务。</w:t>
      </w:r>
    </w:p>
    <w:p w14:paraId="02C76E28">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6.我方在此声明，所递交的响应文件及有关资料内容完整、真实和准确。</w:t>
      </w:r>
    </w:p>
    <w:p w14:paraId="59081CC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7．若我方</w:t>
      </w:r>
      <w:r>
        <w:rPr>
          <w:rFonts w:hint="eastAsia" w:ascii="宋体" w:hAnsi="宋体" w:cs="宋体"/>
          <w:sz w:val="24"/>
          <w:szCs w:val="24"/>
          <w:lang w:bidi="zh-CN"/>
        </w:rPr>
        <w:t>成交</w:t>
      </w:r>
      <w:r>
        <w:rPr>
          <w:rFonts w:hint="eastAsia" w:ascii="宋体" w:hAnsi="宋体" w:eastAsia="宋体" w:cs="宋体"/>
          <w:sz w:val="24"/>
          <w:szCs w:val="24"/>
          <w:lang w:bidi="zh-CN"/>
        </w:rPr>
        <w:t>，我方承诺按照国家相关规定向代理机构缴纳</w:t>
      </w:r>
      <w:r>
        <w:rPr>
          <w:rFonts w:hint="eastAsia" w:ascii="宋体" w:hAnsi="宋体" w:cs="宋体"/>
          <w:sz w:val="24"/>
          <w:szCs w:val="24"/>
          <w:lang w:bidi="zh-CN"/>
        </w:rPr>
        <w:t>磋商</w:t>
      </w:r>
      <w:r>
        <w:rPr>
          <w:rFonts w:hint="eastAsia" w:ascii="宋体" w:hAnsi="宋体" w:eastAsia="宋体" w:cs="宋体"/>
          <w:sz w:val="24"/>
          <w:szCs w:val="24"/>
          <w:lang w:bidi="zh-CN"/>
        </w:rPr>
        <w:t>代理服务费。</w:t>
      </w:r>
    </w:p>
    <w:p w14:paraId="0B4C85A3">
      <w:pPr>
        <w:pageBreakBefore w:val="0"/>
        <w:widowControl w:val="0"/>
        <w:kinsoku/>
        <w:overflowPunct/>
        <w:autoSpaceDE/>
        <w:autoSpaceDN/>
        <w:bidi w:val="0"/>
        <w:adjustRightInd/>
        <w:spacing w:beforeAutospacing="0" w:afterAutospacing="0" w:line="480" w:lineRule="auto"/>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8.</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lang w:bidi="zh-CN"/>
        </w:rPr>
        <w:t>（其他补充说明）。</w:t>
      </w:r>
    </w:p>
    <w:p w14:paraId="7BE5706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p>
    <w:p w14:paraId="6CD924E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3B93E99E">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18A414C1">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575E0D9">
      <w:pPr>
        <w:rPr>
          <w:rFonts w:hint="eastAsia" w:ascii="宋体" w:hAnsi="宋体" w:eastAsia="宋体" w:cs="宋体"/>
          <w:b/>
          <w:bCs/>
          <w:szCs w:val="28"/>
        </w:rPr>
      </w:pPr>
      <w:r>
        <w:rPr>
          <w:rFonts w:hint="eastAsia" w:ascii="宋体" w:hAnsi="宋体" w:eastAsia="宋体" w:cs="宋体"/>
          <w:b/>
          <w:bCs/>
          <w:szCs w:val="28"/>
        </w:rPr>
        <w:br w:type="page"/>
      </w:r>
    </w:p>
    <w:p w14:paraId="6E9A2219">
      <w:pPr>
        <w:pStyle w:val="3"/>
        <w:numPr>
          <w:ilvl w:val="1"/>
          <w:numId w:val="0"/>
        </w:numPr>
        <w:ind w:left="419" w:leftChars="0"/>
        <w:jc w:val="center"/>
        <w:rPr>
          <w:rFonts w:hint="eastAsia" w:ascii="宋体" w:hAnsi="宋体" w:eastAsia="宋体" w:cs="宋体"/>
          <w:bCs/>
          <w:szCs w:val="28"/>
        </w:rPr>
      </w:pPr>
      <w:r>
        <w:rPr>
          <w:rFonts w:hint="eastAsia" w:ascii="宋体" w:hAnsi="宋体" w:eastAsia="宋体" w:cs="宋体"/>
          <w:bCs/>
          <w:szCs w:val="28"/>
        </w:rPr>
        <w:t>（二）响应函附录</w:t>
      </w:r>
    </w:p>
    <w:tbl>
      <w:tblPr>
        <w:tblStyle w:val="19"/>
        <w:tblW w:w="9299" w:type="dxa"/>
        <w:tblInd w:w="-45" w:type="dxa"/>
        <w:tblLayout w:type="fixed"/>
        <w:tblCellMar>
          <w:top w:w="0" w:type="dxa"/>
          <w:left w:w="108" w:type="dxa"/>
          <w:bottom w:w="0" w:type="dxa"/>
          <w:right w:w="108" w:type="dxa"/>
        </w:tblCellMar>
      </w:tblPr>
      <w:tblGrid>
        <w:gridCol w:w="1973"/>
        <w:gridCol w:w="3264"/>
        <w:gridCol w:w="1265"/>
        <w:gridCol w:w="2797"/>
      </w:tblGrid>
      <w:tr w14:paraId="000B529B">
        <w:tblPrEx>
          <w:tblCellMar>
            <w:top w:w="0" w:type="dxa"/>
            <w:left w:w="108" w:type="dxa"/>
            <w:bottom w:w="0" w:type="dxa"/>
            <w:right w:w="108" w:type="dxa"/>
          </w:tblCellMar>
        </w:tblPrEx>
        <w:trPr>
          <w:cantSplit/>
          <w:trHeight w:val="867" w:hRule="exact"/>
        </w:trPr>
        <w:tc>
          <w:tcPr>
            <w:tcW w:w="1973" w:type="dxa"/>
            <w:tcBorders>
              <w:top w:val="single" w:color="000000" w:sz="4" w:space="0"/>
              <w:left w:val="single" w:color="000000" w:sz="4" w:space="0"/>
              <w:bottom w:val="single" w:color="000000" w:sz="4" w:space="0"/>
              <w:right w:val="nil"/>
            </w:tcBorders>
            <w:vAlign w:val="center"/>
          </w:tcPr>
          <w:p w14:paraId="54B999C7">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935FC03">
            <w:pPr>
              <w:suppressAutoHyphens/>
              <w:snapToGrid w:val="0"/>
              <w:spacing w:line="400" w:lineRule="exact"/>
              <w:jc w:val="center"/>
              <w:rPr>
                <w:rFonts w:hint="eastAsia" w:ascii="宋体" w:hAnsi="宋体" w:eastAsia="宋体" w:cs="宋体"/>
                <w:sz w:val="24"/>
                <w:szCs w:val="24"/>
              </w:rPr>
            </w:pPr>
          </w:p>
        </w:tc>
      </w:tr>
      <w:tr w14:paraId="190A0628">
        <w:tblPrEx>
          <w:tblCellMar>
            <w:top w:w="0" w:type="dxa"/>
            <w:left w:w="108" w:type="dxa"/>
            <w:bottom w:w="0" w:type="dxa"/>
            <w:right w:w="108" w:type="dxa"/>
          </w:tblCellMar>
        </w:tblPrEx>
        <w:trPr>
          <w:cantSplit/>
          <w:trHeight w:val="884" w:hRule="exact"/>
        </w:trPr>
        <w:tc>
          <w:tcPr>
            <w:tcW w:w="1973" w:type="dxa"/>
            <w:tcBorders>
              <w:top w:val="single" w:color="000000" w:sz="4" w:space="0"/>
              <w:left w:val="single" w:color="000000" w:sz="4" w:space="0"/>
              <w:bottom w:val="single" w:color="000000" w:sz="4" w:space="0"/>
              <w:right w:val="nil"/>
            </w:tcBorders>
            <w:vAlign w:val="center"/>
          </w:tcPr>
          <w:p w14:paraId="5AE3940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2503E3D">
            <w:pPr>
              <w:suppressAutoHyphens/>
              <w:snapToGrid w:val="0"/>
              <w:spacing w:line="400" w:lineRule="exact"/>
              <w:jc w:val="center"/>
              <w:rPr>
                <w:rFonts w:hint="eastAsia" w:ascii="宋体" w:hAnsi="宋体" w:eastAsia="宋体" w:cs="宋体"/>
                <w:sz w:val="24"/>
                <w:szCs w:val="24"/>
              </w:rPr>
            </w:pPr>
          </w:p>
        </w:tc>
      </w:tr>
      <w:tr w14:paraId="04D3F548">
        <w:tblPrEx>
          <w:tblCellMar>
            <w:top w:w="0" w:type="dxa"/>
            <w:left w:w="108" w:type="dxa"/>
            <w:bottom w:w="0" w:type="dxa"/>
            <w:right w:w="108" w:type="dxa"/>
          </w:tblCellMar>
        </w:tblPrEx>
        <w:trPr>
          <w:cantSplit/>
          <w:trHeight w:val="1256" w:hRule="exact"/>
        </w:trPr>
        <w:tc>
          <w:tcPr>
            <w:tcW w:w="1973" w:type="dxa"/>
            <w:tcBorders>
              <w:top w:val="single" w:color="000000" w:sz="4" w:space="0"/>
              <w:left w:val="single" w:color="000000" w:sz="4" w:space="0"/>
              <w:bottom w:val="single" w:color="000000" w:sz="4" w:space="0"/>
              <w:right w:val="nil"/>
            </w:tcBorders>
            <w:vAlign w:val="center"/>
          </w:tcPr>
          <w:p w14:paraId="4A1A048F">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3264" w:type="dxa"/>
            <w:tcBorders>
              <w:top w:val="single" w:color="000000" w:sz="4" w:space="0"/>
              <w:left w:val="single" w:color="000000" w:sz="4" w:space="0"/>
              <w:bottom w:val="single" w:color="000000" w:sz="4" w:space="0"/>
              <w:right w:val="nil"/>
            </w:tcBorders>
            <w:vAlign w:val="center"/>
          </w:tcPr>
          <w:p w14:paraId="4DB50041">
            <w:pPr>
              <w:suppressAutoHyphens/>
              <w:snapToGrid w:val="0"/>
              <w:spacing w:line="400" w:lineRule="exact"/>
              <w:ind w:firstLine="210"/>
              <w:jc w:val="center"/>
              <w:rPr>
                <w:rFonts w:hint="eastAsia" w:ascii="宋体" w:hAnsi="宋体" w:eastAsia="宋体" w:cs="宋体"/>
                <w:sz w:val="24"/>
                <w:szCs w:val="24"/>
              </w:rPr>
            </w:pPr>
          </w:p>
        </w:tc>
        <w:tc>
          <w:tcPr>
            <w:tcW w:w="1265" w:type="dxa"/>
            <w:tcBorders>
              <w:top w:val="single" w:color="000000" w:sz="4" w:space="0"/>
              <w:left w:val="single" w:color="000000" w:sz="4" w:space="0"/>
              <w:bottom w:val="single" w:color="000000" w:sz="4" w:space="0"/>
              <w:right w:val="nil"/>
            </w:tcBorders>
            <w:vAlign w:val="center"/>
          </w:tcPr>
          <w:p w14:paraId="53D69C26">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797" w:type="dxa"/>
            <w:tcBorders>
              <w:top w:val="single" w:color="000000" w:sz="4" w:space="0"/>
              <w:left w:val="single" w:color="000000" w:sz="4" w:space="0"/>
              <w:bottom w:val="single" w:color="000000" w:sz="4" w:space="0"/>
              <w:right w:val="single" w:color="000000" w:sz="4" w:space="0"/>
            </w:tcBorders>
            <w:vAlign w:val="center"/>
          </w:tcPr>
          <w:p w14:paraId="5B99B569">
            <w:pPr>
              <w:suppressAutoHyphens/>
              <w:snapToGrid w:val="0"/>
              <w:spacing w:line="400" w:lineRule="exact"/>
              <w:rPr>
                <w:rFonts w:hint="eastAsia" w:ascii="宋体" w:hAnsi="宋体" w:eastAsia="宋体" w:cs="宋体"/>
                <w:sz w:val="24"/>
                <w:szCs w:val="24"/>
              </w:rPr>
            </w:pPr>
          </w:p>
        </w:tc>
      </w:tr>
      <w:tr w14:paraId="6FB36D03">
        <w:tblPrEx>
          <w:tblCellMar>
            <w:top w:w="0" w:type="dxa"/>
            <w:left w:w="108" w:type="dxa"/>
            <w:bottom w:w="0" w:type="dxa"/>
            <w:right w:w="108" w:type="dxa"/>
          </w:tblCellMar>
        </w:tblPrEx>
        <w:trPr>
          <w:cantSplit/>
          <w:trHeight w:val="1225" w:hRule="exact"/>
        </w:trPr>
        <w:tc>
          <w:tcPr>
            <w:tcW w:w="1973" w:type="dxa"/>
            <w:tcBorders>
              <w:top w:val="single" w:color="000000" w:sz="4" w:space="0"/>
              <w:left w:val="single" w:color="000000" w:sz="4" w:space="0"/>
              <w:bottom w:val="single" w:color="000000" w:sz="4" w:space="0"/>
              <w:right w:val="nil"/>
            </w:tcBorders>
            <w:vAlign w:val="center"/>
          </w:tcPr>
          <w:p w14:paraId="459368DB">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第一轮报价</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31034B8">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1BC0908E">
            <w:pPr>
              <w:suppressAutoHyphens/>
              <w:autoSpaceDE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tc>
      </w:tr>
      <w:tr w14:paraId="582D3A0A">
        <w:tblPrEx>
          <w:tblCellMar>
            <w:top w:w="0" w:type="dxa"/>
            <w:left w:w="108" w:type="dxa"/>
            <w:bottom w:w="0" w:type="dxa"/>
            <w:right w:w="108" w:type="dxa"/>
          </w:tblCellMar>
        </w:tblPrEx>
        <w:trPr>
          <w:cantSplit/>
          <w:trHeight w:val="940" w:hRule="exact"/>
        </w:trPr>
        <w:tc>
          <w:tcPr>
            <w:tcW w:w="1973" w:type="dxa"/>
            <w:tcBorders>
              <w:top w:val="single" w:color="000000" w:sz="4" w:space="0"/>
              <w:left w:val="single" w:color="000000" w:sz="4" w:space="0"/>
              <w:bottom w:val="single" w:color="000000" w:sz="4" w:space="0"/>
              <w:right w:val="nil"/>
            </w:tcBorders>
            <w:vAlign w:val="center"/>
          </w:tcPr>
          <w:p w14:paraId="051EAB5D">
            <w:pPr>
              <w:suppressAutoHyphens/>
              <w:snapToGrid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6CA87C57">
            <w:pPr>
              <w:suppressAutoHyphens/>
              <w:autoSpaceDE w:val="0"/>
              <w:snapToGrid w:val="0"/>
              <w:spacing w:line="400" w:lineRule="exact"/>
              <w:rPr>
                <w:rFonts w:hint="eastAsia" w:ascii="宋体" w:hAnsi="宋体" w:eastAsia="宋体" w:cs="宋体"/>
                <w:sz w:val="24"/>
                <w:szCs w:val="24"/>
              </w:rPr>
            </w:pPr>
          </w:p>
        </w:tc>
      </w:tr>
      <w:tr w14:paraId="643E811C">
        <w:tblPrEx>
          <w:tblCellMar>
            <w:top w:w="0" w:type="dxa"/>
            <w:left w:w="108" w:type="dxa"/>
            <w:bottom w:w="0" w:type="dxa"/>
            <w:right w:w="108" w:type="dxa"/>
          </w:tblCellMar>
        </w:tblPrEx>
        <w:trPr>
          <w:cantSplit/>
          <w:trHeight w:val="798" w:hRule="atLeast"/>
        </w:trPr>
        <w:tc>
          <w:tcPr>
            <w:tcW w:w="1973" w:type="dxa"/>
            <w:tcBorders>
              <w:top w:val="single" w:color="000000" w:sz="4" w:space="0"/>
              <w:left w:val="single" w:color="000000" w:sz="4" w:space="0"/>
              <w:bottom w:val="single" w:color="000000" w:sz="4" w:space="0"/>
              <w:right w:val="nil"/>
            </w:tcBorders>
            <w:vAlign w:val="center"/>
          </w:tcPr>
          <w:p w14:paraId="596A2C9E">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475EC19C">
            <w:pPr>
              <w:suppressAutoHyphens/>
              <w:snapToGrid w:val="0"/>
              <w:spacing w:line="400" w:lineRule="exact"/>
              <w:jc w:val="center"/>
              <w:rPr>
                <w:rFonts w:hint="eastAsia" w:ascii="宋体" w:hAnsi="宋体" w:eastAsia="宋体" w:cs="宋体"/>
                <w:sz w:val="24"/>
                <w:szCs w:val="24"/>
              </w:rPr>
            </w:pPr>
          </w:p>
        </w:tc>
      </w:tr>
      <w:tr w14:paraId="2FDE3CB3">
        <w:tblPrEx>
          <w:tblCellMar>
            <w:top w:w="0" w:type="dxa"/>
            <w:left w:w="108" w:type="dxa"/>
            <w:bottom w:w="0" w:type="dxa"/>
            <w:right w:w="108" w:type="dxa"/>
          </w:tblCellMar>
        </w:tblPrEx>
        <w:trPr>
          <w:cantSplit/>
          <w:trHeight w:val="1004" w:hRule="atLeast"/>
        </w:trPr>
        <w:tc>
          <w:tcPr>
            <w:tcW w:w="1973" w:type="dxa"/>
            <w:tcBorders>
              <w:top w:val="single" w:color="000000" w:sz="4" w:space="0"/>
              <w:left w:val="single" w:color="000000" w:sz="4" w:space="0"/>
              <w:bottom w:val="single" w:color="000000" w:sz="4" w:space="0"/>
              <w:right w:val="nil"/>
            </w:tcBorders>
            <w:vAlign w:val="center"/>
          </w:tcPr>
          <w:p w14:paraId="13D76672">
            <w:pPr>
              <w:suppressAutoHyphen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53252277">
            <w:pPr>
              <w:suppressAutoHyphens/>
              <w:snapToGrid w:val="0"/>
              <w:spacing w:line="400" w:lineRule="exact"/>
              <w:jc w:val="center"/>
              <w:rPr>
                <w:rFonts w:hint="eastAsia" w:ascii="宋体" w:hAnsi="宋体" w:eastAsia="宋体" w:cs="宋体"/>
                <w:sz w:val="24"/>
                <w:szCs w:val="24"/>
              </w:rPr>
            </w:pPr>
          </w:p>
        </w:tc>
      </w:tr>
      <w:tr w14:paraId="4B1946B6">
        <w:tblPrEx>
          <w:tblCellMar>
            <w:top w:w="0" w:type="dxa"/>
            <w:left w:w="108" w:type="dxa"/>
            <w:bottom w:w="0" w:type="dxa"/>
            <w:right w:w="108" w:type="dxa"/>
          </w:tblCellMar>
        </w:tblPrEx>
        <w:trPr>
          <w:cantSplit/>
          <w:trHeight w:val="1138" w:hRule="exact"/>
        </w:trPr>
        <w:tc>
          <w:tcPr>
            <w:tcW w:w="1973" w:type="dxa"/>
            <w:tcBorders>
              <w:top w:val="single" w:color="000000" w:sz="4" w:space="0"/>
              <w:left w:val="single" w:color="000000" w:sz="4" w:space="0"/>
              <w:bottom w:val="single" w:color="000000" w:sz="4" w:space="0"/>
              <w:right w:val="nil"/>
            </w:tcBorders>
            <w:vAlign w:val="center"/>
          </w:tcPr>
          <w:p w14:paraId="6ABB34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7326" w:type="dxa"/>
            <w:gridSpan w:val="3"/>
            <w:tcBorders>
              <w:top w:val="single" w:color="000000" w:sz="4" w:space="0"/>
              <w:left w:val="single" w:color="000000" w:sz="4" w:space="0"/>
              <w:bottom w:val="single" w:color="000000" w:sz="4" w:space="0"/>
              <w:right w:val="single" w:color="000000" w:sz="4" w:space="0"/>
            </w:tcBorders>
            <w:vAlign w:val="center"/>
          </w:tcPr>
          <w:p w14:paraId="775CD36F">
            <w:pPr>
              <w:suppressAutoHyphens/>
              <w:snapToGrid w:val="0"/>
              <w:spacing w:line="400" w:lineRule="exact"/>
              <w:jc w:val="center"/>
              <w:rPr>
                <w:rFonts w:hint="eastAsia" w:ascii="宋体" w:hAnsi="宋体" w:eastAsia="宋体" w:cs="宋体"/>
                <w:sz w:val="24"/>
                <w:szCs w:val="24"/>
              </w:rPr>
            </w:pPr>
          </w:p>
        </w:tc>
      </w:tr>
    </w:tbl>
    <w:p w14:paraId="0D9DE110">
      <w:pPr>
        <w:spacing w:line="360" w:lineRule="auto"/>
        <w:ind w:right="720"/>
        <w:jc w:val="center"/>
        <w:rPr>
          <w:rFonts w:hint="eastAsia" w:ascii="宋体" w:hAnsi="宋体" w:eastAsia="宋体" w:cs="宋体"/>
          <w:sz w:val="24"/>
        </w:rPr>
      </w:pPr>
    </w:p>
    <w:p w14:paraId="761A27D4">
      <w:pPr>
        <w:spacing w:line="360" w:lineRule="auto"/>
        <w:ind w:right="720"/>
        <w:jc w:val="center"/>
        <w:rPr>
          <w:rFonts w:hint="eastAsia" w:ascii="宋体" w:hAnsi="宋体" w:eastAsia="宋体" w:cs="宋体"/>
          <w:sz w:val="24"/>
        </w:rPr>
      </w:pPr>
    </w:p>
    <w:p w14:paraId="45C49813">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2725B70F">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5513E004">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C406469">
      <w:pPr>
        <w:rPr>
          <w:rFonts w:hint="eastAsia" w:ascii="宋体" w:hAnsi="宋体" w:eastAsia="宋体" w:cs="宋体"/>
          <w:sz w:val="30"/>
          <w:szCs w:val="30"/>
        </w:rPr>
      </w:pPr>
      <w:r>
        <w:rPr>
          <w:rFonts w:hint="eastAsia" w:ascii="宋体" w:hAnsi="宋体" w:eastAsia="宋体" w:cs="宋体"/>
          <w:sz w:val="30"/>
          <w:szCs w:val="30"/>
        </w:rPr>
        <w:br w:type="page"/>
      </w:r>
    </w:p>
    <w:p w14:paraId="7AAD225E">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二、法定代表人身份证明</w:t>
      </w:r>
    </w:p>
    <w:p w14:paraId="52F64008">
      <w:pPr>
        <w:spacing w:line="48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w:t>
      </w:r>
    </w:p>
    <w:p w14:paraId="5FC5DAB1">
      <w:pPr>
        <w:spacing w:line="480" w:lineRule="auto"/>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2A066D93">
      <w:pPr>
        <w:spacing w:line="48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8A7CE14">
      <w:pPr>
        <w:spacing w:line="480" w:lineRule="auto"/>
        <w:rPr>
          <w:rFonts w:hint="eastAsia" w:ascii="宋体" w:hAnsi="宋体" w:eastAsia="宋体" w:cs="宋体"/>
          <w:sz w:val="24"/>
          <w:szCs w:val="24"/>
        </w:rPr>
      </w:pPr>
      <w:r>
        <w:rPr>
          <w:rFonts w:hint="eastAsia" w:ascii="宋体" w:hAnsi="宋体" w:eastAsia="宋体" w:cs="宋体"/>
          <w:sz w:val="24"/>
          <w:szCs w:val="24"/>
        </w:rPr>
        <w:t>成立时间：   年   月   日</w:t>
      </w:r>
    </w:p>
    <w:p w14:paraId="71E12DE8">
      <w:pPr>
        <w:spacing w:line="480" w:lineRule="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41EB9C5B">
      <w:pPr>
        <w:spacing w:line="480" w:lineRule="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6689352D">
      <w:pPr>
        <w:spacing w:line="480" w:lineRule="auto"/>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rPr>
        <w:t xml:space="preserve">          </w:t>
      </w:r>
    </w:p>
    <w:p w14:paraId="5C5BC53E">
      <w:pPr>
        <w:spacing w:line="480" w:lineRule="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lang w:val="en-US" w:bidi="zh-CN"/>
        </w:rPr>
        <w:t xml:space="preserve">                    </w:t>
      </w:r>
      <w:r>
        <w:rPr>
          <w:rFonts w:hint="eastAsia" w:ascii="宋体" w:hAnsi="宋体" w:cs="宋体"/>
          <w:sz w:val="24"/>
          <w:szCs w:val="24"/>
          <w:u w:val="single"/>
          <w:lang w:val="en-US" w:bidi="zh-CN"/>
        </w:rPr>
        <w:t xml:space="preserve">  </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14:paraId="4887354B">
      <w:pPr>
        <w:spacing w:line="480" w:lineRule="auto"/>
        <w:rPr>
          <w:rFonts w:hint="eastAsia" w:ascii="宋体" w:hAnsi="宋体" w:eastAsia="宋体" w:cs="宋体"/>
          <w:sz w:val="24"/>
          <w:szCs w:val="24"/>
        </w:rPr>
      </w:pPr>
      <w:r>
        <w:rPr>
          <w:rFonts w:hint="eastAsia" w:ascii="宋体" w:hAnsi="宋体" w:eastAsia="宋体" w:cs="宋体"/>
          <w:sz w:val="24"/>
          <w:szCs w:val="24"/>
        </w:rPr>
        <w:t>特此证明。</w:t>
      </w:r>
    </w:p>
    <w:p w14:paraId="2182A1F7">
      <w:pPr>
        <w:spacing w:line="480" w:lineRule="auto"/>
        <w:ind w:right="480"/>
        <w:rPr>
          <w:rFonts w:hint="eastAsia" w:ascii="宋体" w:hAnsi="宋体" w:eastAsia="宋体" w:cs="宋体"/>
          <w:sz w:val="24"/>
          <w:szCs w:val="24"/>
        </w:rPr>
      </w:pPr>
    </w:p>
    <w:p w14:paraId="7BA2F625">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0504271C">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70C541CD">
      <w:pPr>
        <w:pageBreakBefore w:val="0"/>
        <w:widowControl w:val="0"/>
        <w:kinsoku/>
        <w:overflowPunct/>
        <w:autoSpaceDE/>
        <w:autoSpaceDN/>
        <w:bidi w:val="0"/>
        <w:adjustRightInd/>
        <w:spacing w:beforeAutospacing="0" w:afterAutospacing="0" w:line="480" w:lineRule="auto"/>
        <w:ind w:left="2940" w:leftChars="1400" w:firstLine="360" w:firstLineChars="150"/>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7EB85C9A">
      <w:pPr>
        <w:spacing w:line="480" w:lineRule="auto"/>
        <w:rPr>
          <w:rFonts w:hint="eastAsia" w:ascii="宋体" w:hAnsi="宋体" w:eastAsia="宋体" w:cs="宋体"/>
          <w:b/>
          <w:sz w:val="24"/>
          <w:szCs w:val="24"/>
        </w:rPr>
      </w:pPr>
      <w:r>
        <w:rPr>
          <w:rFonts w:hint="eastAsia" w:ascii="宋体" w:hAnsi="宋体" w:eastAsia="宋体" w:cs="宋体"/>
          <w:b/>
          <w:sz w:val="24"/>
          <w:szCs w:val="24"/>
        </w:rPr>
        <w:t>（后附法定代表人身份证扫描件）</w:t>
      </w:r>
    </w:p>
    <w:p w14:paraId="6F0C8190">
      <w:pPr>
        <w:rPr>
          <w:rFonts w:hint="eastAsia" w:ascii="宋体" w:hAnsi="宋体" w:eastAsia="宋体" w:cs="宋体"/>
        </w:rPr>
      </w:pPr>
    </w:p>
    <w:p w14:paraId="7AE7367B">
      <w:pPr>
        <w:rPr>
          <w:rFonts w:hint="eastAsia" w:ascii="宋体" w:hAnsi="宋体" w:eastAsia="宋体" w:cs="宋体"/>
        </w:rPr>
      </w:pPr>
    </w:p>
    <w:p w14:paraId="041579F1">
      <w:pPr>
        <w:rPr>
          <w:rFonts w:hint="eastAsia" w:ascii="宋体" w:hAnsi="宋体" w:eastAsia="宋体" w:cs="宋体"/>
        </w:rPr>
      </w:pPr>
    </w:p>
    <w:p w14:paraId="0EC91463">
      <w:pPr>
        <w:rPr>
          <w:rFonts w:hint="eastAsia" w:ascii="宋体" w:hAnsi="宋体" w:eastAsia="宋体" w:cs="宋体"/>
        </w:rPr>
      </w:pPr>
    </w:p>
    <w:p w14:paraId="41287465">
      <w:pPr>
        <w:pStyle w:val="3"/>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jc w:val="center"/>
        <w:textAlignment w:val="baseline"/>
        <w:rPr>
          <w:rFonts w:hint="eastAsia" w:ascii="宋体" w:hAnsi="宋体" w:eastAsia="宋体" w:cs="宋体"/>
          <w:sz w:val="24"/>
        </w:rPr>
      </w:pPr>
      <w:r>
        <w:rPr>
          <w:rFonts w:hint="eastAsia" w:ascii="宋体" w:hAnsi="宋体" w:eastAsia="宋体" w:cs="宋体"/>
          <w:sz w:val="30"/>
          <w:szCs w:val="30"/>
        </w:rPr>
        <w:br w:type="page"/>
      </w:r>
      <w:r>
        <w:rPr>
          <w:rFonts w:hint="eastAsia" w:ascii="宋体" w:hAnsi="宋体" w:eastAsia="宋体" w:cs="宋体"/>
          <w:sz w:val="30"/>
          <w:szCs w:val="30"/>
        </w:rPr>
        <w:t>三、授权委托书</w:t>
      </w:r>
    </w:p>
    <w:p w14:paraId="5F3975E7">
      <w:pPr>
        <w:spacing w:line="48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（供应商名称）</w:t>
      </w:r>
      <w:r>
        <w:rPr>
          <w:rFonts w:hint="eastAsia" w:ascii="宋体" w:hAnsi="宋体" w:eastAsia="宋体" w:cs="宋体"/>
          <w:sz w:val="24"/>
        </w:rPr>
        <w:t>的法定代表人，现委托</w:t>
      </w:r>
    </w:p>
    <w:p w14:paraId="7BF0774F">
      <w:pPr>
        <w:spacing w:line="480" w:lineRule="auto"/>
        <w:rPr>
          <w:rFonts w:hint="eastAsia" w:ascii="宋体" w:hAnsi="宋体" w:eastAsia="宋体" w:cs="宋体"/>
          <w:sz w:val="24"/>
        </w:rPr>
      </w:pP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szCs w:val="24"/>
          <w:u w:val="single"/>
          <w:lang w:val="en-US" w:bidi="zh-CN"/>
        </w:rPr>
        <w:t xml:space="preserve">               </w:t>
      </w:r>
      <w:r>
        <w:rPr>
          <w:rFonts w:hint="eastAsia" w:ascii="宋体" w:hAnsi="宋体" w:eastAsia="宋体" w:cs="宋体"/>
          <w:sz w:val="24"/>
          <w:u w:val="single"/>
        </w:rPr>
        <w:t>（项目名称）</w:t>
      </w:r>
      <w:r>
        <w:rPr>
          <w:rFonts w:hint="eastAsia" w:ascii="宋体" w:hAnsi="宋体" w:eastAsia="宋体" w:cs="宋体"/>
          <w:sz w:val="24"/>
        </w:rPr>
        <w:t>竞争性磋商文件、签订合同和处理有关事宜，其法律后果由我方承担。</w:t>
      </w:r>
    </w:p>
    <w:p w14:paraId="67EE731D">
      <w:pPr>
        <w:spacing w:beforeLines="50" w:line="48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w:t>
      </w:r>
    </w:p>
    <w:p w14:paraId="4602D3FD">
      <w:pPr>
        <w:spacing w:beforeLines="100" w:afterLines="100" w:line="48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555BE789">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162D5430">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258B43DE">
      <w:pPr>
        <w:spacing w:line="480" w:lineRule="auto"/>
        <w:ind w:firstLine="3360" w:firstLineChars="14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szCs w:val="24"/>
          <w:u w:val="single"/>
          <w:lang w:val="en-US" w:bidi="zh-CN"/>
        </w:rPr>
        <w:t xml:space="preserve">               </w:t>
      </w:r>
      <w:r>
        <w:rPr>
          <w:rFonts w:hint="eastAsia" w:ascii="宋体" w:hAnsi="宋体" w:eastAsia="宋体" w:cs="宋体"/>
          <w:sz w:val="24"/>
        </w:rPr>
        <w:t>（签字）</w:t>
      </w:r>
    </w:p>
    <w:p w14:paraId="606A72F3">
      <w:pPr>
        <w:spacing w:line="360" w:lineRule="auto"/>
        <w:ind w:left="2940" w:leftChars="1400" w:firstLine="360" w:firstLineChars="150"/>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EC517CF">
      <w:pPr>
        <w:rPr>
          <w:rFonts w:hint="eastAsia" w:ascii="宋体" w:hAnsi="宋体" w:eastAsia="宋体" w:cs="宋体"/>
        </w:rPr>
      </w:pPr>
    </w:p>
    <w:p w14:paraId="726F018A">
      <w:pPr>
        <w:spacing w:line="480" w:lineRule="auto"/>
        <w:ind w:firstLine="2409" w:firstLineChars="1000"/>
        <w:rPr>
          <w:rFonts w:hint="eastAsia" w:ascii="宋体" w:hAnsi="宋体" w:eastAsia="宋体" w:cs="宋体"/>
          <w:b/>
          <w:sz w:val="24"/>
          <w:szCs w:val="24"/>
        </w:rPr>
      </w:pPr>
      <w:r>
        <w:rPr>
          <w:rFonts w:hint="eastAsia" w:ascii="宋体" w:hAnsi="宋体" w:eastAsia="宋体" w:cs="宋体"/>
          <w:b/>
          <w:sz w:val="24"/>
          <w:szCs w:val="24"/>
        </w:rPr>
        <w:t>（后附法定代表人、委托代理人身份证扫描件）</w:t>
      </w:r>
      <w:bookmarkStart w:id="24" w:name="OLE_LINK6"/>
      <w:bookmarkStart w:id="25" w:name="OLE_LINK5"/>
    </w:p>
    <w:p w14:paraId="222C174B">
      <w:pPr>
        <w:widowControl/>
        <w:suppressAutoHyphens/>
        <w:spacing w:line="480" w:lineRule="exact"/>
        <w:ind w:firstLine="482" w:firstLineChars="200"/>
        <w:jc w:val="left"/>
        <w:rPr>
          <w:rFonts w:hint="eastAsia" w:ascii="宋体" w:hAnsi="宋体" w:cs="宋体"/>
          <w:b/>
          <w:bCs/>
          <w:color w:val="auto"/>
          <w:kern w:val="0"/>
          <w:sz w:val="24"/>
          <w:szCs w:val="24"/>
          <w:highlight w:val="none"/>
        </w:rPr>
      </w:pPr>
    </w:p>
    <w:p w14:paraId="4245B83A">
      <w:pPr>
        <w:widowControl/>
        <w:suppressAutoHyphens/>
        <w:spacing w:line="480" w:lineRule="exact"/>
        <w:jc w:val="left"/>
        <w:rPr>
          <w:rFonts w:ascii="宋体" w:hAnsi="宋体" w:cs="宋体"/>
          <w:b/>
          <w:bCs/>
          <w:color w:val="auto"/>
          <w:kern w:val="1"/>
          <w:sz w:val="24"/>
          <w:szCs w:val="24"/>
          <w:highlight w:val="none"/>
        </w:rPr>
      </w:pPr>
      <w:r>
        <w:rPr>
          <w:rFonts w:hint="eastAsia" w:ascii="宋体" w:hAnsi="宋体" w:cs="宋体"/>
          <w:b/>
          <w:bCs/>
          <w:color w:val="auto"/>
          <w:kern w:val="0"/>
          <w:sz w:val="24"/>
          <w:szCs w:val="24"/>
          <w:highlight w:val="none"/>
        </w:rPr>
        <w:t>注：因投标文件中授权委托书授权代理人无法手写签字，可以以印刷体代替（印刷体为电脑打出的字体）。</w:t>
      </w:r>
    </w:p>
    <w:p w14:paraId="76614B09">
      <w:pPr>
        <w:rPr>
          <w:rFonts w:hint="eastAsia" w:ascii="宋体" w:hAnsi="宋体" w:eastAsia="宋体" w:cs="宋体"/>
        </w:rPr>
      </w:pPr>
    </w:p>
    <w:p w14:paraId="66C73474">
      <w:pPr>
        <w:rPr>
          <w:rFonts w:hint="eastAsia" w:ascii="宋体" w:hAnsi="宋体" w:eastAsia="宋体" w:cs="宋体"/>
        </w:rPr>
      </w:pPr>
    </w:p>
    <w:p w14:paraId="1495F356">
      <w:pPr>
        <w:rPr>
          <w:rFonts w:hint="eastAsia" w:ascii="宋体" w:hAnsi="宋体" w:eastAsia="宋体" w:cs="宋体"/>
        </w:rPr>
      </w:pPr>
    </w:p>
    <w:bookmarkEnd w:id="24"/>
    <w:bookmarkEnd w:id="25"/>
    <w:p w14:paraId="0189A58F">
      <w:pPr>
        <w:rPr>
          <w:rFonts w:hint="eastAsia" w:ascii="宋体" w:hAnsi="宋体" w:eastAsia="宋体" w:cs="宋体"/>
        </w:rPr>
      </w:pPr>
      <w:r>
        <w:rPr>
          <w:rFonts w:hint="eastAsia" w:ascii="宋体" w:hAnsi="宋体" w:eastAsia="宋体" w:cs="宋体"/>
        </w:rPr>
        <w:br w:type="page"/>
      </w:r>
    </w:p>
    <w:p w14:paraId="6B5A5B17">
      <w:pPr>
        <w:pStyle w:val="3"/>
        <w:numPr>
          <w:ilvl w:val="1"/>
          <w:numId w:val="0"/>
        </w:numPr>
        <w:ind w:left="419" w:leftChars="0"/>
        <w:jc w:val="center"/>
        <w:rPr>
          <w:rFonts w:hint="eastAsia" w:ascii="宋体" w:hAnsi="宋体" w:eastAsia="宋体" w:cs="宋体"/>
          <w:sz w:val="30"/>
          <w:szCs w:val="30"/>
          <w:lang w:val="en-US" w:eastAsia="zh-CN"/>
        </w:rPr>
      </w:pPr>
      <w:r>
        <w:rPr>
          <w:rFonts w:hint="eastAsia" w:ascii="宋体" w:hAnsi="宋体" w:eastAsia="宋体" w:cs="宋体"/>
          <w:sz w:val="30"/>
          <w:szCs w:val="30"/>
        </w:rPr>
        <w:t>四、资格审查</w:t>
      </w:r>
      <w:r>
        <w:rPr>
          <w:rFonts w:hint="eastAsia" w:ascii="宋体" w:hAnsi="宋体" w:eastAsia="宋体" w:cs="宋体"/>
          <w:sz w:val="30"/>
          <w:szCs w:val="30"/>
          <w:lang w:val="en-US" w:eastAsia="zh-CN"/>
        </w:rPr>
        <w:t>资料</w:t>
      </w:r>
    </w:p>
    <w:p w14:paraId="6C20363D">
      <w:pPr>
        <w:rPr>
          <w:rFonts w:hint="eastAsia" w:ascii="宋体" w:hAnsi="宋体" w:eastAsia="宋体" w:cs="宋体"/>
          <w:sz w:val="24"/>
          <w:szCs w:val="24"/>
        </w:rPr>
      </w:pPr>
    </w:p>
    <w:p w14:paraId="7B529F8D">
      <w:pPr>
        <w:jc w:val="left"/>
        <w:rPr>
          <w:rFonts w:hint="eastAsia" w:ascii="宋体" w:hAnsi="宋体" w:eastAsia="宋体" w:cs="宋体"/>
          <w:sz w:val="30"/>
          <w:szCs w:val="30"/>
        </w:rPr>
      </w:pPr>
      <w:r>
        <w:rPr>
          <w:rFonts w:hint="eastAsia" w:ascii="宋体" w:hAnsi="宋体" w:eastAsia="宋体" w:cs="宋体"/>
          <w:sz w:val="30"/>
          <w:szCs w:val="30"/>
        </w:rPr>
        <w:br w:type="page"/>
      </w:r>
    </w:p>
    <w:p w14:paraId="559726E9">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五、供应商基本情况表</w:t>
      </w:r>
    </w:p>
    <w:p w14:paraId="6A4638EB">
      <w:pPr>
        <w:spacing w:beforeLines="50" w:afterLines="100" w:line="440" w:lineRule="exact"/>
        <w:rPr>
          <w:rFonts w:hint="eastAsia" w:ascii="宋体" w:hAnsi="宋体" w:eastAsia="宋体" w:cs="宋体"/>
          <w:sz w:val="24"/>
          <w:szCs w:val="24"/>
        </w:rPr>
      </w:pPr>
      <w:r>
        <w:rPr>
          <w:rFonts w:hint="eastAsia" w:ascii="宋体" w:hAnsi="宋体" w:eastAsia="宋体" w:cs="宋体"/>
          <w:sz w:val="24"/>
          <w:szCs w:val="24"/>
        </w:rPr>
        <w:t>1、供应商基本情况表</w:t>
      </w:r>
    </w:p>
    <w:tbl>
      <w:tblPr>
        <w:tblStyle w:val="19"/>
        <w:tblW w:w="9219" w:type="dxa"/>
        <w:jc w:val="center"/>
        <w:tblLayout w:type="fixed"/>
        <w:tblCellMar>
          <w:top w:w="0" w:type="dxa"/>
          <w:left w:w="84" w:type="dxa"/>
          <w:bottom w:w="0" w:type="dxa"/>
          <w:right w:w="0" w:type="dxa"/>
        </w:tblCellMar>
      </w:tblPr>
      <w:tblGrid>
        <w:gridCol w:w="2096"/>
        <w:gridCol w:w="1163"/>
        <w:gridCol w:w="2152"/>
        <w:gridCol w:w="1433"/>
        <w:gridCol w:w="2375"/>
      </w:tblGrid>
      <w:tr w14:paraId="402187DB">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26563">
            <w:pPr>
              <w:widowControl/>
              <w:spacing w:line="360" w:lineRule="auto"/>
              <w:jc w:val="center"/>
              <w:rPr>
                <w:rFonts w:ascii="宋体" w:hAnsi="宋体" w:cs="宋体"/>
                <w:color w:val="auto"/>
                <w:sz w:val="24"/>
                <w:szCs w:val="24"/>
                <w:highlight w:val="none"/>
              </w:rPr>
            </w:pP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Fonts w:hint="eastAsia" w:ascii="宋体" w:hAnsi="宋体" w:cs="宋体"/>
                <w:color w:val="auto"/>
                <w:sz w:val="24"/>
                <w:szCs w:val="24"/>
                <w:highlight w:val="none"/>
              </w:rPr>
              <w:t>名称</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C288EE0">
            <w:pPr>
              <w:widowControl/>
              <w:spacing w:line="360" w:lineRule="auto"/>
              <w:jc w:val="center"/>
              <w:rPr>
                <w:rFonts w:ascii="宋体" w:hAnsi="宋体" w:cs="宋体"/>
                <w:color w:val="auto"/>
                <w:sz w:val="24"/>
                <w:szCs w:val="24"/>
                <w:highlight w:val="none"/>
              </w:rPr>
            </w:pPr>
          </w:p>
        </w:tc>
      </w:tr>
      <w:tr w14:paraId="17124CBE">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A999759">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315" w:type="dxa"/>
            <w:gridSpan w:val="2"/>
            <w:tcBorders>
              <w:top w:val="single" w:color="auto" w:sz="4" w:space="0"/>
              <w:left w:val="single" w:color="auto" w:sz="4" w:space="0"/>
              <w:bottom w:val="single" w:color="auto" w:sz="4" w:space="0"/>
              <w:right w:val="single" w:color="auto" w:sz="4" w:space="0"/>
            </w:tcBorders>
            <w:vAlign w:val="center"/>
          </w:tcPr>
          <w:p w14:paraId="18D9AAD0">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7FFB8C5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75" w:type="dxa"/>
            <w:tcBorders>
              <w:top w:val="single" w:color="auto" w:sz="4" w:space="0"/>
              <w:left w:val="single" w:color="auto" w:sz="4" w:space="0"/>
              <w:bottom w:val="single" w:color="auto" w:sz="4" w:space="0"/>
              <w:right w:val="single" w:color="auto" w:sz="4" w:space="0"/>
            </w:tcBorders>
            <w:vAlign w:val="center"/>
          </w:tcPr>
          <w:p w14:paraId="4CD32866">
            <w:pPr>
              <w:widowControl/>
              <w:spacing w:line="360" w:lineRule="auto"/>
              <w:jc w:val="center"/>
              <w:rPr>
                <w:rFonts w:ascii="宋体" w:hAnsi="宋体" w:cs="宋体"/>
                <w:color w:val="auto"/>
                <w:sz w:val="24"/>
                <w:szCs w:val="24"/>
                <w:highlight w:val="none"/>
              </w:rPr>
            </w:pPr>
          </w:p>
        </w:tc>
      </w:tr>
      <w:tr w14:paraId="154387CF">
        <w:tblPrEx>
          <w:tblCellMar>
            <w:top w:w="0" w:type="dxa"/>
            <w:left w:w="84" w:type="dxa"/>
            <w:bottom w:w="0" w:type="dxa"/>
            <w:right w:w="0" w:type="dxa"/>
          </w:tblCellMar>
        </w:tblPrEx>
        <w:trPr>
          <w:trHeight w:val="713" w:hRule="atLeast"/>
          <w:jc w:val="center"/>
        </w:trPr>
        <w:tc>
          <w:tcPr>
            <w:tcW w:w="2096" w:type="dxa"/>
            <w:vMerge w:val="restart"/>
            <w:tcBorders>
              <w:top w:val="single" w:color="auto" w:sz="4" w:space="0"/>
              <w:left w:val="single" w:color="auto" w:sz="4" w:space="0"/>
              <w:right w:val="single" w:color="auto" w:sz="4" w:space="0"/>
            </w:tcBorders>
            <w:vAlign w:val="center"/>
          </w:tcPr>
          <w:p w14:paraId="36A6D5E5">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63" w:type="dxa"/>
            <w:tcBorders>
              <w:top w:val="single" w:color="auto" w:sz="4" w:space="0"/>
              <w:left w:val="single" w:color="auto" w:sz="4" w:space="0"/>
              <w:bottom w:val="single" w:color="auto" w:sz="4" w:space="0"/>
              <w:right w:val="single" w:color="auto" w:sz="4" w:space="0"/>
            </w:tcBorders>
            <w:vAlign w:val="center"/>
          </w:tcPr>
          <w:p w14:paraId="54F1CE6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152" w:type="dxa"/>
            <w:tcBorders>
              <w:top w:val="single" w:color="auto" w:sz="4" w:space="0"/>
              <w:left w:val="single" w:color="auto" w:sz="4" w:space="0"/>
              <w:bottom w:val="single" w:color="auto" w:sz="4" w:space="0"/>
              <w:right w:val="single" w:color="auto" w:sz="4" w:space="0"/>
            </w:tcBorders>
            <w:vAlign w:val="center"/>
          </w:tcPr>
          <w:p w14:paraId="3413413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0C1F636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55F643A0">
            <w:pPr>
              <w:widowControl/>
              <w:spacing w:line="360" w:lineRule="auto"/>
              <w:jc w:val="center"/>
              <w:rPr>
                <w:rFonts w:ascii="宋体" w:hAnsi="宋体" w:cs="宋体"/>
                <w:color w:val="auto"/>
                <w:sz w:val="24"/>
                <w:szCs w:val="24"/>
                <w:highlight w:val="none"/>
              </w:rPr>
            </w:pPr>
          </w:p>
        </w:tc>
      </w:tr>
      <w:tr w14:paraId="2C4709CE">
        <w:tblPrEx>
          <w:tblCellMar>
            <w:top w:w="0" w:type="dxa"/>
            <w:left w:w="84" w:type="dxa"/>
            <w:bottom w:w="0" w:type="dxa"/>
            <w:right w:w="0" w:type="dxa"/>
          </w:tblCellMar>
        </w:tblPrEx>
        <w:trPr>
          <w:trHeight w:val="713" w:hRule="atLeast"/>
          <w:jc w:val="center"/>
        </w:trPr>
        <w:tc>
          <w:tcPr>
            <w:tcW w:w="2096" w:type="dxa"/>
            <w:vMerge w:val="continue"/>
            <w:tcBorders>
              <w:left w:val="single" w:color="auto" w:sz="4" w:space="0"/>
              <w:bottom w:val="single" w:color="auto" w:sz="4" w:space="0"/>
              <w:right w:val="single" w:color="auto" w:sz="4" w:space="0"/>
            </w:tcBorders>
            <w:vAlign w:val="center"/>
          </w:tcPr>
          <w:p w14:paraId="4421D917">
            <w:pPr>
              <w:widowControl/>
              <w:spacing w:line="360" w:lineRule="auto"/>
              <w:jc w:val="center"/>
              <w:rPr>
                <w:rFonts w:ascii="宋体" w:hAnsi="宋体" w:cs="宋体"/>
                <w:color w:val="auto"/>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EC677AB">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2152" w:type="dxa"/>
            <w:tcBorders>
              <w:top w:val="single" w:color="auto" w:sz="4" w:space="0"/>
              <w:left w:val="single" w:color="auto" w:sz="4" w:space="0"/>
              <w:bottom w:val="single" w:color="auto" w:sz="4" w:space="0"/>
              <w:right w:val="single" w:color="auto" w:sz="4" w:space="0"/>
            </w:tcBorders>
            <w:vAlign w:val="center"/>
          </w:tcPr>
          <w:p w14:paraId="539DBE57">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5BACE07E">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375" w:type="dxa"/>
            <w:tcBorders>
              <w:top w:val="single" w:color="auto" w:sz="4" w:space="0"/>
              <w:left w:val="single" w:color="auto" w:sz="4" w:space="0"/>
              <w:bottom w:val="single" w:color="auto" w:sz="4" w:space="0"/>
              <w:right w:val="single" w:color="auto" w:sz="4" w:space="0"/>
            </w:tcBorders>
            <w:vAlign w:val="center"/>
          </w:tcPr>
          <w:p w14:paraId="171BD861">
            <w:pPr>
              <w:widowControl/>
              <w:spacing w:line="360" w:lineRule="auto"/>
              <w:jc w:val="center"/>
              <w:rPr>
                <w:rFonts w:ascii="宋体" w:hAnsi="宋体" w:cs="宋体"/>
                <w:color w:val="auto"/>
                <w:sz w:val="24"/>
                <w:szCs w:val="24"/>
                <w:highlight w:val="none"/>
              </w:rPr>
            </w:pPr>
          </w:p>
        </w:tc>
      </w:tr>
      <w:tr w14:paraId="05C931C7">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479FEA28">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63" w:type="dxa"/>
            <w:tcBorders>
              <w:top w:val="single" w:color="auto" w:sz="4" w:space="0"/>
              <w:left w:val="single" w:color="auto" w:sz="4" w:space="0"/>
              <w:bottom w:val="single" w:color="auto" w:sz="4" w:space="0"/>
              <w:right w:val="single" w:color="auto" w:sz="4" w:space="0"/>
            </w:tcBorders>
            <w:vAlign w:val="center"/>
          </w:tcPr>
          <w:p w14:paraId="31ACFFB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152" w:type="dxa"/>
            <w:tcBorders>
              <w:top w:val="single" w:color="auto" w:sz="4" w:space="0"/>
              <w:left w:val="single" w:color="auto" w:sz="4" w:space="0"/>
              <w:bottom w:val="single" w:color="auto" w:sz="4" w:space="0"/>
              <w:right w:val="single" w:color="auto" w:sz="4" w:space="0"/>
            </w:tcBorders>
            <w:vAlign w:val="center"/>
          </w:tcPr>
          <w:p w14:paraId="53899CA2">
            <w:pPr>
              <w:widowControl/>
              <w:spacing w:line="360" w:lineRule="auto"/>
              <w:jc w:val="center"/>
              <w:rPr>
                <w:rFonts w:ascii="宋体" w:hAnsi="宋体" w:cs="宋体"/>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14:paraId="3B0612F0">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375" w:type="dxa"/>
            <w:tcBorders>
              <w:top w:val="single" w:color="auto" w:sz="4" w:space="0"/>
              <w:left w:val="single" w:color="auto" w:sz="4" w:space="0"/>
              <w:bottom w:val="single" w:color="auto" w:sz="4" w:space="0"/>
              <w:right w:val="single" w:color="auto" w:sz="4" w:space="0"/>
            </w:tcBorders>
            <w:vAlign w:val="center"/>
          </w:tcPr>
          <w:p w14:paraId="7DEE74E7">
            <w:pPr>
              <w:widowControl/>
              <w:spacing w:line="360" w:lineRule="auto"/>
              <w:jc w:val="center"/>
              <w:rPr>
                <w:rFonts w:ascii="宋体" w:hAnsi="宋体" w:cs="宋体"/>
                <w:color w:val="auto"/>
                <w:sz w:val="24"/>
                <w:szCs w:val="24"/>
                <w:highlight w:val="none"/>
              </w:rPr>
            </w:pPr>
          </w:p>
        </w:tc>
      </w:tr>
      <w:tr w14:paraId="05D57FD1">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2CECACDC">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60B51B74">
            <w:pPr>
              <w:widowControl/>
              <w:spacing w:line="360" w:lineRule="auto"/>
              <w:jc w:val="center"/>
              <w:rPr>
                <w:rFonts w:ascii="宋体" w:hAnsi="宋体" w:cs="宋体"/>
                <w:color w:val="auto"/>
                <w:sz w:val="24"/>
                <w:szCs w:val="24"/>
                <w:highlight w:val="none"/>
              </w:rPr>
            </w:pPr>
          </w:p>
        </w:tc>
      </w:tr>
      <w:tr w14:paraId="275F21C6">
        <w:tblPrEx>
          <w:tblCellMar>
            <w:top w:w="0" w:type="dxa"/>
            <w:left w:w="84" w:type="dxa"/>
            <w:bottom w:w="0" w:type="dxa"/>
            <w:right w:w="0" w:type="dxa"/>
          </w:tblCellMar>
        </w:tblPrEx>
        <w:trPr>
          <w:trHeight w:val="713"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40927C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0FED06D5">
            <w:pPr>
              <w:widowControl/>
              <w:spacing w:line="360" w:lineRule="auto"/>
              <w:jc w:val="center"/>
              <w:rPr>
                <w:rFonts w:ascii="宋体" w:hAnsi="宋体" w:cs="宋体"/>
                <w:color w:val="auto"/>
                <w:sz w:val="24"/>
                <w:szCs w:val="24"/>
                <w:highlight w:val="none"/>
              </w:rPr>
            </w:pPr>
          </w:p>
        </w:tc>
      </w:tr>
      <w:tr w14:paraId="23D95606">
        <w:tblPrEx>
          <w:tblCellMar>
            <w:top w:w="0" w:type="dxa"/>
            <w:left w:w="84" w:type="dxa"/>
            <w:bottom w:w="0" w:type="dxa"/>
            <w:right w:w="0" w:type="dxa"/>
          </w:tblCellMar>
        </w:tblPrEx>
        <w:trPr>
          <w:trHeight w:val="3569"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0AFB53B4">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365569E3">
            <w:pPr>
              <w:widowControl/>
              <w:spacing w:line="360" w:lineRule="auto"/>
              <w:jc w:val="center"/>
              <w:rPr>
                <w:rFonts w:ascii="宋体" w:hAnsi="宋体" w:cs="宋体"/>
                <w:color w:val="auto"/>
                <w:sz w:val="24"/>
                <w:szCs w:val="24"/>
                <w:highlight w:val="none"/>
              </w:rPr>
            </w:pPr>
          </w:p>
        </w:tc>
      </w:tr>
      <w:tr w14:paraId="0DF4BEA8">
        <w:tblPrEx>
          <w:tblCellMar>
            <w:top w:w="0" w:type="dxa"/>
            <w:left w:w="84" w:type="dxa"/>
            <w:bottom w:w="0" w:type="dxa"/>
            <w:right w:w="0" w:type="dxa"/>
          </w:tblCellMar>
        </w:tblPrEx>
        <w:trPr>
          <w:trHeight w:val="847" w:hRule="atLeast"/>
          <w:jc w:val="center"/>
        </w:trPr>
        <w:tc>
          <w:tcPr>
            <w:tcW w:w="2096" w:type="dxa"/>
            <w:tcBorders>
              <w:top w:val="single" w:color="auto" w:sz="4" w:space="0"/>
              <w:left w:val="single" w:color="auto" w:sz="4" w:space="0"/>
              <w:bottom w:val="single" w:color="auto" w:sz="4" w:space="0"/>
              <w:right w:val="single" w:color="auto" w:sz="4" w:space="0"/>
            </w:tcBorders>
            <w:vAlign w:val="center"/>
          </w:tcPr>
          <w:p w14:paraId="1E9DAEA7">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7123" w:type="dxa"/>
            <w:gridSpan w:val="4"/>
            <w:tcBorders>
              <w:top w:val="single" w:color="auto" w:sz="4" w:space="0"/>
              <w:left w:val="single" w:color="auto" w:sz="4" w:space="0"/>
              <w:bottom w:val="single" w:color="auto" w:sz="4" w:space="0"/>
              <w:right w:val="single" w:color="auto" w:sz="4" w:space="0"/>
            </w:tcBorders>
            <w:vAlign w:val="center"/>
          </w:tcPr>
          <w:p w14:paraId="29A8BAB1">
            <w:pPr>
              <w:widowControl/>
              <w:spacing w:line="360" w:lineRule="auto"/>
              <w:jc w:val="center"/>
              <w:rPr>
                <w:rFonts w:ascii="宋体" w:hAnsi="宋体" w:cs="宋体"/>
                <w:color w:val="auto"/>
                <w:sz w:val="24"/>
                <w:szCs w:val="24"/>
                <w:highlight w:val="none"/>
              </w:rPr>
            </w:pPr>
          </w:p>
        </w:tc>
      </w:tr>
    </w:tbl>
    <w:p w14:paraId="67A58249">
      <w:pPr>
        <w:tabs>
          <w:tab w:val="left" w:pos="1135"/>
        </w:tabs>
        <w:spacing w:line="360" w:lineRule="auto"/>
        <w:ind w:left="360" w:hanging="360"/>
        <w:rPr>
          <w:rFonts w:hint="eastAsia" w:ascii="宋体" w:hAnsi="宋体" w:eastAsia="宋体" w:cs="宋体"/>
          <w:sz w:val="24"/>
          <w:szCs w:val="24"/>
          <w:u w:val="single"/>
        </w:rPr>
      </w:pPr>
      <w:r>
        <w:rPr>
          <w:rFonts w:hint="eastAsia" w:ascii="宋体" w:hAnsi="宋体" w:eastAsia="宋体" w:cs="宋体"/>
          <w:sz w:val="24"/>
          <w:szCs w:val="24"/>
        </w:rPr>
        <w:t>注：本表不够时可自制和扩</w:t>
      </w:r>
      <w:r>
        <w:rPr>
          <w:rFonts w:hint="eastAsia" w:ascii="宋体" w:hAnsi="宋体" w:eastAsia="宋体" w:cs="宋体"/>
          <w:sz w:val="24"/>
          <w:szCs w:val="24"/>
          <w:u w:val="none"/>
        </w:rPr>
        <w:t>展。</w:t>
      </w:r>
    </w:p>
    <w:p w14:paraId="7662CFCE">
      <w:pPr>
        <w:spacing w:line="360" w:lineRule="auto"/>
        <w:ind w:left="2940" w:leftChars="1400" w:firstLine="360" w:firstLineChars="150"/>
        <w:rPr>
          <w:rFonts w:hint="eastAsia" w:ascii="宋体" w:hAnsi="宋体" w:eastAsia="宋体" w:cs="宋体"/>
          <w:sz w:val="24"/>
          <w:szCs w:val="24"/>
        </w:rPr>
      </w:pPr>
    </w:p>
    <w:p w14:paraId="78D99743">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（盖章）</w:t>
      </w:r>
    </w:p>
    <w:p w14:paraId="46568947">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none"/>
        </w:rPr>
        <w:t>：</w:t>
      </w:r>
      <w:r>
        <w:rPr>
          <w:rFonts w:hint="eastAsia" w:ascii="宋体" w:hAnsi="宋体" w:eastAsia="宋体" w:cs="宋体"/>
          <w:sz w:val="24"/>
          <w:szCs w:val="24"/>
          <w:u w:val="single"/>
          <w:lang w:val="en-US" w:bidi="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签字或盖章</w:t>
      </w:r>
      <w:r>
        <w:rPr>
          <w:rFonts w:hint="eastAsia" w:ascii="宋体" w:hAnsi="宋体" w:eastAsia="宋体" w:cs="宋体"/>
          <w:sz w:val="24"/>
          <w:szCs w:val="24"/>
        </w:rPr>
        <w:t>）</w:t>
      </w:r>
    </w:p>
    <w:p w14:paraId="3918838B">
      <w:pPr>
        <w:spacing w:line="360" w:lineRule="auto"/>
        <w:ind w:left="2940" w:leftChars="1400" w:firstLine="360" w:firstLineChars="15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3C198EE7">
      <w:pPr>
        <w:rPr>
          <w:rFonts w:hint="eastAsia" w:ascii="宋体" w:hAnsi="宋体" w:eastAsia="宋体" w:cs="宋体"/>
          <w:sz w:val="24"/>
          <w:szCs w:val="24"/>
        </w:rPr>
      </w:pPr>
    </w:p>
    <w:p w14:paraId="23DB83C5">
      <w:pPr>
        <w:rPr>
          <w:rFonts w:hint="eastAsia" w:ascii="宋体" w:hAnsi="宋体" w:eastAsia="宋体" w:cs="宋体"/>
          <w:sz w:val="24"/>
          <w:szCs w:val="24"/>
        </w:rPr>
      </w:pPr>
    </w:p>
    <w:p w14:paraId="4266E988">
      <w:pPr>
        <w:spacing w:beforeLines="50" w:afterLines="50"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2、近年来完成的类似项目情况表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14:paraId="140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47C17D6F">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89" w:type="dxa"/>
            <w:vAlign w:val="center"/>
          </w:tcPr>
          <w:p w14:paraId="09FEB497">
            <w:pPr>
              <w:jc w:val="center"/>
              <w:rPr>
                <w:rFonts w:hint="eastAsia" w:ascii="宋体" w:hAnsi="宋体" w:eastAsia="宋体" w:cs="宋体"/>
                <w:sz w:val="24"/>
                <w:szCs w:val="24"/>
              </w:rPr>
            </w:pPr>
          </w:p>
        </w:tc>
      </w:tr>
      <w:tr w14:paraId="061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0C8FD5E">
            <w:pPr>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5889" w:type="dxa"/>
            <w:vAlign w:val="center"/>
          </w:tcPr>
          <w:p w14:paraId="1F6EE0E5">
            <w:pPr>
              <w:jc w:val="center"/>
              <w:rPr>
                <w:rFonts w:hint="eastAsia" w:ascii="宋体" w:hAnsi="宋体" w:eastAsia="宋体" w:cs="宋体"/>
                <w:sz w:val="24"/>
                <w:szCs w:val="24"/>
              </w:rPr>
            </w:pPr>
          </w:p>
        </w:tc>
      </w:tr>
      <w:tr w14:paraId="46E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70BE7F3">
            <w:pPr>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5889" w:type="dxa"/>
            <w:vAlign w:val="center"/>
          </w:tcPr>
          <w:p w14:paraId="0150BF70">
            <w:pPr>
              <w:jc w:val="center"/>
              <w:rPr>
                <w:rFonts w:hint="eastAsia" w:ascii="宋体" w:hAnsi="宋体" w:eastAsia="宋体" w:cs="宋体"/>
                <w:sz w:val="24"/>
                <w:szCs w:val="24"/>
              </w:rPr>
            </w:pPr>
          </w:p>
        </w:tc>
      </w:tr>
      <w:tr w14:paraId="2A3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1F56D4BE">
            <w:pPr>
              <w:jc w:val="center"/>
              <w:rPr>
                <w:rFonts w:hint="eastAsia" w:ascii="宋体" w:hAnsi="宋体" w:eastAsia="宋体" w:cs="宋体"/>
                <w:sz w:val="24"/>
                <w:szCs w:val="24"/>
                <w:lang w:val="en-US" w:eastAsia="zh-CN"/>
              </w:rPr>
            </w:pPr>
            <w:r>
              <w:rPr>
                <w:rFonts w:hint="eastAsia" w:ascii="宋体" w:hAnsi="宋体" w:eastAsia="宋体" w:cs="宋体"/>
                <w:sz w:val="24"/>
                <w:szCs w:val="24"/>
              </w:rPr>
              <w:t>服务</w:t>
            </w:r>
            <w:r>
              <w:rPr>
                <w:rFonts w:hint="eastAsia" w:ascii="宋体" w:hAnsi="宋体" w:cs="宋体"/>
                <w:sz w:val="24"/>
                <w:szCs w:val="24"/>
                <w:lang w:val="en-US" w:eastAsia="zh-CN"/>
              </w:rPr>
              <w:t>周期</w:t>
            </w:r>
          </w:p>
        </w:tc>
        <w:tc>
          <w:tcPr>
            <w:tcW w:w="5889" w:type="dxa"/>
            <w:vAlign w:val="center"/>
          </w:tcPr>
          <w:p w14:paraId="49074D25">
            <w:pPr>
              <w:jc w:val="center"/>
              <w:rPr>
                <w:rFonts w:hint="eastAsia" w:ascii="宋体" w:hAnsi="宋体" w:eastAsia="宋体" w:cs="宋体"/>
                <w:sz w:val="24"/>
                <w:szCs w:val="24"/>
              </w:rPr>
            </w:pPr>
          </w:p>
        </w:tc>
      </w:tr>
      <w:tr w14:paraId="144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081FBF0D">
            <w:pPr>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5889" w:type="dxa"/>
            <w:vAlign w:val="center"/>
          </w:tcPr>
          <w:p w14:paraId="55EBE9FF">
            <w:pPr>
              <w:jc w:val="center"/>
              <w:rPr>
                <w:rFonts w:hint="eastAsia" w:ascii="宋体" w:hAnsi="宋体" w:eastAsia="宋体" w:cs="宋体"/>
                <w:sz w:val="24"/>
                <w:szCs w:val="24"/>
              </w:rPr>
            </w:pPr>
          </w:p>
        </w:tc>
      </w:tr>
      <w:tr w14:paraId="7A1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90" w:type="dxa"/>
            <w:vAlign w:val="center"/>
          </w:tcPr>
          <w:p w14:paraId="3AC29579">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889" w:type="dxa"/>
            <w:vAlign w:val="center"/>
          </w:tcPr>
          <w:p w14:paraId="47D26844">
            <w:pPr>
              <w:jc w:val="center"/>
              <w:rPr>
                <w:rFonts w:hint="eastAsia" w:ascii="宋体" w:hAnsi="宋体" w:eastAsia="宋体" w:cs="宋体"/>
                <w:sz w:val="24"/>
                <w:szCs w:val="24"/>
              </w:rPr>
            </w:pPr>
          </w:p>
        </w:tc>
      </w:tr>
      <w:tr w14:paraId="35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990" w:type="dxa"/>
            <w:vAlign w:val="center"/>
          </w:tcPr>
          <w:p w14:paraId="59A13186">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5889" w:type="dxa"/>
            <w:vAlign w:val="center"/>
          </w:tcPr>
          <w:p w14:paraId="51AAE28A">
            <w:pPr>
              <w:jc w:val="center"/>
              <w:rPr>
                <w:rFonts w:hint="eastAsia" w:ascii="宋体" w:hAnsi="宋体" w:eastAsia="宋体" w:cs="宋体"/>
                <w:sz w:val="24"/>
                <w:szCs w:val="24"/>
              </w:rPr>
            </w:pPr>
          </w:p>
        </w:tc>
      </w:tr>
    </w:tbl>
    <w:p w14:paraId="48DE43E5">
      <w:pPr>
        <w:spacing w:line="44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备注：本表后附合同协议书的扫描件，具体年份要求2022年1月1日以来。每张表格只填写一个项目，并标明序号。</w:t>
      </w:r>
    </w:p>
    <w:p w14:paraId="35C6D836">
      <w:pPr>
        <w:spacing w:beforeLines="50" w:afterLines="50" w:line="440" w:lineRule="exact"/>
        <w:rPr>
          <w:rFonts w:hint="eastAsia" w:ascii="宋体" w:hAnsi="宋体" w:eastAsia="宋体" w:cs="宋体"/>
          <w:sz w:val="24"/>
          <w:szCs w:val="24"/>
        </w:rPr>
      </w:pPr>
    </w:p>
    <w:p w14:paraId="2E24825A">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br w:type="page"/>
      </w:r>
    </w:p>
    <w:p w14:paraId="1D764A8B">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六</w:t>
      </w:r>
      <w:r>
        <w:rPr>
          <w:rFonts w:hint="eastAsia" w:ascii="宋体" w:hAnsi="宋体" w:eastAsia="宋体" w:cs="宋体"/>
          <w:sz w:val="30"/>
          <w:szCs w:val="30"/>
          <w:lang w:val="zh-CN"/>
        </w:rPr>
        <w:t>、</w:t>
      </w:r>
      <w:r>
        <w:rPr>
          <w:rFonts w:hint="eastAsia" w:ascii="宋体" w:hAnsi="宋体" w:eastAsia="宋体" w:cs="宋体"/>
          <w:sz w:val="30"/>
          <w:szCs w:val="30"/>
        </w:rPr>
        <w:t>技术部分</w:t>
      </w:r>
    </w:p>
    <w:p w14:paraId="7E8FDB05">
      <w:pPr>
        <w:pStyle w:val="17"/>
        <w:ind w:firstLine="301"/>
        <w:rPr>
          <w:rFonts w:hint="eastAsia" w:ascii="宋体" w:hAnsi="宋体" w:eastAsia="宋体" w:cs="宋体"/>
          <w:b/>
          <w:sz w:val="30"/>
          <w:szCs w:val="30"/>
        </w:rPr>
      </w:pPr>
    </w:p>
    <w:p w14:paraId="6684FB89">
      <w:pPr>
        <w:pStyle w:val="18"/>
        <w:ind w:firstLine="440"/>
        <w:rPr>
          <w:rFonts w:hint="eastAsia" w:ascii="宋体" w:hAnsi="宋体" w:eastAsia="宋体" w:cs="宋体"/>
          <w:lang w:eastAsia="zh-CN"/>
        </w:rPr>
      </w:pPr>
    </w:p>
    <w:p w14:paraId="50B38283">
      <w:pPr>
        <w:pStyle w:val="17"/>
        <w:ind w:firstLine="240"/>
        <w:rPr>
          <w:rFonts w:hint="eastAsia" w:ascii="宋体" w:hAnsi="宋体" w:eastAsia="宋体" w:cs="宋体"/>
        </w:rPr>
      </w:pPr>
    </w:p>
    <w:p w14:paraId="693644B7">
      <w:pPr>
        <w:pStyle w:val="18"/>
        <w:ind w:firstLine="440"/>
        <w:rPr>
          <w:rFonts w:hint="eastAsia" w:ascii="宋体" w:hAnsi="宋体" w:eastAsia="宋体" w:cs="宋体"/>
          <w:lang w:eastAsia="zh-CN"/>
        </w:rPr>
      </w:pPr>
    </w:p>
    <w:p w14:paraId="11AD1BAD">
      <w:pPr>
        <w:pStyle w:val="17"/>
        <w:ind w:firstLine="240"/>
        <w:rPr>
          <w:rFonts w:hint="eastAsia" w:ascii="宋体" w:hAnsi="宋体" w:eastAsia="宋体" w:cs="宋体"/>
        </w:rPr>
      </w:pPr>
    </w:p>
    <w:p w14:paraId="601DC5FC">
      <w:pPr>
        <w:pStyle w:val="18"/>
        <w:ind w:firstLine="440"/>
        <w:rPr>
          <w:rFonts w:hint="eastAsia" w:ascii="宋体" w:hAnsi="宋体" w:eastAsia="宋体" w:cs="宋体"/>
          <w:lang w:eastAsia="zh-CN"/>
        </w:rPr>
      </w:pPr>
    </w:p>
    <w:p w14:paraId="1FF48DAF">
      <w:pPr>
        <w:pStyle w:val="17"/>
        <w:ind w:firstLine="240"/>
        <w:rPr>
          <w:rFonts w:hint="eastAsia" w:ascii="宋体" w:hAnsi="宋体" w:eastAsia="宋体" w:cs="宋体"/>
        </w:rPr>
      </w:pPr>
    </w:p>
    <w:p w14:paraId="381D41AC">
      <w:pPr>
        <w:pStyle w:val="18"/>
        <w:ind w:firstLine="440"/>
        <w:rPr>
          <w:rFonts w:hint="eastAsia" w:ascii="宋体" w:hAnsi="宋体" w:eastAsia="宋体" w:cs="宋体"/>
          <w:lang w:eastAsia="zh-CN"/>
        </w:rPr>
      </w:pPr>
    </w:p>
    <w:p w14:paraId="0393D697">
      <w:pPr>
        <w:pStyle w:val="17"/>
        <w:ind w:firstLine="240"/>
        <w:rPr>
          <w:rFonts w:hint="eastAsia" w:ascii="宋体" w:hAnsi="宋体" w:eastAsia="宋体" w:cs="宋体"/>
        </w:rPr>
      </w:pPr>
    </w:p>
    <w:p w14:paraId="5B98C9CF">
      <w:pPr>
        <w:pStyle w:val="18"/>
        <w:ind w:firstLine="440"/>
        <w:rPr>
          <w:rFonts w:hint="eastAsia" w:ascii="宋体" w:hAnsi="宋体" w:eastAsia="宋体" w:cs="宋体"/>
          <w:lang w:eastAsia="zh-CN"/>
        </w:rPr>
      </w:pPr>
    </w:p>
    <w:p w14:paraId="0EC0B109">
      <w:pPr>
        <w:pStyle w:val="17"/>
        <w:ind w:firstLine="240"/>
        <w:rPr>
          <w:rFonts w:hint="eastAsia" w:ascii="宋体" w:hAnsi="宋体" w:eastAsia="宋体" w:cs="宋体"/>
        </w:rPr>
      </w:pPr>
    </w:p>
    <w:p w14:paraId="384E23C9">
      <w:pPr>
        <w:pStyle w:val="18"/>
        <w:ind w:firstLine="440"/>
        <w:rPr>
          <w:rFonts w:hint="eastAsia" w:ascii="宋体" w:hAnsi="宋体" w:eastAsia="宋体" w:cs="宋体"/>
          <w:lang w:eastAsia="zh-CN"/>
        </w:rPr>
      </w:pPr>
    </w:p>
    <w:p w14:paraId="21160114">
      <w:pPr>
        <w:pStyle w:val="17"/>
        <w:ind w:firstLine="240"/>
        <w:rPr>
          <w:rFonts w:hint="eastAsia" w:ascii="宋体" w:hAnsi="宋体" w:eastAsia="宋体" w:cs="宋体"/>
        </w:rPr>
      </w:pPr>
    </w:p>
    <w:p w14:paraId="3B71B49B">
      <w:pPr>
        <w:pStyle w:val="18"/>
        <w:ind w:firstLine="440"/>
        <w:rPr>
          <w:rFonts w:hint="eastAsia" w:ascii="宋体" w:hAnsi="宋体" w:eastAsia="宋体" w:cs="宋体"/>
          <w:lang w:eastAsia="zh-CN"/>
        </w:rPr>
      </w:pPr>
    </w:p>
    <w:p w14:paraId="676CE024">
      <w:pPr>
        <w:pStyle w:val="17"/>
        <w:ind w:firstLine="240"/>
        <w:rPr>
          <w:rFonts w:hint="eastAsia" w:ascii="宋体" w:hAnsi="宋体" w:eastAsia="宋体" w:cs="宋体"/>
        </w:rPr>
      </w:pPr>
    </w:p>
    <w:p w14:paraId="6D82A9A4">
      <w:pPr>
        <w:pStyle w:val="18"/>
        <w:ind w:firstLine="440"/>
        <w:rPr>
          <w:rFonts w:hint="eastAsia" w:ascii="宋体" w:hAnsi="宋体" w:eastAsia="宋体" w:cs="宋体"/>
          <w:lang w:eastAsia="zh-CN"/>
        </w:rPr>
      </w:pPr>
    </w:p>
    <w:p w14:paraId="5798173E">
      <w:pPr>
        <w:pStyle w:val="17"/>
        <w:ind w:firstLine="240"/>
        <w:rPr>
          <w:rFonts w:hint="eastAsia" w:ascii="宋体" w:hAnsi="宋体" w:eastAsia="宋体" w:cs="宋体"/>
        </w:rPr>
      </w:pPr>
    </w:p>
    <w:p w14:paraId="3EEA2C7C">
      <w:pPr>
        <w:pStyle w:val="18"/>
        <w:ind w:firstLine="440"/>
        <w:rPr>
          <w:rFonts w:hint="eastAsia" w:ascii="宋体" w:hAnsi="宋体" w:eastAsia="宋体" w:cs="宋体"/>
          <w:lang w:eastAsia="zh-CN"/>
        </w:rPr>
      </w:pPr>
    </w:p>
    <w:p w14:paraId="5AE41B87">
      <w:pPr>
        <w:pStyle w:val="17"/>
        <w:ind w:firstLine="240"/>
        <w:rPr>
          <w:rFonts w:hint="eastAsia" w:ascii="宋体" w:hAnsi="宋体" w:eastAsia="宋体" w:cs="宋体"/>
        </w:rPr>
      </w:pPr>
    </w:p>
    <w:p w14:paraId="573AF968">
      <w:pPr>
        <w:jc w:val="left"/>
        <w:rPr>
          <w:rFonts w:hint="eastAsia" w:ascii="宋体" w:hAnsi="宋体" w:eastAsia="宋体" w:cs="宋体"/>
          <w:sz w:val="30"/>
          <w:szCs w:val="30"/>
        </w:rPr>
      </w:pPr>
      <w:r>
        <w:rPr>
          <w:rFonts w:hint="eastAsia" w:ascii="宋体" w:hAnsi="宋体" w:eastAsia="宋体" w:cs="宋体"/>
          <w:sz w:val="30"/>
          <w:szCs w:val="30"/>
        </w:rPr>
        <w:br w:type="page"/>
      </w:r>
    </w:p>
    <w:p w14:paraId="535795BF">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七、商务部分</w:t>
      </w:r>
    </w:p>
    <w:p w14:paraId="2B0F19BF">
      <w:pPr>
        <w:wordWrap w:val="0"/>
        <w:spacing w:line="360" w:lineRule="auto"/>
        <w:ind w:right="600"/>
        <w:rPr>
          <w:rFonts w:hint="eastAsia" w:ascii="宋体" w:hAnsi="宋体" w:eastAsia="宋体" w:cs="宋体"/>
          <w:sz w:val="24"/>
        </w:rPr>
      </w:pPr>
    </w:p>
    <w:p w14:paraId="363E8CCB">
      <w:pPr>
        <w:spacing w:beforeLines="100" w:afterLines="50"/>
        <w:jc w:val="center"/>
        <w:rPr>
          <w:rFonts w:hint="eastAsia" w:ascii="宋体" w:hAnsi="宋体" w:eastAsia="宋体" w:cs="宋体"/>
          <w:sz w:val="24"/>
          <w:u w:val="single"/>
        </w:rPr>
      </w:pPr>
    </w:p>
    <w:p w14:paraId="32A88CB8">
      <w:pPr>
        <w:spacing w:beforeLines="50" w:afterLines="50" w:line="440" w:lineRule="exact"/>
        <w:ind w:left="630" w:hanging="630" w:hangingChars="300"/>
        <w:rPr>
          <w:rFonts w:hint="eastAsia" w:ascii="宋体" w:hAnsi="宋体" w:eastAsia="宋体" w:cs="宋体"/>
          <w:szCs w:val="21"/>
        </w:rPr>
      </w:pPr>
    </w:p>
    <w:p w14:paraId="2DEDF93A">
      <w:pPr>
        <w:spacing w:beforeLines="100" w:line="440" w:lineRule="exact"/>
        <w:rPr>
          <w:rFonts w:hint="eastAsia" w:ascii="宋体" w:hAnsi="宋体" w:eastAsia="宋体" w:cs="宋体"/>
          <w:szCs w:val="21"/>
        </w:rPr>
      </w:pPr>
    </w:p>
    <w:p w14:paraId="5743CAD3">
      <w:pPr>
        <w:spacing w:beforeLines="100" w:line="440" w:lineRule="exact"/>
        <w:rPr>
          <w:rFonts w:hint="eastAsia" w:ascii="宋体" w:hAnsi="宋体" w:eastAsia="宋体" w:cs="宋体"/>
          <w:szCs w:val="21"/>
        </w:rPr>
      </w:pPr>
    </w:p>
    <w:p w14:paraId="2D2EC6D8">
      <w:pPr>
        <w:spacing w:beforeLines="100" w:line="440" w:lineRule="exact"/>
        <w:rPr>
          <w:rFonts w:hint="eastAsia" w:ascii="宋体" w:hAnsi="宋体" w:eastAsia="宋体" w:cs="宋体"/>
          <w:szCs w:val="21"/>
        </w:rPr>
      </w:pPr>
    </w:p>
    <w:p w14:paraId="70B8990A">
      <w:pPr>
        <w:spacing w:line="480" w:lineRule="auto"/>
        <w:rPr>
          <w:rFonts w:hint="eastAsia" w:ascii="宋体" w:hAnsi="宋体" w:eastAsia="宋体" w:cs="宋体"/>
          <w:sz w:val="24"/>
        </w:rPr>
      </w:pPr>
    </w:p>
    <w:p w14:paraId="2759A1D6">
      <w:pPr>
        <w:bidi w:val="0"/>
        <w:rPr>
          <w:rFonts w:hint="eastAsia" w:ascii="宋体" w:hAnsi="宋体" w:eastAsia="宋体" w:cs="宋体"/>
        </w:rPr>
      </w:pPr>
      <w:bookmarkStart w:id="26" w:name="_Toc468276954"/>
      <w:r>
        <w:rPr>
          <w:rFonts w:hint="eastAsia" w:ascii="宋体" w:hAnsi="宋体" w:eastAsia="宋体" w:cs="宋体"/>
        </w:rPr>
        <w:br w:type="page"/>
      </w:r>
    </w:p>
    <w:p w14:paraId="6365B8C4">
      <w:pPr>
        <w:pStyle w:val="3"/>
        <w:numPr>
          <w:ilvl w:val="1"/>
          <w:numId w:val="0"/>
        </w:numPr>
        <w:ind w:left="419" w:leftChars="0"/>
        <w:jc w:val="center"/>
        <w:rPr>
          <w:rFonts w:hint="eastAsia" w:ascii="宋体" w:hAnsi="宋体" w:eastAsia="宋体" w:cs="宋体"/>
          <w:sz w:val="30"/>
          <w:szCs w:val="30"/>
        </w:rPr>
      </w:pPr>
      <w:r>
        <w:rPr>
          <w:rFonts w:hint="eastAsia" w:ascii="宋体" w:hAnsi="宋体" w:eastAsia="宋体" w:cs="宋体"/>
          <w:sz w:val="30"/>
          <w:szCs w:val="30"/>
        </w:rPr>
        <w:t>八、其他</w:t>
      </w:r>
      <w:bookmarkEnd w:id="26"/>
      <w:bookmarkStart w:id="27" w:name="_Hlk89422773"/>
      <w:bookmarkStart w:id="28" w:name="_Toc16414"/>
      <w:r>
        <w:rPr>
          <w:rFonts w:hint="eastAsia" w:ascii="宋体" w:hAnsi="宋体" w:eastAsia="宋体" w:cs="宋体"/>
          <w:sz w:val="30"/>
          <w:szCs w:val="30"/>
        </w:rPr>
        <w:t>资料</w:t>
      </w:r>
    </w:p>
    <w:p w14:paraId="08FEABC8">
      <w:pPr>
        <w:spacing w:line="600" w:lineRule="exact"/>
        <w:jc w:val="center"/>
        <w:rPr>
          <w:rFonts w:hint="eastAsia" w:ascii="宋体" w:hAnsi="宋体" w:eastAsia="宋体" w:cs="宋体"/>
          <w:sz w:val="30"/>
          <w:szCs w:val="30"/>
        </w:rPr>
      </w:pPr>
    </w:p>
    <w:p w14:paraId="32D57C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0FBAF87E">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附表一：</w:t>
      </w:r>
    </w:p>
    <w:bookmarkEnd w:id="27"/>
    <w:bookmarkEnd w:id="28"/>
    <w:p w14:paraId="7234E384">
      <w:pPr>
        <w:pStyle w:val="3"/>
        <w:bidi w:val="0"/>
        <w:ind w:left="0" w:leftChars="0" w:firstLine="0" w:firstLineChars="0"/>
        <w:jc w:val="center"/>
        <w:rPr>
          <w:rFonts w:hint="eastAsia" w:ascii="宋体" w:hAnsi="宋体" w:eastAsia="宋体" w:cs="宋体"/>
          <w:b/>
          <w:sz w:val="24"/>
        </w:rPr>
      </w:pPr>
      <w:bookmarkStart w:id="29" w:name="_Toc7902"/>
      <w:bookmarkStart w:id="30" w:name="_Toc22412"/>
      <w:r>
        <w:rPr>
          <w:rFonts w:hint="eastAsia" w:ascii="宋体" w:hAnsi="宋体" w:eastAsia="宋体" w:cs="宋体"/>
        </w:rPr>
        <w:t>磋商</w:t>
      </w:r>
      <w:r>
        <w:rPr>
          <w:rFonts w:hint="eastAsia" w:ascii="宋体" w:hAnsi="宋体" w:eastAsia="宋体" w:cs="宋体"/>
          <w:lang w:val="en-US" w:eastAsia="zh-CN"/>
        </w:rPr>
        <w:t>承诺函</w:t>
      </w:r>
    </w:p>
    <w:p w14:paraId="3FE3AECC">
      <w:pPr>
        <w:spacing w:line="360" w:lineRule="auto"/>
        <w:ind w:right="-340" w:rightChars="-162"/>
        <w:jc w:val="center"/>
        <w:rPr>
          <w:rFonts w:hint="eastAsia" w:ascii="宋体" w:hAnsi="宋体" w:eastAsia="宋体" w:cs="宋体"/>
          <w:sz w:val="24"/>
        </w:rPr>
      </w:pPr>
      <w:r>
        <w:rPr>
          <w:rFonts w:hint="eastAsia" w:ascii="宋体" w:hAnsi="宋体" w:eastAsia="宋体" w:cs="宋体"/>
          <w:sz w:val="24"/>
        </w:rPr>
        <w:t>（自行承诺）</w:t>
      </w:r>
    </w:p>
    <w:p w14:paraId="6980B7DB">
      <w:pPr>
        <w:keepNext w:val="0"/>
        <w:pageBreakBefore w:val="0"/>
        <w:widowControl/>
        <w:kinsoku/>
        <w:wordWrap/>
        <w:overflowPunct/>
        <w:topLinePunct w:val="0"/>
        <w:autoSpaceDE/>
        <w:autoSpaceDN/>
        <w:bidi w:val="0"/>
        <w:adjustRightInd/>
        <w:snapToGrid/>
        <w:spacing w:line="480" w:lineRule="exact"/>
        <w:textAlignment w:val="baseline"/>
        <w:rPr>
          <w:rStyle w:val="32"/>
          <w:rFonts w:hint="eastAsia" w:ascii="宋体" w:hAnsi="宋体" w:eastAsia="宋体" w:cs="宋体"/>
          <w:sz w:val="24"/>
          <w:u w:val="single"/>
          <w:lang w:val="en-US" w:eastAsia="zh-CN"/>
        </w:rPr>
      </w:pPr>
      <w:r>
        <w:rPr>
          <w:rStyle w:val="32"/>
          <w:rFonts w:hint="eastAsia" w:ascii="宋体" w:hAnsi="宋体" w:eastAsia="宋体" w:cs="宋体"/>
          <w:sz w:val="24"/>
        </w:rPr>
        <w:t>致（采购人及采购代理机构）：</w:t>
      </w:r>
      <w:r>
        <w:rPr>
          <w:rStyle w:val="32"/>
          <w:rFonts w:hint="eastAsia" w:ascii="宋体" w:hAnsi="宋体" w:eastAsia="宋体" w:cs="宋体"/>
          <w:sz w:val="24"/>
          <w:u w:val="single"/>
          <w:lang w:val="en-US" w:eastAsia="zh-CN"/>
        </w:rPr>
        <w:t xml:space="preserve">                 </w:t>
      </w:r>
    </w:p>
    <w:p w14:paraId="3246DDC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我公司作为本次采购项目的</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2"/>
          <w:rFonts w:hint="eastAsia" w:ascii="宋体" w:hAnsi="宋体" w:eastAsia="宋体" w:cs="宋体"/>
          <w:sz w:val="24"/>
        </w:rPr>
        <w:t>，根据</w:t>
      </w:r>
      <w:r>
        <w:rPr>
          <w:rStyle w:val="32"/>
          <w:rFonts w:hint="eastAsia" w:ascii="宋体" w:hAnsi="宋体" w:cs="宋体"/>
          <w:sz w:val="24"/>
          <w:lang w:eastAsia="zh-CN"/>
        </w:rPr>
        <w:t>磋商</w:t>
      </w:r>
      <w:r>
        <w:rPr>
          <w:rStyle w:val="32"/>
          <w:rFonts w:hint="eastAsia" w:ascii="宋体" w:hAnsi="宋体" w:eastAsia="宋体" w:cs="宋体"/>
          <w:sz w:val="24"/>
        </w:rPr>
        <w:t>文件要求，现郑重承诺如下：</w:t>
      </w:r>
    </w:p>
    <w:p w14:paraId="5FEEE8DC">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一、具备《中华人民共和国政府采购法》第二十二条第一款和本项目规定的条件：</w:t>
      </w:r>
    </w:p>
    <w:p w14:paraId="1E02A34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（一）具有独立承担民事责任的能力； 　　</w:t>
      </w:r>
    </w:p>
    <w:p w14:paraId="3D77584B">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（二）具有良好的商业信誉和健全的财务会计制度； 　</w:t>
      </w:r>
    </w:p>
    <w:p w14:paraId="481EC0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（三）具有履行合同所必需的设备和专业技术能力； 　　</w:t>
      </w:r>
    </w:p>
    <w:p w14:paraId="41EC0AB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（四）有依法缴纳税收和社会保障资金的良好记录； 　　</w:t>
      </w:r>
    </w:p>
    <w:p w14:paraId="275F8C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（五）参加政府采购活动前三年内，在经营活动中没有重大违法记录；</w:t>
      </w:r>
    </w:p>
    <w:p w14:paraId="0461A4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（六）法律、行政法规规定的其他条件；</w:t>
      </w:r>
    </w:p>
    <w:p w14:paraId="73BA776D">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（七）根据采购项目提出的特殊条件。</w:t>
      </w:r>
    </w:p>
    <w:p w14:paraId="481FCDF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二、完全接受和满足本项目</w:t>
      </w:r>
      <w:r>
        <w:rPr>
          <w:rStyle w:val="32"/>
          <w:rFonts w:hint="eastAsia" w:ascii="宋体" w:hAnsi="宋体" w:cs="宋体"/>
          <w:sz w:val="24"/>
          <w:lang w:eastAsia="zh-CN"/>
        </w:rPr>
        <w:t>磋商</w:t>
      </w:r>
      <w:r>
        <w:rPr>
          <w:rStyle w:val="32"/>
          <w:rFonts w:hint="eastAsia" w:ascii="宋体" w:hAnsi="宋体" w:eastAsia="宋体" w:cs="宋体"/>
          <w:sz w:val="24"/>
        </w:rPr>
        <w:t>文件中规定的实质性要求，如对</w:t>
      </w:r>
      <w:r>
        <w:rPr>
          <w:rStyle w:val="32"/>
          <w:rFonts w:hint="eastAsia" w:ascii="宋体" w:hAnsi="宋体" w:cs="宋体"/>
          <w:sz w:val="24"/>
          <w:lang w:eastAsia="zh-CN"/>
        </w:rPr>
        <w:t>磋商</w:t>
      </w:r>
      <w:r>
        <w:rPr>
          <w:rStyle w:val="32"/>
          <w:rFonts w:hint="eastAsia" w:ascii="宋体" w:hAnsi="宋体" w:eastAsia="宋体" w:cs="宋体"/>
          <w:sz w:val="24"/>
        </w:rPr>
        <w:t>文件有异议，已经在投标截止时间届满前依法进行维权救济，不存在对</w:t>
      </w:r>
      <w:r>
        <w:rPr>
          <w:rStyle w:val="32"/>
          <w:rFonts w:hint="eastAsia" w:ascii="宋体" w:hAnsi="宋体" w:cs="宋体"/>
          <w:sz w:val="24"/>
          <w:lang w:eastAsia="zh-CN"/>
        </w:rPr>
        <w:t>磋商</w:t>
      </w:r>
      <w:r>
        <w:rPr>
          <w:rStyle w:val="32"/>
          <w:rFonts w:hint="eastAsia" w:ascii="宋体" w:hAnsi="宋体" w:eastAsia="宋体" w:cs="宋体"/>
          <w:sz w:val="24"/>
        </w:rPr>
        <w:t>文件有异议的同时又参加投标以求侥幸</w:t>
      </w:r>
      <w:r>
        <w:rPr>
          <w:rStyle w:val="32"/>
          <w:rFonts w:hint="eastAsia" w:ascii="宋体" w:hAnsi="宋体" w:cs="宋体"/>
          <w:sz w:val="24"/>
          <w:lang w:eastAsia="zh-CN"/>
        </w:rPr>
        <w:t>成交</w:t>
      </w:r>
      <w:r>
        <w:rPr>
          <w:rStyle w:val="32"/>
          <w:rFonts w:hint="eastAsia" w:ascii="宋体" w:hAnsi="宋体" w:eastAsia="宋体" w:cs="宋体"/>
          <w:sz w:val="24"/>
        </w:rPr>
        <w:t>或者为实现其他非法目的的行为。</w:t>
      </w:r>
    </w:p>
    <w:p w14:paraId="56931AC8">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三、参加本次</w:t>
      </w:r>
      <w:r>
        <w:rPr>
          <w:rStyle w:val="32"/>
          <w:rFonts w:hint="eastAsia" w:ascii="宋体" w:hAnsi="宋体" w:cs="宋体"/>
          <w:sz w:val="24"/>
          <w:lang w:eastAsia="zh-CN"/>
        </w:rPr>
        <w:t>磋商</w:t>
      </w:r>
      <w:r>
        <w:rPr>
          <w:rStyle w:val="32"/>
          <w:rFonts w:hint="eastAsia" w:ascii="宋体" w:hAnsi="宋体" w:eastAsia="宋体" w:cs="宋体"/>
          <w:sz w:val="24"/>
        </w:rPr>
        <w:t>采购活动，不存在与单位负责人为同一人或者存在直接控股、管理关系的其他供应商参与同一合同项下的政府采购活动的行为。    </w:t>
      </w:r>
    </w:p>
    <w:p w14:paraId="5183F15A">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四、参加本次</w:t>
      </w:r>
      <w:r>
        <w:rPr>
          <w:rStyle w:val="32"/>
          <w:rFonts w:hint="eastAsia" w:ascii="宋体" w:hAnsi="宋体" w:cs="宋体"/>
          <w:sz w:val="24"/>
          <w:lang w:eastAsia="zh-CN"/>
        </w:rPr>
        <w:t>磋商</w:t>
      </w:r>
      <w:r>
        <w:rPr>
          <w:rStyle w:val="32"/>
          <w:rFonts w:hint="eastAsia" w:ascii="宋体" w:hAnsi="宋体" w:eastAsia="宋体" w:cs="宋体"/>
          <w:sz w:val="24"/>
        </w:rPr>
        <w:t>采购活动，不存在为采购项目提供整体设计、规范编制或者项目管理、监理、检测等服务的行为。</w:t>
      </w:r>
    </w:p>
    <w:p w14:paraId="19D5EDE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五、参加本次</w:t>
      </w:r>
      <w:r>
        <w:rPr>
          <w:rStyle w:val="32"/>
          <w:rFonts w:hint="eastAsia" w:ascii="宋体" w:hAnsi="宋体" w:cs="宋体"/>
          <w:sz w:val="24"/>
          <w:lang w:eastAsia="zh-CN"/>
        </w:rPr>
        <w:t>磋商</w:t>
      </w:r>
      <w:r>
        <w:rPr>
          <w:rStyle w:val="32"/>
          <w:rFonts w:hint="eastAsia" w:ascii="宋体" w:hAnsi="宋体" w:eastAsia="宋体" w:cs="宋体"/>
          <w:sz w:val="24"/>
        </w:rPr>
        <w:t>采购活动，不存在和其他供应商在同一合同项下的采购项目中，同时委托同一个自然人、同一家庭的人员、同一单位的人员作为代理人的行为。</w:t>
      </w:r>
    </w:p>
    <w:p w14:paraId="797DC1AF">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六、</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2"/>
          <w:rFonts w:hint="eastAsia" w:ascii="宋体" w:hAnsi="宋体" w:eastAsia="宋体" w:cs="宋体"/>
          <w:sz w:val="24"/>
        </w:rPr>
        <w:t>参加本次政府采购活动要求在近三年内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2"/>
          <w:rFonts w:hint="eastAsia" w:ascii="宋体" w:hAnsi="宋体" w:eastAsia="宋体" w:cs="宋体"/>
          <w:sz w:val="24"/>
        </w:rPr>
        <w:t>和其法定代表人没有行贿犯罪行为。</w:t>
      </w:r>
    </w:p>
    <w:p w14:paraId="3BB961A6">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七、参加本次</w:t>
      </w:r>
      <w:r>
        <w:rPr>
          <w:rStyle w:val="32"/>
          <w:rFonts w:hint="eastAsia" w:ascii="宋体" w:hAnsi="宋体" w:cs="宋体"/>
          <w:sz w:val="24"/>
          <w:lang w:eastAsia="zh-CN"/>
        </w:rPr>
        <w:t>磋商</w:t>
      </w:r>
      <w:r>
        <w:rPr>
          <w:rStyle w:val="32"/>
          <w:rFonts w:hint="eastAsia" w:ascii="宋体" w:hAnsi="宋体" w:eastAsia="宋体" w:cs="宋体"/>
          <w:sz w:val="24"/>
        </w:rPr>
        <w:t>采购活动，不存在联合体投标。</w:t>
      </w:r>
    </w:p>
    <w:p w14:paraId="450CFBD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八、投标文件中提供的能够给予我公司带来优惠、好处的任何材料资料和技术、服务、商务等响应承诺情况都是真实的、有效的、合法的。</w:t>
      </w:r>
    </w:p>
    <w:p w14:paraId="06CAA7C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九、如本项目评标过程中需要提供样品，则我公司提供的样品即为</w:t>
      </w:r>
      <w:r>
        <w:rPr>
          <w:rStyle w:val="32"/>
          <w:rFonts w:hint="eastAsia" w:ascii="宋体" w:hAnsi="宋体" w:cs="宋体"/>
          <w:sz w:val="24"/>
          <w:lang w:eastAsia="zh-CN"/>
        </w:rPr>
        <w:t>成交</w:t>
      </w:r>
      <w:r>
        <w:rPr>
          <w:rStyle w:val="32"/>
          <w:rFonts w:hint="eastAsia" w:ascii="宋体" w:hAnsi="宋体" w:eastAsia="宋体" w:cs="宋体"/>
          <w:sz w:val="24"/>
        </w:rPr>
        <w:t>后将要提供的</w:t>
      </w:r>
      <w:r>
        <w:rPr>
          <w:rStyle w:val="32"/>
          <w:rFonts w:hint="eastAsia" w:ascii="宋体" w:hAnsi="宋体" w:cs="宋体"/>
          <w:sz w:val="24"/>
          <w:lang w:eastAsia="zh-CN"/>
        </w:rPr>
        <w:t>成交</w:t>
      </w:r>
      <w:r>
        <w:rPr>
          <w:rStyle w:val="32"/>
          <w:rFonts w:hint="eastAsia" w:ascii="宋体" w:hAnsi="宋体" w:eastAsia="宋体" w:cs="宋体"/>
          <w:sz w:val="24"/>
        </w:rPr>
        <w:t>产品，我公司对提供样品的性能和质量负责，因样品存在缺陷或者不符合</w:t>
      </w:r>
      <w:r>
        <w:rPr>
          <w:rStyle w:val="32"/>
          <w:rFonts w:hint="eastAsia" w:ascii="宋体" w:hAnsi="宋体" w:cs="宋体"/>
          <w:sz w:val="24"/>
          <w:lang w:eastAsia="zh-CN"/>
        </w:rPr>
        <w:t>磋商</w:t>
      </w:r>
      <w:r>
        <w:rPr>
          <w:rStyle w:val="32"/>
          <w:rFonts w:hint="eastAsia" w:ascii="宋体" w:hAnsi="宋体" w:eastAsia="宋体" w:cs="宋体"/>
          <w:sz w:val="24"/>
        </w:rPr>
        <w:t>文件要求导致未能</w:t>
      </w:r>
      <w:r>
        <w:rPr>
          <w:rStyle w:val="32"/>
          <w:rFonts w:hint="eastAsia" w:ascii="宋体" w:hAnsi="宋体" w:cs="宋体"/>
          <w:sz w:val="24"/>
          <w:lang w:eastAsia="zh-CN"/>
        </w:rPr>
        <w:t>成交</w:t>
      </w:r>
      <w:r>
        <w:rPr>
          <w:rStyle w:val="32"/>
          <w:rFonts w:hint="eastAsia" w:ascii="宋体" w:hAnsi="宋体" w:eastAsia="宋体" w:cs="宋体"/>
          <w:sz w:val="24"/>
        </w:rPr>
        <w:t>的，我公司愿意承担相应不利后果。（如提供样品）    </w:t>
      </w:r>
    </w:p>
    <w:p w14:paraId="08804F3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十、存在以下行为之一的愿意接受相关部门的处理：</w:t>
      </w:r>
    </w:p>
    <w:p w14:paraId="4BE30B4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（一）投标有效期内撤销投标文件的；</w:t>
      </w:r>
    </w:p>
    <w:p w14:paraId="18761172">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（二）在采购人确定</w:t>
      </w:r>
      <w:r>
        <w:rPr>
          <w:rStyle w:val="32"/>
          <w:rFonts w:hint="eastAsia" w:ascii="宋体" w:hAnsi="宋体" w:cs="宋体"/>
          <w:sz w:val="24"/>
          <w:lang w:eastAsia="zh-CN"/>
        </w:rPr>
        <w:t>成交</w:t>
      </w:r>
      <w:r>
        <w:rPr>
          <w:rStyle w:val="32"/>
          <w:rFonts w:hint="eastAsia" w:ascii="宋体" w:hAnsi="宋体" w:eastAsia="宋体" w:cs="宋体"/>
          <w:sz w:val="24"/>
        </w:rPr>
        <w:t>人以前放弃</w:t>
      </w:r>
      <w:r>
        <w:rPr>
          <w:rStyle w:val="32"/>
          <w:rFonts w:hint="eastAsia" w:ascii="宋体" w:hAnsi="宋体" w:cs="宋体"/>
          <w:sz w:val="24"/>
          <w:lang w:eastAsia="zh-CN"/>
        </w:rPr>
        <w:t>成交</w:t>
      </w:r>
      <w:r>
        <w:rPr>
          <w:rStyle w:val="32"/>
          <w:rFonts w:hint="eastAsia" w:ascii="宋体" w:hAnsi="宋体" w:eastAsia="宋体" w:cs="宋体"/>
          <w:sz w:val="24"/>
        </w:rPr>
        <w:t>候选资格的；</w:t>
      </w:r>
    </w:p>
    <w:p w14:paraId="09914304">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（三）由于</w:t>
      </w:r>
      <w:r>
        <w:rPr>
          <w:rStyle w:val="32"/>
          <w:rFonts w:hint="eastAsia" w:ascii="宋体" w:hAnsi="宋体" w:cs="宋体"/>
          <w:sz w:val="24"/>
          <w:lang w:eastAsia="zh-CN"/>
        </w:rPr>
        <w:t>成交</w:t>
      </w:r>
      <w:r>
        <w:rPr>
          <w:rStyle w:val="32"/>
          <w:rFonts w:hint="eastAsia" w:ascii="宋体" w:hAnsi="宋体" w:eastAsia="宋体" w:cs="宋体"/>
          <w:sz w:val="24"/>
        </w:rPr>
        <w:t>人的原因未能按照</w:t>
      </w:r>
      <w:r>
        <w:rPr>
          <w:rStyle w:val="32"/>
          <w:rFonts w:hint="eastAsia" w:ascii="宋体" w:hAnsi="宋体" w:cs="宋体"/>
          <w:sz w:val="24"/>
          <w:lang w:eastAsia="zh-CN"/>
        </w:rPr>
        <w:t>磋商</w:t>
      </w:r>
      <w:r>
        <w:rPr>
          <w:rStyle w:val="32"/>
          <w:rFonts w:hint="eastAsia" w:ascii="宋体" w:hAnsi="宋体" w:eastAsia="宋体" w:cs="宋体"/>
          <w:sz w:val="24"/>
        </w:rPr>
        <w:t>文件的规定与采购人签订合同；</w:t>
      </w:r>
    </w:p>
    <w:p w14:paraId="2282BDA7">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（四）由于</w:t>
      </w:r>
      <w:r>
        <w:rPr>
          <w:rStyle w:val="32"/>
          <w:rFonts w:hint="eastAsia" w:ascii="宋体" w:hAnsi="宋体" w:cs="宋体"/>
          <w:sz w:val="24"/>
          <w:lang w:eastAsia="zh-CN"/>
        </w:rPr>
        <w:t>成交</w:t>
      </w:r>
      <w:r>
        <w:rPr>
          <w:rStyle w:val="32"/>
          <w:rFonts w:hint="eastAsia" w:ascii="宋体" w:hAnsi="宋体" w:eastAsia="宋体" w:cs="宋体"/>
          <w:sz w:val="24"/>
        </w:rPr>
        <w:t>人的原因未能按照</w:t>
      </w:r>
      <w:r>
        <w:rPr>
          <w:rStyle w:val="32"/>
          <w:rFonts w:hint="eastAsia" w:ascii="宋体" w:hAnsi="宋体" w:cs="宋体"/>
          <w:sz w:val="24"/>
          <w:lang w:eastAsia="zh-CN"/>
        </w:rPr>
        <w:t>磋商</w:t>
      </w:r>
      <w:r>
        <w:rPr>
          <w:rStyle w:val="32"/>
          <w:rFonts w:hint="eastAsia" w:ascii="宋体" w:hAnsi="宋体" w:eastAsia="宋体" w:cs="宋体"/>
          <w:sz w:val="24"/>
        </w:rPr>
        <w:t>文件的规定交纳履约保证金；</w:t>
      </w:r>
    </w:p>
    <w:p w14:paraId="6F18F93E">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（五）在投标文件中提供虚假材料谋取</w:t>
      </w:r>
      <w:r>
        <w:rPr>
          <w:rStyle w:val="32"/>
          <w:rFonts w:hint="eastAsia" w:ascii="宋体" w:hAnsi="宋体" w:cs="宋体"/>
          <w:sz w:val="24"/>
          <w:lang w:eastAsia="zh-CN"/>
        </w:rPr>
        <w:t>成交</w:t>
      </w:r>
      <w:r>
        <w:rPr>
          <w:rStyle w:val="32"/>
          <w:rFonts w:hint="eastAsia" w:ascii="宋体" w:hAnsi="宋体" w:eastAsia="宋体" w:cs="宋体"/>
          <w:sz w:val="24"/>
        </w:rPr>
        <w:t>；</w:t>
      </w:r>
    </w:p>
    <w:p w14:paraId="08D4FBC1">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（六）与采购人、其他供应商或者采购代理机构恶意串通的；</w:t>
      </w:r>
    </w:p>
    <w:p w14:paraId="6E443C20">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  （七）投标有效期内，</w:t>
      </w:r>
      <w:r>
        <w:rPr>
          <w:rFonts w:hint="eastAsia" w:ascii="宋体" w:hAnsi="宋体" w:cs="宋体"/>
          <w:color w:val="000000"/>
          <w:sz w:val="24"/>
          <w:szCs w:val="24"/>
          <w:lang w:val="en-US" w:eastAsia="zh-CN"/>
        </w:rPr>
        <w:t>响应</w:t>
      </w:r>
      <w:r>
        <w:rPr>
          <w:rFonts w:hint="eastAsia" w:ascii="宋体" w:hAnsi="宋体" w:eastAsia="宋体" w:cs="宋体"/>
          <w:color w:val="000000"/>
          <w:sz w:val="24"/>
          <w:szCs w:val="24"/>
          <w:lang w:val="en-US" w:eastAsia="zh-CN"/>
        </w:rPr>
        <w:t>人</w:t>
      </w:r>
      <w:r>
        <w:rPr>
          <w:rStyle w:val="32"/>
          <w:rFonts w:hint="eastAsia" w:ascii="宋体" w:hAnsi="宋体" w:eastAsia="宋体" w:cs="宋体"/>
          <w:sz w:val="24"/>
        </w:rPr>
        <w:t>在政府采购活动中有违法、违规、违纪行为。</w:t>
      </w:r>
    </w:p>
    <w:p w14:paraId="5832D5B3">
      <w:pPr>
        <w:keepNext w:val="0"/>
        <w:pageBreakBefore w:val="0"/>
        <w:widowControl/>
        <w:kinsoku/>
        <w:wordWrap/>
        <w:overflowPunct/>
        <w:topLinePunct w:val="0"/>
        <w:autoSpaceDE/>
        <w:autoSpaceDN/>
        <w:bidi w:val="0"/>
        <w:adjustRightInd/>
        <w:snapToGrid/>
        <w:spacing w:line="480" w:lineRule="exact"/>
        <w:ind w:firstLine="480" w:firstLineChars="200"/>
        <w:textAlignment w:val="baseline"/>
        <w:rPr>
          <w:rStyle w:val="32"/>
          <w:rFonts w:hint="eastAsia" w:ascii="宋体" w:hAnsi="宋体" w:eastAsia="宋体" w:cs="宋体"/>
          <w:sz w:val="24"/>
        </w:rPr>
      </w:pPr>
      <w:r>
        <w:rPr>
          <w:rStyle w:val="32"/>
          <w:rFonts w:hint="eastAsia" w:ascii="宋体" w:hAnsi="宋体" w:eastAsia="宋体" w:cs="宋体"/>
          <w:sz w:val="24"/>
        </w:rPr>
        <w:t>由此产生的一切法律后果和责任由我公司承担。我公司声明放弃对此提出任何异议和追索的权利。</w:t>
      </w:r>
    </w:p>
    <w:p w14:paraId="38DEF211">
      <w:pPr>
        <w:pStyle w:val="8"/>
        <w:spacing w:line="360" w:lineRule="exact"/>
        <w:ind w:right="-340" w:rightChars="-162"/>
        <w:rPr>
          <w:rStyle w:val="32"/>
          <w:rFonts w:hint="eastAsia" w:ascii="宋体" w:hAnsi="宋体" w:eastAsia="宋体" w:cs="宋体"/>
          <w:sz w:val="24"/>
        </w:rPr>
      </w:pPr>
    </w:p>
    <w:p w14:paraId="4C36C382">
      <w:pPr>
        <w:pStyle w:val="8"/>
        <w:spacing w:line="360" w:lineRule="exact"/>
        <w:ind w:right="-340" w:rightChars="-162"/>
        <w:rPr>
          <w:rFonts w:hint="eastAsia" w:ascii="宋体" w:hAnsi="宋体" w:eastAsia="宋体" w:cs="宋体"/>
          <w:sz w:val="24"/>
        </w:rPr>
      </w:pPr>
      <w:r>
        <w:rPr>
          <w:rStyle w:val="32"/>
          <w:rFonts w:hint="eastAsia" w:ascii="宋体" w:hAnsi="宋体" w:eastAsia="宋体" w:cs="宋体"/>
          <w:sz w:val="24"/>
        </w:rPr>
        <w:t>本公司对上述承诺的内容事项真实性负责。如经查实上述承诺的内容事项存在虚假，我公司愿意接受以提供虚假材料谋取</w:t>
      </w:r>
      <w:r>
        <w:rPr>
          <w:rStyle w:val="32"/>
          <w:rFonts w:hint="eastAsia" w:ascii="宋体" w:hAnsi="宋体" w:cs="宋体"/>
          <w:sz w:val="24"/>
          <w:lang w:eastAsia="zh-CN"/>
        </w:rPr>
        <w:t>成交</w:t>
      </w:r>
      <w:r>
        <w:rPr>
          <w:rStyle w:val="32"/>
          <w:rFonts w:hint="eastAsia" w:ascii="宋体" w:hAnsi="宋体" w:eastAsia="宋体" w:cs="宋体"/>
          <w:sz w:val="24"/>
        </w:rPr>
        <w:t>追究法律责任。</w:t>
      </w:r>
    </w:p>
    <w:p w14:paraId="0C92529C">
      <w:pPr>
        <w:pStyle w:val="8"/>
        <w:spacing w:line="360" w:lineRule="exact"/>
        <w:ind w:left="1" w:leftChars="0" w:right="-340" w:rightChars="-162" w:firstLine="2880" w:firstLineChars="1200"/>
        <w:rPr>
          <w:rFonts w:hint="eastAsia" w:ascii="宋体" w:hAnsi="宋体" w:eastAsia="宋体" w:cs="宋体"/>
          <w:sz w:val="24"/>
        </w:rPr>
      </w:pPr>
    </w:p>
    <w:p w14:paraId="22D44D50">
      <w:pPr>
        <w:pStyle w:val="8"/>
        <w:spacing w:line="360" w:lineRule="exact"/>
        <w:ind w:left="1" w:leftChars="0" w:right="-340" w:rightChars="-162" w:firstLine="2880" w:firstLineChars="1200"/>
        <w:rPr>
          <w:rFonts w:hint="eastAsia" w:ascii="宋体" w:hAnsi="宋体" w:eastAsia="宋体" w:cs="宋体"/>
          <w:sz w:val="24"/>
        </w:rPr>
      </w:pPr>
    </w:p>
    <w:p w14:paraId="3446114A">
      <w:pPr>
        <w:pStyle w:val="8"/>
        <w:spacing w:line="360" w:lineRule="exact"/>
        <w:ind w:left="1" w:leftChars="0" w:right="-340" w:rightChars="-162" w:firstLine="2880" w:firstLineChars="1200"/>
        <w:rPr>
          <w:rFonts w:hint="eastAsia" w:ascii="宋体" w:hAnsi="宋体" w:eastAsia="宋体" w:cs="宋体"/>
          <w:sz w:val="24"/>
        </w:rPr>
      </w:pPr>
    </w:p>
    <w:p w14:paraId="65C5D6F6">
      <w:pPr>
        <w:pStyle w:val="8"/>
        <w:spacing w:line="360" w:lineRule="exact"/>
        <w:ind w:left="1" w:leftChars="0" w:right="-340" w:rightChars="-162" w:firstLine="2880" w:firstLineChars="1200"/>
        <w:rPr>
          <w:rFonts w:hint="eastAsia" w:ascii="宋体" w:hAnsi="宋体" w:eastAsia="宋体" w:cs="宋体"/>
          <w:sz w:val="24"/>
          <w:u w:val="single"/>
        </w:rPr>
      </w:pPr>
      <w:r>
        <w:rPr>
          <w:rFonts w:hint="eastAsia" w:ascii="宋体" w:hAnsi="宋体" w:eastAsia="宋体" w:cs="宋体"/>
          <w:sz w:val="24"/>
        </w:rPr>
        <w:t>供  应  商：</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13ED08EB">
      <w:pPr>
        <w:pStyle w:val="8"/>
        <w:spacing w:line="360" w:lineRule="exact"/>
        <w:ind w:left="1" w:leftChars="0" w:right="-340" w:rightChars="-162" w:firstLine="2880" w:firstLineChars="1200"/>
        <w:rPr>
          <w:rFonts w:hint="eastAsia" w:ascii="宋体" w:hAnsi="宋体" w:eastAsia="宋体" w:cs="宋体"/>
          <w:sz w:val="24"/>
          <w:u w:val="single"/>
        </w:rPr>
      </w:pPr>
    </w:p>
    <w:p w14:paraId="60A0BEE7">
      <w:pPr>
        <w:pStyle w:val="8"/>
        <w:spacing w:line="360" w:lineRule="exact"/>
        <w:ind w:left="1" w:leftChars="0" w:right="-340" w:rightChars="-162" w:firstLine="2880" w:firstLineChars="1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7A5C7473">
      <w:pPr>
        <w:pStyle w:val="8"/>
        <w:spacing w:line="360" w:lineRule="exact"/>
        <w:ind w:left="1" w:leftChars="0" w:right="-340" w:rightChars="-162" w:firstLine="480" w:firstLineChars="200"/>
        <w:rPr>
          <w:rFonts w:hint="eastAsia" w:ascii="宋体" w:hAnsi="宋体" w:eastAsia="宋体" w:cs="宋体"/>
          <w:sz w:val="24"/>
        </w:rPr>
      </w:pPr>
      <w:r>
        <w:rPr>
          <w:rFonts w:hint="eastAsia" w:ascii="宋体" w:hAnsi="宋体" w:eastAsia="宋体" w:cs="宋体"/>
          <w:sz w:val="24"/>
        </w:rPr>
        <w:t xml:space="preserve"> </w:t>
      </w:r>
    </w:p>
    <w:p w14:paraId="24CDB922">
      <w:pPr>
        <w:pStyle w:val="8"/>
        <w:spacing w:line="360" w:lineRule="exact"/>
        <w:ind w:left="99" w:leftChars="47" w:right="-340" w:rightChars="-162" w:firstLine="2760" w:firstLineChars="1150"/>
        <w:rPr>
          <w:rFonts w:hint="eastAsia" w:ascii="宋体" w:hAnsi="宋体" w:eastAsia="宋体" w:cs="宋体"/>
          <w:b/>
          <w:bCs/>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年     月    日</w:t>
      </w:r>
    </w:p>
    <w:p w14:paraId="0062AE64">
      <w:pPr>
        <w:rPr>
          <w:rFonts w:hint="eastAsia" w:ascii="宋体" w:hAnsi="宋体" w:eastAsia="宋体" w:cs="宋体"/>
          <w:sz w:val="28"/>
          <w:szCs w:val="21"/>
        </w:rPr>
      </w:pPr>
    </w:p>
    <w:p w14:paraId="0DE47E60">
      <w:pPr>
        <w:rPr>
          <w:rFonts w:hint="eastAsia" w:ascii="宋体" w:hAnsi="宋体" w:eastAsia="宋体" w:cs="宋体"/>
          <w:sz w:val="28"/>
          <w:szCs w:val="21"/>
        </w:rPr>
      </w:pPr>
      <w:r>
        <w:rPr>
          <w:rFonts w:hint="eastAsia" w:ascii="宋体" w:hAnsi="宋体" w:eastAsia="宋体" w:cs="宋体"/>
          <w:sz w:val="28"/>
          <w:szCs w:val="21"/>
        </w:rPr>
        <w:br w:type="page"/>
      </w:r>
    </w:p>
    <w:p w14:paraId="6EB5C33A">
      <w:pPr>
        <w:pStyle w:val="3"/>
        <w:numPr>
          <w:ilvl w:val="1"/>
          <w:numId w:val="0"/>
        </w:numPr>
        <w:wordWrap w:val="0"/>
        <w:topLinePunct/>
        <w:spacing w:before="0" w:after="0" w:line="360" w:lineRule="auto"/>
        <w:jc w:val="left"/>
        <w:rPr>
          <w:rFonts w:hint="eastAsia" w:ascii="宋体" w:hAnsi="宋体" w:eastAsia="宋体" w:cs="宋体"/>
          <w:sz w:val="24"/>
        </w:rPr>
      </w:pPr>
      <w:r>
        <w:rPr>
          <w:rFonts w:hint="eastAsia" w:ascii="宋体" w:hAnsi="宋体" w:eastAsia="宋体" w:cs="宋体"/>
          <w:sz w:val="28"/>
          <w:szCs w:val="21"/>
        </w:rPr>
        <w:t>附件2：</w:t>
      </w:r>
      <w:bookmarkEnd w:id="29"/>
    </w:p>
    <w:p w14:paraId="21769903">
      <w:pPr>
        <w:pStyle w:val="3"/>
        <w:numPr>
          <w:ilvl w:val="1"/>
          <w:numId w:val="0"/>
        </w:numPr>
        <w:wordWrap w:val="0"/>
        <w:topLinePunct/>
        <w:spacing w:before="0" w:after="0" w:line="360" w:lineRule="auto"/>
        <w:rPr>
          <w:rFonts w:hint="eastAsia" w:ascii="宋体" w:hAnsi="宋体" w:eastAsia="宋体" w:cs="宋体"/>
        </w:rPr>
      </w:pPr>
      <w:r>
        <w:rPr>
          <w:rFonts w:hint="eastAsia" w:ascii="宋体" w:hAnsi="宋体" w:eastAsia="宋体" w:cs="宋体"/>
          <w:bCs/>
          <w:szCs w:val="24"/>
          <w:lang w:val="zh-CN"/>
        </w:rPr>
        <w:t>中小企业声明函</w:t>
      </w:r>
      <w:bookmarkEnd w:id="30"/>
      <w:r>
        <w:rPr>
          <w:rFonts w:hint="eastAsia"/>
          <w:lang w:val="en-US" w:eastAsia="zh-CN"/>
        </w:rPr>
        <w:t>（必填）</w:t>
      </w:r>
    </w:p>
    <w:p w14:paraId="30C174DA">
      <w:pPr>
        <w:bidi w:val="0"/>
        <w:rPr>
          <w:rFonts w:hint="eastAsia" w:ascii="宋体" w:hAnsi="宋体" w:eastAsia="宋体" w:cs="宋体"/>
        </w:rPr>
      </w:pPr>
      <w:bookmarkStart w:id="31" w:name="_Toc22139"/>
      <w:bookmarkEnd w:id="31"/>
      <w:bookmarkStart w:id="32" w:name="_Toc12921"/>
      <w:bookmarkEnd w:id="32"/>
      <w:bookmarkStart w:id="33" w:name="_Toc7247"/>
      <w:bookmarkEnd w:id="33"/>
      <w:bookmarkStart w:id="34" w:name="_Toc14000"/>
      <w:bookmarkEnd w:id="34"/>
      <w:bookmarkStart w:id="35" w:name="_Toc10422"/>
      <w:bookmarkEnd w:id="35"/>
      <w:bookmarkStart w:id="36" w:name="_Toc13133"/>
      <w:bookmarkEnd w:id="36"/>
      <w:bookmarkStart w:id="37" w:name="_Toc22972"/>
      <w:bookmarkEnd w:id="37"/>
      <w:bookmarkStart w:id="38" w:name="_Toc10652"/>
      <w:bookmarkEnd w:id="38"/>
      <w:bookmarkStart w:id="39" w:name="_Toc9430"/>
      <w:bookmarkEnd w:id="39"/>
      <w:bookmarkStart w:id="40" w:name="_Toc82111747"/>
      <w:bookmarkEnd w:id="40"/>
    </w:p>
    <w:p w14:paraId="5A8EA40A">
      <w:pPr>
        <w:widowControl/>
        <w:spacing w:before="100" w:beforeAutospacing="1" w:after="100" w:afterAutospacing="1" w:line="360" w:lineRule="auto"/>
        <w:ind w:firstLine="600" w:firstLineChars="250"/>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采购活动，服务全部由符合政策要求的中小企业承接。相关企业（含联合体中的中小企业、签订分包意向协议的中小企业）的具体情况如下：</w:t>
      </w:r>
    </w:p>
    <w:p w14:paraId="667B018C">
      <w:pPr>
        <w:spacing w:before="100" w:beforeAutospacing="1" w:after="100" w:afterAutospacing="1" w:line="360" w:lineRule="auto"/>
        <w:ind w:firstLine="420" w:firstLineChars="200"/>
        <w:rPr>
          <w:rFonts w:hint="eastAsia" w:ascii="宋体" w:hAnsi="宋体" w:eastAsia="宋体" w:cs="宋体"/>
          <w:kern w:val="0"/>
          <w:sz w:val="24"/>
        </w:rPr>
      </w:pPr>
      <w:r>
        <w:rPr>
          <w:rFonts w:hint="eastAsia"/>
          <w:u w:val="single"/>
          <w:lang w:val="en-US" w:eastAsia="zh-CN"/>
        </w:rPr>
        <w:t xml:space="preserve">         </w:t>
      </w:r>
      <w:r>
        <w:rPr>
          <w:rFonts w:hint="eastAsia" w:ascii="宋体" w:hAnsi="宋体" w:eastAsia="宋体" w:cs="宋体"/>
          <w:kern w:val="0"/>
          <w:sz w:val="24"/>
          <w:u w:val="single"/>
        </w:rPr>
        <w:t>（标的名称</w:t>
      </w:r>
      <w:r>
        <w:rPr>
          <w:rFonts w:hint="eastAsia" w:ascii="宋体" w:hAnsi="宋体" w:eastAsia="宋体" w:cs="宋体"/>
          <w:kern w:val="0"/>
          <w:sz w:val="24"/>
        </w:rPr>
        <w:t>），属于</w:t>
      </w:r>
      <w:r>
        <w:rPr>
          <w:rFonts w:hint="eastAsia"/>
          <w:u w:val="single"/>
          <w:lang w:val="en-US" w:eastAsia="zh-CN"/>
        </w:rPr>
        <w:t xml:space="preserve">         </w:t>
      </w:r>
      <w:r>
        <w:rPr>
          <w:rFonts w:hint="eastAsia" w:ascii="宋体" w:hAnsi="宋体" w:eastAsia="宋体" w:cs="宋体"/>
          <w:kern w:val="0"/>
          <w:sz w:val="24"/>
          <w:u w:val="single"/>
        </w:rPr>
        <w:t>（采购文件中明确的所属行业</w:t>
      </w:r>
      <w:r>
        <w:rPr>
          <w:rFonts w:hint="eastAsia" w:ascii="宋体" w:hAnsi="宋体" w:eastAsia="宋体" w:cs="宋体"/>
          <w:kern w:val="0"/>
          <w:sz w:val="24"/>
        </w:rPr>
        <w:t>）；承接企业为（</w:t>
      </w:r>
      <w:r>
        <w:rPr>
          <w:rFonts w:hint="eastAsia" w:ascii="宋体" w:hAnsi="宋体" w:eastAsia="宋体" w:cs="宋体"/>
          <w:kern w:val="0"/>
          <w:sz w:val="24"/>
          <w:u w:val="single"/>
        </w:rPr>
        <w:t>企业名称</w:t>
      </w:r>
      <w:r>
        <w:rPr>
          <w:rFonts w:hint="eastAsia" w:ascii="宋体" w:hAnsi="宋体" w:eastAsia="宋体" w:cs="宋体"/>
          <w:kern w:val="0"/>
          <w:sz w:val="24"/>
        </w:rPr>
        <w:t>），从业人员</w:t>
      </w:r>
      <w:r>
        <w:rPr>
          <w:rFonts w:hint="eastAsia"/>
          <w:u w:val="single"/>
          <w:lang w:val="en-US" w:eastAsia="zh-CN"/>
        </w:rPr>
        <w:t xml:space="preserve">         </w:t>
      </w:r>
      <w:r>
        <w:rPr>
          <w:rFonts w:hint="eastAsia" w:ascii="宋体" w:hAnsi="宋体" w:eastAsia="宋体" w:cs="宋体"/>
          <w:kern w:val="0"/>
          <w:sz w:val="24"/>
        </w:rPr>
        <w:t>人，营业收入为</w:t>
      </w:r>
      <w:r>
        <w:rPr>
          <w:rFonts w:hint="eastAsia"/>
          <w:u w:val="single"/>
          <w:lang w:val="en-US" w:eastAsia="zh-CN"/>
        </w:rPr>
        <w:t xml:space="preserve">         </w:t>
      </w:r>
      <w:r>
        <w:rPr>
          <w:rFonts w:hint="eastAsia" w:ascii="宋体" w:hAnsi="宋体" w:eastAsia="宋体" w:cs="宋体"/>
          <w:kern w:val="0"/>
          <w:sz w:val="24"/>
        </w:rPr>
        <w:t>万元，资产总额为</w:t>
      </w:r>
      <w:r>
        <w:rPr>
          <w:rFonts w:hint="eastAsia"/>
          <w:u w:val="single"/>
          <w:lang w:val="en-US" w:eastAsia="zh-CN"/>
        </w:rPr>
        <w:t xml:space="preserve">         </w:t>
      </w:r>
      <w:r>
        <w:rPr>
          <w:rFonts w:hint="eastAsia" w:ascii="宋体" w:hAnsi="宋体" w:eastAsia="宋体" w:cs="宋体"/>
          <w:kern w:val="0"/>
          <w:sz w:val="24"/>
        </w:rPr>
        <w:t>万元，属于</w:t>
      </w:r>
      <w:r>
        <w:rPr>
          <w:rFonts w:hint="eastAsia"/>
          <w:u w:val="single"/>
          <w:lang w:val="en-US" w:eastAsia="zh-CN"/>
        </w:rPr>
        <w:t xml:space="preserve">         </w:t>
      </w:r>
      <w:r>
        <w:rPr>
          <w:rFonts w:hint="eastAsia" w:ascii="宋体" w:hAnsi="宋体" w:eastAsia="宋体" w:cs="宋体"/>
          <w:kern w:val="0"/>
          <w:sz w:val="24"/>
        </w:rPr>
        <w:t>（</w:t>
      </w:r>
      <w:r>
        <w:rPr>
          <w:rFonts w:hint="eastAsia" w:ascii="宋体" w:hAnsi="宋体" w:eastAsia="宋体" w:cs="宋体"/>
          <w:kern w:val="0"/>
          <w:sz w:val="24"/>
          <w:u w:val="single"/>
        </w:rPr>
        <w:t>中型企业、小型企业、微型企业</w:t>
      </w:r>
      <w:r>
        <w:rPr>
          <w:rFonts w:hint="eastAsia" w:ascii="宋体" w:hAnsi="宋体" w:eastAsia="宋体" w:cs="宋体"/>
          <w:kern w:val="0"/>
          <w:sz w:val="24"/>
        </w:rPr>
        <w:t xml:space="preserve">）； </w:t>
      </w:r>
    </w:p>
    <w:p w14:paraId="541C64BA">
      <w:pPr>
        <w:widowControl/>
        <w:spacing w:before="100" w:beforeAutospacing="1" w:after="100" w:afterAutospacing="1" w:line="360" w:lineRule="auto"/>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以上企业，不属于大企业的分支机构，不存在控股股东为大企业的情形，也不存在与大企业的负责人为同一人的情形。本企业对上述声明内容的真实性负责。如有虚假，将依 法承担相应责任。</w:t>
      </w:r>
    </w:p>
    <w:p w14:paraId="529F94DE">
      <w:pPr>
        <w:spacing w:line="360" w:lineRule="auto"/>
        <w:ind w:firstLine="4320" w:firstLineChars="1800"/>
        <w:rPr>
          <w:rFonts w:hint="eastAsia" w:ascii="宋体" w:hAnsi="宋体" w:eastAsia="宋体" w:cs="宋体"/>
          <w:sz w:val="24"/>
        </w:rPr>
      </w:pPr>
      <w:r>
        <w:rPr>
          <w:rFonts w:hint="eastAsia" w:ascii="宋体" w:hAnsi="宋体" w:eastAsia="宋体" w:cs="宋体"/>
          <w:bCs/>
          <w:sz w:val="24"/>
        </w:rPr>
        <w:t>供应商（公章）：</w:t>
      </w:r>
    </w:p>
    <w:p w14:paraId="4B290AD2">
      <w:pPr>
        <w:spacing w:line="360" w:lineRule="auto"/>
        <w:ind w:firstLine="4320" w:firstLineChars="1800"/>
        <w:rPr>
          <w:rFonts w:hint="eastAsia" w:ascii="宋体" w:hAnsi="宋体" w:eastAsia="宋体" w:cs="宋体"/>
          <w:kern w:val="0"/>
          <w:sz w:val="24"/>
        </w:rPr>
      </w:pPr>
      <w:r>
        <w:rPr>
          <w:rFonts w:hint="eastAsia" w:ascii="宋体" w:hAnsi="宋体" w:eastAsia="宋体" w:cs="宋体"/>
          <w:sz w:val="24"/>
        </w:rPr>
        <w:t>日期：年月日</w:t>
      </w:r>
    </w:p>
    <w:p w14:paraId="138CC378">
      <w:pPr>
        <w:widowControl/>
        <w:spacing w:before="100" w:beforeAutospacing="1" w:after="100" w:afterAutospacing="1" w:line="360" w:lineRule="auto"/>
        <w:rPr>
          <w:rFonts w:hint="eastAsia" w:ascii="宋体" w:hAnsi="宋体" w:eastAsia="宋体" w:cs="宋体"/>
          <w:kern w:val="0"/>
          <w:szCs w:val="21"/>
        </w:rPr>
      </w:pPr>
      <w:r>
        <w:rPr>
          <w:rFonts w:hint="eastAsia" w:ascii="宋体" w:hAnsi="宋体" w:eastAsia="宋体" w:cs="宋体"/>
          <w:kern w:val="0"/>
          <w:szCs w:val="21"/>
        </w:rPr>
        <w:t>注：从业人员、营业收入、资产总额填报上一年度数据，无上一年度数据的新成立企业可不填报。</w:t>
      </w:r>
    </w:p>
    <w:p w14:paraId="1CA03973">
      <w:pPr>
        <w:widowControl/>
        <w:spacing w:before="100" w:beforeAutospacing="1" w:after="100" w:afterAutospacing="1" w:line="360" w:lineRule="auto"/>
        <w:rPr>
          <w:rFonts w:hint="eastAsia" w:ascii="宋体" w:hAnsi="宋体" w:eastAsia="宋体" w:cs="宋体"/>
          <w:kern w:val="0"/>
          <w:szCs w:val="21"/>
        </w:rPr>
      </w:pPr>
    </w:p>
    <w:p w14:paraId="775802BD">
      <w:pPr>
        <w:widowControl/>
        <w:spacing w:before="100" w:beforeAutospacing="1" w:after="100" w:afterAutospacing="1" w:line="360" w:lineRule="auto"/>
        <w:rPr>
          <w:rFonts w:hint="eastAsia" w:ascii="宋体" w:hAnsi="宋体" w:eastAsia="宋体" w:cs="宋体"/>
          <w:kern w:val="0"/>
          <w:szCs w:val="21"/>
        </w:rPr>
      </w:pPr>
    </w:p>
    <w:p w14:paraId="10AA8425">
      <w:pPr>
        <w:pStyle w:val="18"/>
        <w:ind w:firstLine="440"/>
        <w:rPr>
          <w:rFonts w:hint="eastAsia" w:ascii="宋体" w:hAnsi="宋体" w:eastAsia="宋体" w:cs="宋体"/>
          <w:lang w:eastAsia="zh-CN"/>
        </w:rPr>
      </w:pPr>
    </w:p>
    <w:p w14:paraId="1F731E7A">
      <w:pPr>
        <w:widowControl/>
        <w:spacing w:line="500" w:lineRule="exact"/>
        <w:jc w:val="center"/>
        <w:rPr>
          <w:rFonts w:hint="eastAsia" w:ascii="宋体" w:hAnsi="宋体" w:eastAsia="宋体" w:cs="宋体"/>
          <w:sz w:val="28"/>
          <w:szCs w:val="28"/>
        </w:rPr>
      </w:pPr>
      <w:r>
        <w:rPr>
          <w:rFonts w:hint="eastAsia" w:ascii="宋体" w:hAnsi="宋体" w:eastAsia="宋体" w:cs="宋体"/>
          <w:b/>
        </w:rPr>
        <w:br w:type="page"/>
      </w:r>
      <w:r>
        <w:rPr>
          <w:rFonts w:hint="eastAsia" w:ascii="宋体" w:hAnsi="宋体" w:eastAsia="宋体" w:cs="宋体"/>
          <w:sz w:val="28"/>
          <w:szCs w:val="28"/>
        </w:rPr>
        <w:t>工业和信息化部、国家统计局、国家发展和改革委员会、财政部</w:t>
      </w:r>
    </w:p>
    <w:p w14:paraId="60790143">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《关于印发中小企业划型标准规定的通知》</w:t>
      </w:r>
    </w:p>
    <w:p w14:paraId="42C7C659">
      <w:pPr>
        <w:widowControl/>
        <w:spacing w:line="500" w:lineRule="exact"/>
        <w:jc w:val="center"/>
        <w:rPr>
          <w:rFonts w:hint="eastAsia" w:ascii="宋体" w:hAnsi="宋体" w:eastAsia="宋体" w:cs="宋体"/>
          <w:sz w:val="28"/>
          <w:szCs w:val="28"/>
        </w:rPr>
      </w:pPr>
      <w:r>
        <w:rPr>
          <w:rFonts w:hint="eastAsia" w:ascii="宋体" w:hAnsi="宋体" w:eastAsia="宋体" w:cs="宋体"/>
          <w:sz w:val="28"/>
          <w:szCs w:val="28"/>
        </w:rPr>
        <w:t>工信部联企业〔2011〕300号</w:t>
      </w:r>
    </w:p>
    <w:p w14:paraId="2B59BF6F">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各省、自治区、直辖市人民政府，国务院各部委、各直属机构及有关单位： </w:t>
      </w:r>
    </w:p>
    <w:p w14:paraId="20CB273E">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5A89FEA">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工业和信息化部 国家统计局 国家发展和改革委员会 财政部 </w:t>
      </w:r>
    </w:p>
    <w:p w14:paraId="3010A49F">
      <w:pPr>
        <w:widowControl/>
        <w:spacing w:line="500" w:lineRule="exact"/>
        <w:jc w:val="right"/>
        <w:rPr>
          <w:rFonts w:hint="eastAsia" w:ascii="宋体" w:hAnsi="宋体" w:eastAsia="宋体" w:cs="宋体"/>
          <w:sz w:val="24"/>
        </w:rPr>
      </w:pPr>
      <w:r>
        <w:rPr>
          <w:rFonts w:hint="eastAsia" w:ascii="宋体" w:hAnsi="宋体" w:eastAsia="宋体" w:cs="宋体"/>
          <w:sz w:val="24"/>
        </w:rPr>
        <w:t xml:space="preserve">二○一一年六月十八日 </w:t>
      </w:r>
    </w:p>
    <w:p w14:paraId="1F51B03A">
      <w:pPr>
        <w:widowControl/>
        <w:spacing w:line="500" w:lineRule="exact"/>
        <w:jc w:val="center"/>
        <w:rPr>
          <w:rFonts w:hint="eastAsia" w:ascii="宋体" w:hAnsi="宋体" w:eastAsia="宋体" w:cs="宋体"/>
          <w:b/>
          <w:bCs/>
          <w:sz w:val="24"/>
        </w:rPr>
      </w:pPr>
      <w:r>
        <w:rPr>
          <w:rFonts w:hint="eastAsia" w:ascii="宋体" w:hAnsi="宋体" w:eastAsia="宋体" w:cs="宋体"/>
          <w:b/>
          <w:bCs/>
          <w:sz w:val="24"/>
        </w:rPr>
        <w:t>中小企业划型标准规定</w:t>
      </w:r>
    </w:p>
    <w:p w14:paraId="0CBBCF45">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一、根据《中华人民共和国中小企业促进法》和《国务院关于进一步促进中小企业发展的若干意见》(国发〔2009〕36号)，制定本规定。 </w:t>
      </w:r>
    </w:p>
    <w:p w14:paraId="4DBF58F4">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二、中小企业划分为中型、小型、微型三种类型，具体标准根据企业从业人员、营业收入、资产总额等指标，结合行业特点制定。 </w:t>
      </w:r>
    </w:p>
    <w:p w14:paraId="6AE1B041">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73323F2">
      <w:pPr>
        <w:widowControl/>
        <w:spacing w:line="500" w:lineRule="exact"/>
        <w:ind w:firstLine="480" w:firstLineChars="200"/>
        <w:jc w:val="left"/>
        <w:rPr>
          <w:rFonts w:hint="eastAsia" w:ascii="宋体" w:hAnsi="宋体" w:eastAsia="宋体" w:cs="宋体"/>
          <w:sz w:val="24"/>
        </w:rPr>
      </w:pPr>
      <w:bookmarkStart w:id="41" w:name="_Toc16544"/>
      <w:bookmarkStart w:id="42" w:name="_Toc26934"/>
      <w:r>
        <w:rPr>
          <w:rFonts w:hint="eastAsia" w:ascii="宋体" w:hAnsi="宋体" w:eastAsia="宋体" w:cs="宋体"/>
          <w:sz w:val="24"/>
        </w:rPr>
        <w:t>四、各行业划型标准为</w:t>
      </w:r>
      <w:bookmarkEnd w:id="41"/>
      <w:bookmarkEnd w:id="42"/>
    </w:p>
    <w:p w14:paraId="1C416EE8">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hd w:val="clear" w:color="auto" w:fill="FFFFFF"/>
        </w:rPr>
        <w:br w:type="textWrapping"/>
      </w:r>
      <w:r>
        <w:rPr>
          <w:rFonts w:hint="eastAsia" w:ascii="宋体" w:hAnsi="宋体" w:eastAsia="宋体" w:cs="宋体"/>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FAF828">
      <w:pPr>
        <w:widowControl/>
        <w:spacing w:line="500" w:lineRule="exact"/>
        <w:ind w:firstLine="480" w:firstLineChars="200"/>
        <w:jc w:val="left"/>
        <w:rPr>
          <w:rFonts w:hint="eastAsia" w:ascii="宋体" w:hAnsi="宋体" w:eastAsia="宋体" w:cs="宋体"/>
          <w:sz w:val="24"/>
        </w:rPr>
      </w:pPr>
      <w:bookmarkStart w:id="43" w:name="_Toc30260"/>
      <w:bookmarkStart w:id="44" w:name="_Toc15897"/>
      <w:r>
        <w:rPr>
          <w:rFonts w:hint="eastAsia" w:ascii="宋体" w:hAnsi="宋体" w:eastAsia="宋体" w:cs="宋体"/>
          <w:sz w:val="24"/>
        </w:rPr>
        <w:t>五、企业类型的划分以统计部门的统计数据为依据。</w:t>
      </w:r>
      <w:bookmarkEnd w:id="43"/>
      <w:bookmarkEnd w:id="44"/>
    </w:p>
    <w:p w14:paraId="594F6176">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六、本规定适用于在中华人民共和国境内依法设立的各类所有制和各种组织形式的企业。个体工商户和本规定以外的行业，参照本规定进行划型。 </w:t>
      </w:r>
    </w:p>
    <w:p w14:paraId="285FB59A">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E642B6E">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八、本规定由工业和信息化部、国家统计局会同有关部门根据《国民经济行业分类》修订情况和企业发展变化情况适时修订。 </w:t>
      </w:r>
    </w:p>
    <w:p w14:paraId="7B4A319C">
      <w:pPr>
        <w:widowControl/>
        <w:spacing w:line="500" w:lineRule="exact"/>
        <w:jc w:val="left"/>
        <w:rPr>
          <w:rFonts w:hint="eastAsia" w:ascii="宋体" w:hAnsi="宋体" w:eastAsia="宋体" w:cs="宋体"/>
          <w:sz w:val="24"/>
        </w:rPr>
      </w:pPr>
      <w:r>
        <w:rPr>
          <w:rFonts w:hint="eastAsia" w:ascii="宋体" w:hAnsi="宋体" w:eastAsia="宋体" w:cs="宋体"/>
          <w:sz w:val="24"/>
        </w:rPr>
        <w:t xml:space="preserve">九、本规定由工业和信息化部、国家统计局会同有关部门负责解释。 </w:t>
      </w:r>
    </w:p>
    <w:p w14:paraId="3D379AA7">
      <w:pPr>
        <w:widowControl/>
        <w:spacing w:line="500" w:lineRule="exact"/>
        <w:rPr>
          <w:rFonts w:hint="eastAsia" w:ascii="宋体" w:hAnsi="宋体" w:eastAsia="宋体" w:cs="宋体"/>
          <w:sz w:val="24"/>
        </w:rPr>
      </w:pPr>
      <w:r>
        <w:rPr>
          <w:rFonts w:hint="eastAsia" w:ascii="宋体" w:hAnsi="宋体" w:eastAsia="宋体" w:cs="宋体"/>
          <w:sz w:val="24"/>
        </w:rPr>
        <w:t xml:space="preserve">十、本规定自发布之日起执行，原国家经贸委、原国家计委、财政部和国家统计局2003年颁布的《中小企业标准暂行规定》同时废止。 </w:t>
      </w:r>
    </w:p>
    <w:p w14:paraId="2821C422">
      <w:pPr>
        <w:rPr>
          <w:rFonts w:hint="eastAsia" w:ascii="宋体" w:hAnsi="宋体" w:eastAsia="宋体" w:cs="宋体"/>
        </w:rPr>
      </w:pPr>
    </w:p>
    <w:p w14:paraId="4E8646B5">
      <w:pPr>
        <w:widowControl/>
        <w:spacing w:line="340" w:lineRule="exact"/>
        <w:rPr>
          <w:rFonts w:hint="eastAsia" w:ascii="宋体" w:hAnsi="宋体" w:eastAsia="宋体" w:cs="宋体"/>
          <w:b/>
          <w:sz w:val="24"/>
          <w:szCs w:val="24"/>
        </w:rPr>
      </w:pPr>
    </w:p>
    <w:p w14:paraId="3F5B125C">
      <w:pPr>
        <w:widowControl/>
        <w:spacing w:before="100" w:beforeAutospacing="1" w:after="100" w:afterAutospacing="1" w:line="360" w:lineRule="auto"/>
        <w:jc w:val="center"/>
        <w:rPr>
          <w:rFonts w:hint="eastAsia" w:ascii="宋体" w:hAnsi="宋体" w:eastAsia="宋体" w:cs="宋体"/>
          <w:b/>
          <w:kern w:val="0"/>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供应商监狱企业声明函</w:t>
      </w:r>
    </w:p>
    <w:p w14:paraId="7C24C068">
      <w:pPr>
        <w:widowControl/>
        <w:spacing w:before="100" w:beforeAutospacing="1" w:after="100" w:afterAutospacing="1"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（属于残疾人福利性单位的填写，不属于的无需填写此项内容）</w:t>
      </w:r>
    </w:p>
    <w:p w14:paraId="340E7D19">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本企业（单位）郑重声明下列事项（按照实际情况填写：是、不是）：</w:t>
      </w:r>
    </w:p>
    <w:p w14:paraId="05D21853">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本企业（单位）为直接供应商提供本企业（单位）制造的货物。</w:t>
      </w:r>
    </w:p>
    <w:p w14:paraId="6F54ADC3">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（1）本企业（单位）（请填写：是、不是）监狱企业。后附省级以上监狱管理局、戒毒管理局（含新疆生产建设兵团）出具的属于监狱企业的证明文件。</w:t>
      </w:r>
    </w:p>
    <w:p w14:paraId="795B6C7E">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（2）本企业（单位）（请填写：是、不是）为联合体一方，提供本企业（单位）制造的货物，由本企业（单位）承担工程、提供服务。本企业（单位）提供协议合同金额占到共同投标协议合同总金额的比例为</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w:t>
      </w:r>
    </w:p>
    <w:p w14:paraId="578BC145">
      <w:pPr>
        <w:widowControl/>
        <w:spacing w:before="100" w:beforeAutospacing="1" w:after="100" w:afterAutospacing="1" w:line="360" w:lineRule="auto"/>
        <w:ind w:firstLine="475"/>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14:paraId="72696A8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5C6344B7">
      <w:pPr>
        <w:widowControl/>
        <w:spacing w:before="100" w:beforeAutospacing="1" w:after="100" w:afterAutospacing="1" w:line="360" w:lineRule="auto"/>
        <w:jc w:val="left"/>
        <w:rPr>
          <w:rFonts w:hint="eastAsia" w:ascii="宋体" w:hAnsi="宋体" w:eastAsia="宋体" w:cs="宋体"/>
          <w:kern w:val="0"/>
          <w:sz w:val="24"/>
          <w:szCs w:val="24"/>
        </w:rPr>
      </w:pPr>
    </w:p>
    <w:p w14:paraId="46FB9E6D">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072D04C">
      <w:pPr>
        <w:spacing w:line="360" w:lineRule="auto"/>
        <w:ind w:firstLine="4320" w:firstLineChars="1800"/>
        <w:rPr>
          <w:rFonts w:hint="eastAsia" w:ascii="宋体" w:hAnsi="宋体" w:eastAsia="宋体" w:cs="宋体"/>
          <w:sz w:val="24"/>
          <w:szCs w:val="24"/>
        </w:rPr>
      </w:pPr>
    </w:p>
    <w:p w14:paraId="57B0DD58">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日期：年月日</w:t>
      </w:r>
    </w:p>
    <w:p w14:paraId="06AE2C18">
      <w:pPr>
        <w:pStyle w:val="18"/>
        <w:ind w:firstLine="480"/>
        <w:rPr>
          <w:rFonts w:hint="eastAsia" w:ascii="宋体" w:hAnsi="宋体" w:eastAsia="宋体" w:cs="宋体"/>
          <w:sz w:val="24"/>
          <w:szCs w:val="24"/>
          <w:lang w:eastAsia="zh-CN"/>
        </w:rPr>
      </w:pPr>
    </w:p>
    <w:p w14:paraId="74FA863E">
      <w:pPr>
        <w:pStyle w:val="18"/>
        <w:ind w:firstLine="480"/>
        <w:rPr>
          <w:rFonts w:hint="eastAsia" w:ascii="宋体" w:hAnsi="宋体" w:eastAsia="宋体" w:cs="宋体"/>
          <w:sz w:val="24"/>
          <w:szCs w:val="24"/>
          <w:lang w:eastAsia="zh-CN"/>
        </w:rPr>
      </w:pPr>
    </w:p>
    <w:p w14:paraId="1A6C0369">
      <w:pPr>
        <w:pStyle w:val="18"/>
        <w:ind w:firstLine="480"/>
        <w:rPr>
          <w:rFonts w:hint="eastAsia" w:ascii="宋体" w:hAnsi="宋体" w:eastAsia="宋体" w:cs="宋体"/>
          <w:sz w:val="24"/>
          <w:szCs w:val="24"/>
          <w:lang w:eastAsia="zh-CN"/>
        </w:rPr>
      </w:pPr>
    </w:p>
    <w:p w14:paraId="2B3CABE0">
      <w:pPr>
        <w:pStyle w:val="18"/>
        <w:ind w:firstLine="480"/>
        <w:rPr>
          <w:rFonts w:hint="eastAsia" w:ascii="宋体" w:hAnsi="宋体" w:eastAsia="宋体" w:cs="宋体"/>
          <w:sz w:val="24"/>
          <w:szCs w:val="24"/>
          <w:lang w:eastAsia="zh-CN"/>
        </w:rPr>
      </w:pPr>
    </w:p>
    <w:p w14:paraId="484F2D70">
      <w:pPr>
        <w:pStyle w:val="5"/>
        <w:rPr>
          <w:rFonts w:hint="eastAsia" w:ascii="宋体" w:hAnsi="宋体" w:eastAsia="宋体" w:cs="宋体"/>
        </w:rPr>
      </w:pPr>
    </w:p>
    <w:p w14:paraId="07E350F9">
      <w:pPr>
        <w:pStyle w:val="3"/>
        <w:numPr>
          <w:ilvl w:val="1"/>
          <w:numId w:val="0"/>
        </w:numPr>
        <w:wordWrap w:val="0"/>
        <w:topLinePunct/>
        <w:spacing w:before="0" w:after="0" w:line="360" w:lineRule="auto"/>
        <w:rPr>
          <w:rFonts w:hint="eastAsia" w:ascii="宋体" w:hAnsi="宋体" w:eastAsia="宋体" w:cs="宋体"/>
          <w:bCs/>
          <w:sz w:val="24"/>
          <w:szCs w:val="24"/>
        </w:rPr>
      </w:pPr>
    </w:p>
    <w:p w14:paraId="068B5AA7">
      <w:pPr>
        <w:rPr>
          <w:rFonts w:hint="eastAsia" w:ascii="宋体" w:hAnsi="宋体" w:eastAsia="宋体" w:cs="宋体"/>
          <w:sz w:val="24"/>
          <w:szCs w:val="24"/>
        </w:rPr>
      </w:pPr>
    </w:p>
    <w:p w14:paraId="58F9C928">
      <w:pPr>
        <w:widowControl/>
        <w:spacing w:before="100" w:beforeAutospacing="1" w:after="100" w:afterAutospacing="1" w:line="360" w:lineRule="auto"/>
        <w:ind w:firstLine="3120" w:firstLineChars="1300"/>
        <w:jc w:val="left"/>
        <w:rPr>
          <w:rFonts w:hint="eastAsia" w:ascii="宋体" w:hAnsi="宋体" w:eastAsia="宋体" w:cs="宋体"/>
          <w:b/>
          <w:bCs/>
          <w:sz w:val="24"/>
          <w:szCs w:val="24"/>
        </w:rPr>
      </w:pPr>
      <w:r>
        <w:rPr>
          <w:rFonts w:hint="eastAsia" w:ascii="宋体" w:hAnsi="宋体" w:eastAsia="宋体" w:cs="宋体"/>
          <w:bCs/>
          <w:sz w:val="24"/>
          <w:szCs w:val="24"/>
        </w:rPr>
        <w:br w:type="page"/>
      </w:r>
      <w:r>
        <w:rPr>
          <w:rFonts w:hint="eastAsia" w:ascii="宋体" w:hAnsi="宋体" w:eastAsia="宋体" w:cs="宋体"/>
          <w:b/>
          <w:bCs/>
          <w:sz w:val="24"/>
          <w:szCs w:val="24"/>
        </w:rPr>
        <w:t>残疾人福利性单位声明函</w:t>
      </w:r>
    </w:p>
    <w:p w14:paraId="140536AE">
      <w:pPr>
        <w:spacing w:line="360" w:lineRule="auto"/>
        <w:jc w:val="center"/>
        <w:rPr>
          <w:rFonts w:hint="eastAsia" w:ascii="宋体" w:hAnsi="宋体" w:eastAsia="宋体" w:cs="宋体"/>
        </w:rPr>
      </w:pPr>
      <w:r>
        <w:rPr>
          <w:rFonts w:hint="eastAsia" w:ascii="宋体" w:hAnsi="宋体" w:eastAsia="宋体" w:cs="宋体"/>
          <w:kern w:val="0"/>
          <w:sz w:val="24"/>
          <w:szCs w:val="24"/>
        </w:rPr>
        <w:t>（属于监狱企业的提供，不属于的无需提供此项内容）</w:t>
      </w:r>
    </w:p>
    <w:p w14:paraId="6BADADAD">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27D7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36E81F57">
      <w:pPr>
        <w:spacing w:line="360" w:lineRule="auto"/>
        <w:ind w:firstLine="4320" w:firstLineChars="1800"/>
        <w:rPr>
          <w:rFonts w:hint="eastAsia" w:ascii="宋体" w:hAnsi="宋体" w:eastAsia="宋体" w:cs="宋体"/>
          <w:bCs/>
          <w:sz w:val="24"/>
          <w:szCs w:val="24"/>
        </w:rPr>
      </w:pPr>
    </w:p>
    <w:p w14:paraId="52B35F74">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供应商（盖公章）：</w:t>
      </w:r>
    </w:p>
    <w:p w14:paraId="144D3A43">
      <w:pPr>
        <w:spacing w:line="360" w:lineRule="auto"/>
        <w:ind w:firstLine="4320" w:firstLineChars="1800"/>
        <w:rPr>
          <w:rFonts w:hint="eastAsia" w:ascii="宋体" w:hAnsi="宋体" w:eastAsia="宋体" w:cs="宋体"/>
          <w:sz w:val="24"/>
          <w:szCs w:val="24"/>
        </w:rPr>
      </w:pPr>
    </w:p>
    <w:p w14:paraId="099E8DD7">
      <w:pPr>
        <w:spacing w:line="360" w:lineRule="auto"/>
        <w:ind w:firstLine="4320" w:firstLineChars="1800"/>
        <w:rPr>
          <w:rFonts w:hint="eastAsia" w:ascii="宋体" w:hAnsi="宋体" w:eastAsia="宋体" w:cs="宋体"/>
          <w:b/>
          <w:sz w:val="28"/>
          <w:szCs w:val="28"/>
        </w:rPr>
      </w:pPr>
      <w:r>
        <w:rPr>
          <w:rFonts w:hint="eastAsia" w:ascii="宋体" w:hAnsi="宋体" w:eastAsia="宋体" w:cs="宋体"/>
          <w:sz w:val="24"/>
          <w:szCs w:val="24"/>
        </w:rPr>
        <w:t>日期：年月日</w:t>
      </w:r>
    </w:p>
    <w:p w14:paraId="50FB1ADD">
      <w:pPr>
        <w:spacing w:line="360" w:lineRule="auto"/>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44B8B9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57C6499D">
      <w:pPr>
        <w:spacing w:line="360" w:lineRule="auto"/>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17E5C1EA">
      <w:pPr>
        <w:spacing w:line="360" w:lineRule="auto"/>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780966DB">
      <w:pPr>
        <w:spacing w:line="360" w:lineRule="auto"/>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47884644">
      <w:pPr>
        <w:spacing w:line="360" w:lineRule="auto"/>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22E4A56D">
      <w:pPr>
        <w:spacing w:line="360" w:lineRule="auto"/>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264F52F7">
      <w:pPr>
        <w:pStyle w:val="9"/>
        <w:rPr>
          <w:rFonts w:hint="eastAsia" w:ascii="宋体" w:hAnsi="宋体" w:eastAsia="宋体" w:cs="宋体"/>
        </w:rPr>
      </w:pPr>
      <w:r>
        <w:rPr>
          <w:rFonts w:hint="eastAsia" w:ascii="宋体" w:hAnsi="宋体" w:eastAsia="宋体" w:cs="宋体"/>
          <w:sz w:val="24"/>
          <w:szCs w:val="24"/>
        </w:rPr>
        <w:t>2. 成交人为残疾人福利性单位的，采购人或者其委托的采购代理机构应当随成交、成交结果同时公告其《残疾人福利性单位声明函》，接受社会监督。</w:t>
      </w:r>
    </w:p>
    <w:p w14:paraId="7E812FEB">
      <w:pPr>
        <w:rPr>
          <w:rFonts w:hint="eastAsia" w:ascii="宋体" w:hAnsi="宋体" w:eastAsia="宋体" w:cs="宋体"/>
        </w:rPr>
      </w:pPr>
    </w:p>
    <w:sectPr>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C8B4">
    <w:pPr>
      <w:pStyle w:val="11"/>
      <w:tabs>
        <w:tab w:val="center" w:pos="4535"/>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08F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1EDC4">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01EDC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881E">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2B0598">
                    <w:pPr>
                      <w:widowControl w:val="0"/>
                      <w:snapToGrid w:val="0"/>
                      <w:jc w:val="left"/>
                      <w:rPr>
                        <w:rFonts w:ascii="Calibri" w:hAnsi="Calibri" w:eastAsia="宋体" w:cs="Times New Roman"/>
                        <w:kern w:val="0"/>
                        <w:sz w:val="18"/>
                        <w:szCs w:val="21"/>
                        <w:lang w:val="en-US" w:eastAsia="zh-CN" w:bidi="ar-SA"/>
                      </w:rPr>
                    </w:pPr>
                    <w:r>
                      <w:rPr>
                        <w:rFonts w:ascii="Calibri" w:hAnsi="Calibri" w:eastAsia="宋体" w:cs="Times New Roman"/>
                        <w:kern w:val="0"/>
                        <w:sz w:val="18"/>
                        <w:szCs w:val="21"/>
                        <w:lang w:val="en-US" w:eastAsia="zh-CN" w:bidi="ar-SA"/>
                      </w:rPr>
                      <w:fldChar w:fldCharType="begin"/>
                    </w:r>
                    <w:r>
                      <w:rPr>
                        <w:rFonts w:ascii="Calibri" w:hAnsi="Calibri" w:eastAsia="宋体" w:cs="Times New Roman"/>
                        <w:kern w:val="0"/>
                        <w:sz w:val="18"/>
                        <w:szCs w:val="21"/>
                        <w:lang w:val="en-US" w:eastAsia="zh-CN" w:bidi="ar-SA"/>
                      </w:rPr>
                      <w:instrText xml:space="preserve"> PAGE  \* MERGEFORMAT </w:instrText>
                    </w:r>
                    <w:r>
                      <w:rPr>
                        <w:rFonts w:ascii="Calibri" w:hAnsi="Calibri" w:eastAsia="宋体" w:cs="Times New Roman"/>
                        <w:kern w:val="0"/>
                        <w:sz w:val="18"/>
                        <w:szCs w:val="21"/>
                        <w:lang w:val="en-US" w:eastAsia="zh-CN" w:bidi="ar-SA"/>
                      </w:rPr>
                      <w:fldChar w:fldCharType="separate"/>
                    </w:r>
                    <w:r>
                      <w:rPr>
                        <w:rFonts w:ascii="Calibri" w:hAnsi="Calibri" w:eastAsia="宋体" w:cs="Times New Roman"/>
                        <w:kern w:val="0"/>
                        <w:sz w:val="18"/>
                        <w:szCs w:val="21"/>
                        <w:lang w:val="en-US" w:eastAsia="zh-CN" w:bidi="ar-SA"/>
                      </w:rPr>
                      <w:t>56</w:t>
                    </w:r>
                    <w:r>
                      <w:rPr>
                        <w:rFonts w:ascii="Calibri" w:hAnsi="Calibri" w:eastAsia="宋体" w:cs="Times New Roman"/>
                        <w:kern w:val="0"/>
                        <w:sz w:val="18"/>
                        <w:szCs w:val="21"/>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32FD"/>
    <w:multiLevelType w:val="singleLevel"/>
    <w:tmpl w:val="84CB32FD"/>
    <w:lvl w:ilvl="0" w:tentative="0">
      <w:start w:val="1"/>
      <w:numFmt w:val="decimal"/>
      <w:suff w:val="nothing"/>
      <w:lvlText w:val="%1．"/>
      <w:lvlJc w:val="left"/>
    </w:lvl>
  </w:abstractNum>
  <w:abstractNum w:abstractNumId="1">
    <w:nsid w:val="5D81FB03"/>
    <w:multiLevelType w:val="singleLevel"/>
    <w:tmpl w:val="5D81FB0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000000"/>
    <w:rsid w:val="010E1A9E"/>
    <w:rsid w:val="018362EB"/>
    <w:rsid w:val="025E49B5"/>
    <w:rsid w:val="02D277CC"/>
    <w:rsid w:val="02F55DCF"/>
    <w:rsid w:val="03FE2AA0"/>
    <w:rsid w:val="047F723D"/>
    <w:rsid w:val="062B53E9"/>
    <w:rsid w:val="080A60FE"/>
    <w:rsid w:val="0E097652"/>
    <w:rsid w:val="0F791001"/>
    <w:rsid w:val="109F15B9"/>
    <w:rsid w:val="117D41DC"/>
    <w:rsid w:val="11C56289"/>
    <w:rsid w:val="13ED41C3"/>
    <w:rsid w:val="1BC07217"/>
    <w:rsid w:val="1CB5754E"/>
    <w:rsid w:val="1EB66D1F"/>
    <w:rsid w:val="21625D51"/>
    <w:rsid w:val="221D1D08"/>
    <w:rsid w:val="23250B5A"/>
    <w:rsid w:val="254E5A36"/>
    <w:rsid w:val="27FA08BD"/>
    <w:rsid w:val="2B490F98"/>
    <w:rsid w:val="2B884CFD"/>
    <w:rsid w:val="2C9E7773"/>
    <w:rsid w:val="2CC524C5"/>
    <w:rsid w:val="2D200D0E"/>
    <w:rsid w:val="2D965D5F"/>
    <w:rsid w:val="2E554EA6"/>
    <w:rsid w:val="2F155F25"/>
    <w:rsid w:val="2F462582"/>
    <w:rsid w:val="315216B2"/>
    <w:rsid w:val="31B05492"/>
    <w:rsid w:val="35DC65C4"/>
    <w:rsid w:val="37517D16"/>
    <w:rsid w:val="37D87C8E"/>
    <w:rsid w:val="38323A20"/>
    <w:rsid w:val="39A93E39"/>
    <w:rsid w:val="3C820B92"/>
    <w:rsid w:val="3F300D14"/>
    <w:rsid w:val="3F8B5CAB"/>
    <w:rsid w:val="40B67C10"/>
    <w:rsid w:val="40B72B6C"/>
    <w:rsid w:val="428A38B6"/>
    <w:rsid w:val="441553C5"/>
    <w:rsid w:val="46364D58"/>
    <w:rsid w:val="46A62983"/>
    <w:rsid w:val="46C86449"/>
    <w:rsid w:val="47B91468"/>
    <w:rsid w:val="48582ADB"/>
    <w:rsid w:val="4A5D5169"/>
    <w:rsid w:val="4CAC7A71"/>
    <w:rsid w:val="4D33474B"/>
    <w:rsid w:val="4D573E80"/>
    <w:rsid w:val="4D602609"/>
    <w:rsid w:val="4E59377A"/>
    <w:rsid w:val="4E93331A"/>
    <w:rsid w:val="4F93316A"/>
    <w:rsid w:val="504979F3"/>
    <w:rsid w:val="5114309A"/>
    <w:rsid w:val="54D87F56"/>
    <w:rsid w:val="55202DAA"/>
    <w:rsid w:val="57793B44"/>
    <w:rsid w:val="57AA2DFF"/>
    <w:rsid w:val="5C2E2250"/>
    <w:rsid w:val="600B025F"/>
    <w:rsid w:val="617701F5"/>
    <w:rsid w:val="62C462FD"/>
    <w:rsid w:val="637E1BB3"/>
    <w:rsid w:val="64133100"/>
    <w:rsid w:val="66803392"/>
    <w:rsid w:val="68295FC1"/>
    <w:rsid w:val="68F77E6E"/>
    <w:rsid w:val="6ABC136F"/>
    <w:rsid w:val="6CBA00EA"/>
    <w:rsid w:val="6CCD33BF"/>
    <w:rsid w:val="715B3690"/>
    <w:rsid w:val="71E60A7F"/>
    <w:rsid w:val="743261B5"/>
    <w:rsid w:val="74DC361D"/>
    <w:rsid w:val="75262AE9"/>
    <w:rsid w:val="76A81A2D"/>
    <w:rsid w:val="76E61C4D"/>
    <w:rsid w:val="77207516"/>
    <w:rsid w:val="774C293D"/>
    <w:rsid w:val="78681D5F"/>
    <w:rsid w:val="78CE1DCE"/>
    <w:rsid w:val="7A23674E"/>
    <w:rsid w:val="7B3B184D"/>
    <w:rsid w:val="7C3B4BF5"/>
    <w:rsid w:val="7E691CC3"/>
    <w:rsid w:val="7F84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仿宋"/>
      <w:b/>
      <w:bCs/>
      <w:kern w:val="44"/>
      <w:sz w:val="32"/>
      <w:szCs w:val="44"/>
    </w:rPr>
  </w:style>
  <w:style w:type="paragraph" w:styleId="3">
    <w:name w:val="heading 2"/>
    <w:basedOn w:val="1"/>
    <w:next w:val="1"/>
    <w:qFormat/>
    <w:uiPriority w:val="0"/>
    <w:pPr>
      <w:keepNext/>
      <w:keepLines/>
      <w:spacing w:before="100" w:beforeAutospacing="1" w:after="100" w:afterAutospacing="1" w:line="240" w:lineRule="atLeast"/>
      <w:ind w:left="419"/>
      <w:jc w:val="center"/>
      <w:textAlignment w:val="baseline"/>
      <w:outlineLvl w:val="1"/>
    </w:pPr>
    <w:rPr>
      <w:rFonts w:ascii="宋体" w:hAnsi="宋体" w:cs="宋体"/>
      <w:b/>
      <w:sz w:val="28"/>
      <w:szCs w:val="2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kern w:val="0"/>
      <w:sz w:val="20"/>
    </w:rPr>
  </w:style>
  <w:style w:type="paragraph" w:styleId="6">
    <w:name w:val="Body Text Indent"/>
    <w:basedOn w:val="1"/>
    <w:next w:val="7"/>
    <w:unhideWhenUsed/>
    <w:qFormat/>
    <w:uiPriority w:val="0"/>
    <w:pPr>
      <w:spacing w:after="120"/>
      <w:ind w:left="420" w:leftChars="200"/>
    </w:pPr>
    <w:rPr>
      <w:kern w:val="0"/>
      <w:sz w:val="20"/>
    </w:rPr>
  </w:style>
  <w:style w:type="paragraph" w:styleId="7">
    <w:name w:val="envelope return"/>
    <w:basedOn w:val="1"/>
    <w:unhideWhenUsed/>
    <w:qFormat/>
    <w:uiPriority w:val="99"/>
    <w:pPr>
      <w:snapToGrid w:val="0"/>
    </w:pPr>
    <w:rPr>
      <w:rFonts w:ascii="等线 Light" w:hAnsi="等线 Light" w:eastAsia="等线 Light" w:cs="Times New Roman"/>
    </w:rPr>
  </w:style>
  <w:style w:type="paragraph" w:styleId="8">
    <w:name w:val="List 2"/>
    <w:basedOn w:val="1"/>
    <w:qFormat/>
    <w:uiPriority w:val="0"/>
    <w:pPr>
      <w:ind w:left="100" w:leftChars="200" w:hanging="200" w:hangingChars="200"/>
    </w:pPr>
  </w:style>
  <w:style w:type="paragraph" w:styleId="9">
    <w:name w:val="Plain Text"/>
    <w:basedOn w:val="1"/>
    <w:next w:val="1"/>
    <w:qFormat/>
    <w:uiPriority w:val="99"/>
    <w:pPr>
      <w:adjustRightInd w:val="0"/>
      <w:textAlignment w:val="baseline"/>
    </w:pPr>
    <w:rPr>
      <w:rFonts w:ascii="宋体" w:hAnsi="Courier New"/>
      <w:kern w:val="0"/>
      <w:sz w:val="20"/>
      <w:szCs w:val="20"/>
    </w:rPr>
  </w:style>
  <w:style w:type="paragraph" w:styleId="10">
    <w:name w:val="Body Text Indent 2"/>
    <w:basedOn w:val="1"/>
    <w:qFormat/>
    <w:uiPriority w:val="99"/>
    <w:pPr>
      <w:spacing w:line="500" w:lineRule="exact"/>
      <w:ind w:firstLine="420" w:firstLineChars="200"/>
    </w:pPr>
    <w:rPr>
      <w:rFonts w:ascii="Calibri" w:hAnsi="Calibri"/>
      <w:kern w:val="0"/>
      <w:sz w:val="24"/>
    </w:rPr>
  </w:style>
  <w:style w:type="paragraph" w:styleId="11">
    <w:name w:val="footer"/>
    <w:basedOn w:val="1"/>
    <w:unhideWhenUsed/>
    <w:qFormat/>
    <w:uiPriority w:val="99"/>
    <w:pPr>
      <w:snapToGrid w:val="0"/>
      <w:jc w:val="left"/>
    </w:pPr>
    <w:rPr>
      <w:kern w:val="0"/>
      <w:sz w:val="18"/>
      <w:szCs w:val="18"/>
    </w:rPr>
  </w:style>
  <w:style w:type="paragraph" w:styleId="12">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13">
    <w:name w:val="footnote text"/>
    <w:basedOn w:val="1"/>
    <w:qFormat/>
    <w:uiPriority w:val="0"/>
    <w:pPr>
      <w:snapToGrid w:val="0"/>
      <w:jc w:val="left"/>
    </w:pPr>
    <w:rPr>
      <w:rFonts w:asciiTheme="minorHAnsi" w:hAnsiTheme="minorHAnsi" w:eastAsiaTheme="minorEastAsia" w:cstheme="minorBidi"/>
      <w:sz w:val="18"/>
      <w:szCs w:val="18"/>
    </w:rPr>
  </w:style>
  <w:style w:type="paragraph" w:styleId="14">
    <w:name w:val="Body Text 2"/>
    <w:basedOn w:val="1"/>
    <w:next w:val="5"/>
    <w:unhideWhenUsed/>
    <w:qFormat/>
    <w:uiPriority w:val="99"/>
    <w:pPr>
      <w:spacing w:after="120" w:line="480" w:lineRule="auto"/>
    </w:pPr>
  </w:style>
  <w:style w:type="paragraph" w:styleId="15">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1"/>
    <w:next w:val="18"/>
    <w:unhideWhenUsed/>
    <w:qFormat/>
    <w:uiPriority w:val="99"/>
    <w:pPr>
      <w:ind w:firstLine="420" w:firstLineChars="100"/>
    </w:pPr>
  </w:style>
  <w:style w:type="paragraph" w:styleId="18">
    <w:name w:val="Body Text First Indent 2"/>
    <w:basedOn w:val="1"/>
    <w:next w:val="1"/>
    <w:unhideWhenUsed/>
    <w:qFormat/>
    <w:uiPriority w:val="0"/>
    <w:pPr>
      <w:ind w:firstLine="420" w:firstLineChars="200"/>
    </w:pPr>
  </w:style>
  <w:style w:type="table" w:styleId="20">
    <w:name w:val="Table Grid"/>
    <w:basedOn w:val="19"/>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大标题"/>
    <w:basedOn w:val="1"/>
    <w:next w:val="18"/>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24">
    <w:name w:val="标题 1 Char"/>
    <w:link w:val="2"/>
    <w:qFormat/>
    <w:uiPriority w:val="0"/>
    <w:rPr>
      <w:rFonts w:ascii="Calibri" w:hAnsi="Calibri" w:eastAsia="仿宋"/>
      <w:b/>
      <w:bCs/>
      <w:kern w:val="44"/>
      <w:sz w:val="32"/>
      <w:szCs w:val="44"/>
    </w:rPr>
  </w:style>
  <w:style w:type="paragraph" w:styleId="25">
    <w:name w:val="List Paragraph"/>
    <w:basedOn w:val="1"/>
    <w:qFormat/>
    <w:uiPriority w:val="34"/>
    <w:pPr>
      <w:ind w:firstLine="420" w:firstLineChars="200"/>
    </w:pPr>
    <w:rPr>
      <w:szCs w:val="24"/>
    </w:rPr>
  </w:style>
  <w:style w:type="table" w:customStyle="1" w:styleId="26">
    <w:name w:val="TableGrid"/>
    <w:qFormat/>
    <w:uiPriority w:val="0"/>
    <w:tblPr>
      <w:tblCellMar>
        <w:top w:w="0" w:type="dxa"/>
        <w:left w:w="0" w:type="dxa"/>
        <w:bottom w:w="0" w:type="dxa"/>
        <w:right w:w="0" w:type="dxa"/>
      </w:tblCellMar>
    </w:tbl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Table Paragraph"/>
    <w:basedOn w:val="1"/>
    <w:qFormat/>
    <w:uiPriority w:val="1"/>
  </w:style>
  <w:style w:type="paragraph" w:customStyle="1" w:styleId="29">
    <w:name w:val="Heading2"/>
    <w:basedOn w:val="1"/>
    <w:next w:val="1"/>
    <w:autoRedefine/>
    <w:qFormat/>
    <w:uiPriority w:val="0"/>
    <w:pPr>
      <w:keepNext/>
      <w:keepLines/>
      <w:spacing w:before="260" w:after="260" w:line="415" w:lineRule="auto"/>
    </w:pPr>
    <w:rPr>
      <w:rFonts w:ascii="Arial" w:hAnsi="Arial" w:eastAsia="黑体"/>
      <w:kern w:val="0"/>
      <w:sz w:val="32"/>
      <w:szCs w:val="32"/>
    </w:rPr>
  </w:style>
  <w:style w:type="paragraph" w:customStyle="1" w:styleId="30">
    <w:name w:val="Table Text"/>
    <w:basedOn w:val="1"/>
    <w:semiHidden/>
    <w:qFormat/>
    <w:uiPriority w:val="0"/>
    <w:rPr>
      <w:rFonts w:ascii="宋体" w:hAnsi="宋体" w:eastAsia="宋体" w:cs="宋体"/>
      <w:sz w:val="20"/>
      <w:szCs w:val="20"/>
      <w:lang w:val="en-US" w:eastAsia="en-US" w:bidi="ar-SA"/>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24985</Words>
  <Characters>27098</Characters>
  <Lines>0</Lines>
  <Paragraphs>0</Paragraphs>
  <TotalTime>11</TotalTime>
  <ScaleCrop>false</ScaleCrop>
  <LinksUpToDate>false</LinksUpToDate>
  <CharactersWithSpaces>28134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2023-10-15T16:37:00Z</dcterms:created>
  <dc:creator>DELL</dc:creator>
  <cp:lastModifiedBy>Administrator</cp:lastModifiedBy>
  <dcterms:modified xsi:type="dcterms:W3CDTF">2025-10-13T06:41:49Z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6DA29E1C47EE4C7D995C419153A7F9C4_13</vt:lpwstr>
  </property>
  <property fmtid="{D5CDD505-2E9C-101B-9397-08002B2CF9AE}" pid="4" name="KSOTemplateDocerSaveRecord">
    <vt:lpwstr>eyJoZGlkIjoiMmQ2MjI1NmU1YzY5ZmFlOWRlYTA4NzliZGE3NTZiOWEiLCJ1c2VySWQiOiI3NTU5ODA1OTUifQ==</vt:lpwstr>
  </property>
</Properties>
</file>