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17771">
      <w:pPr>
        <w:jc w:val="center"/>
        <w:rPr>
          <w:rFonts w:hint="eastAsia" w:ascii="微软雅黑" w:hAnsi="微软雅黑" w:eastAsia="微软雅黑" w:cs="微软雅黑"/>
          <w:b/>
          <w:bCs/>
          <w:color w:val="auto"/>
          <w:sz w:val="56"/>
          <w:szCs w:val="56"/>
          <w:highlight w:val="none"/>
          <w:lang w:eastAsia="zh-CN"/>
        </w:rPr>
      </w:pPr>
      <w:r>
        <w:rPr>
          <w:rFonts w:hint="eastAsia" w:ascii="微软雅黑" w:hAnsi="微软雅黑" w:eastAsia="微软雅黑" w:cs="微软雅黑"/>
          <w:b/>
          <w:bCs/>
          <w:color w:val="auto"/>
          <w:sz w:val="56"/>
          <w:szCs w:val="56"/>
          <w:highlight w:val="none"/>
          <w:lang w:eastAsia="zh-CN"/>
        </w:rPr>
        <w:t>荥阳市自然资源和规划局</w:t>
      </w:r>
    </w:p>
    <w:p w14:paraId="66EC7F7F">
      <w:pPr>
        <w:jc w:val="center"/>
        <w:rPr>
          <w:rFonts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6"/>
          <w:szCs w:val="56"/>
          <w:highlight w:val="none"/>
          <w:lang w:eastAsia="zh-CN"/>
        </w:rPr>
        <w:t>荥阳市城市国土空间监测项目</w:t>
      </w:r>
    </w:p>
    <w:p w14:paraId="0F45F01A">
      <w:pPr>
        <w:pStyle w:val="23"/>
        <w:ind w:left="420" w:firstLine="420"/>
        <w:rPr>
          <w:color w:val="auto"/>
          <w:highlight w:val="none"/>
        </w:rPr>
      </w:pPr>
    </w:p>
    <w:p w14:paraId="1BBE5C13">
      <w:pPr>
        <w:pStyle w:val="44"/>
        <w:ind w:firstLine="420"/>
        <w:rPr>
          <w:color w:val="auto"/>
          <w:highlight w:val="none"/>
        </w:rPr>
      </w:pPr>
    </w:p>
    <w:p w14:paraId="60C87B28">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12713A1A">
      <w:pPr>
        <w:jc w:val="center"/>
        <w:rPr>
          <w:rFonts w:ascii="微软雅黑" w:hAnsi="微软雅黑" w:eastAsia="微软雅黑" w:cs="微软雅黑"/>
          <w:b/>
          <w:color w:val="auto"/>
          <w:sz w:val="24"/>
          <w:highlight w:val="none"/>
        </w:rPr>
      </w:pPr>
    </w:p>
    <w:p w14:paraId="15FCD2BF">
      <w:pPr>
        <w:pStyle w:val="9"/>
        <w:rPr>
          <w:rFonts w:ascii="微软雅黑" w:hAnsi="微软雅黑" w:eastAsia="微软雅黑" w:cs="微软雅黑"/>
          <w:color w:val="auto"/>
          <w:highlight w:val="none"/>
        </w:rPr>
      </w:pPr>
    </w:p>
    <w:p w14:paraId="61B32ACA">
      <w:pPr>
        <w:pStyle w:val="9"/>
        <w:rPr>
          <w:rFonts w:ascii="微软雅黑" w:hAnsi="微软雅黑" w:eastAsia="微软雅黑" w:cs="微软雅黑"/>
          <w:color w:val="auto"/>
          <w:highlight w:val="none"/>
        </w:rPr>
      </w:pPr>
    </w:p>
    <w:p w14:paraId="3A15D34D">
      <w:pPr>
        <w:ind w:firstLine="2641" w:firstLineChars="1100"/>
        <w:rPr>
          <w:rFonts w:ascii="黑体" w:hAnsi="黑体" w:eastAsia="黑体" w:cs="黑体"/>
          <w:color w:val="auto"/>
          <w:sz w:val="84"/>
          <w:szCs w:val="84"/>
          <w:highlight w:val="none"/>
        </w:rPr>
      </w:pPr>
      <w:r>
        <w:rPr>
          <w:rFonts w:hint="eastAsia" w:ascii="微软雅黑" w:hAnsi="微软雅黑" w:eastAsia="微软雅黑" w:cs="微软雅黑"/>
          <w:b/>
          <w:color w:val="auto"/>
          <w:sz w:val="24"/>
          <w:highlight w:val="none"/>
        </w:rPr>
        <w:t>项目编号：荥财磋商-</w:t>
      </w:r>
      <w:r>
        <w:rPr>
          <w:rFonts w:hint="eastAsia" w:ascii="微软雅黑" w:hAnsi="微软雅黑" w:eastAsia="微软雅黑" w:cs="微软雅黑"/>
          <w:b/>
          <w:color w:val="auto"/>
          <w:sz w:val="24"/>
          <w:highlight w:val="none"/>
          <w:lang w:val="en-US" w:eastAsia="zh-CN"/>
        </w:rPr>
        <w:t>2025-12</w:t>
      </w:r>
    </w:p>
    <w:p w14:paraId="0BB9671D">
      <w:pPr>
        <w:pStyle w:val="22"/>
        <w:spacing w:line="240" w:lineRule="auto"/>
        <w:ind w:firstLine="0" w:firstLineChars="0"/>
        <w:rPr>
          <w:rFonts w:ascii="黑体" w:hAnsi="黑体" w:eastAsia="黑体" w:cs="黑体"/>
          <w:color w:val="auto"/>
          <w:sz w:val="84"/>
          <w:szCs w:val="84"/>
          <w:highlight w:val="none"/>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1137285</wp:posOffset>
            </wp:positionH>
            <wp:positionV relativeFrom="paragraph">
              <wp:posOffset>643255</wp:posOffset>
            </wp:positionV>
            <wp:extent cx="3161665" cy="2346960"/>
            <wp:effectExtent l="0" t="0" r="635" b="15240"/>
            <wp:wrapSquare wrapText="bothSides"/>
            <wp:docPr id="1" name="图片 2" descr="河南嘉泰工程管理有限公司定稿文件-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河南嘉泰工程管理有限公司定稿文件-01"/>
                    <pic:cNvPicPr>
                      <a:picLocks noChangeAspect="1"/>
                    </pic:cNvPicPr>
                  </pic:nvPicPr>
                  <pic:blipFill>
                    <a:blip r:embed="rId15"/>
                    <a:srcRect l="29132" t="23492" r="29471" b="33064"/>
                    <a:stretch>
                      <a:fillRect/>
                    </a:stretch>
                  </pic:blipFill>
                  <pic:spPr>
                    <a:xfrm>
                      <a:off x="0" y="0"/>
                      <a:ext cx="3161665" cy="2346960"/>
                    </a:xfrm>
                    <a:prstGeom prst="rect">
                      <a:avLst/>
                    </a:prstGeom>
                    <a:noFill/>
                    <a:ln>
                      <a:noFill/>
                    </a:ln>
                  </pic:spPr>
                </pic:pic>
              </a:graphicData>
            </a:graphic>
          </wp:anchor>
        </w:drawing>
      </w:r>
      <w:r>
        <w:rPr>
          <w:rFonts w:hint="eastAsia" w:ascii="黑体" w:hAnsi="黑体" w:eastAsia="黑体" w:cs="黑体"/>
          <w:color w:val="auto"/>
          <w:sz w:val="84"/>
          <w:szCs w:val="84"/>
          <w:highlight w:val="none"/>
        </w:rPr>
        <w:t xml:space="preserve">      </w:t>
      </w:r>
    </w:p>
    <w:p w14:paraId="3B3B9BD0">
      <w:pPr>
        <w:pStyle w:val="22"/>
        <w:spacing w:line="240" w:lineRule="auto"/>
        <w:ind w:firstLine="0" w:firstLineChars="0"/>
        <w:rPr>
          <w:rFonts w:ascii="黑体" w:hAnsi="黑体" w:eastAsia="黑体" w:cs="黑体"/>
          <w:color w:val="auto"/>
          <w:sz w:val="84"/>
          <w:szCs w:val="84"/>
          <w:highlight w:val="none"/>
        </w:rPr>
      </w:pPr>
    </w:p>
    <w:p w14:paraId="508EE971">
      <w:pPr>
        <w:pStyle w:val="23"/>
        <w:ind w:left="0" w:leftChars="0" w:firstLine="0" w:firstLineChars="0"/>
        <w:rPr>
          <w:rFonts w:ascii="黑体" w:hAnsi="黑体" w:eastAsia="黑体" w:cs="黑体"/>
          <w:color w:val="auto"/>
          <w:sz w:val="84"/>
          <w:szCs w:val="84"/>
          <w:highlight w:val="none"/>
        </w:rPr>
      </w:pPr>
    </w:p>
    <w:p w14:paraId="79E556A4">
      <w:pPr>
        <w:spacing w:line="360" w:lineRule="auto"/>
        <w:ind w:firstLine="1807" w:firstLineChars="600"/>
        <w:rPr>
          <w:b/>
          <w:color w:val="auto"/>
          <w:sz w:val="30"/>
          <w:szCs w:val="30"/>
          <w:highlight w:val="none"/>
        </w:rPr>
      </w:pPr>
    </w:p>
    <w:p w14:paraId="4E8C8242">
      <w:pPr>
        <w:spacing w:line="360" w:lineRule="auto"/>
        <w:ind w:firstLine="1807" w:firstLineChars="600"/>
        <w:rPr>
          <w:rFonts w:hint="eastAsia"/>
          <w:b/>
          <w:color w:val="auto"/>
          <w:sz w:val="30"/>
          <w:szCs w:val="30"/>
          <w:highlight w:val="none"/>
        </w:rPr>
      </w:pPr>
    </w:p>
    <w:p w14:paraId="442A3B00">
      <w:pPr>
        <w:spacing w:line="360" w:lineRule="auto"/>
        <w:ind w:firstLine="1807" w:firstLineChars="600"/>
        <w:rPr>
          <w:rFonts w:hint="eastAsia"/>
          <w:b/>
          <w:color w:val="auto"/>
          <w:sz w:val="30"/>
          <w:szCs w:val="30"/>
          <w:highlight w:val="none"/>
        </w:rPr>
      </w:pPr>
    </w:p>
    <w:p w14:paraId="66325034">
      <w:pPr>
        <w:spacing w:line="360" w:lineRule="auto"/>
        <w:ind w:firstLine="1807" w:firstLineChars="600"/>
        <w:rPr>
          <w:rFonts w:hint="eastAsia"/>
          <w:b/>
          <w:color w:val="auto"/>
          <w:sz w:val="30"/>
          <w:szCs w:val="30"/>
          <w:highlight w:val="none"/>
        </w:rPr>
      </w:pPr>
    </w:p>
    <w:p w14:paraId="16A6E161">
      <w:pPr>
        <w:spacing w:line="360" w:lineRule="auto"/>
        <w:ind w:firstLine="1807" w:firstLineChars="600"/>
        <w:rPr>
          <w:rFonts w:hint="eastAsia"/>
          <w:b/>
          <w:color w:val="auto"/>
          <w:sz w:val="30"/>
          <w:szCs w:val="30"/>
          <w:highlight w:val="none"/>
        </w:rPr>
      </w:pPr>
    </w:p>
    <w:p w14:paraId="5E71F306">
      <w:pPr>
        <w:spacing w:line="360" w:lineRule="auto"/>
        <w:ind w:firstLine="1807" w:firstLineChars="600"/>
        <w:rPr>
          <w:b/>
          <w:color w:val="auto"/>
          <w:sz w:val="30"/>
          <w:szCs w:val="30"/>
          <w:highlight w:val="none"/>
        </w:rPr>
      </w:pPr>
      <w:r>
        <w:rPr>
          <w:rFonts w:hint="eastAsia"/>
          <w:b/>
          <w:color w:val="auto"/>
          <w:sz w:val="30"/>
          <w:szCs w:val="30"/>
          <w:highlight w:val="none"/>
        </w:rPr>
        <w:t>采 购 人：荥阳市自然资源和规划局</w:t>
      </w:r>
    </w:p>
    <w:p w14:paraId="65C9F2F1">
      <w:pPr>
        <w:spacing w:line="360" w:lineRule="auto"/>
        <w:ind w:firstLine="1807" w:firstLineChars="600"/>
        <w:rPr>
          <w:b/>
          <w:color w:val="auto"/>
          <w:sz w:val="30"/>
          <w:szCs w:val="30"/>
          <w:highlight w:val="none"/>
        </w:rPr>
      </w:pPr>
      <w:r>
        <w:rPr>
          <w:rFonts w:hint="eastAsia"/>
          <w:b/>
          <w:color w:val="auto"/>
          <w:sz w:val="30"/>
          <w:szCs w:val="30"/>
          <w:highlight w:val="none"/>
        </w:rPr>
        <w:t xml:space="preserve">采购代理：河南嘉泰工程管理有限公司 </w:t>
      </w:r>
    </w:p>
    <w:p w14:paraId="4B06F88B">
      <w:pPr>
        <w:spacing w:line="360" w:lineRule="auto"/>
        <w:ind w:firstLine="1807" w:firstLineChars="600"/>
        <w:rPr>
          <w:b/>
          <w:color w:val="auto"/>
          <w:sz w:val="30"/>
          <w:szCs w:val="30"/>
          <w:highlight w:val="none"/>
        </w:rPr>
      </w:pPr>
      <w:r>
        <w:rPr>
          <w:rFonts w:hint="eastAsia"/>
          <w:b/>
          <w:color w:val="auto"/>
          <w:sz w:val="30"/>
          <w:szCs w:val="30"/>
          <w:highlight w:val="none"/>
        </w:rPr>
        <w:t>编制日期：二〇二</w:t>
      </w:r>
      <w:r>
        <w:rPr>
          <w:rFonts w:hint="eastAsia"/>
          <w:b/>
          <w:color w:val="auto"/>
          <w:sz w:val="30"/>
          <w:szCs w:val="30"/>
          <w:highlight w:val="none"/>
          <w:lang w:eastAsia="zh-CN"/>
        </w:rPr>
        <w:t>五</w:t>
      </w:r>
      <w:r>
        <w:rPr>
          <w:rFonts w:hint="eastAsia"/>
          <w:b/>
          <w:color w:val="auto"/>
          <w:sz w:val="30"/>
          <w:szCs w:val="30"/>
          <w:highlight w:val="none"/>
        </w:rPr>
        <w:t>年</w:t>
      </w:r>
      <w:r>
        <w:rPr>
          <w:rFonts w:hint="eastAsia"/>
          <w:b/>
          <w:color w:val="auto"/>
          <w:sz w:val="30"/>
          <w:szCs w:val="30"/>
          <w:highlight w:val="none"/>
          <w:lang w:eastAsia="zh-CN"/>
        </w:rPr>
        <w:t>四</w:t>
      </w:r>
      <w:r>
        <w:rPr>
          <w:rFonts w:hint="eastAsia"/>
          <w:b/>
          <w:color w:val="auto"/>
          <w:sz w:val="30"/>
          <w:szCs w:val="30"/>
          <w:highlight w:val="none"/>
        </w:rPr>
        <w:t>月</w:t>
      </w:r>
    </w:p>
    <w:p w14:paraId="1DF9E18E">
      <w:pPr>
        <w:jc w:val="center"/>
        <w:rPr>
          <w:b/>
          <w:color w:val="auto"/>
          <w:sz w:val="30"/>
          <w:szCs w:val="30"/>
          <w:highlight w:val="none"/>
        </w:rPr>
        <w:sectPr>
          <w:headerReference r:id="rId4" w:type="first"/>
          <w:footerReference r:id="rId6" w:type="first"/>
          <w:headerReference r:id="rId3" w:type="default"/>
          <w:footerReference r:id="rId5" w:type="default"/>
          <w:pgSz w:w="11911" w:h="16838"/>
          <w:pgMar w:top="1440" w:right="1803" w:bottom="1440" w:left="1803" w:header="720" w:footer="720" w:gutter="0"/>
          <w:pgNumType w:start="1"/>
          <w:cols w:space="720" w:num="1"/>
        </w:sectPr>
      </w:pPr>
    </w:p>
    <w:p w14:paraId="708260FC">
      <w:pPr>
        <w:pStyle w:val="23"/>
        <w:ind w:left="420" w:firstLine="420"/>
        <w:rPr>
          <w:color w:val="auto"/>
          <w:highlight w:val="none"/>
        </w:rPr>
      </w:pPr>
    </w:p>
    <w:p w14:paraId="012BE516">
      <w:pPr>
        <w:pStyle w:val="48"/>
        <w:rPr>
          <w:b/>
          <w:color w:val="auto"/>
          <w:sz w:val="30"/>
          <w:szCs w:val="30"/>
          <w:highlight w:val="none"/>
        </w:rPr>
      </w:pPr>
    </w:p>
    <w:p w14:paraId="0E9E47E1">
      <w:pPr>
        <w:pStyle w:val="22"/>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7A94AD03">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5A14D334">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3C719A9E">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19</w:t>
      </w:r>
      <w:r>
        <w:rPr>
          <w:color w:val="auto"/>
          <w:sz w:val="32"/>
          <w:szCs w:val="32"/>
          <w:highlight w:val="none"/>
        </w:rPr>
        <w:fldChar w:fldCharType="end"/>
      </w:r>
      <w:r>
        <w:rPr>
          <w:color w:val="auto"/>
          <w:sz w:val="32"/>
          <w:szCs w:val="32"/>
          <w:highlight w:val="none"/>
        </w:rPr>
        <w:fldChar w:fldCharType="end"/>
      </w:r>
    </w:p>
    <w:p w14:paraId="4D5928B3">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第四章 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26</w:t>
      </w:r>
      <w:r>
        <w:rPr>
          <w:color w:val="auto"/>
          <w:sz w:val="32"/>
          <w:szCs w:val="32"/>
          <w:highlight w:val="none"/>
        </w:rPr>
        <w:fldChar w:fldCharType="end"/>
      </w:r>
      <w:r>
        <w:rPr>
          <w:color w:val="auto"/>
          <w:sz w:val="32"/>
          <w:szCs w:val="32"/>
          <w:highlight w:val="none"/>
        </w:rPr>
        <w:fldChar w:fldCharType="end"/>
      </w:r>
    </w:p>
    <w:p w14:paraId="4647DC32">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EFC5E7D">
      <w:pPr>
        <w:pStyle w:val="16"/>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32</w:t>
      </w:r>
      <w:r>
        <w:rPr>
          <w:color w:val="auto"/>
          <w:sz w:val="32"/>
          <w:szCs w:val="32"/>
          <w:highlight w:val="none"/>
        </w:rPr>
        <w:fldChar w:fldCharType="end"/>
      </w:r>
      <w:r>
        <w:rPr>
          <w:color w:val="auto"/>
          <w:sz w:val="32"/>
          <w:szCs w:val="32"/>
          <w:highlight w:val="none"/>
        </w:rPr>
        <w:fldChar w:fldCharType="end"/>
      </w:r>
    </w:p>
    <w:p w14:paraId="3D30F0D1">
      <w:pPr>
        <w:spacing w:line="480" w:lineRule="auto"/>
        <w:rPr>
          <w:color w:val="auto"/>
          <w:sz w:val="32"/>
          <w:szCs w:val="32"/>
          <w:highlight w:val="none"/>
        </w:rPr>
        <w:sectPr>
          <w:footerReference r:id="rId7"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5B5C2742">
      <w:pPr>
        <w:rPr>
          <w:color w:val="auto"/>
          <w:highlight w:val="none"/>
        </w:rPr>
      </w:pPr>
    </w:p>
    <w:p w14:paraId="7F5D2512">
      <w:pPr>
        <w:pStyle w:val="2"/>
        <w:rPr>
          <w:b/>
          <w:bCs/>
          <w:color w:val="auto"/>
          <w:highlight w:val="none"/>
        </w:rPr>
      </w:pPr>
      <w:bookmarkStart w:id="0" w:name="_Toc4807"/>
      <w:bookmarkStart w:id="1" w:name="_Toc32079"/>
      <w:bookmarkStart w:id="2" w:name="_Toc30284"/>
      <w:r>
        <w:rPr>
          <w:rFonts w:hint="eastAsia"/>
          <w:b/>
          <w:bCs/>
          <w:color w:val="auto"/>
          <w:highlight w:val="none"/>
        </w:rPr>
        <w:t>第一章 竞争性磋商公告</w:t>
      </w:r>
      <w:bookmarkEnd w:id="0"/>
      <w:bookmarkEnd w:id="1"/>
      <w:bookmarkEnd w:id="2"/>
    </w:p>
    <w:p w14:paraId="57B17774">
      <w:pPr>
        <w:spacing w:line="360" w:lineRule="auto"/>
        <w:jc w:val="center"/>
        <w:rPr>
          <w:rFonts w:ascii="宋体" w:hAnsi="宋体" w:cs="宋体"/>
          <w:b/>
          <w:bCs/>
          <w:color w:val="auto"/>
          <w:szCs w:val="21"/>
          <w:highlight w:val="none"/>
        </w:rPr>
      </w:pPr>
      <w:bookmarkStart w:id="3" w:name="_Toc20030"/>
      <w:bookmarkStart w:id="4" w:name="_Toc7265"/>
      <w:r>
        <w:rPr>
          <w:rFonts w:hint="eastAsia" w:ascii="宋体" w:hAnsi="宋体" w:cs="宋体"/>
          <w:b/>
          <w:bCs/>
          <w:color w:val="auto"/>
          <w:szCs w:val="21"/>
          <w:highlight w:val="none"/>
          <w:lang w:eastAsia="zh-CN"/>
        </w:rPr>
        <w:t>荥阳市自然资源和规划局荥阳市城市国土空间监测项目</w:t>
      </w:r>
      <w:r>
        <w:rPr>
          <w:rFonts w:hint="eastAsia" w:ascii="宋体" w:hAnsi="宋体" w:cs="宋体"/>
          <w:b/>
          <w:bCs/>
          <w:color w:val="auto"/>
          <w:szCs w:val="21"/>
          <w:highlight w:val="none"/>
        </w:rPr>
        <w:t>竞争性磋商公告</w:t>
      </w:r>
    </w:p>
    <w:p w14:paraId="0DFC577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6BC849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荥阳市自然资源和规划局荥阳市城市国土空间监测项目</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5"/>
          <w:rFonts w:hint="eastAsia" w:ascii="宋体" w:hAnsi="宋体" w:cs="宋体"/>
          <w:color w:val="auto"/>
          <w:szCs w:val="21"/>
          <w:highlight w:val="none"/>
        </w:rPr>
        <w:t>获取采购文件，并于</w:t>
      </w:r>
      <w:r>
        <w:rPr>
          <w:rStyle w:val="35"/>
          <w:rFonts w:hint="eastAsia" w:ascii="宋体" w:hAnsi="宋体" w:cs="宋体"/>
          <w:color w:val="auto"/>
          <w:szCs w:val="21"/>
          <w:highlight w:val="none"/>
          <w:lang w:eastAsia="zh-CN"/>
        </w:rPr>
        <w:t>2025年</w:t>
      </w:r>
      <w:r>
        <w:rPr>
          <w:rStyle w:val="35"/>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00分</w:t>
      </w:r>
      <w:r>
        <w:rPr>
          <w:rFonts w:hint="eastAsia" w:ascii="宋体" w:hAnsi="宋体" w:cs="宋体"/>
          <w:color w:val="auto"/>
          <w:szCs w:val="21"/>
          <w:highlight w:val="none"/>
        </w:rPr>
        <w:t>（北京时间）前提交响应文件。</w:t>
      </w:r>
    </w:p>
    <w:p w14:paraId="76E205B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F45F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w:t>
      </w:r>
      <w:r>
        <w:rPr>
          <w:rFonts w:ascii="宋体" w:hAnsi="宋体" w:cs="宋体"/>
          <w:color w:val="auto"/>
          <w:szCs w:val="21"/>
          <w:highlight w:val="none"/>
        </w:rPr>
        <w:t>荥财磋商-</w:t>
      </w:r>
      <w:r>
        <w:rPr>
          <w:rFonts w:hint="eastAsia" w:ascii="宋体" w:hAnsi="宋体" w:cs="宋体"/>
          <w:color w:val="auto"/>
          <w:szCs w:val="21"/>
          <w:highlight w:val="none"/>
          <w:lang w:eastAsia="zh-CN"/>
        </w:rPr>
        <w:t>2025</w:t>
      </w:r>
      <w:r>
        <w:rPr>
          <w:rFonts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   </w:t>
      </w:r>
    </w:p>
    <w:p w14:paraId="39F8A0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荥阳市自然资源和规划局荥阳市城市国土空间监测项目</w:t>
      </w:r>
      <w:r>
        <w:rPr>
          <w:rFonts w:hint="eastAsia" w:ascii="宋体" w:hAnsi="宋体" w:cs="宋体"/>
          <w:color w:val="auto"/>
          <w:szCs w:val="21"/>
          <w:highlight w:val="none"/>
        </w:rPr>
        <w:t>；</w:t>
      </w:r>
    </w:p>
    <w:p w14:paraId="6CD73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431CD7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500000</w:t>
      </w:r>
      <w:r>
        <w:rPr>
          <w:rFonts w:hint="eastAsia" w:ascii="宋体" w:hAnsi="宋体" w:cs="宋体"/>
          <w:color w:val="auto"/>
          <w:szCs w:val="21"/>
          <w:highlight w:val="none"/>
        </w:rPr>
        <w:t>元，最高限价：</w:t>
      </w:r>
      <w:r>
        <w:rPr>
          <w:rFonts w:hint="eastAsia" w:ascii="宋体" w:hAnsi="宋体" w:cs="宋体"/>
          <w:color w:val="auto"/>
          <w:szCs w:val="21"/>
          <w:highlight w:val="none"/>
          <w:lang w:eastAsia="zh-CN"/>
        </w:rPr>
        <w:t>500000</w:t>
      </w:r>
      <w:r>
        <w:rPr>
          <w:rFonts w:hint="eastAsia" w:ascii="宋体" w:hAnsi="宋体" w:cs="宋体"/>
          <w:color w:val="auto"/>
          <w:szCs w:val="21"/>
          <w:highlight w:val="none"/>
        </w:rPr>
        <w:t>元；</w:t>
      </w:r>
    </w:p>
    <w:tbl>
      <w:tblPr>
        <w:tblStyle w:val="24"/>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03"/>
        <w:gridCol w:w="2905"/>
        <w:gridCol w:w="1679"/>
        <w:gridCol w:w="1230"/>
        <w:gridCol w:w="1419"/>
        <w:gridCol w:w="1467"/>
      </w:tblGrid>
      <w:tr w14:paraId="1EA1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1" w:type="dxa"/>
            <w:vAlign w:val="center"/>
          </w:tcPr>
          <w:p w14:paraId="72BE26B4">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403" w:type="dxa"/>
            <w:vAlign w:val="center"/>
          </w:tcPr>
          <w:p w14:paraId="3252E333">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2905" w:type="dxa"/>
            <w:vAlign w:val="center"/>
          </w:tcPr>
          <w:p w14:paraId="1A765B81">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79" w:type="dxa"/>
            <w:vAlign w:val="center"/>
          </w:tcPr>
          <w:p w14:paraId="7EAF093D">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230" w:type="dxa"/>
            <w:vAlign w:val="center"/>
          </w:tcPr>
          <w:p w14:paraId="52579893">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c>
          <w:tcPr>
            <w:tcW w:w="1419" w:type="dxa"/>
            <w:vAlign w:val="center"/>
          </w:tcPr>
          <w:p w14:paraId="59F5CADB">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是否专门面向中小企业</w:t>
            </w:r>
          </w:p>
        </w:tc>
        <w:tc>
          <w:tcPr>
            <w:tcW w:w="1467" w:type="dxa"/>
            <w:vAlign w:val="center"/>
          </w:tcPr>
          <w:p w14:paraId="1EC9FF1D">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采购预留金额（元）</w:t>
            </w:r>
          </w:p>
        </w:tc>
      </w:tr>
      <w:tr w14:paraId="6909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71" w:type="dxa"/>
            <w:vAlign w:val="center"/>
          </w:tcPr>
          <w:p w14:paraId="4D970A47">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403" w:type="dxa"/>
            <w:vAlign w:val="center"/>
          </w:tcPr>
          <w:p w14:paraId="7B3CBB45">
            <w:pPr>
              <w:widowControl/>
              <w:jc w:val="center"/>
              <w:textAlignment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荥财磋商-2025-12</w:t>
            </w:r>
            <w:r>
              <w:rPr>
                <w:rFonts w:hint="eastAsia" w:ascii="宋体" w:hAnsi="宋体" w:cs="宋体"/>
                <w:color w:val="auto"/>
                <w:szCs w:val="21"/>
                <w:highlight w:val="none"/>
                <w:lang w:val="en-US" w:eastAsia="zh-CN"/>
              </w:rPr>
              <w:t>-1</w:t>
            </w:r>
          </w:p>
        </w:tc>
        <w:tc>
          <w:tcPr>
            <w:tcW w:w="2905" w:type="dxa"/>
            <w:vAlign w:val="center"/>
          </w:tcPr>
          <w:p w14:paraId="42C0F4D4">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荥阳市自然资源和规划局荥阳市城市国土空间监测项目</w:t>
            </w:r>
          </w:p>
        </w:tc>
        <w:tc>
          <w:tcPr>
            <w:tcW w:w="1679" w:type="dxa"/>
            <w:vAlign w:val="center"/>
          </w:tcPr>
          <w:p w14:paraId="3022882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500000</w:t>
            </w:r>
          </w:p>
        </w:tc>
        <w:tc>
          <w:tcPr>
            <w:tcW w:w="1230" w:type="dxa"/>
            <w:vAlign w:val="center"/>
          </w:tcPr>
          <w:p w14:paraId="55F08AA6">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500000</w:t>
            </w:r>
          </w:p>
        </w:tc>
        <w:tc>
          <w:tcPr>
            <w:tcW w:w="1419" w:type="dxa"/>
            <w:vAlign w:val="center"/>
          </w:tcPr>
          <w:p w14:paraId="22E0DC9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是</w:t>
            </w:r>
          </w:p>
        </w:tc>
        <w:tc>
          <w:tcPr>
            <w:tcW w:w="1467" w:type="dxa"/>
            <w:vAlign w:val="center"/>
          </w:tcPr>
          <w:p w14:paraId="48A9BAEA">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500000</w:t>
            </w:r>
          </w:p>
        </w:tc>
      </w:tr>
    </w:tbl>
    <w:p w14:paraId="01581E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24D96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根据《河南省自然资源厅办公室关于开展2024年城市国土空间监测工作的通知》（豫自然资办发〔2024〕16号）和《郑州市自然资源和规划局关于开展2024年城市国土空间监测工作的通知》（郑自然资发〔2024〕18号）要求在全市开展城市国土空间监测工作。工作目标：以2023年度国土变更调查成果为底图，依据2024年6月底之前的高分辨率遥感影像和最新的相关专题资料，结合实地调查等工作，在全市范围组织开展城市国土空间监测工作，掌握城市建设总量、用地结构、基础设施和服务功能等情况，支撑城市建设用地细化、国土空间规划编制及实施监督、国土空间规划城市体检评估和用途管制等国土空间治理工作。</w:t>
      </w:r>
      <w:r>
        <w:rPr>
          <w:rFonts w:hint="eastAsia" w:ascii="宋体" w:hAnsi="宋体" w:cs="宋体"/>
          <w:color w:val="auto"/>
          <w:szCs w:val="21"/>
          <w:highlight w:val="none"/>
          <w:lang w:val="en-US" w:eastAsia="zh-CN"/>
        </w:rPr>
        <w:t>荥阳市</w:t>
      </w:r>
      <w:r>
        <w:rPr>
          <w:rFonts w:hint="eastAsia" w:ascii="宋体" w:hAnsi="宋体" w:cs="宋体"/>
          <w:color w:val="auto"/>
          <w:szCs w:val="21"/>
          <w:highlight w:val="none"/>
        </w:rPr>
        <w:t>被确定为2024年县级试点，除正常更新2023年度成果外，还需参照地级市城区范围监测内容，开展城区范围的要素采集。（详见采购文件）</w:t>
      </w:r>
    </w:p>
    <w:p w14:paraId="6A5F2C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5.2.服务地点：</w:t>
      </w:r>
      <w:r>
        <w:rPr>
          <w:rFonts w:hint="eastAsia" w:ascii="宋体" w:hAnsi="宋体" w:cs="宋体"/>
          <w:color w:val="auto"/>
          <w:szCs w:val="21"/>
          <w:highlight w:val="none"/>
        </w:rPr>
        <w:t>荥阳市境内</w:t>
      </w:r>
      <w:r>
        <w:rPr>
          <w:rFonts w:hint="eastAsia" w:ascii="宋体" w:hAnsi="宋体" w:cs="宋体"/>
          <w:color w:val="auto"/>
          <w:highlight w:val="none"/>
        </w:rPr>
        <w:t>；</w:t>
      </w:r>
    </w:p>
    <w:p w14:paraId="6C6985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5.3.服务周期：</w:t>
      </w:r>
      <w:r>
        <w:rPr>
          <w:rFonts w:hint="eastAsia" w:ascii="宋体" w:hAnsi="宋体" w:cs="宋体"/>
          <w:color w:val="auto"/>
          <w:highlight w:val="none"/>
          <w:lang w:eastAsia="zh-CN"/>
        </w:rPr>
        <w:t>签订合同之日起</w:t>
      </w:r>
      <w:r>
        <w:rPr>
          <w:rFonts w:hint="eastAsia" w:ascii="宋体" w:hAnsi="宋体" w:cs="宋体"/>
          <w:color w:val="auto"/>
          <w:highlight w:val="none"/>
        </w:rPr>
        <w:t>至项目完工通过省级质量检查；</w:t>
      </w:r>
    </w:p>
    <w:p w14:paraId="1E4EB9A6">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5.4.质量标准：</w:t>
      </w:r>
      <w:r>
        <w:rPr>
          <w:rFonts w:hint="eastAsia" w:ascii="宋体" w:hAnsi="宋体" w:cs="宋体"/>
          <w:bCs/>
          <w:color w:val="auto"/>
          <w:szCs w:val="21"/>
          <w:highlight w:val="none"/>
        </w:rPr>
        <w:t>符合国家、行业规定的合格标准和规范，满足采购文件和采购人的要求</w:t>
      </w:r>
      <w:r>
        <w:rPr>
          <w:rFonts w:hint="eastAsia" w:ascii="宋体" w:hAnsi="宋体" w:cs="宋体"/>
          <w:bCs/>
          <w:color w:val="auto"/>
          <w:szCs w:val="21"/>
          <w:highlight w:val="none"/>
          <w:lang w:eastAsia="zh-CN"/>
        </w:rPr>
        <w:t>；</w:t>
      </w:r>
    </w:p>
    <w:p w14:paraId="32D08EDF">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5.5.验收标准</w:t>
      </w:r>
      <w:r>
        <w:rPr>
          <w:rFonts w:hint="eastAsia" w:ascii="宋体" w:hAnsi="宋体" w:cs="宋体"/>
          <w:color w:val="auto"/>
          <w:highlight w:val="none"/>
          <w:lang w:eastAsia="zh-CN"/>
        </w:rPr>
        <w:t>：</w:t>
      </w:r>
      <w:r>
        <w:rPr>
          <w:rFonts w:hint="eastAsia" w:ascii="宋体" w:hAnsi="宋体" w:cs="宋体"/>
          <w:color w:val="auto"/>
          <w:highlight w:val="none"/>
        </w:rPr>
        <w:t>符合国家、行业规定的合格标准和规范，满足采购文件和采购人的要求。</w:t>
      </w:r>
    </w:p>
    <w:p w14:paraId="04693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详见服务周期。</w:t>
      </w:r>
    </w:p>
    <w:p w14:paraId="362695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7.本项目是否接受联合体投标：否  </w:t>
      </w:r>
    </w:p>
    <w:p w14:paraId="5F0F73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8.是否专门面向中小企业：是</w:t>
      </w:r>
    </w:p>
    <w:p w14:paraId="268305F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0B29CB2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370A91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600060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752141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483EAA6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07099558">
      <w:pPr>
        <w:pStyle w:val="20"/>
        <w:spacing w:beforeAutospacing="0" w:afterAutospacing="0" w:line="360" w:lineRule="auto"/>
        <w:ind w:firstLine="482" w:firstLineChars="200"/>
        <w:jc w:val="both"/>
        <w:rPr>
          <w:rFonts w:hint="eastAsia" w:ascii="宋体" w:hAnsi="宋体" w:cs="宋体"/>
          <w:color w:val="auto"/>
          <w:kern w:val="2"/>
          <w:sz w:val="21"/>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44561D2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31E425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w:t>
      </w:r>
      <w:r>
        <w:rPr>
          <w:rFonts w:hint="eastAsia" w:ascii="宋体" w:hAnsi="宋体" w:cs="宋体"/>
          <w:color w:val="auto"/>
          <w:szCs w:val="21"/>
          <w:highlight w:val="none"/>
          <w:lang w:eastAsia="zh-CN"/>
        </w:rPr>
        <w:t>有</w:t>
      </w:r>
      <w:r>
        <w:rPr>
          <w:rFonts w:hint="eastAsia" w:ascii="宋体" w:hAnsi="宋体" w:cs="宋体"/>
          <w:color w:val="auto"/>
          <w:szCs w:val="21"/>
          <w:highlight w:val="none"/>
        </w:rPr>
        <w:t>测绘乙级及以上资质(需包含以下专业：地理信息系统工程、界线与不动产测绘)。</w:t>
      </w:r>
    </w:p>
    <w:p w14:paraId="566D92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w:t>
      </w:r>
      <w:r>
        <w:rPr>
          <w:rFonts w:hint="eastAsia" w:ascii="宋体" w:hAnsi="宋体" w:cs="宋体"/>
          <w:color w:val="auto"/>
          <w:szCs w:val="21"/>
          <w:highlight w:val="none"/>
          <w:lang w:val="en-US" w:eastAsia="zh-CN"/>
        </w:rPr>
        <w:t>测绘</w:t>
      </w:r>
      <w:r>
        <w:rPr>
          <w:rFonts w:hint="eastAsia" w:ascii="宋体" w:hAnsi="宋体" w:cs="宋体"/>
          <w:color w:val="auto"/>
          <w:szCs w:val="21"/>
          <w:highlight w:val="none"/>
        </w:rPr>
        <w:t>相关专业中级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和注册测绘师</w:t>
      </w:r>
      <w:r>
        <w:rPr>
          <w:rFonts w:hint="eastAsia" w:ascii="宋体" w:hAnsi="宋体" w:cs="宋体"/>
          <w:color w:val="auto"/>
          <w:szCs w:val="21"/>
          <w:highlight w:val="none"/>
        </w:rPr>
        <w:t>，且为本单位人员，须提供</w:t>
      </w:r>
      <w:r>
        <w:rPr>
          <w:rFonts w:hint="eastAsia" w:ascii="宋体" w:hAnsi="宋体" w:cs="宋体"/>
          <w:color w:val="auto"/>
          <w:szCs w:val="21"/>
          <w:highlight w:val="none"/>
          <w:lang w:eastAsia="zh-CN"/>
        </w:rPr>
        <w:t>2024年12月以来任意一个月有效的</w:t>
      </w:r>
      <w:r>
        <w:rPr>
          <w:rFonts w:hint="eastAsia" w:ascii="宋体" w:hAnsi="宋体" w:cs="宋体"/>
          <w:color w:val="auto"/>
          <w:szCs w:val="21"/>
          <w:highlight w:val="none"/>
        </w:rPr>
        <w:t>缴纳社保证明材料。</w:t>
      </w:r>
    </w:p>
    <w:p w14:paraId="3787FA5E">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w:t>
      </w:r>
      <w:r>
        <w:rPr>
          <w:rFonts w:hint="eastAsia" w:ascii="宋体" w:hAnsi="宋体" w:cs="宋体"/>
          <w:color w:val="auto"/>
          <w:kern w:val="0"/>
          <w:szCs w:val="21"/>
          <w:highlight w:val="none"/>
          <w:lang w:eastAsia="zh-CN" w:bidi="ar"/>
        </w:rPr>
        <w:t>根据需要将对所有参与</w:t>
      </w:r>
      <w:r>
        <w:rPr>
          <w:rFonts w:hint="eastAsia" w:ascii="宋体" w:hAnsi="宋体" w:cs="宋体"/>
          <w:color w:val="auto"/>
          <w:kern w:val="0"/>
          <w:szCs w:val="21"/>
          <w:highlight w:val="none"/>
          <w:lang w:bidi="ar"/>
        </w:rPr>
        <w:t>本项目投标的供应商的信用情况（失信被执行人、重大税收违法失信主体、政府采购严重违法失信行为记录名单）进行查询。若在开标当天查询到供应商有相关负面信息的，则该供应商为无效供应商。</w:t>
      </w:r>
    </w:p>
    <w:p w14:paraId="78D39AFD">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3F158650">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5000F794">
      <w:pPr>
        <w:spacing w:line="360" w:lineRule="auto"/>
        <w:rPr>
          <w:b/>
          <w:bCs/>
          <w:color w:val="auto"/>
          <w:szCs w:val="21"/>
          <w:highlight w:val="none"/>
        </w:rPr>
      </w:pPr>
      <w:bookmarkStart w:id="5" w:name="_Toc30918"/>
      <w:bookmarkStart w:id="6" w:name="_Toc20287"/>
      <w:bookmarkStart w:id="7" w:name="_Toc6523"/>
      <w:bookmarkStart w:id="8" w:name="_Toc16669"/>
      <w:bookmarkStart w:id="9" w:name="_Toc29784"/>
      <w:bookmarkStart w:id="10" w:name="_Toc6878"/>
      <w:r>
        <w:rPr>
          <w:rFonts w:hint="eastAsia"/>
          <w:b/>
          <w:bCs/>
          <w:color w:val="auto"/>
          <w:szCs w:val="21"/>
          <w:highlight w:val="none"/>
        </w:rPr>
        <w:t>三、采购文件获取</w:t>
      </w:r>
    </w:p>
    <w:p w14:paraId="2DB5B49E">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lang w:eastAsia="zh-CN"/>
        </w:rPr>
        <w:t>2025年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 xml:space="preserve">日 至 </w:t>
      </w:r>
      <w:r>
        <w:rPr>
          <w:rFonts w:hint="eastAsia"/>
          <w:color w:val="auto"/>
          <w:szCs w:val="21"/>
          <w:highlight w:val="none"/>
          <w:lang w:eastAsia="zh-CN"/>
        </w:rPr>
        <w:t>2025年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日，每天上午00:00至11:59，下午12:00至23:59（北京时间，法定节假日除外。）</w:t>
      </w:r>
    </w:p>
    <w:p w14:paraId="07C4501D">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23CD773B">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735ACB4D">
      <w:pPr>
        <w:spacing w:line="360" w:lineRule="auto"/>
        <w:ind w:firstLine="420" w:firstLineChars="200"/>
        <w:rPr>
          <w:color w:val="auto"/>
          <w:szCs w:val="21"/>
          <w:highlight w:val="none"/>
        </w:rPr>
      </w:pPr>
      <w:r>
        <w:rPr>
          <w:rFonts w:hint="eastAsia"/>
          <w:color w:val="auto"/>
          <w:szCs w:val="21"/>
          <w:highlight w:val="none"/>
        </w:rPr>
        <w:t>4.售价：0元</w:t>
      </w:r>
    </w:p>
    <w:p w14:paraId="33448D57">
      <w:pPr>
        <w:spacing w:line="360" w:lineRule="auto"/>
        <w:rPr>
          <w:b/>
          <w:bCs/>
          <w:color w:val="auto"/>
          <w:szCs w:val="21"/>
          <w:highlight w:val="none"/>
        </w:rPr>
      </w:pPr>
      <w:r>
        <w:rPr>
          <w:rFonts w:hint="eastAsia"/>
          <w:b/>
          <w:bCs/>
          <w:color w:val="auto"/>
          <w:szCs w:val="21"/>
          <w:highlight w:val="none"/>
        </w:rPr>
        <w:t>四、响应文件递交截止时间及地点</w:t>
      </w:r>
    </w:p>
    <w:p w14:paraId="45B37172">
      <w:pPr>
        <w:spacing w:line="360" w:lineRule="auto"/>
        <w:ind w:firstLine="420" w:firstLineChars="200"/>
        <w:rPr>
          <w:color w:val="auto"/>
          <w:szCs w:val="21"/>
          <w:highlight w:val="none"/>
        </w:rPr>
      </w:pPr>
      <w:r>
        <w:rPr>
          <w:rFonts w:hint="eastAsia"/>
          <w:color w:val="auto"/>
          <w:szCs w:val="21"/>
          <w:highlight w:val="none"/>
        </w:rPr>
        <w:t>1.时间：</w:t>
      </w:r>
      <w:r>
        <w:rPr>
          <w:rFonts w:hint="eastAsia"/>
          <w:color w:val="auto"/>
          <w:szCs w:val="21"/>
          <w:highlight w:val="none"/>
          <w:lang w:eastAsia="zh-CN"/>
        </w:rPr>
        <w:t>2025年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00分</w:t>
      </w:r>
      <w:r>
        <w:rPr>
          <w:rFonts w:hint="eastAsia"/>
          <w:color w:val="auto"/>
          <w:szCs w:val="21"/>
          <w:highlight w:val="none"/>
        </w:rPr>
        <w:t>（北京时间）</w:t>
      </w:r>
    </w:p>
    <w:p w14:paraId="79EA6C2A">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67E04FA">
      <w:pPr>
        <w:spacing w:line="360" w:lineRule="auto"/>
        <w:rPr>
          <w:b/>
          <w:bCs/>
          <w:color w:val="auto"/>
          <w:szCs w:val="21"/>
          <w:highlight w:val="none"/>
        </w:rPr>
      </w:pPr>
      <w:r>
        <w:rPr>
          <w:rFonts w:hint="eastAsia"/>
          <w:b/>
          <w:bCs/>
          <w:color w:val="auto"/>
          <w:szCs w:val="21"/>
          <w:highlight w:val="none"/>
        </w:rPr>
        <w:t>五、响应文件开启时间及地点</w:t>
      </w:r>
    </w:p>
    <w:p w14:paraId="44256825">
      <w:pPr>
        <w:spacing w:line="360" w:lineRule="auto"/>
        <w:ind w:firstLine="420" w:firstLineChars="200"/>
        <w:rPr>
          <w:color w:val="auto"/>
          <w:szCs w:val="21"/>
          <w:highlight w:val="none"/>
        </w:rPr>
      </w:pPr>
      <w:r>
        <w:rPr>
          <w:rFonts w:hint="eastAsia"/>
          <w:color w:val="auto"/>
          <w:szCs w:val="21"/>
          <w:highlight w:val="none"/>
        </w:rPr>
        <w:t>1.时间：</w:t>
      </w:r>
      <w:r>
        <w:rPr>
          <w:rFonts w:hint="eastAsia"/>
          <w:color w:val="auto"/>
          <w:szCs w:val="21"/>
          <w:highlight w:val="none"/>
          <w:lang w:eastAsia="zh-CN"/>
        </w:rPr>
        <w:t>2025年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00分</w:t>
      </w:r>
      <w:r>
        <w:rPr>
          <w:rFonts w:hint="eastAsia"/>
          <w:color w:val="auto"/>
          <w:szCs w:val="21"/>
          <w:highlight w:val="none"/>
        </w:rPr>
        <w:t>（北京时间）</w:t>
      </w:r>
    </w:p>
    <w:p w14:paraId="0765B775">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五</w:t>
      </w:r>
      <w:r>
        <w:rPr>
          <w:rFonts w:hint="eastAsia"/>
          <w:color w:val="auto"/>
          <w:szCs w:val="21"/>
          <w:highlight w:val="none"/>
        </w:rPr>
        <w:t>开标室。</w:t>
      </w:r>
    </w:p>
    <w:p w14:paraId="2B680B07">
      <w:pPr>
        <w:spacing w:line="360" w:lineRule="auto"/>
        <w:rPr>
          <w:b/>
          <w:bCs/>
          <w:color w:val="auto"/>
          <w:szCs w:val="21"/>
          <w:highlight w:val="none"/>
        </w:rPr>
      </w:pPr>
      <w:r>
        <w:rPr>
          <w:rFonts w:hint="eastAsia"/>
          <w:b/>
          <w:bCs/>
          <w:color w:val="auto"/>
          <w:szCs w:val="21"/>
          <w:highlight w:val="none"/>
        </w:rPr>
        <w:t>六、发布公告的媒介及招标公告期限</w:t>
      </w:r>
    </w:p>
    <w:p w14:paraId="1EB6A03C">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w:t>
      </w:r>
      <w:r>
        <w:rPr>
          <w:rFonts w:hint="eastAsia"/>
          <w:bCs/>
          <w:color w:val="auto"/>
          <w:szCs w:val="21"/>
          <w:highlight w:val="none"/>
          <w:lang w:eastAsia="zh-CN"/>
        </w:rPr>
        <w:t>中国</w:t>
      </w:r>
      <w:r>
        <w:rPr>
          <w:rFonts w:hint="eastAsia"/>
          <w:bCs/>
          <w:color w:val="auto"/>
          <w:szCs w:val="21"/>
          <w:highlight w:val="none"/>
        </w:rPr>
        <w:t>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5A445E9A">
      <w:pPr>
        <w:spacing w:line="360" w:lineRule="auto"/>
        <w:rPr>
          <w:rFonts w:ascii="宋体" w:hAnsi="宋体" w:cs="宋体"/>
          <w:b/>
          <w:color w:val="auto"/>
          <w:szCs w:val="21"/>
          <w:highlight w:val="none"/>
        </w:rPr>
      </w:pPr>
      <w:r>
        <w:rPr>
          <w:rFonts w:hint="eastAsia" w:ascii="宋体" w:hAnsi="宋体" w:cs="宋体"/>
          <w:b/>
          <w:color w:val="auto"/>
          <w:szCs w:val="21"/>
          <w:highlight w:val="none"/>
        </w:rPr>
        <w:t>六、其他补充事宜</w:t>
      </w:r>
    </w:p>
    <w:p w14:paraId="74F1AE31">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0858D0DE">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6B0135AB">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1C185419">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328E0AAA">
      <w:pPr>
        <w:pStyle w:val="20"/>
        <w:spacing w:beforeAutospacing="0" w:afterAutospacing="0"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eastAsia="宋体" w:cs="宋体"/>
          <w:b w:val="0"/>
          <w:bCs/>
          <w:color w:val="auto"/>
          <w:sz w:val="21"/>
          <w:szCs w:val="21"/>
          <w:highlight w:val="none"/>
          <w:lang w:val="en-US" w:eastAsia="zh-CN"/>
        </w:rPr>
        <w:t>本次采购招标代理服务费，参考河南省招标投标协会（豫招协[2023]002号）文规定的计费方式，向成交供应商收取代理服务费。</w:t>
      </w:r>
    </w:p>
    <w:p w14:paraId="3680EFDE">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、本项目采购监督部门：荥阳市财政局</w:t>
      </w:r>
    </w:p>
    <w:p w14:paraId="1F3725A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110E6CC9">
      <w:pPr>
        <w:spacing w:line="360" w:lineRule="auto"/>
        <w:ind w:firstLine="420" w:firstLineChars="200"/>
        <w:rPr>
          <w:color w:val="auto"/>
          <w:szCs w:val="21"/>
          <w:highlight w:val="none"/>
        </w:rPr>
      </w:pPr>
      <w:r>
        <w:rPr>
          <w:rFonts w:hint="eastAsia"/>
          <w:color w:val="auto"/>
          <w:szCs w:val="21"/>
          <w:highlight w:val="none"/>
        </w:rPr>
        <w:t xml:space="preserve">1、采购人名称：荥阳市自然资源和规划局  </w:t>
      </w:r>
    </w:p>
    <w:p w14:paraId="2603218F">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7B4CCD18">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联 系 人：王</w:t>
      </w:r>
      <w:r>
        <w:rPr>
          <w:rFonts w:hint="eastAsia" w:ascii="宋体" w:hAnsi="宋体" w:cs="宋体"/>
          <w:color w:val="auto"/>
          <w:szCs w:val="21"/>
          <w:highlight w:val="none"/>
        </w:rPr>
        <w:t>志斌</w:t>
      </w:r>
    </w:p>
    <w:p w14:paraId="7F24CC43">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电    话：0371-64683678</w:t>
      </w:r>
    </w:p>
    <w:p w14:paraId="2F8EC1D2">
      <w:pPr>
        <w:numPr>
          <w:ilvl w:val="0"/>
          <w:numId w:val="3"/>
        </w:numPr>
        <w:spacing w:line="360" w:lineRule="auto"/>
        <w:ind w:firstLine="420" w:firstLineChars="200"/>
        <w:rPr>
          <w:rFonts w:hint="eastAsia"/>
          <w:color w:val="auto"/>
          <w:szCs w:val="21"/>
          <w:highlight w:val="none"/>
        </w:rPr>
      </w:pPr>
      <w:r>
        <w:rPr>
          <w:rFonts w:hint="eastAsia"/>
          <w:color w:val="auto"/>
          <w:szCs w:val="21"/>
          <w:highlight w:val="none"/>
        </w:rPr>
        <w:t>采购代理机构名称：河南嘉泰工程管理有限公司</w:t>
      </w:r>
    </w:p>
    <w:p w14:paraId="1AE73F00">
      <w:pPr>
        <w:numPr>
          <w:ilvl w:val="0"/>
          <w:numId w:val="0"/>
        </w:num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地　址：河南自贸试验区郑州片区（郑东）商都路100号2号楼2单元17层1718号　</w:t>
      </w:r>
    </w:p>
    <w:p w14:paraId="0A8200AA">
      <w:pPr>
        <w:numPr>
          <w:ilvl w:val="0"/>
          <w:numId w:val="0"/>
        </w:num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联系人：杨欣欣</w:t>
      </w:r>
    </w:p>
    <w:p w14:paraId="242E3B4D">
      <w:pPr>
        <w:numPr>
          <w:ilvl w:val="0"/>
          <w:numId w:val="0"/>
        </w:num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联系方式：0371-55657500或155538012123</w:t>
      </w:r>
    </w:p>
    <w:p w14:paraId="6D184F84">
      <w:pPr>
        <w:numPr>
          <w:ilvl w:val="0"/>
          <w:numId w:val="4"/>
        </w:numPr>
        <w:spacing w:line="360" w:lineRule="auto"/>
        <w:ind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项目联系方式</w:t>
      </w:r>
    </w:p>
    <w:p w14:paraId="1BCFCE58">
      <w:pPr>
        <w:numPr>
          <w:ilvl w:val="0"/>
          <w:numId w:val="0"/>
        </w:num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项目联系人：杨欣欣     </w:t>
      </w:r>
    </w:p>
    <w:p w14:paraId="469B968B">
      <w:pPr>
        <w:numPr>
          <w:ilvl w:val="0"/>
          <w:numId w:val="0"/>
        </w:num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电　话：0371-55657500或155538012123</w:t>
      </w:r>
    </w:p>
    <w:p w14:paraId="2320B9BF">
      <w:pPr>
        <w:pStyle w:val="2"/>
        <w:rPr>
          <w:b/>
          <w:bCs/>
          <w:color w:val="auto"/>
          <w:highlight w:val="none"/>
        </w:rPr>
      </w:pPr>
      <w:bookmarkStart w:id="11" w:name="_Toc757"/>
    </w:p>
    <w:p w14:paraId="1DE8D7BC">
      <w:pPr>
        <w:rPr>
          <w:b/>
          <w:bCs/>
          <w:color w:val="auto"/>
          <w:highlight w:val="none"/>
        </w:rPr>
      </w:pPr>
    </w:p>
    <w:p w14:paraId="17A337C3">
      <w:pPr>
        <w:pStyle w:val="41"/>
        <w:rPr>
          <w:b/>
          <w:bCs/>
          <w:color w:val="auto"/>
          <w:highlight w:val="none"/>
        </w:rPr>
      </w:pPr>
    </w:p>
    <w:p w14:paraId="6550B409">
      <w:pPr>
        <w:pStyle w:val="43"/>
        <w:rPr>
          <w:b/>
          <w:bCs/>
          <w:color w:val="auto"/>
          <w:highlight w:val="none"/>
        </w:rPr>
      </w:pPr>
    </w:p>
    <w:p w14:paraId="60A9F13E">
      <w:pPr>
        <w:rPr>
          <w:b/>
          <w:bCs/>
          <w:color w:val="auto"/>
          <w:highlight w:val="none"/>
        </w:rPr>
      </w:pPr>
    </w:p>
    <w:p w14:paraId="270EB1EB">
      <w:pPr>
        <w:pStyle w:val="41"/>
        <w:rPr>
          <w:b/>
          <w:bCs/>
          <w:color w:val="auto"/>
          <w:highlight w:val="none"/>
        </w:rPr>
      </w:pPr>
    </w:p>
    <w:p w14:paraId="7C38251F">
      <w:pPr>
        <w:pStyle w:val="43"/>
        <w:rPr>
          <w:b/>
          <w:bCs/>
          <w:color w:val="auto"/>
          <w:highlight w:val="none"/>
        </w:rPr>
      </w:pPr>
    </w:p>
    <w:p w14:paraId="77367173">
      <w:pPr>
        <w:rPr>
          <w:b/>
          <w:bCs/>
          <w:color w:val="auto"/>
          <w:highlight w:val="none"/>
        </w:rPr>
      </w:pPr>
    </w:p>
    <w:p w14:paraId="493458E6">
      <w:pPr>
        <w:pStyle w:val="41"/>
        <w:rPr>
          <w:b/>
          <w:bCs/>
          <w:color w:val="auto"/>
          <w:highlight w:val="none"/>
        </w:rPr>
      </w:pPr>
    </w:p>
    <w:p w14:paraId="6D84CEEF">
      <w:pPr>
        <w:pStyle w:val="43"/>
        <w:rPr>
          <w:b/>
          <w:bCs/>
          <w:color w:val="auto"/>
          <w:highlight w:val="none"/>
        </w:rPr>
      </w:pPr>
    </w:p>
    <w:p w14:paraId="5F58BDFA">
      <w:pPr>
        <w:rPr>
          <w:b/>
          <w:bCs/>
          <w:color w:val="auto"/>
          <w:highlight w:val="none"/>
        </w:rPr>
      </w:pPr>
    </w:p>
    <w:p w14:paraId="11A3D06A">
      <w:pPr>
        <w:pStyle w:val="41"/>
        <w:rPr>
          <w:b/>
          <w:bCs/>
          <w:color w:val="auto"/>
          <w:highlight w:val="none"/>
        </w:rPr>
      </w:pPr>
    </w:p>
    <w:p w14:paraId="15C44C70">
      <w:pPr>
        <w:pStyle w:val="43"/>
        <w:rPr>
          <w:b/>
          <w:bCs/>
          <w:color w:val="auto"/>
          <w:highlight w:val="none"/>
        </w:rPr>
      </w:pPr>
    </w:p>
    <w:p w14:paraId="11FC41EB">
      <w:pPr>
        <w:rPr>
          <w:b/>
          <w:bCs/>
          <w:color w:val="auto"/>
          <w:highlight w:val="none"/>
        </w:rPr>
      </w:pPr>
    </w:p>
    <w:p w14:paraId="5A506E7B">
      <w:pPr>
        <w:pStyle w:val="41"/>
        <w:rPr>
          <w:b/>
          <w:bCs/>
          <w:color w:val="auto"/>
          <w:highlight w:val="none"/>
        </w:rPr>
      </w:pPr>
    </w:p>
    <w:p w14:paraId="06F0D2D3">
      <w:pPr>
        <w:pStyle w:val="43"/>
        <w:rPr>
          <w:b/>
          <w:bCs/>
          <w:color w:val="auto"/>
          <w:highlight w:val="none"/>
        </w:rPr>
      </w:pPr>
    </w:p>
    <w:p w14:paraId="61376628">
      <w:pPr>
        <w:rPr>
          <w:color w:val="auto"/>
          <w:highlight w:val="none"/>
        </w:rPr>
      </w:pPr>
    </w:p>
    <w:p w14:paraId="5D1789D7">
      <w:pPr>
        <w:pStyle w:val="2"/>
        <w:rPr>
          <w:b/>
          <w:bCs/>
          <w:color w:val="auto"/>
          <w:highlight w:val="none"/>
        </w:rPr>
      </w:pPr>
    </w:p>
    <w:p w14:paraId="5B66517A">
      <w:pPr>
        <w:rPr>
          <w:b/>
          <w:bCs/>
          <w:color w:val="auto"/>
          <w:highlight w:val="none"/>
        </w:rPr>
      </w:pPr>
    </w:p>
    <w:p w14:paraId="04E8707D">
      <w:pPr>
        <w:pStyle w:val="41"/>
        <w:rPr>
          <w:b/>
          <w:bCs/>
          <w:color w:val="auto"/>
          <w:highlight w:val="none"/>
        </w:rPr>
      </w:pPr>
    </w:p>
    <w:p w14:paraId="05B67556">
      <w:pPr>
        <w:pStyle w:val="43"/>
        <w:rPr>
          <w:b/>
          <w:bCs/>
          <w:color w:val="auto"/>
          <w:highlight w:val="none"/>
        </w:rPr>
      </w:pPr>
    </w:p>
    <w:p w14:paraId="410F72C0">
      <w:pPr>
        <w:rPr>
          <w:b/>
          <w:bCs/>
          <w:color w:val="auto"/>
          <w:highlight w:val="none"/>
        </w:rPr>
      </w:pPr>
    </w:p>
    <w:p w14:paraId="6E2CFE4E">
      <w:pPr>
        <w:pStyle w:val="41"/>
        <w:rPr>
          <w:b/>
          <w:bCs/>
          <w:color w:val="auto"/>
          <w:highlight w:val="none"/>
        </w:rPr>
      </w:pPr>
    </w:p>
    <w:p w14:paraId="053A43BB">
      <w:pPr>
        <w:pStyle w:val="43"/>
        <w:rPr>
          <w:b/>
          <w:bCs/>
          <w:color w:val="auto"/>
          <w:highlight w:val="none"/>
        </w:rPr>
      </w:pPr>
    </w:p>
    <w:p w14:paraId="43FC23D8">
      <w:pPr>
        <w:rPr>
          <w:b/>
          <w:bCs/>
          <w:color w:val="auto"/>
          <w:highlight w:val="none"/>
        </w:rPr>
      </w:pPr>
    </w:p>
    <w:p w14:paraId="7BE07FFC">
      <w:pPr>
        <w:pStyle w:val="41"/>
        <w:rPr>
          <w:b/>
          <w:bCs/>
          <w:color w:val="auto"/>
          <w:highlight w:val="none"/>
        </w:rPr>
      </w:pPr>
    </w:p>
    <w:p w14:paraId="72004A47">
      <w:pPr>
        <w:pStyle w:val="43"/>
        <w:rPr>
          <w:b/>
          <w:bCs/>
          <w:color w:val="auto"/>
          <w:highlight w:val="none"/>
        </w:rPr>
      </w:pPr>
    </w:p>
    <w:p w14:paraId="1A6E2453">
      <w:pPr>
        <w:rPr>
          <w:b/>
          <w:bCs/>
          <w:color w:val="auto"/>
          <w:highlight w:val="none"/>
        </w:rPr>
      </w:pPr>
    </w:p>
    <w:p w14:paraId="55199DBB">
      <w:pPr>
        <w:pStyle w:val="41"/>
        <w:rPr>
          <w:b/>
          <w:bCs/>
          <w:color w:val="auto"/>
          <w:highlight w:val="none"/>
        </w:rPr>
      </w:pPr>
    </w:p>
    <w:p w14:paraId="0DB4ED80">
      <w:pPr>
        <w:pStyle w:val="43"/>
        <w:rPr>
          <w:b/>
          <w:bCs/>
          <w:color w:val="auto"/>
          <w:highlight w:val="none"/>
        </w:rPr>
      </w:pPr>
    </w:p>
    <w:p w14:paraId="77B83288">
      <w:pPr>
        <w:rPr>
          <w:b/>
          <w:bCs/>
          <w:color w:val="auto"/>
          <w:highlight w:val="none"/>
        </w:rPr>
      </w:pPr>
    </w:p>
    <w:p w14:paraId="32461920">
      <w:pPr>
        <w:pStyle w:val="41"/>
        <w:rPr>
          <w:b/>
          <w:bCs/>
          <w:color w:val="auto"/>
          <w:highlight w:val="none"/>
        </w:rPr>
      </w:pPr>
    </w:p>
    <w:p w14:paraId="26F26E80">
      <w:pPr>
        <w:pStyle w:val="43"/>
        <w:rPr>
          <w:b/>
          <w:bCs/>
          <w:color w:val="auto"/>
          <w:highlight w:val="none"/>
        </w:rPr>
      </w:pPr>
    </w:p>
    <w:p w14:paraId="0792FD37">
      <w:pPr>
        <w:rPr>
          <w:b/>
          <w:bCs/>
          <w:color w:val="auto"/>
          <w:highlight w:val="none"/>
        </w:rPr>
      </w:pPr>
    </w:p>
    <w:p w14:paraId="74EECAE6">
      <w:pPr>
        <w:pStyle w:val="41"/>
        <w:rPr>
          <w:color w:val="auto"/>
          <w:highlight w:val="none"/>
        </w:rPr>
      </w:pPr>
    </w:p>
    <w:p w14:paraId="79EBA427">
      <w:pPr>
        <w:pStyle w:val="2"/>
        <w:rPr>
          <w:b/>
          <w:bCs/>
          <w:color w:val="auto"/>
          <w:highlight w:val="none"/>
        </w:rPr>
      </w:pPr>
    </w:p>
    <w:p w14:paraId="0E054209">
      <w:pPr>
        <w:pStyle w:val="2"/>
        <w:rPr>
          <w:b/>
          <w:bCs/>
          <w:color w:val="auto"/>
          <w:highlight w:val="none"/>
        </w:rPr>
      </w:pPr>
      <w:r>
        <w:rPr>
          <w:rFonts w:hint="eastAsia"/>
          <w:b/>
          <w:bCs/>
          <w:color w:val="auto"/>
          <w:highlight w:val="none"/>
        </w:rPr>
        <w:t>第二章 供应商须知</w:t>
      </w:r>
      <w:bookmarkEnd w:id="3"/>
      <w:bookmarkEnd w:id="4"/>
      <w:bookmarkEnd w:id="11"/>
    </w:p>
    <w:p w14:paraId="0CD802CD">
      <w:pPr>
        <w:pStyle w:val="3"/>
        <w:rPr>
          <w:rFonts w:ascii="宋体" w:hAnsi="宋体"/>
          <w:color w:val="auto"/>
          <w:sz w:val="30"/>
          <w:szCs w:val="30"/>
          <w:highlight w:val="none"/>
        </w:rPr>
      </w:pPr>
      <w:bookmarkStart w:id="12" w:name="_Toc19399"/>
      <w:bookmarkStart w:id="13" w:name="_Toc5269840"/>
      <w:bookmarkStart w:id="14" w:name="_Toc433093353"/>
      <w:bookmarkStart w:id="15" w:name="_Toc18496"/>
      <w:bookmarkStart w:id="16" w:name="_Toc23377"/>
      <w:bookmarkStart w:id="17" w:name="_Toc320521148"/>
      <w:bookmarkStart w:id="18" w:name="_Toc4965"/>
      <w:bookmarkStart w:id="19" w:name="_Toc9693"/>
      <w:r>
        <w:rPr>
          <w:rFonts w:hint="eastAsia" w:ascii="宋体" w:hAnsi="宋体"/>
          <w:color w:val="auto"/>
          <w:sz w:val="30"/>
          <w:szCs w:val="30"/>
          <w:highlight w:val="none"/>
        </w:rPr>
        <w:t>供应商须知前附表</w:t>
      </w:r>
      <w:bookmarkEnd w:id="12"/>
      <w:bookmarkEnd w:id="13"/>
      <w:bookmarkEnd w:id="14"/>
      <w:bookmarkEnd w:id="15"/>
      <w:bookmarkEnd w:id="16"/>
      <w:bookmarkEnd w:id="17"/>
      <w:bookmarkEnd w:id="18"/>
      <w:bookmarkEnd w:id="19"/>
    </w:p>
    <w:tbl>
      <w:tblPr>
        <w:tblStyle w:val="24"/>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2"/>
        <w:gridCol w:w="8111"/>
      </w:tblGrid>
      <w:tr w14:paraId="30E9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BD2D1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82" w:type="dxa"/>
            <w:tcBorders>
              <w:tl2br w:val="nil"/>
              <w:tr2bl w:val="nil"/>
            </w:tcBorders>
            <w:vAlign w:val="center"/>
          </w:tcPr>
          <w:p w14:paraId="270DA8C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8111" w:type="dxa"/>
            <w:tcBorders>
              <w:tl2br w:val="nil"/>
              <w:tr2bl w:val="nil"/>
            </w:tcBorders>
            <w:vAlign w:val="center"/>
          </w:tcPr>
          <w:p w14:paraId="7CEF999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4D3F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0" w:type="dxa"/>
            <w:tcBorders>
              <w:tl2br w:val="nil"/>
              <w:tr2bl w:val="nil"/>
            </w:tcBorders>
            <w:vAlign w:val="center"/>
          </w:tcPr>
          <w:p w14:paraId="62AD4EAF">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482" w:type="dxa"/>
            <w:tcBorders>
              <w:tl2br w:val="nil"/>
              <w:tr2bl w:val="nil"/>
            </w:tcBorders>
            <w:vAlign w:val="center"/>
          </w:tcPr>
          <w:p w14:paraId="669678E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8111" w:type="dxa"/>
            <w:tcBorders>
              <w:tl2br w:val="nil"/>
              <w:tr2bl w:val="nil"/>
            </w:tcBorders>
            <w:vAlign w:val="center"/>
          </w:tcPr>
          <w:p w14:paraId="1FAB0937">
            <w:pPr>
              <w:spacing w:line="360" w:lineRule="auto"/>
              <w:jc w:val="left"/>
              <w:rPr>
                <w:rFonts w:ascii="宋体" w:hAnsi="宋体" w:cs="宋体"/>
                <w:color w:val="auto"/>
                <w:szCs w:val="21"/>
                <w:highlight w:val="none"/>
              </w:rPr>
            </w:pPr>
            <w:r>
              <w:rPr>
                <w:rFonts w:hint="eastAsia" w:ascii="宋体" w:hAnsi="宋体" w:eastAsia="Times New Roman" w:cs="宋体"/>
                <w:color w:val="auto"/>
                <w:szCs w:val="21"/>
                <w:highlight w:val="none"/>
              </w:rPr>
              <w:t>名    称</w:t>
            </w:r>
            <w:r>
              <w:rPr>
                <w:rFonts w:ascii="宋体" w:hAnsi="宋体" w:cs="宋体"/>
                <w:color w:val="auto"/>
                <w:szCs w:val="21"/>
                <w:highlight w:val="none"/>
              </w:rPr>
              <w:t xml:space="preserve">：荥阳市自然资源和规划局  </w:t>
            </w:r>
          </w:p>
          <w:p w14:paraId="789F40AB">
            <w:pPr>
              <w:spacing w:line="360" w:lineRule="auto"/>
              <w:jc w:val="left"/>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64C89DF6">
            <w:pPr>
              <w:spacing w:line="360" w:lineRule="auto"/>
              <w:jc w:val="left"/>
              <w:rPr>
                <w:rFonts w:ascii="宋体" w:hAnsi="宋体" w:cs="宋体"/>
                <w:color w:val="auto"/>
                <w:szCs w:val="21"/>
                <w:highlight w:val="none"/>
              </w:rPr>
            </w:pPr>
            <w:r>
              <w:rPr>
                <w:rFonts w:ascii="宋体" w:hAnsi="宋体" w:cs="宋体"/>
                <w:color w:val="auto"/>
                <w:szCs w:val="21"/>
                <w:highlight w:val="none"/>
              </w:rPr>
              <w:t>联 系 人：王</w:t>
            </w:r>
            <w:r>
              <w:rPr>
                <w:rFonts w:hint="eastAsia" w:ascii="宋体" w:hAnsi="宋体" w:cs="宋体"/>
                <w:color w:val="auto"/>
                <w:szCs w:val="21"/>
                <w:highlight w:val="none"/>
              </w:rPr>
              <w:t>志斌</w:t>
            </w:r>
          </w:p>
          <w:p w14:paraId="10215107">
            <w:pPr>
              <w:spacing w:line="360" w:lineRule="auto"/>
              <w:jc w:val="left"/>
              <w:rPr>
                <w:rFonts w:ascii="宋体" w:hAnsi="宋体" w:cs="宋体"/>
                <w:color w:val="auto"/>
                <w:szCs w:val="21"/>
                <w:highlight w:val="none"/>
              </w:rPr>
            </w:pPr>
            <w:r>
              <w:rPr>
                <w:rFonts w:ascii="宋体" w:hAnsi="宋体" w:cs="宋体"/>
                <w:color w:val="auto"/>
                <w:szCs w:val="21"/>
                <w:highlight w:val="none"/>
              </w:rPr>
              <w:t>电    话：0371-64683678</w:t>
            </w:r>
          </w:p>
        </w:tc>
      </w:tr>
      <w:tr w14:paraId="3016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00" w:type="dxa"/>
            <w:tcBorders>
              <w:tl2br w:val="nil"/>
              <w:tr2bl w:val="nil"/>
            </w:tcBorders>
            <w:vAlign w:val="center"/>
          </w:tcPr>
          <w:p w14:paraId="5AF8636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482" w:type="dxa"/>
            <w:tcBorders>
              <w:tl2br w:val="nil"/>
              <w:tr2bl w:val="nil"/>
            </w:tcBorders>
            <w:vAlign w:val="center"/>
          </w:tcPr>
          <w:p w14:paraId="445CF0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8111" w:type="dxa"/>
            <w:tcBorders>
              <w:tl2br w:val="nil"/>
              <w:tr2bl w:val="nil"/>
            </w:tcBorders>
            <w:vAlign w:val="center"/>
          </w:tcPr>
          <w:p w14:paraId="62B471F2">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招标代理机构：河南嘉泰工程管理有限公司</w:t>
            </w:r>
          </w:p>
          <w:p w14:paraId="5AFB029F">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　址：河南自贸试验区郑州片区（郑东）商都路100号2号楼2单元17层1718号　</w:t>
            </w:r>
          </w:p>
          <w:p w14:paraId="7159637C">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联系人：杨欣欣</w:t>
            </w:r>
          </w:p>
          <w:p w14:paraId="749FE1EB">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联系方式：0371-55657500或155538012123</w:t>
            </w:r>
          </w:p>
        </w:tc>
      </w:tr>
      <w:tr w14:paraId="4F0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216921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482" w:type="dxa"/>
            <w:tcBorders>
              <w:tl2br w:val="nil"/>
              <w:tr2bl w:val="nil"/>
            </w:tcBorders>
            <w:vAlign w:val="center"/>
          </w:tcPr>
          <w:p w14:paraId="34A18D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111" w:type="dxa"/>
            <w:tcBorders>
              <w:tl2br w:val="nil"/>
              <w:tr2bl w:val="nil"/>
            </w:tcBorders>
            <w:vAlign w:val="center"/>
          </w:tcPr>
          <w:p w14:paraId="59EA7202">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荥阳市自然资源和规划局荥阳市城市国土空间监测项目</w:t>
            </w:r>
          </w:p>
        </w:tc>
      </w:tr>
      <w:tr w14:paraId="3B5C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E29053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482" w:type="dxa"/>
            <w:tcBorders>
              <w:tl2br w:val="nil"/>
              <w:tr2bl w:val="nil"/>
            </w:tcBorders>
            <w:vAlign w:val="center"/>
          </w:tcPr>
          <w:p w14:paraId="59235120">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服务地点</w:t>
            </w:r>
          </w:p>
        </w:tc>
        <w:tc>
          <w:tcPr>
            <w:tcW w:w="8111" w:type="dxa"/>
            <w:tcBorders>
              <w:tl2br w:val="nil"/>
              <w:tr2bl w:val="nil"/>
            </w:tcBorders>
            <w:vAlign w:val="center"/>
          </w:tcPr>
          <w:p w14:paraId="02768384">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3938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4AF8752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482" w:type="dxa"/>
            <w:tcBorders>
              <w:tl2br w:val="nil"/>
              <w:tr2bl w:val="nil"/>
            </w:tcBorders>
            <w:vAlign w:val="center"/>
          </w:tcPr>
          <w:p w14:paraId="211996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8111" w:type="dxa"/>
            <w:tcBorders>
              <w:tl2br w:val="nil"/>
              <w:tr2bl w:val="nil"/>
            </w:tcBorders>
            <w:vAlign w:val="center"/>
          </w:tcPr>
          <w:p w14:paraId="6B37B226">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5F2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97F49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482" w:type="dxa"/>
            <w:tcBorders>
              <w:tl2br w:val="nil"/>
              <w:tr2bl w:val="nil"/>
            </w:tcBorders>
            <w:vAlign w:val="center"/>
          </w:tcPr>
          <w:p w14:paraId="26CC2C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8111" w:type="dxa"/>
            <w:tcBorders>
              <w:tl2br w:val="nil"/>
              <w:tr2bl w:val="nil"/>
            </w:tcBorders>
            <w:vAlign w:val="center"/>
          </w:tcPr>
          <w:p w14:paraId="6850A107">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82D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00" w:type="dxa"/>
            <w:tcBorders>
              <w:tl2br w:val="nil"/>
              <w:tr2bl w:val="nil"/>
            </w:tcBorders>
            <w:vAlign w:val="center"/>
          </w:tcPr>
          <w:p w14:paraId="25D34C9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482" w:type="dxa"/>
            <w:tcBorders>
              <w:tl2br w:val="nil"/>
              <w:tr2bl w:val="nil"/>
            </w:tcBorders>
            <w:vAlign w:val="center"/>
          </w:tcPr>
          <w:p w14:paraId="23CD9C8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8111" w:type="dxa"/>
            <w:tcBorders>
              <w:tl2br w:val="nil"/>
              <w:tr2bl w:val="nil"/>
            </w:tcBorders>
            <w:vAlign w:val="center"/>
          </w:tcPr>
          <w:p w14:paraId="17F365F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河南省自然资源厅办公室关于开展2024年城市国土空间监测工作的通知》（豫自然资办发〔2024〕16号）和《郑州市自然资源和规划局关于开展2024年城市国土空间监测工作的通知》（郑自然资发〔2024〕18号）要求在全市开展城市国土空间监测工作。工作目标：以2023年度国土变更调查成果为底图，依据2024年6月底之前的高分辨率遥感影像和最新的相关专题资料，结合实地调查等工作，在全市范围组织开展城市国土空间监测工作，掌握城市建设总量、用地结构、基础设施和服务功能等情况，支撑城市建设用地细化、国土空间规划编制及实施监督、国土空间规划城市体检评估和用途管制等国土空间治理工作。</w:t>
            </w:r>
            <w:r>
              <w:rPr>
                <w:rFonts w:hint="eastAsia" w:ascii="宋体" w:hAnsi="宋体" w:cs="宋体"/>
                <w:color w:val="auto"/>
                <w:szCs w:val="21"/>
                <w:highlight w:val="none"/>
                <w:lang w:val="en-US" w:eastAsia="zh-CN"/>
              </w:rPr>
              <w:t>荥阳市</w:t>
            </w:r>
            <w:r>
              <w:rPr>
                <w:rFonts w:hint="eastAsia" w:ascii="宋体" w:hAnsi="宋体" w:cs="宋体"/>
                <w:color w:val="auto"/>
                <w:szCs w:val="21"/>
                <w:highlight w:val="none"/>
              </w:rPr>
              <w:t>被确定为2024年县级试点，除正常更新2023年度成果外，还需参照地级市城区范围监测内容，开展城区范围的要素采集。（详见采购文件）</w:t>
            </w:r>
          </w:p>
        </w:tc>
      </w:tr>
      <w:tr w14:paraId="1FF0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0" w:type="dxa"/>
            <w:tcBorders>
              <w:tl2br w:val="nil"/>
              <w:tr2bl w:val="nil"/>
            </w:tcBorders>
            <w:vAlign w:val="center"/>
          </w:tcPr>
          <w:p w14:paraId="79E326D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482" w:type="dxa"/>
            <w:tcBorders>
              <w:tl2br w:val="nil"/>
              <w:tr2bl w:val="nil"/>
            </w:tcBorders>
            <w:vAlign w:val="center"/>
          </w:tcPr>
          <w:p w14:paraId="144275E9">
            <w:pPr>
              <w:spacing w:line="240" w:lineRule="atLeast"/>
              <w:jc w:val="center"/>
              <w:rPr>
                <w:rFonts w:ascii="宋体" w:hAnsi="宋体" w:cs="宋体"/>
                <w:color w:val="auto"/>
                <w:szCs w:val="21"/>
                <w:highlight w:val="none"/>
              </w:rPr>
            </w:pPr>
            <w:r>
              <w:rPr>
                <w:rFonts w:hint="eastAsia" w:ascii="宋体" w:hAnsi="宋体" w:eastAsia="Times New Roman" w:cs="宋体"/>
                <w:color w:val="auto"/>
                <w:szCs w:val="21"/>
                <w:highlight w:val="none"/>
              </w:rPr>
              <w:t>服务周期</w:t>
            </w:r>
          </w:p>
        </w:tc>
        <w:tc>
          <w:tcPr>
            <w:tcW w:w="8111" w:type="dxa"/>
            <w:tcBorders>
              <w:tl2br w:val="nil"/>
              <w:tr2bl w:val="nil"/>
            </w:tcBorders>
            <w:vAlign w:val="center"/>
          </w:tcPr>
          <w:p w14:paraId="6CE485E9">
            <w:pPr>
              <w:spacing w:line="240" w:lineRule="atLeast"/>
              <w:rPr>
                <w:rFonts w:ascii="宋体" w:hAnsi="宋体" w:cs="宋体"/>
                <w:color w:val="auto"/>
                <w:szCs w:val="21"/>
                <w:highlight w:val="none"/>
              </w:rPr>
            </w:pPr>
            <w:r>
              <w:rPr>
                <w:rFonts w:hint="eastAsia" w:ascii="宋体" w:hAnsi="宋体" w:cs="宋体"/>
                <w:bCs/>
                <w:color w:val="auto"/>
                <w:kern w:val="0"/>
                <w:szCs w:val="21"/>
                <w:highlight w:val="none"/>
                <w:lang w:eastAsia="zh-CN"/>
              </w:rPr>
              <w:t>签订合同之日起</w:t>
            </w:r>
            <w:r>
              <w:rPr>
                <w:rFonts w:hint="eastAsia" w:ascii="宋体" w:hAnsi="宋体" w:eastAsia="宋体" w:cs="宋体"/>
                <w:bCs/>
                <w:color w:val="auto"/>
                <w:kern w:val="0"/>
                <w:szCs w:val="21"/>
                <w:highlight w:val="none"/>
              </w:rPr>
              <w:t>至项目完工通过省级质量检查</w:t>
            </w:r>
            <w:r>
              <w:rPr>
                <w:rFonts w:hint="eastAsia" w:ascii="宋体" w:hAnsi="宋体" w:eastAsia="宋体" w:cs="宋体"/>
                <w:bCs/>
                <w:color w:val="auto"/>
                <w:kern w:val="0"/>
                <w:szCs w:val="21"/>
                <w:highlight w:val="none"/>
                <w:lang w:eastAsia="zh-CN"/>
              </w:rPr>
              <w:t>。</w:t>
            </w:r>
          </w:p>
        </w:tc>
      </w:tr>
      <w:tr w14:paraId="5E7B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79CF377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1482" w:type="dxa"/>
            <w:tcBorders>
              <w:tl2br w:val="nil"/>
              <w:tr2bl w:val="nil"/>
            </w:tcBorders>
            <w:vAlign w:val="center"/>
          </w:tcPr>
          <w:p w14:paraId="1CD5CDB3">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8111" w:type="dxa"/>
            <w:tcBorders>
              <w:tl2br w:val="nil"/>
              <w:tr2bl w:val="nil"/>
            </w:tcBorders>
            <w:vAlign w:val="center"/>
          </w:tcPr>
          <w:p w14:paraId="5E295847">
            <w:pPr>
              <w:spacing w:line="240" w:lineRule="atLeast"/>
              <w:rPr>
                <w:rFonts w:ascii="宋体" w:hAnsi="宋体" w:cs="宋体"/>
                <w:color w:val="auto"/>
                <w:szCs w:val="21"/>
                <w:highlight w:val="none"/>
              </w:rPr>
            </w:pPr>
            <w:r>
              <w:rPr>
                <w:rFonts w:hint="eastAsia" w:ascii="宋体" w:hAnsi="宋体" w:eastAsia="宋体" w:cs="宋体"/>
                <w:color w:val="auto"/>
                <w:kern w:val="0"/>
                <w:szCs w:val="21"/>
                <w:highlight w:val="none"/>
              </w:rPr>
              <w:t>符合国家、行业规定的合格标准和规范，满足采购文件和采购人的要求。</w:t>
            </w:r>
          </w:p>
        </w:tc>
      </w:tr>
      <w:tr w14:paraId="663F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14:paraId="553AA3F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1482" w:type="dxa"/>
            <w:tcBorders>
              <w:tl2br w:val="nil"/>
              <w:tr2bl w:val="nil"/>
            </w:tcBorders>
            <w:vAlign w:val="center"/>
          </w:tcPr>
          <w:p w14:paraId="2666A0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8111" w:type="dxa"/>
            <w:tcBorders>
              <w:tl2br w:val="nil"/>
              <w:tr2bl w:val="nil"/>
            </w:tcBorders>
            <w:vAlign w:val="center"/>
          </w:tcPr>
          <w:p w14:paraId="361ED8C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8A7A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04C160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342C03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8F230E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327421A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59038B23">
            <w:pPr>
              <w:pStyle w:val="20"/>
              <w:spacing w:beforeAutospacing="0" w:afterAutospacing="0" w:line="360" w:lineRule="auto"/>
              <w:ind w:firstLine="482" w:firstLineChars="200"/>
              <w:jc w:val="both"/>
              <w:rPr>
                <w:rFonts w:hint="eastAsia" w:ascii="宋体" w:hAnsi="宋体" w:cs="宋体"/>
                <w:color w:val="auto"/>
                <w:kern w:val="2"/>
                <w:sz w:val="21"/>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46103B9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14144B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w:t>
            </w:r>
            <w:r>
              <w:rPr>
                <w:rFonts w:hint="eastAsia" w:ascii="宋体" w:hAnsi="宋体" w:cs="宋体"/>
                <w:color w:val="auto"/>
                <w:szCs w:val="21"/>
                <w:highlight w:val="none"/>
                <w:lang w:eastAsia="zh-CN"/>
              </w:rPr>
              <w:t>有</w:t>
            </w:r>
            <w:r>
              <w:rPr>
                <w:rFonts w:hint="eastAsia" w:ascii="宋体" w:hAnsi="宋体" w:cs="宋体"/>
                <w:color w:val="auto"/>
                <w:szCs w:val="21"/>
                <w:highlight w:val="none"/>
              </w:rPr>
              <w:t>测绘乙级及以上资质(需包含以下专业：地理信息系统工程、界线与不动产测绘)。</w:t>
            </w:r>
          </w:p>
          <w:p w14:paraId="070AEC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w:t>
            </w:r>
            <w:r>
              <w:rPr>
                <w:rFonts w:hint="eastAsia" w:ascii="宋体" w:hAnsi="宋体" w:cs="宋体"/>
                <w:color w:val="auto"/>
                <w:szCs w:val="21"/>
                <w:highlight w:val="none"/>
                <w:lang w:val="en-US" w:eastAsia="zh-CN"/>
              </w:rPr>
              <w:t>测绘</w:t>
            </w:r>
            <w:r>
              <w:rPr>
                <w:rFonts w:hint="eastAsia" w:ascii="宋体" w:hAnsi="宋体" w:cs="宋体"/>
                <w:color w:val="auto"/>
                <w:szCs w:val="21"/>
                <w:highlight w:val="none"/>
              </w:rPr>
              <w:t>相关专业中级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和注册测绘师</w:t>
            </w:r>
            <w:r>
              <w:rPr>
                <w:rFonts w:hint="eastAsia" w:ascii="宋体" w:hAnsi="宋体" w:cs="宋体"/>
                <w:color w:val="auto"/>
                <w:szCs w:val="21"/>
                <w:highlight w:val="none"/>
              </w:rPr>
              <w:t>，且为本单位人员，须提供</w:t>
            </w:r>
            <w:r>
              <w:rPr>
                <w:rFonts w:hint="eastAsia" w:ascii="宋体" w:hAnsi="宋体" w:cs="宋体"/>
                <w:color w:val="auto"/>
                <w:szCs w:val="21"/>
                <w:highlight w:val="none"/>
                <w:lang w:eastAsia="zh-CN"/>
              </w:rPr>
              <w:t>2024年12月以来任意一个月有效的</w:t>
            </w:r>
            <w:r>
              <w:rPr>
                <w:rFonts w:hint="eastAsia" w:ascii="宋体" w:hAnsi="宋体" w:cs="宋体"/>
                <w:color w:val="auto"/>
                <w:szCs w:val="21"/>
                <w:highlight w:val="none"/>
              </w:rPr>
              <w:t>缴纳社保证明材料。</w:t>
            </w:r>
          </w:p>
          <w:p w14:paraId="53AFE0CD">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w:t>
            </w:r>
            <w:r>
              <w:rPr>
                <w:rFonts w:hint="eastAsia" w:ascii="宋体" w:hAnsi="宋体" w:cs="宋体"/>
                <w:color w:val="auto"/>
                <w:kern w:val="0"/>
                <w:szCs w:val="21"/>
                <w:highlight w:val="none"/>
                <w:lang w:eastAsia="zh-CN" w:bidi="ar"/>
              </w:rPr>
              <w:t>根据需要将对所有参与</w:t>
            </w:r>
            <w:r>
              <w:rPr>
                <w:rFonts w:hint="eastAsia" w:ascii="宋体" w:hAnsi="宋体" w:cs="宋体"/>
                <w:color w:val="auto"/>
                <w:kern w:val="0"/>
                <w:szCs w:val="21"/>
                <w:highlight w:val="none"/>
                <w:lang w:bidi="ar"/>
              </w:rPr>
              <w:t>本项目投标的供应商的信用情况（失信被执行人、重大税收违法失信主体、政府采购严重违法失信行为记录名单）进行查询。若在开标当天查询到供应商有相关负面信息的，则该供应商为无效供应商。</w:t>
            </w:r>
          </w:p>
          <w:p w14:paraId="782F3DD0">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56807D35">
            <w:pPr>
              <w:pStyle w:val="23"/>
              <w:spacing w:line="360" w:lineRule="auto"/>
              <w:ind w:left="0" w:leftChars="0" w:firstLine="420"/>
              <w:rPr>
                <w:rFonts w:ascii="宋体" w:hAnsi="宋体" w:cs="宋体"/>
                <w:bCs/>
                <w:iCs/>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4789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290DEF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1482" w:type="dxa"/>
            <w:tcBorders>
              <w:tl2br w:val="nil"/>
              <w:tr2bl w:val="nil"/>
            </w:tcBorders>
            <w:vAlign w:val="center"/>
          </w:tcPr>
          <w:p w14:paraId="23106E3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8111" w:type="dxa"/>
            <w:tcBorders>
              <w:tl2br w:val="nil"/>
              <w:tr2bl w:val="nil"/>
            </w:tcBorders>
            <w:vAlign w:val="center"/>
          </w:tcPr>
          <w:p w14:paraId="2BFCFD9C">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4A91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76E659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82" w:type="dxa"/>
            <w:tcBorders>
              <w:tl2br w:val="nil"/>
              <w:tr2bl w:val="nil"/>
            </w:tcBorders>
            <w:vAlign w:val="center"/>
          </w:tcPr>
          <w:p w14:paraId="1287B9CD">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8111" w:type="dxa"/>
            <w:tcBorders>
              <w:tl2br w:val="nil"/>
              <w:tr2bl w:val="nil"/>
            </w:tcBorders>
            <w:vAlign w:val="center"/>
          </w:tcPr>
          <w:p w14:paraId="5235254E">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53CC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2D4F5F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2" w:type="dxa"/>
            <w:tcBorders>
              <w:tl2br w:val="nil"/>
              <w:tr2bl w:val="nil"/>
            </w:tcBorders>
            <w:vAlign w:val="center"/>
          </w:tcPr>
          <w:p w14:paraId="407CCBC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8111" w:type="dxa"/>
            <w:tcBorders>
              <w:tl2br w:val="nil"/>
              <w:tr2bl w:val="nil"/>
            </w:tcBorders>
            <w:vAlign w:val="center"/>
          </w:tcPr>
          <w:p w14:paraId="70F84E27">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4F7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697FA9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82" w:type="dxa"/>
            <w:tcBorders>
              <w:tl2br w:val="nil"/>
              <w:tr2bl w:val="nil"/>
            </w:tcBorders>
            <w:vAlign w:val="center"/>
          </w:tcPr>
          <w:p w14:paraId="2B9089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8111" w:type="dxa"/>
            <w:tcBorders>
              <w:tl2br w:val="nil"/>
              <w:tr2bl w:val="nil"/>
            </w:tcBorders>
            <w:vAlign w:val="center"/>
          </w:tcPr>
          <w:p w14:paraId="352BEF5D">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68E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FB99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482" w:type="dxa"/>
            <w:tcBorders>
              <w:tl2br w:val="nil"/>
              <w:tr2bl w:val="nil"/>
            </w:tcBorders>
            <w:vAlign w:val="center"/>
          </w:tcPr>
          <w:p w14:paraId="4516CD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供应商要求澄清磋商文件的截止时间</w:t>
            </w:r>
          </w:p>
        </w:tc>
        <w:tc>
          <w:tcPr>
            <w:tcW w:w="8111" w:type="dxa"/>
            <w:tcBorders>
              <w:tl2br w:val="nil"/>
              <w:tr2bl w:val="nil"/>
            </w:tcBorders>
            <w:vAlign w:val="center"/>
          </w:tcPr>
          <w:p w14:paraId="0869C7C4">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040E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2A07173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482" w:type="dxa"/>
            <w:tcBorders>
              <w:tl2br w:val="nil"/>
              <w:tr2bl w:val="nil"/>
            </w:tcBorders>
            <w:vAlign w:val="center"/>
          </w:tcPr>
          <w:p w14:paraId="5A1B8F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8111" w:type="dxa"/>
            <w:tcBorders>
              <w:tl2br w:val="nil"/>
              <w:tr2bl w:val="nil"/>
            </w:tcBorders>
            <w:vAlign w:val="center"/>
          </w:tcPr>
          <w:p w14:paraId="592A196F">
            <w:pPr>
              <w:spacing w:line="360" w:lineRule="auto"/>
              <w:rPr>
                <w:rFonts w:ascii="宋体" w:hAnsi="宋体" w:cs="宋体"/>
                <w:b/>
                <w:color w:val="auto"/>
                <w:szCs w:val="21"/>
                <w:highlight w:val="none"/>
              </w:rPr>
            </w:pPr>
            <w:r>
              <w:rPr>
                <w:rFonts w:hint="eastAsia" w:ascii="宋体" w:hAnsi="宋体" w:eastAsia="宋体" w:cs="宋体"/>
                <w:b/>
                <w:color w:val="auto"/>
                <w:szCs w:val="21"/>
                <w:highlight w:val="none"/>
                <w:lang w:eastAsia="zh-CN"/>
              </w:rPr>
              <w:t>2025年</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00分</w:t>
            </w:r>
            <w:r>
              <w:rPr>
                <w:rFonts w:hint="eastAsia" w:ascii="宋体" w:hAnsi="宋体" w:cs="宋体"/>
                <w:b/>
                <w:color w:val="auto"/>
                <w:szCs w:val="21"/>
                <w:highlight w:val="none"/>
              </w:rPr>
              <w:t>（北京时间，下同）</w:t>
            </w:r>
          </w:p>
        </w:tc>
      </w:tr>
      <w:tr w14:paraId="2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73B4A32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482" w:type="dxa"/>
            <w:tcBorders>
              <w:tl2br w:val="nil"/>
              <w:tr2bl w:val="nil"/>
            </w:tcBorders>
            <w:vAlign w:val="center"/>
          </w:tcPr>
          <w:p w14:paraId="5C72F6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1F045D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8111" w:type="dxa"/>
            <w:tcBorders>
              <w:tl2br w:val="nil"/>
              <w:tr2bl w:val="nil"/>
            </w:tcBorders>
            <w:vAlign w:val="center"/>
          </w:tcPr>
          <w:p w14:paraId="17BD4827">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0F6C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4C9F1B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1482" w:type="dxa"/>
            <w:tcBorders>
              <w:tl2br w:val="nil"/>
              <w:tr2bl w:val="nil"/>
            </w:tcBorders>
            <w:vAlign w:val="center"/>
          </w:tcPr>
          <w:p w14:paraId="298A8A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8111" w:type="dxa"/>
            <w:tcBorders>
              <w:tl2br w:val="nil"/>
              <w:tr2bl w:val="nil"/>
            </w:tcBorders>
            <w:vAlign w:val="center"/>
          </w:tcPr>
          <w:p w14:paraId="614E11B5">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016F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1652F0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1482" w:type="dxa"/>
            <w:tcBorders>
              <w:tl2br w:val="nil"/>
              <w:tr2bl w:val="nil"/>
            </w:tcBorders>
            <w:vAlign w:val="center"/>
          </w:tcPr>
          <w:p w14:paraId="43B591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8111" w:type="dxa"/>
            <w:tcBorders>
              <w:tl2br w:val="nil"/>
              <w:tr2bl w:val="nil"/>
            </w:tcBorders>
            <w:vAlign w:val="center"/>
          </w:tcPr>
          <w:p w14:paraId="1533432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7461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68BC9C8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1482" w:type="dxa"/>
            <w:tcBorders>
              <w:tl2br w:val="nil"/>
              <w:tr2bl w:val="nil"/>
            </w:tcBorders>
            <w:vAlign w:val="center"/>
          </w:tcPr>
          <w:p w14:paraId="25CDA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8111" w:type="dxa"/>
            <w:tcBorders>
              <w:tl2br w:val="nil"/>
              <w:tr2bl w:val="nil"/>
            </w:tcBorders>
            <w:vAlign w:val="center"/>
          </w:tcPr>
          <w:p w14:paraId="1EDF8924">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7AEB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3A2B52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482" w:type="dxa"/>
            <w:tcBorders>
              <w:tl2br w:val="nil"/>
              <w:tr2bl w:val="nil"/>
            </w:tcBorders>
            <w:vAlign w:val="center"/>
          </w:tcPr>
          <w:p w14:paraId="313EE0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8111" w:type="dxa"/>
            <w:tcBorders>
              <w:tl2br w:val="nil"/>
              <w:tr2bl w:val="nil"/>
            </w:tcBorders>
            <w:vAlign w:val="center"/>
          </w:tcPr>
          <w:p w14:paraId="2B5054B6">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316E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257F8A2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482" w:type="dxa"/>
            <w:tcBorders>
              <w:tl2br w:val="nil"/>
              <w:tr2bl w:val="nil"/>
            </w:tcBorders>
            <w:vAlign w:val="center"/>
          </w:tcPr>
          <w:p w14:paraId="345F93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2B8F58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8111" w:type="dxa"/>
            <w:tcBorders>
              <w:tl2br w:val="nil"/>
              <w:tr2bl w:val="nil"/>
            </w:tcBorders>
            <w:vAlign w:val="center"/>
          </w:tcPr>
          <w:p w14:paraId="5E4F359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5001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7ED9B76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1482" w:type="dxa"/>
            <w:tcBorders>
              <w:tl2br w:val="nil"/>
              <w:tr2bl w:val="nil"/>
            </w:tcBorders>
            <w:vAlign w:val="center"/>
          </w:tcPr>
          <w:p w14:paraId="277CC9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8111" w:type="dxa"/>
            <w:tcBorders>
              <w:tl2br w:val="nil"/>
              <w:tr2bl w:val="nil"/>
            </w:tcBorders>
            <w:vAlign w:val="center"/>
          </w:tcPr>
          <w:p w14:paraId="468213F4">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5EB9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76002C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1482" w:type="dxa"/>
            <w:tcBorders>
              <w:tl2br w:val="nil"/>
              <w:tr2bl w:val="nil"/>
            </w:tcBorders>
            <w:vAlign w:val="center"/>
          </w:tcPr>
          <w:p w14:paraId="5515BB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递交磋商响应文件地点</w:t>
            </w:r>
          </w:p>
        </w:tc>
        <w:tc>
          <w:tcPr>
            <w:tcW w:w="8111" w:type="dxa"/>
            <w:tcBorders>
              <w:tl2br w:val="nil"/>
              <w:tr2bl w:val="nil"/>
            </w:tcBorders>
            <w:vAlign w:val="center"/>
          </w:tcPr>
          <w:p w14:paraId="63448E64">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56F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0425E8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1482" w:type="dxa"/>
            <w:tcBorders>
              <w:tl2br w:val="nil"/>
              <w:tr2bl w:val="nil"/>
            </w:tcBorders>
            <w:vAlign w:val="center"/>
          </w:tcPr>
          <w:p w14:paraId="11A64D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7CF55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8111" w:type="dxa"/>
            <w:tcBorders>
              <w:tl2br w:val="nil"/>
              <w:tr2bl w:val="nil"/>
            </w:tcBorders>
            <w:vAlign w:val="center"/>
          </w:tcPr>
          <w:p w14:paraId="65C1844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1BC0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1D803AC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1482" w:type="dxa"/>
            <w:tcBorders>
              <w:tl2br w:val="nil"/>
              <w:tr2bl w:val="nil"/>
            </w:tcBorders>
            <w:vAlign w:val="center"/>
          </w:tcPr>
          <w:p w14:paraId="75025C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8111" w:type="dxa"/>
            <w:tcBorders>
              <w:tl2br w:val="nil"/>
              <w:tr2bl w:val="nil"/>
            </w:tcBorders>
            <w:vAlign w:val="center"/>
          </w:tcPr>
          <w:p w14:paraId="5F3145D7">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207A1C06">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eastAsia="宋体" w:cs="宋体"/>
                <w:bCs/>
                <w:color w:val="auto"/>
                <w:szCs w:val="21"/>
                <w:highlight w:val="none"/>
                <w:lang w:eastAsia="zh-CN"/>
              </w:rPr>
              <w:t>五</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0E6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791D1044">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1482" w:type="dxa"/>
            <w:tcBorders>
              <w:tl2br w:val="nil"/>
              <w:tr2bl w:val="nil"/>
            </w:tcBorders>
            <w:vAlign w:val="center"/>
          </w:tcPr>
          <w:p w14:paraId="36FCFB8A">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8111" w:type="dxa"/>
            <w:tcBorders>
              <w:tl2br w:val="nil"/>
              <w:tr2bl w:val="nil"/>
            </w:tcBorders>
            <w:vAlign w:val="center"/>
          </w:tcPr>
          <w:p w14:paraId="66B856E4">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6ED4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900" w:type="dxa"/>
            <w:tcBorders>
              <w:tl2br w:val="nil"/>
              <w:tr2bl w:val="nil"/>
            </w:tcBorders>
            <w:vAlign w:val="center"/>
          </w:tcPr>
          <w:p w14:paraId="3CBAE2A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482" w:type="dxa"/>
            <w:tcBorders>
              <w:tl2br w:val="nil"/>
              <w:tr2bl w:val="nil"/>
            </w:tcBorders>
            <w:vAlign w:val="center"/>
          </w:tcPr>
          <w:p w14:paraId="053B60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8111" w:type="dxa"/>
            <w:tcBorders>
              <w:tl2br w:val="nil"/>
              <w:tr2bl w:val="nil"/>
            </w:tcBorders>
            <w:vAlign w:val="center"/>
          </w:tcPr>
          <w:p w14:paraId="352C8468">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08AB0305">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2B70EC2D">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2479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00" w:type="dxa"/>
            <w:tcBorders>
              <w:tl2br w:val="nil"/>
              <w:tr2bl w:val="nil"/>
            </w:tcBorders>
            <w:vAlign w:val="center"/>
          </w:tcPr>
          <w:p w14:paraId="755D307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1482" w:type="dxa"/>
            <w:tcBorders>
              <w:tl2br w:val="nil"/>
              <w:tr2bl w:val="nil"/>
            </w:tcBorders>
            <w:vAlign w:val="center"/>
          </w:tcPr>
          <w:p w14:paraId="6E6038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8111" w:type="dxa"/>
            <w:tcBorders>
              <w:tl2br w:val="nil"/>
              <w:tr2bl w:val="nil"/>
            </w:tcBorders>
            <w:vAlign w:val="center"/>
          </w:tcPr>
          <w:p w14:paraId="40A43EB6">
            <w:pPr>
              <w:pStyle w:val="48"/>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2BCDB8F0">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w:t>
            </w:r>
            <w:r>
              <w:rPr>
                <w:rFonts w:hint="eastAsia" w:ascii="宋体" w:hAnsi="宋体" w:cs="宋体"/>
                <w:color w:val="auto"/>
                <w:szCs w:val="21"/>
                <w:highlight w:val="none"/>
                <w:lang w:eastAsia="zh-CN"/>
              </w:rPr>
              <w:t>有关</w:t>
            </w:r>
            <w:r>
              <w:rPr>
                <w:rFonts w:hint="eastAsia" w:ascii="宋体" w:hAnsi="宋体" w:cs="宋体"/>
                <w:color w:val="auto"/>
                <w:szCs w:val="21"/>
                <w:highlight w:val="none"/>
              </w:rPr>
              <w:t>政府采购评标专家库中随机抽取。</w:t>
            </w:r>
          </w:p>
        </w:tc>
      </w:tr>
      <w:tr w14:paraId="6C5A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2551F0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1482" w:type="dxa"/>
            <w:tcBorders>
              <w:tl2br w:val="nil"/>
              <w:tr2bl w:val="nil"/>
            </w:tcBorders>
            <w:vAlign w:val="center"/>
          </w:tcPr>
          <w:p w14:paraId="2BB747F5">
            <w:pPr>
              <w:spacing w:line="360" w:lineRule="auto"/>
              <w:ind w:left="420" w:hanging="420" w:hangingChars="200"/>
              <w:jc w:val="center"/>
              <w:rPr>
                <w:rFonts w:ascii="宋体" w:hAnsi="宋体" w:cs="宋体"/>
                <w:color w:val="auto"/>
                <w:szCs w:val="21"/>
                <w:highlight w:val="none"/>
              </w:rPr>
            </w:pPr>
            <w:r>
              <w:rPr>
                <w:rFonts w:hint="eastAsia" w:ascii="宋体" w:hAnsi="宋体" w:cs="宋体"/>
                <w:color w:val="auto"/>
                <w:szCs w:val="21"/>
                <w:highlight w:val="none"/>
              </w:rPr>
              <w:t>是否授权磋商小组</w:t>
            </w:r>
          </w:p>
          <w:p w14:paraId="4444A97B">
            <w:pPr>
              <w:spacing w:line="360" w:lineRule="auto"/>
              <w:ind w:left="420" w:hanging="420" w:hangingChars="200"/>
              <w:jc w:val="center"/>
              <w:rPr>
                <w:rFonts w:ascii="宋体" w:hAnsi="宋体" w:cs="宋体"/>
                <w:color w:val="auto"/>
                <w:szCs w:val="21"/>
                <w:highlight w:val="none"/>
              </w:rPr>
            </w:pPr>
            <w:r>
              <w:rPr>
                <w:rFonts w:hint="eastAsia" w:ascii="宋体" w:hAnsi="宋体" w:cs="宋体"/>
                <w:color w:val="auto"/>
                <w:szCs w:val="21"/>
                <w:highlight w:val="none"/>
              </w:rPr>
              <w:t>确定成交供应商</w:t>
            </w:r>
          </w:p>
        </w:tc>
        <w:tc>
          <w:tcPr>
            <w:tcW w:w="8111" w:type="dxa"/>
            <w:tcBorders>
              <w:tl2br w:val="nil"/>
              <w:tr2bl w:val="nil"/>
            </w:tcBorders>
            <w:vAlign w:val="center"/>
          </w:tcPr>
          <w:p w14:paraId="5A1EEC6F">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Times New Roman" w:cs="宋体"/>
                <w:color w:val="auto"/>
                <w:szCs w:val="21"/>
                <w:highlight w:val="none"/>
              </w:rPr>
              <w:t>1-</w:t>
            </w:r>
            <w:r>
              <w:rPr>
                <w:rFonts w:hint="eastAsia" w:ascii="宋体" w:hAnsi="宋体" w:cs="宋体"/>
                <w:color w:val="auto"/>
                <w:szCs w:val="21"/>
                <w:highlight w:val="none"/>
              </w:rPr>
              <w:t>3名。</w:t>
            </w:r>
          </w:p>
        </w:tc>
      </w:tr>
      <w:tr w14:paraId="1888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8914DB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1482" w:type="dxa"/>
            <w:tcBorders>
              <w:tl2br w:val="nil"/>
              <w:tr2bl w:val="nil"/>
            </w:tcBorders>
            <w:vAlign w:val="center"/>
          </w:tcPr>
          <w:p w14:paraId="7499FE07">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8111" w:type="dxa"/>
            <w:tcBorders>
              <w:tl2br w:val="nil"/>
              <w:tr2bl w:val="nil"/>
            </w:tcBorders>
            <w:vAlign w:val="center"/>
          </w:tcPr>
          <w:p w14:paraId="4C448406">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36FE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1A462B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1482" w:type="dxa"/>
            <w:tcBorders>
              <w:tl2br w:val="nil"/>
              <w:tr2bl w:val="nil"/>
            </w:tcBorders>
            <w:vAlign w:val="center"/>
          </w:tcPr>
          <w:p w14:paraId="161D828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8111" w:type="dxa"/>
            <w:tcBorders>
              <w:tl2br w:val="nil"/>
              <w:tr2bl w:val="nil"/>
            </w:tcBorders>
            <w:vAlign w:val="center"/>
          </w:tcPr>
          <w:p w14:paraId="5531B238">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3865739A">
            <w:pPr>
              <w:pStyle w:val="14"/>
              <w:rPr>
                <w:color w:val="auto"/>
                <w:highlight w:val="none"/>
              </w:rPr>
            </w:pPr>
            <w:r>
              <w:rPr>
                <w:rFonts w:hint="eastAsia" w:ascii="宋体" w:hAnsi="宋体" w:cs="宋体"/>
                <w:color w:val="auto"/>
                <w:sz w:val="21"/>
                <w:szCs w:val="21"/>
                <w:highlight w:val="none"/>
              </w:rPr>
              <w:t>付款方式：签订合同时甲乙双方协商确定。</w:t>
            </w:r>
          </w:p>
        </w:tc>
      </w:tr>
      <w:tr w14:paraId="75D6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93" w:type="dxa"/>
            <w:gridSpan w:val="3"/>
            <w:tcBorders>
              <w:tl2br w:val="nil"/>
              <w:tr2bl w:val="nil"/>
            </w:tcBorders>
            <w:vAlign w:val="center"/>
          </w:tcPr>
          <w:p w14:paraId="116C33A2">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376F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24A5BE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1482" w:type="dxa"/>
            <w:tcBorders>
              <w:tl2br w:val="nil"/>
              <w:tr2bl w:val="nil"/>
            </w:tcBorders>
            <w:vAlign w:val="center"/>
          </w:tcPr>
          <w:p w14:paraId="3C8486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3DE71A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8111" w:type="dxa"/>
            <w:tcBorders>
              <w:tl2br w:val="nil"/>
              <w:tr2bl w:val="nil"/>
            </w:tcBorders>
            <w:vAlign w:val="center"/>
          </w:tcPr>
          <w:p w14:paraId="7C7E1CF1">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47E595F7">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eastAsia="宋体" w:cs="宋体"/>
                <w:color w:val="auto"/>
                <w:szCs w:val="21"/>
                <w:highlight w:val="none"/>
                <w:lang w:eastAsia="zh-CN"/>
              </w:rPr>
              <w:t>伍拾万元整</w:t>
            </w:r>
            <w:r>
              <w:rPr>
                <w:rFonts w:hint="eastAsia" w:ascii="宋体" w:hAnsi="宋体" w:eastAsia="Times New Roman" w:cs="宋体"/>
                <w:color w:val="auto"/>
                <w:szCs w:val="21"/>
                <w:highlight w:val="none"/>
              </w:rPr>
              <w:t xml:space="preserve">； </w:t>
            </w:r>
          </w:p>
          <w:p w14:paraId="730143BD">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eastAsia="宋体" w:cs="宋体"/>
                <w:color w:val="auto"/>
                <w:szCs w:val="21"/>
                <w:highlight w:val="none"/>
                <w:lang w:eastAsia="zh-CN"/>
              </w:rPr>
              <w:t>500000</w:t>
            </w:r>
            <w:r>
              <w:rPr>
                <w:rFonts w:hint="eastAsia" w:ascii="宋体" w:hAnsi="宋体" w:cs="宋体"/>
                <w:color w:val="auto"/>
                <w:szCs w:val="21"/>
                <w:highlight w:val="none"/>
              </w:rPr>
              <w:t>元。</w:t>
            </w:r>
          </w:p>
          <w:p w14:paraId="5E2CAF66">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4DD4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EA8A872">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1482" w:type="dxa"/>
            <w:tcBorders>
              <w:tl2br w:val="nil"/>
              <w:tr2bl w:val="nil"/>
            </w:tcBorders>
            <w:vAlign w:val="center"/>
          </w:tcPr>
          <w:p w14:paraId="5345F82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8111" w:type="dxa"/>
            <w:tcBorders>
              <w:tl2br w:val="nil"/>
              <w:tr2bl w:val="nil"/>
            </w:tcBorders>
            <w:vAlign w:val="center"/>
          </w:tcPr>
          <w:p w14:paraId="03533A12">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3B00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6D348C6">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482" w:type="dxa"/>
            <w:tcBorders>
              <w:tl2br w:val="nil"/>
              <w:tr2bl w:val="nil"/>
            </w:tcBorders>
            <w:vAlign w:val="center"/>
          </w:tcPr>
          <w:p w14:paraId="0106FD59">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8111" w:type="dxa"/>
            <w:tcBorders>
              <w:tl2br w:val="nil"/>
              <w:tr2bl w:val="nil"/>
            </w:tcBorders>
            <w:vAlign w:val="center"/>
          </w:tcPr>
          <w:p w14:paraId="25B84FCB">
            <w:pPr>
              <w:spacing w:line="360" w:lineRule="auto"/>
              <w:rPr>
                <w:rFonts w:ascii="Times New Roman" w:hAnsi="Times New Roman" w:eastAsia="Times New Roman"/>
                <w:color w:val="auto"/>
                <w:sz w:val="20"/>
                <w:szCs w:val="20"/>
                <w:highlight w:val="none"/>
              </w:rPr>
            </w:pPr>
            <w:r>
              <w:rPr>
                <w:rFonts w:hint="eastAsia" w:ascii="Times New Roman" w:hAnsi="Times New Roman" w:eastAsia="Times New Roman"/>
                <w:color w:val="auto"/>
                <w:szCs w:val="21"/>
                <w:highlight w:val="none"/>
              </w:rPr>
              <w:t>参考河南省招标投标协会（豫招协[2023]002号）文规定的计费方式，向成交人收取代理服务费。</w:t>
            </w:r>
          </w:p>
        </w:tc>
      </w:tr>
      <w:tr w14:paraId="0CDC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jc w:val="center"/>
        </w:trPr>
        <w:tc>
          <w:tcPr>
            <w:tcW w:w="900" w:type="dxa"/>
            <w:tcBorders>
              <w:tl2br w:val="nil"/>
              <w:tr2bl w:val="nil"/>
            </w:tcBorders>
            <w:vAlign w:val="center"/>
          </w:tcPr>
          <w:p w14:paraId="5CCCD79A">
            <w:pPr>
              <w:jc w:val="center"/>
              <w:rPr>
                <w:rFonts w:ascii="宋体" w:hAnsi="宋体" w:cs="宋体"/>
                <w:color w:val="auto"/>
                <w:szCs w:val="21"/>
                <w:highlight w:val="none"/>
              </w:rPr>
            </w:pPr>
            <w:bookmarkStart w:id="20" w:name="_Toc29830"/>
            <w:bookmarkStart w:id="21" w:name="_Toc17679"/>
            <w:bookmarkStart w:id="22" w:name="_Toc29926"/>
            <w:bookmarkStart w:id="23" w:name="_Toc5269841"/>
            <w:r>
              <w:rPr>
                <w:rFonts w:hint="eastAsia" w:ascii="宋体" w:hAnsi="宋体"/>
                <w:color w:val="auto"/>
                <w:szCs w:val="21"/>
                <w:highlight w:val="none"/>
              </w:rPr>
              <w:t>10.4</w:t>
            </w:r>
          </w:p>
        </w:tc>
        <w:tc>
          <w:tcPr>
            <w:tcW w:w="9593" w:type="dxa"/>
            <w:gridSpan w:val="2"/>
            <w:tcBorders>
              <w:tl2br w:val="nil"/>
              <w:tr2bl w:val="nil"/>
            </w:tcBorders>
            <w:vAlign w:val="center"/>
          </w:tcPr>
          <w:p w14:paraId="077160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74F34A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2.不再提供响应文件电子版（不加密）。</w:t>
            </w:r>
          </w:p>
          <w:p w14:paraId="348D3296">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2BBB2E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3A9B78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346E8B3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钟，登录“荥阳市公共资源交易中心不见面开标大厅”进行不见面开标准备工作。</w:t>
            </w:r>
          </w:p>
          <w:p w14:paraId="43FBE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31580A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E71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00" w:type="dxa"/>
            <w:tcBorders>
              <w:tl2br w:val="nil"/>
              <w:tr2bl w:val="nil"/>
            </w:tcBorders>
            <w:vAlign w:val="center"/>
          </w:tcPr>
          <w:p w14:paraId="443D0BAD">
            <w:pPr>
              <w:jc w:val="center"/>
              <w:rPr>
                <w:rFonts w:ascii="宋体" w:hAnsi="宋体" w:cs="宋体"/>
                <w:color w:val="auto"/>
                <w:szCs w:val="21"/>
                <w:highlight w:val="none"/>
              </w:rPr>
            </w:pPr>
            <w:r>
              <w:rPr>
                <w:rFonts w:hint="eastAsia" w:ascii="宋体" w:hAnsi="宋体"/>
                <w:color w:val="auto"/>
                <w:szCs w:val="21"/>
                <w:highlight w:val="none"/>
              </w:rPr>
              <w:t>10.5</w:t>
            </w:r>
          </w:p>
        </w:tc>
        <w:tc>
          <w:tcPr>
            <w:tcW w:w="9593" w:type="dxa"/>
            <w:gridSpan w:val="2"/>
            <w:tcBorders>
              <w:tl2br w:val="nil"/>
              <w:tr2bl w:val="nil"/>
            </w:tcBorders>
            <w:vAlign w:val="center"/>
          </w:tcPr>
          <w:p w14:paraId="4FEED819">
            <w:pPr>
              <w:pStyle w:val="2"/>
              <w:keepNext w:val="0"/>
              <w:ind w:left="0"/>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7584D417">
            <w:pPr>
              <w:pStyle w:val="2"/>
              <w:keepNext w:val="0"/>
              <w:ind w:left="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305E6DC9">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7A72FBF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7FD15E96">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4397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900" w:type="dxa"/>
            <w:tcBorders>
              <w:tl2br w:val="nil"/>
              <w:tr2bl w:val="nil"/>
            </w:tcBorders>
            <w:vAlign w:val="center"/>
          </w:tcPr>
          <w:p w14:paraId="0284E65D">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9593" w:type="dxa"/>
            <w:gridSpan w:val="2"/>
            <w:tcBorders>
              <w:tl2br w:val="nil"/>
              <w:tr2bl w:val="nil"/>
            </w:tcBorders>
            <w:vAlign w:val="center"/>
          </w:tcPr>
          <w:p w14:paraId="40B8F347">
            <w:pPr>
              <w:pStyle w:val="20"/>
              <w:spacing w:beforeAutospacing="0" w:afterAutospacing="0" w:line="440" w:lineRule="exact"/>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3FA113D9">
            <w:pPr>
              <w:pStyle w:val="20"/>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64B6A237">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6CEA7ADB">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代理机构：河南嘉泰工程管理有限公司  </w:t>
            </w:r>
          </w:p>
          <w:p w14:paraId="51C36DB9">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址：河南自贸试验区郑州片区（郑东）商都路100号2号楼2单元17层1718号　</w:t>
            </w:r>
          </w:p>
          <w:p w14:paraId="27E3380F">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联系人：杨欣欣</w:t>
            </w:r>
          </w:p>
          <w:p w14:paraId="2C3D5014">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联系方式：0371-55657500或155538012123  </w:t>
            </w:r>
          </w:p>
          <w:p w14:paraId="66BA6728">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2DAE9097">
            <w:pPr>
              <w:pStyle w:val="20"/>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22A7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900" w:type="dxa"/>
            <w:vAlign w:val="center"/>
          </w:tcPr>
          <w:p w14:paraId="2CB162A7">
            <w:pPr>
              <w:jc w:val="center"/>
              <w:rPr>
                <w:rFonts w:ascii="宋体" w:hAnsi="宋体" w:cs="宋体"/>
                <w:color w:val="auto"/>
                <w:szCs w:val="21"/>
                <w:highlight w:val="none"/>
              </w:rPr>
            </w:pPr>
            <w:r>
              <w:rPr>
                <w:rFonts w:hint="eastAsia" w:ascii="宋体" w:hAnsi="宋体" w:cs="宋体"/>
                <w:color w:val="auto"/>
                <w:szCs w:val="21"/>
                <w:highlight w:val="none"/>
              </w:rPr>
              <w:t>10.7</w:t>
            </w:r>
          </w:p>
          <w:p w14:paraId="60E744C5">
            <w:pPr>
              <w:jc w:val="center"/>
              <w:rPr>
                <w:rFonts w:ascii="宋体" w:hAnsi="宋体" w:cs="宋体"/>
                <w:color w:val="auto"/>
                <w:szCs w:val="21"/>
                <w:highlight w:val="none"/>
              </w:rPr>
            </w:pPr>
          </w:p>
        </w:tc>
        <w:tc>
          <w:tcPr>
            <w:tcW w:w="9593" w:type="dxa"/>
            <w:gridSpan w:val="2"/>
          </w:tcPr>
          <w:p w14:paraId="456D2093">
            <w:pPr>
              <w:widowControl/>
              <w:spacing w:line="440" w:lineRule="exact"/>
              <w:rPr>
                <w:rFonts w:ascii="宋体" w:hAnsi="宋体" w:cs="宋体"/>
                <w:b/>
                <w:bCs/>
                <w:color w:val="auto"/>
                <w:szCs w:val="21"/>
                <w:highlight w:val="none"/>
                <w:lang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bidi="ar"/>
              </w:rPr>
              <w:t>其他为列明行业</w:t>
            </w:r>
          </w:p>
          <w:p w14:paraId="7CFF06CA">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376D4715">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4"/>
        <w:tblW w:w="10583" w:type="dxa"/>
        <w:jc w:val="center"/>
        <w:tblLayout w:type="fixed"/>
        <w:tblCellMar>
          <w:top w:w="0" w:type="dxa"/>
          <w:left w:w="108" w:type="dxa"/>
          <w:bottom w:w="0" w:type="dxa"/>
          <w:right w:w="108" w:type="dxa"/>
        </w:tblCellMar>
      </w:tblPr>
      <w:tblGrid>
        <w:gridCol w:w="1930"/>
        <w:gridCol w:w="1750"/>
        <w:gridCol w:w="684"/>
        <w:gridCol w:w="1300"/>
        <w:gridCol w:w="1866"/>
        <w:gridCol w:w="1567"/>
        <w:gridCol w:w="1486"/>
      </w:tblGrid>
      <w:tr w14:paraId="23824243">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2FDE1C73">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1B8250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7551C27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6D15F0B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55078EA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49E4CBD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7B05E9B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86" w:type="dxa"/>
            <w:tcBorders>
              <w:top w:val="single" w:color="auto" w:sz="4" w:space="0"/>
              <w:left w:val="nil"/>
              <w:bottom w:val="single" w:color="auto" w:sz="4" w:space="0"/>
              <w:right w:val="nil"/>
            </w:tcBorders>
            <w:vAlign w:val="center"/>
          </w:tcPr>
          <w:p w14:paraId="2ED65FD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69F3C89B">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25CD2548">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1E5F04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CC98E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F7AEB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542D958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0D7434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86" w:type="dxa"/>
            <w:tcBorders>
              <w:top w:val="nil"/>
              <w:left w:val="nil"/>
              <w:bottom w:val="single" w:color="auto" w:sz="4" w:space="0"/>
              <w:right w:val="nil"/>
            </w:tcBorders>
            <w:vAlign w:val="center"/>
          </w:tcPr>
          <w:p w14:paraId="4E8A78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3D1F637">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983825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12710BA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17FAB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E2EE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56E821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46F7A9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18249F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311F974">
        <w:tblPrEx>
          <w:tblCellMar>
            <w:top w:w="0" w:type="dxa"/>
            <w:left w:w="108" w:type="dxa"/>
            <w:bottom w:w="0" w:type="dxa"/>
            <w:right w:w="108" w:type="dxa"/>
          </w:tblCellMar>
        </w:tblPrEx>
        <w:trPr>
          <w:trHeight w:val="612" w:hRule="exact"/>
          <w:jc w:val="center"/>
        </w:trPr>
        <w:tc>
          <w:tcPr>
            <w:tcW w:w="1930" w:type="dxa"/>
            <w:vMerge w:val="continue"/>
            <w:tcBorders>
              <w:top w:val="nil"/>
              <w:left w:val="nil"/>
              <w:bottom w:val="single" w:color="auto" w:sz="4" w:space="0"/>
              <w:right w:val="single" w:color="auto" w:sz="4" w:space="0"/>
            </w:tcBorders>
            <w:vAlign w:val="center"/>
          </w:tcPr>
          <w:p w14:paraId="78E3912F">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32171F97">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52B93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6EB1A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791213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67" w:type="dxa"/>
            <w:tcBorders>
              <w:top w:val="nil"/>
              <w:left w:val="nil"/>
              <w:bottom w:val="single" w:color="auto" w:sz="4" w:space="0"/>
              <w:right w:val="single" w:color="auto" w:sz="4" w:space="0"/>
            </w:tcBorders>
            <w:vAlign w:val="center"/>
          </w:tcPr>
          <w:p w14:paraId="0091EE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86" w:type="dxa"/>
            <w:tcBorders>
              <w:top w:val="nil"/>
              <w:left w:val="nil"/>
              <w:bottom w:val="single" w:color="auto" w:sz="4" w:space="0"/>
              <w:right w:val="nil"/>
            </w:tcBorders>
            <w:vAlign w:val="center"/>
          </w:tcPr>
          <w:p w14:paraId="6CBC36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7237CEF">
        <w:tblPrEx>
          <w:tblCellMar>
            <w:top w:w="0" w:type="dxa"/>
            <w:left w:w="108" w:type="dxa"/>
            <w:bottom w:w="0" w:type="dxa"/>
            <w:right w:w="108" w:type="dxa"/>
          </w:tblCellMar>
        </w:tblPrEx>
        <w:trPr>
          <w:trHeight w:val="562" w:hRule="exact"/>
          <w:jc w:val="center"/>
        </w:trPr>
        <w:tc>
          <w:tcPr>
            <w:tcW w:w="1930" w:type="dxa"/>
            <w:vMerge w:val="restart"/>
            <w:tcBorders>
              <w:top w:val="nil"/>
              <w:left w:val="nil"/>
              <w:bottom w:val="single" w:color="auto" w:sz="4" w:space="0"/>
              <w:right w:val="single" w:color="auto" w:sz="4" w:space="0"/>
            </w:tcBorders>
            <w:vAlign w:val="center"/>
          </w:tcPr>
          <w:p w14:paraId="13E1447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47A92E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6B3661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5DDEE7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207697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67" w:type="dxa"/>
            <w:tcBorders>
              <w:top w:val="nil"/>
              <w:left w:val="nil"/>
              <w:bottom w:val="nil"/>
              <w:right w:val="single" w:color="auto" w:sz="4" w:space="0"/>
            </w:tcBorders>
            <w:vAlign w:val="center"/>
          </w:tcPr>
          <w:p w14:paraId="509A0E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86" w:type="dxa"/>
            <w:tcBorders>
              <w:top w:val="nil"/>
              <w:left w:val="nil"/>
              <w:bottom w:val="nil"/>
              <w:right w:val="nil"/>
            </w:tcBorders>
            <w:vAlign w:val="center"/>
          </w:tcPr>
          <w:p w14:paraId="61D19B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1252DEC">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vAlign w:val="center"/>
          </w:tcPr>
          <w:p w14:paraId="283419F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B7E098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284730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90CC5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6622CE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67" w:type="dxa"/>
            <w:tcBorders>
              <w:top w:val="nil"/>
              <w:left w:val="nil"/>
              <w:bottom w:val="single" w:color="auto" w:sz="4" w:space="0"/>
              <w:right w:val="single" w:color="auto" w:sz="4" w:space="0"/>
            </w:tcBorders>
            <w:vAlign w:val="center"/>
          </w:tcPr>
          <w:p w14:paraId="34002A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86" w:type="dxa"/>
            <w:tcBorders>
              <w:top w:val="nil"/>
              <w:left w:val="nil"/>
              <w:bottom w:val="single" w:color="auto" w:sz="4" w:space="0"/>
              <w:right w:val="nil"/>
            </w:tcBorders>
            <w:vAlign w:val="center"/>
          </w:tcPr>
          <w:p w14:paraId="2D0C72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24CE9CB4">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C5FD03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5CFE5F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C28AB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79314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4C55CC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67" w:type="dxa"/>
            <w:tcBorders>
              <w:top w:val="nil"/>
              <w:left w:val="nil"/>
              <w:bottom w:val="nil"/>
              <w:right w:val="single" w:color="auto" w:sz="4" w:space="0"/>
            </w:tcBorders>
            <w:vAlign w:val="center"/>
          </w:tcPr>
          <w:p w14:paraId="6D3F70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86" w:type="dxa"/>
            <w:tcBorders>
              <w:top w:val="nil"/>
              <w:left w:val="nil"/>
              <w:bottom w:val="nil"/>
              <w:right w:val="nil"/>
            </w:tcBorders>
            <w:vAlign w:val="center"/>
          </w:tcPr>
          <w:p w14:paraId="3ADFE7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0D5C53AD">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vAlign w:val="center"/>
          </w:tcPr>
          <w:p w14:paraId="1102BEFF">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9D0AF2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F0177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E2DA7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2A853C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67" w:type="dxa"/>
            <w:tcBorders>
              <w:top w:val="nil"/>
              <w:left w:val="nil"/>
              <w:bottom w:val="single" w:color="auto" w:sz="4" w:space="0"/>
              <w:right w:val="single" w:color="auto" w:sz="4" w:space="0"/>
            </w:tcBorders>
            <w:vAlign w:val="center"/>
          </w:tcPr>
          <w:p w14:paraId="5A76030E">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86" w:type="dxa"/>
            <w:tcBorders>
              <w:top w:val="nil"/>
              <w:left w:val="nil"/>
              <w:bottom w:val="single" w:color="auto" w:sz="4" w:space="0"/>
              <w:right w:val="nil"/>
            </w:tcBorders>
            <w:vAlign w:val="center"/>
          </w:tcPr>
          <w:p w14:paraId="21E039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D878E0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2514E5A">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16604A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E2C4E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9EE8B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7DD6F0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67" w:type="dxa"/>
            <w:tcBorders>
              <w:top w:val="nil"/>
              <w:left w:val="nil"/>
              <w:bottom w:val="nil"/>
              <w:right w:val="single" w:color="auto" w:sz="4" w:space="0"/>
            </w:tcBorders>
            <w:vAlign w:val="center"/>
          </w:tcPr>
          <w:p w14:paraId="034D630C">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86" w:type="dxa"/>
            <w:tcBorders>
              <w:top w:val="nil"/>
              <w:left w:val="nil"/>
              <w:bottom w:val="nil"/>
              <w:right w:val="nil"/>
            </w:tcBorders>
            <w:vAlign w:val="center"/>
          </w:tcPr>
          <w:p w14:paraId="786B5E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A31EB1C">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44F66EC">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FD7425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CDA39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C4894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37781A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05D45D6E">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86" w:type="dxa"/>
            <w:tcBorders>
              <w:top w:val="nil"/>
              <w:left w:val="nil"/>
              <w:bottom w:val="single" w:color="auto" w:sz="4" w:space="0"/>
              <w:right w:val="nil"/>
            </w:tcBorders>
            <w:vAlign w:val="center"/>
          </w:tcPr>
          <w:p w14:paraId="2A790F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DB4FD7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67B948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6E48D7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2274C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0B9E0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5EE6B8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0355EA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7BF527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1424FD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5D69C5CC">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7C5E34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6B90C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7EDB59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297557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67" w:type="dxa"/>
            <w:tcBorders>
              <w:top w:val="nil"/>
              <w:left w:val="nil"/>
              <w:bottom w:val="single" w:color="auto" w:sz="4" w:space="0"/>
              <w:right w:val="single" w:color="auto" w:sz="4" w:space="0"/>
            </w:tcBorders>
            <w:vAlign w:val="center"/>
          </w:tcPr>
          <w:p w14:paraId="46B503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86" w:type="dxa"/>
            <w:tcBorders>
              <w:top w:val="nil"/>
              <w:left w:val="nil"/>
              <w:bottom w:val="single" w:color="auto" w:sz="4" w:space="0"/>
              <w:right w:val="nil"/>
            </w:tcBorders>
            <w:vAlign w:val="center"/>
          </w:tcPr>
          <w:p w14:paraId="61035D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51BA2C2F">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596E30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2B45BE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B824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FB335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5960A6D0">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67" w:type="dxa"/>
            <w:tcBorders>
              <w:top w:val="nil"/>
              <w:left w:val="nil"/>
              <w:bottom w:val="nil"/>
              <w:right w:val="single" w:color="auto" w:sz="4" w:space="0"/>
            </w:tcBorders>
            <w:vAlign w:val="center"/>
          </w:tcPr>
          <w:p w14:paraId="0999C0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86" w:type="dxa"/>
            <w:tcBorders>
              <w:top w:val="nil"/>
              <w:left w:val="nil"/>
              <w:bottom w:val="nil"/>
              <w:right w:val="nil"/>
            </w:tcBorders>
            <w:vAlign w:val="center"/>
          </w:tcPr>
          <w:p w14:paraId="60F4EC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36615D7">
        <w:tblPrEx>
          <w:tblCellMar>
            <w:top w:w="0" w:type="dxa"/>
            <w:left w:w="108" w:type="dxa"/>
            <w:bottom w:w="0" w:type="dxa"/>
            <w:right w:w="108" w:type="dxa"/>
          </w:tblCellMar>
        </w:tblPrEx>
        <w:trPr>
          <w:trHeight w:val="754" w:hRule="exact"/>
          <w:jc w:val="center"/>
        </w:trPr>
        <w:tc>
          <w:tcPr>
            <w:tcW w:w="1930" w:type="dxa"/>
            <w:vMerge w:val="continue"/>
            <w:tcBorders>
              <w:top w:val="nil"/>
              <w:left w:val="nil"/>
              <w:bottom w:val="single" w:color="auto" w:sz="4" w:space="0"/>
              <w:right w:val="single" w:color="auto" w:sz="4" w:space="0"/>
            </w:tcBorders>
            <w:vAlign w:val="center"/>
          </w:tcPr>
          <w:p w14:paraId="3B192D75">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75630B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FC331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F3DD5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5529BF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67" w:type="dxa"/>
            <w:tcBorders>
              <w:top w:val="nil"/>
              <w:left w:val="nil"/>
              <w:bottom w:val="single" w:color="auto" w:sz="4" w:space="0"/>
              <w:right w:val="single" w:color="auto" w:sz="4" w:space="0"/>
            </w:tcBorders>
            <w:vAlign w:val="center"/>
          </w:tcPr>
          <w:p w14:paraId="66717F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71FCE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EA78D9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EC6848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1080054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A3CE4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C312C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1B203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397D328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1AB5CE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C9DA15F">
        <w:tblPrEx>
          <w:tblCellMar>
            <w:top w:w="0" w:type="dxa"/>
            <w:left w:w="108" w:type="dxa"/>
            <w:bottom w:w="0" w:type="dxa"/>
            <w:right w:w="108" w:type="dxa"/>
          </w:tblCellMar>
        </w:tblPrEx>
        <w:trPr>
          <w:trHeight w:val="643" w:hRule="exact"/>
          <w:jc w:val="center"/>
        </w:trPr>
        <w:tc>
          <w:tcPr>
            <w:tcW w:w="1930" w:type="dxa"/>
            <w:vMerge w:val="continue"/>
            <w:tcBorders>
              <w:top w:val="nil"/>
              <w:left w:val="nil"/>
              <w:bottom w:val="single" w:color="auto" w:sz="4" w:space="0"/>
              <w:right w:val="single" w:color="auto" w:sz="4" w:space="0"/>
            </w:tcBorders>
            <w:vAlign w:val="center"/>
          </w:tcPr>
          <w:p w14:paraId="2EEBE025">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87A5A6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DCA63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B38CE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4347A7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67" w:type="dxa"/>
            <w:tcBorders>
              <w:top w:val="nil"/>
              <w:left w:val="nil"/>
              <w:bottom w:val="single" w:color="auto" w:sz="4" w:space="0"/>
              <w:right w:val="single" w:color="auto" w:sz="4" w:space="0"/>
            </w:tcBorders>
            <w:vAlign w:val="center"/>
          </w:tcPr>
          <w:p w14:paraId="498042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6204F5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27D5D7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1E96291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0443A64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46119D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85EA8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4DB52E5E">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1DD671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3A34074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6E61E6C">
        <w:tblPrEx>
          <w:tblCellMar>
            <w:top w:w="0" w:type="dxa"/>
            <w:left w:w="108" w:type="dxa"/>
            <w:bottom w:w="0" w:type="dxa"/>
            <w:right w:w="108" w:type="dxa"/>
          </w:tblCellMar>
        </w:tblPrEx>
        <w:trPr>
          <w:trHeight w:val="737" w:hRule="exact"/>
          <w:jc w:val="center"/>
        </w:trPr>
        <w:tc>
          <w:tcPr>
            <w:tcW w:w="1930" w:type="dxa"/>
            <w:vMerge w:val="continue"/>
            <w:tcBorders>
              <w:top w:val="nil"/>
              <w:left w:val="nil"/>
              <w:bottom w:val="single" w:color="auto" w:sz="4" w:space="0"/>
              <w:right w:val="single" w:color="auto" w:sz="4" w:space="0"/>
            </w:tcBorders>
            <w:vAlign w:val="center"/>
          </w:tcPr>
          <w:p w14:paraId="1C4A959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AF0619E">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1A899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72496F8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C2A46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737E19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605CA0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ADF7C6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4DAD3DB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0701C4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485A9D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C0BD3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46AAE97B">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3A4A12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5B32FB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11F53F3">
        <w:tblPrEx>
          <w:tblCellMar>
            <w:top w:w="0" w:type="dxa"/>
            <w:left w:w="108" w:type="dxa"/>
            <w:bottom w:w="0" w:type="dxa"/>
            <w:right w:w="108" w:type="dxa"/>
          </w:tblCellMar>
        </w:tblPrEx>
        <w:trPr>
          <w:trHeight w:val="954" w:hRule="exact"/>
          <w:jc w:val="center"/>
        </w:trPr>
        <w:tc>
          <w:tcPr>
            <w:tcW w:w="1930" w:type="dxa"/>
            <w:vMerge w:val="continue"/>
            <w:tcBorders>
              <w:top w:val="nil"/>
              <w:left w:val="nil"/>
              <w:bottom w:val="single" w:color="auto" w:sz="4" w:space="0"/>
              <w:right w:val="single" w:color="auto" w:sz="4" w:space="0"/>
            </w:tcBorders>
            <w:vAlign w:val="center"/>
          </w:tcPr>
          <w:p w14:paraId="1E931FC6">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8ACCCD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E1DABD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904F7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2E260C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427CB4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689A29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62EE0A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5D76CB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5035186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60446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8F5B6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1328178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67" w:type="dxa"/>
            <w:tcBorders>
              <w:top w:val="nil"/>
              <w:left w:val="nil"/>
              <w:bottom w:val="nil"/>
              <w:right w:val="single" w:color="auto" w:sz="4" w:space="0"/>
            </w:tcBorders>
            <w:vAlign w:val="center"/>
          </w:tcPr>
          <w:p w14:paraId="5945C7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3909D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B366BED">
        <w:tblPrEx>
          <w:tblCellMar>
            <w:top w:w="0" w:type="dxa"/>
            <w:left w:w="108" w:type="dxa"/>
            <w:bottom w:w="0" w:type="dxa"/>
            <w:right w:w="108" w:type="dxa"/>
          </w:tblCellMar>
        </w:tblPrEx>
        <w:trPr>
          <w:trHeight w:val="904" w:hRule="exact"/>
          <w:jc w:val="center"/>
        </w:trPr>
        <w:tc>
          <w:tcPr>
            <w:tcW w:w="1930" w:type="dxa"/>
            <w:vMerge w:val="continue"/>
            <w:tcBorders>
              <w:top w:val="nil"/>
              <w:left w:val="nil"/>
              <w:bottom w:val="single" w:color="auto" w:sz="4" w:space="0"/>
              <w:right w:val="single" w:color="auto" w:sz="4" w:space="0"/>
            </w:tcBorders>
            <w:vAlign w:val="center"/>
          </w:tcPr>
          <w:p w14:paraId="33EC7C7A">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B0D255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28ED0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99AFEC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43E188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7DBD04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05A93A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C3D0827">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0DBFBF78">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75D134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862A0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77DAA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55BDD91F">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54D5EC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3BC3B5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D124021">
        <w:tblPrEx>
          <w:tblCellMar>
            <w:top w:w="0" w:type="dxa"/>
            <w:left w:w="108" w:type="dxa"/>
            <w:bottom w:w="0" w:type="dxa"/>
            <w:right w:w="108" w:type="dxa"/>
          </w:tblCellMar>
        </w:tblPrEx>
        <w:trPr>
          <w:trHeight w:val="747"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1D73F979">
            <w:pPr>
              <w:widowControl/>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66E283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CC1D9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89E8B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0D9812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67" w:type="dxa"/>
            <w:tcBorders>
              <w:top w:val="nil"/>
              <w:left w:val="nil"/>
              <w:bottom w:val="single" w:color="auto" w:sz="4" w:space="0"/>
              <w:right w:val="single" w:color="auto" w:sz="4" w:space="0"/>
            </w:tcBorders>
            <w:vAlign w:val="center"/>
          </w:tcPr>
          <w:p w14:paraId="387573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86" w:type="dxa"/>
            <w:tcBorders>
              <w:top w:val="nil"/>
              <w:left w:val="nil"/>
              <w:bottom w:val="single" w:color="auto" w:sz="4" w:space="0"/>
              <w:right w:val="nil"/>
            </w:tcBorders>
            <w:vAlign w:val="center"/>
          </w:tcPr>
          <w:p w14:paraId="193961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8A0C8C6">
        <w:tblPrEx>
          <w:tblCellMar>
            <w:top w:w="0" w:type="dxa"/>
            <w:left w:w="108" w:type="dxa"/>
            <w:bottom w:w="0" w:type="dxa"/>
            <w:right w:w="108" w:type="dxa"/>
          </w:tblCellMar>
        </w:tblPrEx>
        <w:trPr>
          <w:trHeight w:val="640" w:hRule="exact"/>
          <w:jc w:val="center"/>
        </w:trPr>
        <w:tc>
          <w:tcPr>
            <w:tcW w:w="1930" w:type="dxa"/>
            <w:vMerge w:val="restart"/>
            <w:tcBorders>
              <w:top w:val="nil"/>
              <w:left w:val="nil"/>
              <w:bottom w:val="single" w:color="auto" w:sz="4" w:space="0"/>
              <w:right w:val="single" w:color="auto" w:sz="4" w:space="0"/>
            </w:tcBorders>
            <w:vAlign w:val="center"/>
          </w:tcPr>
          <w:p w14:paraId="5BBE2FF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4001F4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645F42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C30B8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1A9793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567" w:type="dxa"/>
            <w:tcBorders>
              <w:top w:val="nil"/>
              <w:left w:val="nil"/>
              <w:bottom w:val="nil"/>
              <w:right w:val="single" w:color="auto" w:sz="4" w:space="0"/>
            </w:tcBorders>
            <w:vAlign w:val="center"/>
          </w:tcPr>
          <w:p w14:paraId="60786A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nil"/>
              <w:right w:val="nil"/>
            </w:tcBorders>
            <w:vAlign w:val="center"/>
          </w:tcPr>
          <w:p w14:paraId="0753E1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6B6C9B7">
        <w:tblPrEx>
          <w:tblCellMar>
            <w:top w:w="0" w:type="dxa"/>
            <w:left w:w="108" w:type="dxa"/>
            <w:bottom w:w="0" w:type="dxa"/>
            <w:right w:w="108" w:type="dxa"/>
          </w:tblCellMar>
        </w:tblPrEx>
        <w:trPr>
          <w:trHeight w:val="797" w:hRule="exact"/>
          <w:jc w:val="center"/>
        </w:trPr>
        <w:tc>
          <w:tcPr>
            <w:tcW w:w="1930" w:type="dxa"/>
            <w:vMerge w:val="continue"/>
            <w:tcBorders>
              <w:top w:val="nil"/>
              <w:left w:val="nil"/>
              <w:bottom w:val="single" w:color="auto" w:sz="4" w:space="0"/>
              <w:right w:val="single" w:color="auto" w:sz="4" w:space="0"/>
            </w:tcBorders>
            <w:vAlign w:val="center"/>
          </w:tcPr>
          <w:p w14:paraId="4BF7A534">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A18EE8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0530F38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7D556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1D2435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67" w:type="dxa"/>
            <w:tcBorders>
              <w:top w:val="nil"/>
              <w:left w:val="nil"/>
              <w:bottom w:val="single" w:color="auto" w:sz="4" w:space="0"/>
              <w:right w:val="single" w:color="auto" w:sz="4" w:space="0"/>
            </w:tcBorders>
            <w:vAlign w:val="center"/>
          </w:tcPr>
          <w:p w14:paraId="571D29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86" w:type="dxa"/>
            <w:tcBorders>
              <w:top w:val="nil"/>
              <w:left w:val="nil"/>
              <w:bottom w:val="single" w:color="auto" w:sz="4" w:space="0"/>
              <w:right w:val="nil"/>
            </w:tcBorders>
            <w:vAlign w:val="center"/>
          </w:tcPr>
          <w:p w14:paraId="79428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5A86CBC1">
        <w:tblPrEx>
          <w:tblCellMar>
            <w:top w:w="0" w:type="dxa"/>
            <w:left w:w="108" w:type="dxa"/>
            <w:bottom w:w="0" w:type="dxa"/>
            <w:right w:w="108" w:type="dxa"/>
          </w:tblCellMar>
        </w:tblPrEx>
        <w:trPr>
          <w:trHeight w:val="557" w:hRule="exact"/>
          <w:jc w:val="center"/>
        </w:trPr>
        <w:tc>
          <w:tcPr>
            <w:tcW w:w="1930" w:type="dxa"/>
            <w:vMerge w:val="restart"/>
            <w:tcBorders>
              <w:top w:val="nil"/>
              <w:left w:val="nil"/>
              <w:bottom w:val="single" w:color="auto" w:sz="4" w:space="0"/>
              <w:right w:val="single" w:color="auto" w:sz="4" w:space="0"/>
            </w:tcBorders>
            <w:vAlign w:val="center"/>
          </w:tcPr>
          <w:p w14:paraId="59F7C80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3CE880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4B8FA3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9C60BE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5DE5FB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7797ED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86" w:type="dxa"/>
            <w:tcBorders>
              <w:top w:val="nil"/>
              <w:left w:val="nil"/>
              <w:bottom w:val="nil"/>
              <w:right w:val="nil"/>
            </w:tcBorders>
            <w:vAlign w:val="center"/>
          </w:tcPr>
          <w:p w14:paraId="0B7F20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6B9618A">
        <w:tblPrEx>
          <w:tblCellMar>
            <w:top w:w="0" w:type="dxa"/>
            <w:left w:w="108" w:type="dxa"/>
            <w:bottom w:w="0" w:type="dxa"/>
            <w:right w:w="108" w:type="dxa"/>
          </w:tblCellMar>
        </w:tblPrEx>
        <w:trPr>
          <w:trHeight w:val="747" w:hRule="exact"/>
          <w:jc w:val="center"/>
        </w:trPr>
        <w:tc>
          <w:tcPr>
            <w:tcW w:w="1930" w:type="dxa"/>
            <w:vMerge w:val="continue"/>
            <w:tcBorders>
              <w:top w:val="nil"/>
              <w:left w:val="nil"/>
              <w:bottom w:val="single" w:color="auto" w:sz="4" w:space="0"/>
              <w:right w:val="single" w:color="auto" w:sz="4" w:space="0"/>
            </w:tcBorders>
            <w:vAlign w:val="center"/>
          </w:tcPr>
          <w:p w14:paraId="269AF93D">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CF8842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47002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726A01E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0BEF861B">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5C22C5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86" w:type="dxa"/>
            <w:tcBorders>
              <w:top w:val="nil"/>
              <w:left w:val="nil"/>
              <w:bottom w:val="single" w:color="auto" w:sz="4" w:space="0"/>
              <w:right w:val="nil"/>
            </w:tcBorders>
            <w:vAlign w:val="center"/>
          </w:tcPr>
          <w:p w14:paraId="4ED1F7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43703A19">
        <w:tblPrEx>
          <w:tblCellMar>
            <w:top w:w="0" w:type="dxa"/>
            <w:left w:w="108" w:type="dxa"/>
            <w:bottom w:w="0" w:type="dxa"/>
            <w:right w:w="108" w:type="dxa"/>
          </w:tblCellMar>
        </w:tblPrEx>
        <w:trPr>
          <w:trHeight w:val="540" w:hRule="exact"/>
          <w:jc w:val="center"/>
        </w:trPr>
        <w:tc>
          <w:tcPr>
            <w:tcW w:w="1930" w:type="dxa"/>
            <w:vMerge w:val="restart"/>
            <w:tcBorders>
              <w:top w:val="nil"/>
              <w:left w:val="nil"/>
              <w:bottom w:val="single" w:color="auto" w:sz="4" w:space="0"/>
              <w:right w:val="single" w:color="auto" w:sz="4" w:space="0"/>
            </w:tcBorders>
            <w:vAlign w:val="center"/>
          </w:tcPr>
          <w:p w14:paraId="0DEDE47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1DE6BB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ABB6F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B3C51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6CACFA97">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B2760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C7CB5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E231796">
        <w:tblPrEx>
          <w:tblCellMar>
            <w:top w:w="0" w:type="dxa"/>
            <w:left w:w="108" w:type="dxa"/>
            <w:bottom w:w="0" w:type="dxa"/>
            <w:right w:w="108" w:type="dxa"/>
          </w:tblCellMar>
        </w:tblPrEx>
        <w:trPr>
          <w:trHeight w:val="630" w:hRule="exact"/>
          <w:jc w:val="center"/>
        </w:trPr>
        <w:tc>
          <w:tcPr>
            <w:tcW w:w="1930" w:type="dxa"/>
            <w:vMerge w:val="continue"/>
            <w:tcBorders>
              <w:top w:val="nil"/>
              <w:left w:val="nil"/>
              <w:bottom w:val="single" w:color="auto" w:sz="4" w:space="0"/>
              <w:right w:val="single" w:color="auto" w:sz="4" w:space="0"/>
            </w:tcBorders>
            <w:vAlign w:val="center"/>
          </w:tcPr>
          <w:p w14:paraId="492FFBC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3096F7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202034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D4486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3666AE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3C83D1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86" w:type="dxa"/>
            <w:tcBorders>
              <w:top w:val="nil"/>
              <w:left w:val="nil"/>
              <w:bottom w:val="single" w:color="auto" w:sz="4" w:space="0"/>
              <w:right w:val="nil"/>
            </w:tcBorders>
            <w:vAlign w:val="center"/>
          </w:tcPr>
          <w:p w14:paraId="158749A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34565873">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391785B8">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5C8926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60630B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vAlign w:val="center"/>
          </w:tcPr>
          <w:p w14:paraId="7575E3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single" w:color="auto" w:sz="4" w:space="0"/>
              <w:right w:val="single" w:color="auto" w:sz="4" w:space="0"/>
            </w:tcBorders>
            <w:vAlign w:val="center"/>
          </w:tcPr>
          <w:p w14:paraId="621BB6E0">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1A95EF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single" w:color="auto" w:sz="4" w:space="0"/>
              <w:right w:val="nil"/>
            </w:tcBorders>
            <w:vAlign w:val="center"/>
          </w:tcPr>
          <w:p w14:paraId="7AA7FC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A4F522D">
      <w:pPr>
        <w:widowControl/>
        <w:spacing w:line="540" w:lineRule="exact"/>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7A66AD06">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35CC45A7">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3A8EEE">
      <w:pPr>
        <w:spacing w:line="5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A71A532">
      <w:pPr>
        <w:pStyle w:val="4"/>
        <w:spacing w:line="460" w:lineRule="exact"/>
        <w:jc w:val="both"/>
        <w:rPr>
          <w:rFonts w:ascii="宋体" w:hAnsi="宋体"/>
          <w:bCs w:val="0"/>
          <w:color w:val="auto"/>
          <w:sz w:val="21"/>
          <w:szCs w:val="21"/>
          <w:highlight w:val="none"/>
        </w:rPr>
      </w:pPr>
    </w:p>
    <w:p w14:paraId="5DED719B">
      <w:pPr>
        <w:pStyle w:val="4"/>
        <w:spacing w:line="460" w:lineRule="exact"/>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0"/>
      <w:bookmarkEnd w:id="21"/>
      <w:bookmarkEnd w:id="22"/>
      <w:bookmarkEnd w:id="23"/>
    </w:p>
    <w:p w14:paraId="29C6AF5C">
      <w:pPr>
        <w:spacing w:line="460" w:lineRule="exact"/>
        <w:rPr>
          <w:rFonts w:ascii="宋体" w:hAnsi="宋体"/>
          <w:b/>
          <w:color w:val="auto"/>
          <w:szCs w:val="21"/>
          <w:highlight w:val="none"/>
        </w:rPr>
      </w:pPr>
      <w:r>
        <w:rPr>
          <w:rFonts w:hint="eastAsia" w:ascii="宋体" w:hAnsi="宋体"/>
          <w:b/>
          <w:color w:val="auto"/>
          <w:szCs w:val="21"/>
          <w:highlight w:val="none"/>
        </w:rPr>
        <w:t>1.1 项目概况</w:t>
      </w:r>
    </w:p>
    <w:p w14:paraId="7287409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0A316F9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5053A3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3831860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22D09AB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1.1.5 服务地点：见供应商须知前附表。</w:t>
      </w:r>
    </w:p>
    <w:p w14:paraId="2176BD49">
      <w:pPr>
        <w:spacing w:line="460" w:lineRule="exact"/>
        <w:rPr>
          <w:rFonts w:ascii="宋体" w:hAnsi="宋体"/>
          <w:b/>
          <w:color w:val="auto"/>
          <w:szCs w:val="21"/>
          <w:highlight w:val="none"/>
        </w:rPr>
      </w:pPr>
      <w:r>
        <w:rPr>
          <w:rFonts w:hint="eastAsia" w:ascii="宋体" w:hAnsi="宋体"/>
          <w:b/>
          <w:color w:val="auto"/>
          <w:szCs w:val="21"/>
          <w:highlight w:val="none"/>
        </w:rPr>
        <w:t>1.2 资金来源和落实情况</w:t>
      </w:r>
    </w:p>
    <w:p w14:paraId="6FCFF7E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4BDEC62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7F376B7D">
      <w:pPr>
        <w:spacing w:line="460" w:lineRule="exact"/>
        <w:rPr>
          <w:rFonts w:ascii="宋体" w:hAnsi="宋体"/>
          <w:b/>
          <w:color w:val="auto"/>
          <w:szCs w:val="21"/>
          <w:highlight w:val="none"/>
        </w:rPr>
      </w:pPr>
      <w:r>
        <w:rPr>
          <w:rFonts w:hint="eastAsia" w:ascii="宋体" w:hAnsi="宋体"/>
          <w:b/>
          <w:color w:val="auto"/>
          <w:szCs w:val="21"/>
          <w:highlight w:val="none"/>
        </w:rPr>
        <w:t>1.3 采购内容和服务期限</w:t>
      </w:r>
    </w:p>
    <w:p w14:paraId="60872C2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6F7943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1.3.2 服务周期：见供应商须知前附表。</w:t>
      </w:r>
    </w:p>
    <w:p w14:paraId="193025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6BBAB871">
      <w:pPr>
        <w:spacing w:line="460" w:lineRule="exact"/>
        <w:rPr>
          <w:rFonts w:ascii="宋体" w:hAnsi="宋体"/>
          <w:b/>
          <w:color w:val="auto"/>
          <w:szCs w:val="21"/>
          <w:highlight w:val="none"/>
        </w:rPr>
      </w:pPr>
      <w:r>
        <w:rPr>
          <w:rFonts w:hint="eastAsia" w:ascii="宋体" w:hAnsi="宋体"/>
          <w:b/>
          <w:color w:val="auto"/>
          <w:szCs w:val="21"/>
          <w:highlight w:val="none"/>
        </w:rPr>
        <w:t>1.4 供应商资格要求</w:t>
      </w:r>
    </w:p>
    <w:p w14:paraId="469CA70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235A0C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0238D0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372662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5C63F23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4955DF1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6D887E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7DCD769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2239F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0DF71BC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671125E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5E9E670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2AD4DC1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55172B7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71AB6F1F">
      <w:pPr>
        <w:spacing w:line="460" w:lineRule="exact"/>
        <w:rPr>
          <w:rFonts w:ascii="宋体" w:hAnsi="宋体"/>
          <w:b/>
          <w:color w:val="auto"/>
          <w:szCs w:val="21"/>
          <w:highlight w:val="none"/>
        </w:rPr>
      </w:pPr>
      <w:r>
        <w:rPr>
          <w:rFonts w:hint="eastAsia" w:ascii="宋体" w:hAnsi="宋体"/>
          <w:b/>
          <w:color w:val="auto"/>
          <w:szCs w:val="21"/>
          <w:highlight w:val="none"/>
        </w:rPr>
        <w:t>1.5 踏勘现场</w:t>
      </w:r>
    </w:p>
    <w:p w14:paraId="62C04D5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1D0B519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15EA1F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2FED5E02">
      <w:pPr>
        <w:spacing w:line="460" w:lineRule="exact"/>
        <w:rPr>
          <w:rFonts w:ascii="宋体" w:hAnsi="宋体"/>
          <w:b/>
          <w:color w:val="auto"/>
          <w:szCs w:val="21"/>
          <w:highlight w:val="none"/>
        </w:rPr>
      </w:pPr>
      <w:r>
        <w:rPr>
          <w:rFonts w:hint="eastAsia" w:ascii="宋体" w:hAnsi="宋体"/>
          <w:b/>
          <w:color w:val="auto"/>
          <w:szCs w:val="21"/>
          <w:highlight w:val="none"/>
        </w:rPr>
        <w:t>1.6投标预备会</w:t>
      </w:r>
    </w:p>
    <w:p w14:paraId="689CDE54">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7C2F472C">
      <w:pPr>
        <w:spacing w:line="460" w:lineRule="exact"/>
        <w:rPr>
          <w:rFonts w:ascii="宋体" w:hAnsi="宋体"/>
          <w:b/>
          <w:color w:val="auto"/>
          <w:szCs w:val="21"/>
          <w:highlight w:val="none"/>
        </w:rPr>
      </w:pPr>
      <w:r>
        <w:rPr>
          <w:rFonts w:hint="eastAsia" w:ascii="宋体" w:hAnsi="宋体"/>
          <w:b/>
          <w:color w:val="auto"/>
          <w:szCs w:val="21"/>
          <w:highlight w:val="none"/>
        </w:rPr>
        <w:t>1.7 费用承担</w:t>
      </w:r>
    </w:p>
    <w:p w14:paraId="2F75C04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28B69CDC">
      <w:pPr>
        <w:spacing w:line="460" w:lineRule="exact"/>
        <w:rPr>
          <w:rFonts w:ascii="宋体" w:hAnsi="宋体"/>
          <w:b/>
          <w:color w:val="auto"/>
          <w:szCs w:val="21"/>
          <w:highlight w:val="none"/>
        </w:rPr>
      </w:pPr>
      <w:r>
        <w:rPr>
          <w:rFonts w:hint="eastAsia" w:ascii="宋体" w:hAnsi="宋体"/>
          <w:b/>
          <w:color w:val="auto"/>
          <w:szCs w:val="21"/>
          <w:highlight w:val="none"/>
        </w:rPr>
        <w:t>1.8 保密</w:t>
      </w:r>
    </w:p>
    <w:p w14:paraId="5E9D06E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2BED0B6E">
      <w:pPr>
        <w:spacing w:line="460" w:lineRule="exact"/>
        <w:rPr>
          <w:rFonts w:ascii="宋体" w:hAnsi="宋体"/>
          <w:b/>
          <w:color w:val="auto"/>
          <w:szCs w:val="21"/>
          <w:highlight w:val="none"/>
        </w:rPr>
      </w:pPr>
      <w:r>
        <w:rPr>
          <w:rFonts w:hint="eastAsia" w:ascii="宋体" w:hAnsi="宋体"/>
          <w:b/>
          <w:color w:val="auto"/>
          <w:szCs w:val="21"/>
          <w:highlight w:val="none"/>
        </w:rPr>
        <w:t>1.9 语言文字</w:t>
      </w:r>
    </w:p>
    <w:p w14:paraId="044698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3D18AACB">
      <w:pPr>
        <w:spacing w:line="460" w:lineRule="exact"/>
        <w:rPr>
          <w:rFonts w:ascii="宋体" w:hAnsi="宋体"/>
          <w:b/>
          <w:color w:val="auto"/>
          <w:szCs w:val="21"/>
          <w:highlight w:val="none"/>
        </w:rPr>
      </w:pPr>
      <w:r>
        <w:rPr>
          <w:rFonts w:hint="eastAsia" w:ascii="宋体" w:hAnsi="宋体"/>
          <w:b/>
          <w:color w:val="auto"/>
          <w:szCs w:val="21"/>
          <w:highlight w:val="none"/>
        </w:rPr>
        <w:t>1.10 计量单位</w:t>
      </w:r>
    </w:p>
    <w:p w14:paraId="58EF05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4" w:name="_Toc8031"/>
      <w:bookmarkStart w:id="25" w:name="_Toc10284"/>
      <w:bookmarkStart w:id="26" w:name="_Toc19826"/>
      <w:bookmarkStart w:id="27" w:name="_Toc5269842"/>
    </w:p>
    <w:p w14:paraId="1E889657">
      <w:pPr>
        <w:pStyle w:val="4"/>
        <w:spacing w:line="460" w:lineRule="exact"/>
        <w:jc w:val="both"/>
        <w:rPr>
          <w:rFonts w:ascii="宋体" w:hAnsi="宋体"/>
          <w:bCs w:val="0"/>
          <w:color w:val="auto"/>
          <w:sz w:val="21"/>
          <w:szCs w:val="21"/>
          <w:highlight w:val="none"/>
        </w:rPr>
      </w:pPr>
      <w:bookmarkStart w:id="28" w:name="_Toc7943"/>
      <w:bookmarkStart w:id="29" w:name="_Toc24310"/>
      <w:r>
        <w:rPr>
          <w:rFonts w:hint="eastAsia" w:ascii="宋体" w:hAnsi="宋体"/>
          <w:bCs w:val="0"/>
          <w:color w:val="auto"/>
          <w:sz w:val="21"/>
          <w:szCs w:val="21"/>
          <w:highlight w:val="none"/>
        </w:rPr>
        <w:t>2.磋商文件</w:t>
      </w:r>
      <w:bookmarkEnd w:id="24"/>
      <w:bookmarkEnd w:id="25"/>
      <w:bookmarkEnd w:id="26"/>
      <w:bookmarkEnd w:id="27"/>
      <w:bookmarkEnd w:id="28"/>
      <w:bookmarkEnd w:id="29"/>
    </w:p>
    <w:p w14:paraId="3C7BE57A">
      <w:pPr>
        <w:spacing w:line="460" w:lineRule="exact"/>
        <w:rPr>
          <w:rFonts w:ascii="宋体" w:hAnsi="宋体"/>
          <w:b/>
          <w:color w:val="auto"/>
          <w:szCs w:val="21"/>
          <w:highlight w:val="none"/>
        </w:rPr>
      </w:pPr>
      <w:r>
        <w:rPr>
          <w:rFonts w:hint="eastAsia" w:ascii="宋体" w:hAnsi="宋体"/>
          <w:b/>
          <w:color w:val="auto"/>
          <w:szCs w:val="21"/>
          <w:highlight w:val="none"/>
        </w:rPr>
        <w:t>2.1 磋商文件的组成</w:t>
      </w:r>
    </w:p>
    <w:p w14:paraId="472650E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1F4A6A4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48EC8D2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75AB334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7168913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（4）项目内容及需求</w:t>
      </w:r>
    </w:p>
    <w:p w14:paraId="7583F03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2E31602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0FF8E1E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673E67DF">
      <w:pPr>
        <w:spacing w:line="460" w:lineRule="exact"/>
        <w:rPr>
          <w:rFonts w:ascii="宋体" w:hAnsi="宋体"/>
          <w:b/>
          <w:color w:val="auto"/>
          <w:szCs w:val="21"/>
          <w:highlight w:val="none"/>
        </w:rPr>
      </w:pPr>
      <w:r>
        <w:rPr>
          <w:rFonts w:hint="eastAsia" w:ascii="宋体" w:hAnsi="宋体"/>
          <w:b/>
          <w:color w:val="auto"/>
          <w:szCs w:val="21"/>
          <w:highlight w:val="none"/>
        </w:rPr>
        <w:t>2.2 谈判文件的澄清、修改、补充的通知及响应时间变更</w:t>
      </w:r>
    </w:p>
    <w:p w14:paraId="6557D133">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0" w:name="_Toc26324"/>
      <w:bookmarkStart w:id="31" w:name="_Toc2092"/>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5BB697F3">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2" w:name="_Toc31453"/>
      <w:bookmarkStart w:id="33"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2"/>
      <w:bookmarkEnd w:id="33"/>
    </w:p>
    <w:p w14:paraId="1B51B347">
      <w:pPr>
        <w:pStyle w:val="4"/>
        <w:spacing w:line="460" w:lineRule="exact"/>
        <w:jc w:val="left"/>
        <w:rPr>
          <w:rFonts w:ascii="宋体" w:hAnsi="宋体"/>
          <w:bCs w:val="0"/>
          <w:color w:val="auto"/>
          <w:sz w:val="21"/>
          <w:szCs w:val="21"/>
          <w:highlight w:val="none"/>
        </w:rPr>
      </w:pPr>
      <w:bookmarkStart w:id="34" w:name="_Toc1784"/>
      <w:bookmarkStart w:id="35" w:name="_Toc5269843"/>
      <w:bookmarkStart w:id="36" w:name="_Toc9362"/>
      <w:bookmarkStart w:id="37" w:name="_Toc30789"/>
      <w:bookmarkStart w:id="38" w:name="_Toc7192"/>
      <w:bookmarkStart w:id="39" w:name="_Toc332"/>
      <w:r>
        <w:rPr>
          <w:rFonts w:hint="eastAsia" w:ascii="宋体" w:hAnsi="宋体"/>
          <w:bCs w:val="0"/>
          <w:color w:val="auto"/>
          <w:sz w:val="21"/>
          <w:szCs w:val="21"/>
          <w:highlight w:val="none"/>
        </w:rPr>
        <w:t>3.磋商响应文件</w:t>
      </w:r>
      <w:bookmarkEnd w:id="34"/>
      <w:bookmarkEnd w:id="35"/>
      <w:bookmarkEnd w:id="36"/>
      <w:bookmarkEnd w:id="37"/>
      <w:bookmarkEnd w:id="38"/>
      <w:bookmarkEnd w:id="39"/>
    </w:p>
    <w:p w14:paraId="133E807E">
      <w:pPr>
        <w:spacing w:line="460" w:lineRule="exact"/>
        <w:rPr>
          <w:rFonts w:ascii="宋体" w:hAnsi="宋体"/>
          <w:b/>
          <w:color w:val="auto"/>
          <w:szCs w:val="21"/>
          <w:highlight w:val="none"/>
        </w:rPr>
      </w:pPr>
      <w:r>
        <w:rPr>
          <w:rFonts w:hint="eastAsia" w:ascii="宋体" w:hAnsi="宋体"/>
          <w:b/>
          <w:color w:val="auto"/>
          <w:szCs w:val="21"/>
          <w:highlight w:val="none"/>
        </w:rPr>
        <w:t>3.1 磋商响应文件的组成</w:t>
      </w:r>
    </w:p>
    <w:p w14:paraId="5EBB4FE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09A0AE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6FC671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72BCA1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3.报价明细表</w:t>
      </w:r>
    </w:p>
    <w:p w14:paraId="18534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46BFD2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07A56B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25E846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4B6871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612D5D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5A350D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29FDBD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11.服务方案</w:t>
      </w:r>
    </w:p>
    <w:p w14:paraId="7E99D1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59E6EAA8">
      <w:pPr>
        <w:pStyle w:val="48"/>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35A56446">
      <w:pPr>
        <w:spacing w:line="460" w:lineRule="exact"/>
        <w:rPr>
          <w:rFonts w:ascii="宋体" w:hAnsi="宋体"/>
          <w:b/>
          <w:color w:val="auto"/>
          <w:szCs w:val="21"/>
          <w:highlight w:val="none"/>
        </w:rPr>
      </w:pPr>
      <w:r>
        <w:rPr>
          <w:rFonts w:hint="eastAsia" w:ascii="宋体" w:hAnsi="宋体"/>
          <w:b/>
          <w:color w:val="auto"/>
          <w:szCs w:val="21"/>
          <w:highlight w:val="none"/>
        </w:rPr>
        <w:t>3.2 磋商报价</w:t>
      </w:r>
    </w:p>
    <w:p w14:paraId="626A6A4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7097A2C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77DC898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14:paraId="5EFE436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08BB2454">
      <w:pPr>
        <w:spacing w:line="460" w:lineRule="exact"/>
        <w:rPr>
          <w:rFonts w:ascii="宋体" w:hAnsi="宋体"/>
          <w:b/>
          <w:color w:val="auto"/>
          <w:szCs w:val="21"/>
          <w:highlight w:val="none"/>
        </w:rPr>
      </w:pPr>
      <w:r>
        <w:rPr>
          <w:rFonts w:hint="eastAsia" w:ascii="宋体" w:hAnsi="宋体"/>
          <w:b/>
          <w:color w:val="auto"/>
          <w:szCs w:val="21"/>
          <w:highlight w:val="none"/>
        </w:rPr>
        <w:t>3.3 磋商有效期</w:t>
      </w:r>
    </w:p>
    <w:p w14:paraId="24A5862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56D55F0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43161396">
      <w:pPr>
        <w:spacing w:line="460" w:lineRule="exact"/>
        <w:rPr>
          <w:rFonts w:ascii="宋体" w:hAnsi="宋体"/>
          <w:b/>
          <w:color w:val="auto"/>
          <w:szCs w:val="21"/>
          <w:highlight w:val="none"/>
        </w:rPr>
      </w:pPr>
      <w:r>
        <w:rPr>
          <w:rFonts w:hint="eastAsia" w:ascii="宋体" w:hAnsi="宋体"/>
          <w:b/>
          <w:color w:val="auto"/>
          <w:szCs w:val="21"/>
          <w:highlight w:val="none"/>
        </w:rPr>
        <w:t>3.4 资格审查资料</w:t>
      </w:r>
    </w:p>
    <w:p w14:paraId="7F4C8A7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4E3452A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0C28809D">
      <w:pPr>
        <w:spacing w:line="460" w:lineRule="exact"/>
        <w:rPr>
          <w:rFonts w:ascii="宋体" w:hAnsi="宋体"/>
          <w:b/>
          <w:color w:val="auto"/>
          <w:szCs w:val="21"/>
          <w:highlight w:val="none"/>
        </w:rPr>
      </w:pPr>
      <w:r>
        <w:rPr>
          <w:rFonts w:hint="eastAsia" w:ascii="宋体" w:hAnsi="宋体"/>
          <w:b/>
          <w:color w:val="auto"/>
          <w:szCs w:val="21"/>
          <w:highlight w:val="none"/>
        </w:rPr>
        <w:t>3.5备选磋商方案</w:t>
      </w:r>
    </w:p>
    <w:p w14:paraId="3A08F68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30DB5A71">
      <w:pPr>
        <w:spacing w:line="460" w:lineRule="exact"/>
        <w:rPr>
          <w:rFonts w:ascii="宋体" w:hAnsi="宋体"/>
          <w:b/>
          <w:color w:val="auto"/>
          <w:szCs w:val="21"/>
          <w:highlight w:val="none"/>
        </w:rPr>
      </w:pPr>
      <w:r>
        <w:rPr>
          <w:rFonts w:hint="eastAsia" w:ascii="宋体" w:hAnsi="宋体"/>
          <w:b/>
          <w:color w:val="auto"/>
          <w:szCs w:val="21"/>
          <w:highlight w:val="none"/>
        </w:rPr>
        <w:t>3.6磋商响应文件的编制</w:t>
      </w:r>
    </w:p>
    <w:p w14:paraId="008928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5CE81B9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w:t>
      </w:r>
      <w:r>
        <w:rPr>
          <w:rFonts w:hint="eastAsia" w:ascii="宋体" w:hAnsi="宋体"/>
          <w:color w:val="auto"/>
          <w:szCs w:val="21"/>
          <w:highlight w:val="none"/>
          <w:lang w:eastAsia="zh-CN"/>
        </w:rPr>
        <w:t>采购</w:t>
      </w:r>
      <w:r>
        <w:rPr>
          <w:rFonts w:hint="eastAsia" w:ascii="宋体" w:hAnsi="宋体"/>
          <w:color w:val="auto"/>
          <w:szCs w:val="21"/>
          <w:highlight w:val="none"/>
        </w:rPr>
        <w:t>内容等实质性内容作出响应。</w:t>
      </w:r>
    </w:p>
    <w:p w14:paraId="11A7F2C6">
      <w:pPr>
        <w:spacing w:line="460" w:lineRule="exact"/>
        <w:ind w:firstLine="420" w:firstLineChars="200"/>
        <w:rPr>
          <w:rFonts w:ascii="宋体" w:hAnsi="宋体"/>
          <w:color w:val="auto"/>
          <w:szCs w:val="21"/>
          <w:highlight w:val="none"/>
        </w:rPr>
      </w:pPr>
      <w:bookmarkStart w:id="40" w:name="_Toc10111"/>
      <w:bookmarkStart w:id="41" w:name="_Toc13875"/>
      <w:bookmarkStart w:id="42" w:name="_Toc5269844"/>
      <w:bookmarkStart w:id="43" w:name="_Toc22190"/>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08078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1E7DD02E">
      <w:pPr>
        <w:pStyle w:val="4"/>
        <w:spacing w:line="360" w:lineRule="auto"/>
        <w:jc w:val="left"/>
        <w:rPr>
          <w:rFonts w:ascii="宋体" w:hAnsi="宋体"/>
          <w:bCs w:val="0"/>
          <w:color w:val="auto"/>
          <w:sz w:val="21"/>
          <w:szCs w:val="21"/>
          <w:highlight w:val="none"/>
        </w:rPr>
      </w:pPr>
      <w:bookmarkStart w:id="44" w:name="_Toc30188"/>
      <w:bookmarkStart w:id="45" w:name="_Toc24115"/>
      <w:r>
        <w:rPr>
          <w:rFonts w:hint="eastAsia" w:ascii="宋体" w:hAnsi="宋体"/>
          <w:bCs w:val="0"/>
          <w:color w:val="auto"/>
          <w:sz w:val="21"/>
          <w:szCs w:val="21"/>
          <w:highlight w:val="none"/>
        </w:rPr>
        <w:t>4.</w:t>
      </w:r>
      <w:bookmarkEnd w:id="40"/>
      <w:bookmarkEnd w:id="41"/>
      <w:r>
        <w:rPr>
          <w:rFonts w:hint="eastAsia" w:ascii="宋体" w:hAnsi="宋体"/>
          <w:bCs w:val="0"/>
          <w:color w:val="auto"/>
          <w:sz w:val="21"/>
          <w:szCs w:val="21"/>
          <w:highlight w:val="none"/>
        </w:rPr>
        <w:t>磋商响应文件的递交</w:t>
      </w:r>
      <w:bookmarkEnd w:id="42"/>
      <w:bookmarkEnd w:id="43"/>
      <w:bookmarkEnd w:id="44"/>
      <w:bookmarkEnd w:id="45"/>
    </w:p>
    <w:p w14:paraId="50594774">
      <w:pPr>
        <w:spacing w:line="460" w:lineRule="exact"/>
        <w:rPr>
          <w:rFonts w:ascii="宋体" w:hAnsi="宋体"/>
          <w:b/>
          <w:color w:val="auto"/>
          <w:szCs w:val="21"/>
          <w:highlight w:val="none"/>
        </w:rPr>
      </w:pPr>
      <w:r>
        <w:rPr>
          <w:rFonts w:hint="eastAsia" w:ascii="宋体" w:hAnsi="宋体"/>
          <w:b/>
          <w:color w:val="auto"/>
          <w:szCs w:val="21"/>
          <w:highlight w:val="none"/>
        </w:rPr>
        <w:t>4.1 磋商响应文件的密封和标记</w:t>
      </w:r>
    </w:p>
    <w:p w14:paraId="14B27AA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154FD3C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185B4255">
      <w:pPr>
        <w:spacing w:line="460" w:lineRule="exact"/>
        <w:rPr>
          <w:rFonts w:ascii="宋体" w:hAnsi="宋体"/>
          <w:b/>
          <w:color w:val="auto"/>
          <w:szCs w:val="21"/>
          <w:highlight w:val="none"/>
        </w:rPr>
      </w:pPr>
      <w:r>
        <w:rPr>
          <w:rFonts w:hint="eastAsia" w:ascii="宋体" w:hAnsi="宋体"/>
          <w:b/>
          <w:color w:val="auto"/>
          <w:szCs w:val="21"/>
          <w:highlight w:val="none"/>
        </w:rPr>
        <w:t>4.2 磋商响应文件的递交</w:t>
      </w:r>
    </w:p>
    <w:p w14:paraId="1EE245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5AA2A2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6458FD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7965EF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2E87B358">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58B6A300">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73E26F46">
      <w:pPr>
        <w:pStyle w:val="9"/>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51CD5FD8">
      <w:pPr>
        <w:pStyle w:val="4"/>
        <w:spacing w:line="460" w:lineRule="exact"/>
        <w:jc w:val="left"/>
        <w:rPr>
          <w:rFonts w:ascii="宋体" w:hAnsi="宋体"/>
          <w:bCs w:val="0"/>
          <w:color w:val="auto"/>
          <w:sz w:val="21"/>
          <w:szCs w:val="21"/>
          <w:highlight w:val="none"/>
        </w:rPr>
      </w:pPr>
      <w:bookmarkStart w:id="46" w:name="_Toc31868"/>
      <w:bookmarkStart w:id="47" w:name="_Toc12772"/>
      <w:bookmarkStart w:id="48" w:name="_Toc30971"/>
      <w:bookmarkStart w:id="49" w:name="_Toc24941"/>
      <w:bookmarkStart w:id="50" w:name="_Toc5269845"/>
      <w:bookmarkStart w:id="51" w:name="_Toc21992"/>
      <w:r>
        <w:rPr>
          <w:rFonts w:hint="eastAsia" w:ascii="宋体" w:hAnsi="宋体"/>
          <w:bCs w:val="0"/>
          <w:color w:val="auto"/>
          <w:sz w:val="21"/>
          <w:szCs w:val="21"/>
          <w:highlight w:val="none"/>
        </w:rPr>
        <w:t>5.磋商</w:t>
      </w:r>
      <w:bookmarkEnd w:id="46"/>
      <w:bookmarkEnd w:id="47"/>
      <w:bookmarkEnd w:id="48"/>
      <w:bookmarkEnd w:id="49"/>
      <w:bookmarkEnd w:id="50"/>
      <w:bookmarkEnd w:id="51"/>
    </w:p>
    <w:p w14:paraId="0F630233">
      <w:pPr>
        <w:spacing w:line="460" w:lineRule="exact"/>
        <w:rPr>
          <w:rFonts w:ascii="宋体" w:hAnsi="宋体"/>
          <w:color w:val="auto"/>
          <w:szCs w:val="21"/>
          <w:highlight w:val="none"/>
        </w:rPr>
      </w:pPr>
      <w:r>
        <w:rPr>
          <w:rFonts w:hint="eastAsia" w:ascii="宋体" w:hAnsi="宋体"/>
          <w:b/>
          <w:color w:val="auto"/>
          <w:szCs w:val="21"/>
          <w:highlight w:val="none"/>
        </w:rPr>
        <w:t>5.1 磋商时间和地点</w:t>
      </w:r>
    </w:p>
    <w:p w14:paraId="498C845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6D387EE0">
      <w:pPr>
        <w:spacing w:line="460" w:lineRule="exact"/>
        <w:rPr>
          <w:rFonts w:ascii="宋体" w:hAnsi="宋体"/>
          <w:b/>
          <w:color w:val="auto"/>
          <w:szCs w:val="21"/>
          <w:highlight w:val="none"/>
        </w:rPr>
      </w:pPr>
      <w:r>
        <w:rPr>
          <w:rFonts w:hint="eastAsia" w:ascii="宋体" w:hAnsi="宋体"/>
          <w:b/>
          <w:color w:val="auto"/>
          <w:szCs w:val="21"/>
          <w:highlight w:val="none"/>
        </w:rPr>
        <w:t>5.2 开标程序</w:t>
      </w:r>
    </w:p>
    <w:p w14:paraId="173DF9D1">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746026D8">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76458B2D">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35356AB6">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2666602D">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7B6A81AB">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24A552B3">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03CDEBE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05E68841">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2A797F79">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0752506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206F04BE">
      <w:pPr>
        <w:pStyle w:val="9"/>
        <w:rPr>
          <w:color w:val="auto"/>
          <w:sz w:val="21"/>
          <w:szCs w:val="21"/>
          <w:highlight w:val="none"/>
        </w:rPr>
      </w:pPr>
      <w:r>
        <w:rPr>
          <w:rFonts w:hint="eastAsia"/>
          <w:color w:val="auto"/>
          <w:sz w:val="21"/>
          <w:szCs w:val="21"/>
          <w:highlight w:val="none"/>
        </w:rPr>
        <w:t>5.3磋商时出现下列情况的，采购人将拒绝其响应文件</w:t>
      </w:r>
    </w:p>
    <w:p w14:paraId="15E60190">
      <w:pPr>
        <w:pStyle w:val="9"/>
        <w:rPr>
          <w:b w:val="0"/>
          <w:bCs w:val="0"/>
          <w:color w:val="auto"/>
          <w:sz w:val="21"/>
          <w:szCs w:val="21"/>
          <w:highlight w:val="none"/>
        </w:rPr>
      </w:pPr>
      <w:r>
        <w:rPr>
          <w:rFonts w:hint="eastAsia"/>
          <w:b w:val="0"/>
          <w:bCs w:val="0"/>
          <w:color w:val="auto"/>
          <w:sz w:val="21"/>
          <w:szCs w:val="21"/>
          <w:highlight w:val="none"/>
        </w:rPr>
        <w:t>（1）经检查数字证书无效的响应文件；</w:t>
      </w:r>
    </w:p>
    <w:p w14:paraId="5718A271">
      <w:pPr>
        <w:pStyle w:val="9"/>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75ABB324">
      <w:pPr>
        <w:pStyle w:val="9"/>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5F6FF7A7">
      <w:pPr>
        <w:pStyle w:val="4"/>
        <w:spacing w:line="460" w:lineRule="exact"/>
        <w:jc w:val="left"/>
        <w:rPr>
          <w:rFonts w:ascii="宋体" w:hAnsi="宋体"/>
          <w:bCs w:val="0"/>
          <w:color w:val="auto"/>
          <w:sz w:val="21"/>
          <w:szCs w:val="21"/>
          <w:highlight w:val="none"/>
        </w:rPr>
      </w:pPr>
      <w:bookmarkStart w:id="52" w:name="_Toc30601"/>
      <w:bookmarkStart w:id="53" w:name="_Toc5269846"/>
      <w:bookmarkStart w:id="54" w:name="_Toc16420"/>
      <w:bookmarkStart w:id="55" w:name="_Toc1681"/>
      <w:bookmarkStart w:id="56" w:name="_Toc22776"/>
      <w:bookmarkStart w:id="57" w:name="_Toc3665"/>
      <w:r>
        <w:rPr>
          <w:rFonts w:hint="eastAsia" w:ascii="宋体" w:hAnsi="宋体"/>
          <w:bCs w:val="0"/>
          <w:color w:val="auto"/>
          <w:sz w:val="21"/>
          <w:szCs w:val="21"/>
          <w:highlight w:val="none"/>
        </w:rPr>
        <w:t>6.磋商评审</w:t>
      </w:r>
      <w:bookmarkEnd w:id="52"/>
      <w:bookmarkEnd w:id="53"/>
      <w:bookmarkEnd w:id="54"/>
      <w:bookmarkEnd w:id="55"/>
      <w:bookmarkEnd w:id="56"/>
      <w:bookmarkEnd w:id="57"/>
    </w:p>
    <w:p w14:paraId="2233340E">
      <w:pPr>
        <w:spacing w:line="460" w:lineRule="exact"/>
        <w:rPr>
          <w:rFonts w:ascii="宋体" w:hAnsi="宋体"/>
          <w:b/>
          <w:color w:val="auto"/>
          <w:szCs w:val="21"/>
          <w:highlight w:val="none"/>
        </w:rPr>
      </w:pPr>
      <w:r>
        <w:rPr>
          <w:rFonts w:hint="eastAsia" w:ascii="宋体" w:hAnsi="宋体"/>
          <w:b/>
          <w:color w:val="auto"/>
          <w:szCs w:val="21"/>
          <w:highlight w:val="none"/>
        </w:rPr>
        <w:t>6.1 磋商小组</w:t>
      </w:r>
    </w:p>
    <w:p w14:paraId="7C5C3E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68EE73B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1B90F3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3D3AB7D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4E44DD5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27AE0AB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7B39BA33">
      <w:pPr>
        <w:spacing w:line="460" w:lineRule="exact"/>
        <w:rPr>
          <w:rFonts w:ascii="宋体" w:hAnsi="宋体"/>
          <w:b/>
          <w:color w:val="auto"/>
          <w:szCs w:val="21"/>
          <w:highlight w:val="none"/>
        </w:rPr>
      </w:pPr>
      <w:r>
        <w:rPr>
          <w:rFonts w:hint="eastAsia" w:ascii="宋体" w:hAnsi="宋体"/>
          <w:b/>
          <w:color w:val="auto"/>
          <w:szCs w:val="21"/>
          <w:highlight w:val="none"/>
        </w:rPr>
        <w:t>6.2 磋商原则</w:t>
      </w:r>
    </w:p>
    <w:p w14:paraId="28566C2A">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630AFB51">
      <w:pPr>
        <w:spacing w:line="460" w:lineRule="exact"/>
        <w:rPr>
          <w:rFonts w:ascii="宋体" w:hAnsi="宋体"/>
          <w:b/>
          <w:color w:val="auto"/>
          <w:szCs w:val="21"/>
          <w:highlight w:val="none"/>
        </w:rPr>
      </w:pPr>
      <w:r>
        <w:rPr>
          <w:rFonts w:hint="eastAsia" w:ascii="宋体" w:hAnsi="宋体"/>
          <w:b/>
          <w:color w:val="auto"/>
          <w:szCs w:val="21"/>
          <w:highlight w:val="none"/>
        </w:rPr>
        <w:t>6.3 评审办法</w:t>
      </w:r>
    </w:p>
    <w:p w14:paraId="7F1FA6F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23215"/>
      <w:bookmarkStart w:id="59" w:name="_Toc5269847"/>
      <w:bookmarkStart w:id="60" w:name="_Toc30878"/>
      <w:bookmarkStart w:id="61" w:name="_Toc22917"/>
    </w:p>
    <w:p w14:paraId="26450A73">
      <w:pPr>
        <w:pStyle w:val="4"/>
        <w:spacing w:line="460" w:lineRule="exact"/>
        <w:jc w:val="left"/>
        <w:rPr>
          <w:rFonts w:ascii="宋体" w:hAnsi="宋体"/>
          <w:bCs w:val="0"/>
          <w:color w:val="auto"/>
          <w:sz w:val="21"/>
          <w:szCs w:val="21"/>
          <w:highlight w:val="none"/>
        </w:rPr>
      </w:pPr>
      <w:bookmarkStart w:id="62" w:name="_Toc14519"/>
      <w:bookmarkStart w:id="63" w:name="_Toc26159"/>
      <w:r>
        <w:rPr>
          <w:rFonts w:hint="eastAsia" w:ascii="宋体" w:hAnsi="宋体"/>
          <w:bCs w:val="0"/>
          <w:color w:val="auto"/>
          <w:sz w:val="21"/>
          <w:szCs w:val="21"/>
          <w:highlight w:val="none"/>
        </w:rPr>
        <w:t>7.合同授予</w:t>
      </w:r>
      <w:bookmarkEnd w:id="58"/>
      <w:bookmarkEnd w:id="59"/>
      <w:bookmarkEnd w:id="60"/>
      <w:bookmarkEnd w:id="61"/>
      <w:bookmarkEnd w:id="62"/>
      <w:bookmarkEnd w:id="63"/>
    </w:p>
    <w:p w14:paraId="28085840">
      <w:pPr>
        <w:spacing w:line="460" w:lineRule="exact"/>
        <w:rPr>
          <w:rFonts w:ascii="宋体" w:hAnsi="宋体"/>
          <w:b/>
          <w:color w:val="auto"/>
          <w:szCs w:val="21"/>
          <w:highlight w:val="none"/>
        </w:rPr>
      </w:pPr>
      <w:r>
        <w:rPr>
          <w:rFonts w:hint="eastAsia" w:ascii="宋体" w:hAnsi="宋体"/>
          <w:b/>
          <w:color w:val="auto"/>
          <w:szCs w:val="21"/>
          <w:highlight w:val="none"/>
        </w:rPr>
        <w:t>7.1 定标方式</w:t>
      </w:r>
    </w:p>
    <w:p w14:paraId="125B932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7AA83DA7">
      <w:pPr>
        <w:spacing w:line="460" w:lineRule="exact"/>
        <w:rPr>
          <w:rFonts w:ascii="宋体" w:hAnsi="宋体"/>
          <w:b/>
          <w:color w:val="auto"/>
          <w:szCs w:val="21"/>
          <w:highlight w:val="none"/>
        </w:rPr>
      </w:pPr>
      <w:r>
        <w:rPr>
          <w:rFonts w:hint="eastAsia" w:ascii="宋体" w:hAnsi="宋体"/>
          <w:b/>
          <w:color w:val="auto"/>
          <w:szCs w:val="21"/>
          <w:highlight w:val="none"/>
        </w:rPr>
        <w:t>7.2 成交通知</w:t>
      </w:r>
    </w:p>
    <w:p w14:paraId="151542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2CF71A82">
      <w:pPr>
        <w:spacing w:line="460" w:lineRule="exact"/>
        <w:rPr>
          <w:rFonts w:ascii="宋体" w:hAnsi="宋体"/>
          <w:b/>
          <w:color w:val="auto"/>
          <w:szCs w:val="21"/>
          <w:highlight w:val="none"/>
        </w:rPr>
      </w:pPr>
      <w:r>
        <w:rPr>
          <w:rFonts w:hint="eastAsia" w:ascii="宋体" w:hAnsi="宋体"/>
          <w:b/>
          <w:color w:val="auto"/>
          <w:szCs w:val="21"/>
          <w:highlight w:val="none"/>
        </w:rPr>
        <w:t>7.3 履约担保</w:t>
      </w:r>
    </w:p>
    <w:p w14:paraId="1238287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3F3E37D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405EB091">
      <w:pPr>
        <w:spacing w:line="460" w:lineRule="exact"/>
        <w:rPr>
          <w:rFonts w:ascii="宋体" w:hAnsi="宋体"/>
          <w:b/>
          <w:color w:val="auto"/>
          <w:szCs w:val="21"/>
          <w:highlight w:val="none"/>
        </w:rPr>
      </w:pPr>
      <w:r>
        <w:rPr>
          <w:rFonts w:hint="eastAsia" w:ascii="宋体" w:hAnsi="宋体"/>
          <w:b/>
          <w:color w:val="auto"/>
          <w:szCs w:val="21"/>
          <w:highlight w:val="none"/>
        </w:rPr>
        <w:t>7.4 签订合同</w:t>
      </w:r>
    </w:p>
    <w:p w14:paraId="40586B0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6B5D7A2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783ABFAF">
      <w:pPr>
        <w:pStyle w:val="4"/>
        <w:spacing w:line="460" w:lineRule="exact"/>
        <w:jc w:val="left"/>
        <w:rPr>
          <w:rFonts w:ascii="宋体" w:hAnsi="宋体"/>
          <w:bCs w:val="0"/>
          <w:color w:val="auto"/>
          <w:sz w:val="21"/>
          <w:szCs w:val="21"/>
          <w:highlight w:val="none"/>
        </w:rPr>
      </w:pPr>
      <w:bookmarkStart w:id="64" w:name="_Toc19153"/>
      <w:bookmarkStart w:id="65" w:name="_Toc29552"/>
      <w:bookmarkStart w:id="66" w:name="_Toc19828"/>
      <w:bookmarkStart w:id="67" w:name="_Toc7113"/>
      <w:bookmarkStart w:id="68" w:name="_Toc5269848"/>
      <w:bookmarkStart w:id="69" w:name="_Toc31926"/>
      <w:r>
        <w:rPr>
          <w:rFonts w:hint="eastAsia" w:ascii="宋体" w:hAnsi="宋体"/>
          <w:bCs w:val="0"/>
          <w:color w:val="auto"/>
          <w:sz w:val="21"/>
          <w:szCs w:val="21"/>
          <w:highlight w:val="none"/>
        </w:rPr>
        <w:t>8.重新</w:t>
      </w:r>
      <w:bookmarkEnd w:id="64"/>
      <w:r>
        <w:rPr>
          <w:rFonts w:hint="eastAsia" w:ascii="宋体" w:hAnsi="宋体"/>
          <w:bCs w:val="0"/>
          <w:color w:val="auto"/>
          <w:sz w:val="21"/>
          <w:szCs w:val="21"/>
          <w:highlight w:val="none"/>
        </w:rPr>
        <w:t>采购</w:t>
      </w:r>
      <w:bookmarkEnd w:id="65"/>
      <w:bookmarkEnd w:id="66"/>
      <w:bookmarkEnd w:id="67"/>
      <w:bookmarkEnd w:id="68"/>
      <w:bookmarkEnd w:id="69"/>
    </w:p>
    <w:p w14:paraId="61587CA8">
      <w:pPr>
        <w:spacing w:line="460" w:lineRule="exact"/>
        <w:rPr>
          <w:rFonts w:ascii="宋体" w:hAnsi="宋体"/>
          <w:b/>
          <w:color w:val="auto"/>
          <w:szCs w:val="21"/>
          <w:highlight w:val="none"/>
        </w:rPr>
      </w:pPr>
      <w:r>
        <w:rPr>
          <w:rFonts w:hint="eastAsia" w:ascii="宋体" w:hAnsi="宋体"/>
          <w:b/>
          <w:color w:val="auto"/>
          <w:szCs w:val="21"/>
          <w:highlight w:val="none"/>
        </w:rPr>
        <w:t>8.1 重新采购</w:t>
      </w:r>
    </w:p>
    <w:p w14:paraId="05B73A9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1D42F5C5">
      <w:pPr>
        <w:numPr>
          <w:ilvl w:val="0"/>
          <w:numId w:val="5"/>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06AC2156">
      <w:pPr>
        <w:numPr>
          <w:ilvl w:val="0"/>
          <w:numId w:val="5"/>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7CCFF335">
      <w:pPr>
        <w:pStyle w:val="4"/>
        <w:spacing w:line="460" w:lineRule="exact"/>
        <w:jc w:val="left"/>
        <w:rPr>
          <w:rFonts w:ascii="宋体" w:hAnsi="宋体"/>
          <w:bCs w:val="0"/>
          <w:color w:val="auto"/>
          <w:sz w:val="21"/>
          <w:szCs w:val="21"/>
          <w:highlight w:val="none"/>
        </w:rPr>
      </w:pPr>
      <w:bookmarkStart w:id="70" w:name="_Toc12498"/>
      <w:bookmarkStart w:id="71" w:name="_Toc5269849"/>
      <w:bookmarkStart w:id="72" w:name="_Toc27321"/>
      <w:bookmarkStart w:id="73" w:name="_Toc14198"/>
      <w:bookmarkStart w:id="74" w:name="_Toc14953"/>
      <w:bookmarkStart w:id="75" w:name="_Toc15001"/>
      <w:r>
        <w:rPr>
          <w:rFonts w:hint="eastAsia" w:ascii="宋体" w:hAnsi="宋体"/>
          <w:bCs w:val="0"/>
          <w:color w:val="auto"/>
          <w:sz w:val="21"/>
          <w:szCs w:val="21"/>
          <w:highlight w:val="none"/>
        </w:rPr>
        <w:t>9.纪律和监督</w:t>
      </w:r>
      <w:bookmarkEnd w:id="70"/>
      <w:bookmarkEnd w:id="71"/>
      <w:bookmarkEnd w:id="72"/>
      <w:bookmarkEnd w:id="73"/>
      <w:bookmarkEnd w:id="74"/>
      <w:bookmarkEnd w:id="75"/>
    </w:p>
    <w:p w14:paraId="74561531">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67A766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4C36FD02">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5D57D46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0280AD89">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541FDEC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7380BE9B">
      <w:pPr>
        <w:pStyle w:val="4"/>
        <w:spacing w:line="460" w:lineRule="exact"/>
        <w:jc w:val="left"/>
        <w:rPr>
          <w:rFonts w:ascii="宋体" w:hAnsi="宋体"/>
          <w:bCs w:val="0"/>
          <w:color w:val="auto"/>
          <w:sz w:val="21"/>
          <w:szCs w:val="21"/>
          <w:highlight w:val="none"/>
        </w:rPr>
      </w:pPr>
      <w:bookmarkStart w:id="76" w:name="_Toc32183"/>
      <w:bookmarkStart w:id="77" w:name="_Toc23359"/>
      <w:bookmarkStart w:id="78" w:name="_Toc4660"/>
      <w:bookmarkStart w:id="79" w:name="_Toc10859"/>
      <w:bookmarkStart w:id="80" w:name="_Toc21492"/>
      <w:bookmarkStart w:id="81" w:name="_Toc5269850"/>
      <w:r>
        <w:rPr>
          <w:rFonts w:hint="eastAsia" w:ascii="宋体" w:hAnsi="宋体"/>
          <w:bCs w:val="0"/>
          <w:color w:val="auto"/>
          <w:sz w:val="21"/>
          <w:szCs w:val="21"/>
          <w:highlight w:val="none"/>
        </w:rPr>
        <w:t>10.需要补充的其他内容</w:t>
      </w:r>
      <w:bookmarkEnd w:id="76"/>
      <w:bookmarkEnd w:id="77"/>
      <w:bookmarkEnd w:id="78"/>
      <w:bookmarkEnd w:id="79"/>
      <w:bookmarkEnd w:id="80"/>
      <w:bookmarkEnd w:id="81"/>
    </w:p>
    <w:p w14:paraId="6CE4DD9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2151071A">
      <w:pPr>
        <w:pStyle w:val="2"/>
        <w:numPr>
          <w:ilvl w:val="0"/>
          <w:numId w:val="0"/>
        </w:numPr>
        <w:tabs>
          <w:tab w:val="clear" w:pos="432"/>
        </w:tabs>
        <w:rPr>
          <w:color w:val="auto"/>
          <w:highlight w:val="none"/>
        </w:rPr>
      </w:pPr>
      <w:bookmarkStart w:id="82" w:name="_Toc22459"/>
      <w:bookmarkStart w:id="83" w:name="_Toc30573"/>
      <w:r>
        <w:rPr>
          <w:rFonts w:hint="eastAsia"/>
          <w:color w:val="auto"/>
          <w:highlight w:val="none"/>
        </w:rPr>
        <w:br w:type="page"/>
      </w:r>
      <w:bookmarkStart w:id="84" w:name="_Toc19616"/>
      <w:r>
        <w:rPr>
          <w:rFonts w:hint="eastAsia"/>
          <w:b/>
          <w:bCs/>
          <w:color w:val="auto"/>
          <w:highlight w:val="none"/>
        </w:rPr>
        <w:t>第三章 磋商程序及办法（综合评分法）</w:t>
      </w:r>
      <w:bookmarkEnd w:id="82"/>
      <w:bookmarkEnd w:id="83"/>
      <w:bookmarkEnd w:id="84"/>
    </w:p>
    <w:tbl>
      <w:tblPr>
        <w:tblStyle w:val="24"/>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1610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299E8796">
            <w:pPr>
              <w:spacing w:line="400" w:lineRule="exact"/>
              <w:jc w:val="center"/>
              <w:rPr>
                <w:rFonts w:ascii="宋体" w:hAnsi="宋体" w:eastAsia="Times New Roman"/>
                <w:color w:val="auto"/>
                <w:szCs w:val="21"/>
                <w:highlight w:val="none"/>
              </w:rPr>
            </w:pPr>
            <w:bookmarkStart w:id="85" w:name="_Toc17131"/>
            <w:bookmarkStart w:id="86" w:name="_Toc433093355"/>
            <w:bookmarkStart w:id="87" w:name="_Toc6653"/>
            <w:bookmarkStart w:id="88" w:name="_Toc409023135"/>
            <w:bookmarkStart w:id="89" w:name="_Toc5269852"/>
            <w:bookmarkStart w:id="90" w:name="_Toc28209"/>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092F72BB">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05CF281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2D25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5129A08F">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555F6E82">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67B907D3">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049D678B">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75ED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CEFD4CB">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29CA9B3E">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2817B0AD">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5FBEB4B2">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0BD2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1B6DE7B7">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589CA91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2F45B01">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498A887B">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45CD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34C8B16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1EBDCE7">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699D5CBD">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4D34EE67">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4AF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16A2B8A5">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2CAF011C">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EDDC713">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6CD4DC8F">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服务周期</w:t>
            </w:r>
          </w:p>
        </w:tc>
        <w:tc>
          <w:tcPr>
            <w:tcW w:w="5972" w:type="dxa"/>
            <w:tcBorders>
              <w:top w:val="double" w:color="auto" w:sz="4" w:space="0"/>
              <w:right w:val="double" w:color="auto" w:sz="4" w:space="0"/>
            </w:tcBorders>
            <w:vAlign w:val="center"/>
          </w:tcPr>
          <w:p w14:paraId="565E4295">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39B5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413C472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07885A4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C6B4614">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55D18D47">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26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655C8B0A">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6CE7B30">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689842E9">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6D4D5BF9">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3DD8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695F4306">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E1FCF00">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6EB0168B">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53C043B1">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7811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3F9C65AE">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52154F73">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7AE50BE7">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13FA1BE2">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7657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754465F5">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49FD93CB">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3BD3D0E1">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5701D845">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1A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3889D5C9">
            <w:pPr>
              <w:spacing w:line="400" w:lineRule="exact"/>
              <w:jc w:val="center"/>
              <w:rPr>
                <w:rFonts w:ascii="宋体" w:hAnsi="宋体" w:eastAsia="Times New Roman"/>
                <w:color w:val="auto"/>
                <w:szCs w:val="21"/>
                <w:highlight w:val="none"/>
              </w:rPr>
            </w:pPr>
          </w:p>
        </w:tc>
        <w:tc>
          <w:tcPr>
            <w:tcW w:w="851" w:type="dxa"/>
            <w:vMerge w:val="continue"/>
            <w:vAlign w:val="center"/>
          </w:tcPr>
          <w:p w14:paraId="0690E551">
            <w:pPr>
              <w:spacing w:line="400" w:lineRule="exact"/>
              <w:jc w:val="center"/>
              <w:rPr>
                <w:rFonts w:ascii="宋体" w:hAnsi="宋体" w:eastAsia="Times New Roman"/>
                <w:color w:val="auto"/>
                <w:szCs w:val="21"/>
                <w:highlight w:val="none"/>
              </w:rPr>
            </w:pPr>
          </w:p>
        </w:tc>
        <w:tc>
          <w:tcPr>
            <w:tcW w:w="2121" w:type="dxa"/>
            <w:vAlign w:val="center"/>
          </w:tcPr>
          <w:p w14:paraId="4AE10787">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2C54B409">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66F0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49B8E3B">
            <w:pPr>
              <w:spacing w:line="400" w:lineRule="exact"/>
              <w:jc w:val="center"/>
              <w:rPr>
                <w:rFonts w:ascii="宋体" w:hAnsi="宋体" w:eastAsia="Times New Roman"/>
                <w:color w:val="auto"/>
                <w:szCs w:val="21"/>
                <w:highlight w:val="none"/>
              </w:rPr>
            </w:pPr>
          </w:p>
        </w:tc>
        <w:tc>
          <w:tcPr>
            <w:tcW w:w="851" w:type="dxa"/>
            <w:vMerge w:val="continue"/>
            <w:vAlign w:val="center"/>
          </w:tcPr>
          <w:p w14:paraId="030713E4">
            <w:pPr>
              <w:spacing w:line="400" w:lineRule="exact"/>
              <w:jc w:val="center"/>
              <w:rPr>
                <w:rFonts w:ascii="宋体" w:hAnsi="宋体" w:eastAsia="Times New Roman"/>
                <w:color w:val="auto"/>
                <w:szCs w:val="21"/>
                <w:highlight w:val="none"/>
              </w:rPr>
            </w:pPr>
          </w:p>
        </w:tc>
        <w:tc>
          <w:tcPr>
            <w:tcW w:w="2121" w:type="dxa"/>
            <w:vAlign w:val="center"/>
          </w:tcPr>
          <w:p w14:paraId="45202345">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3D8102F5">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538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4AC7D09B">
            <w:pPr>
              <w:spacing w:line="360" w:lineRule="exact"/>
              <w:rPr>
                <w:rFonts w:ascii="Times New Roman" w:hAnsi="Times New Roman" w:eastAsia="Times New Roman"/>
                <w:color w:val="auto"/>
                <w:szCs w:val="21"/>
                <w:highlight w:val="none"/>
              </w:rPr>
            </w:pPr>
          </w:p>
        </w:tc>
        <w:tc>
          <w:tcPr>
            <w:tcW w:w="851" w:type="dxa"/>
            <w:vMerge w:val="continue"/>
            <w:vAlign w:val="center"/>
          </w:tcPr>
          <w:p w14:paraId="09C8C591">
            <w:pPr>
              <w:spacing w:line="360" w:lineRule="exact"/>
              <w:rPr>
                <w:rFonts w:ascii="Times New Roman" w:hAnsi="Times New Roman" w:eastAsia="Times New Roman"/>
                <w:color w:val="auto"/>
                <w:szCs w:val="21"/>
                <w:highlight w:val="none"/>
              </w:rPr>
            </w:pPr>
          </w:p>
        </w:tc>
        <w:tc>
          <w:tcPr>
            <w:tcW w:w="2121" w:type="dxa"/>
            <w:vAlign w:val="center"/>
          </w:tcPr>
          <w:p w14:paraId="62BB082B">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723AC9D0">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6ADD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2219F849">
            <w:pPr>
              <w:spacing w:line="360" w:lineRule="exact"/>
              <w:rPr>
                <w:rFonts w:ascii="Times New Roman" w:hAnsi="Times New Roman" w:eastAsia="Times New Roman"/>
                <w:color w:val="auto"/>
                <w:szCs w:val="21"/>
                <w:highlight w:val="none"/>
              </w:rPr>
            </w:pPr>
          </w:p>
        </w:tc>
        <w:tc>
          <w:tcPr>
            <w:tcW w:w="851" w:type="dxa"/>
            <w:vMerge w:val="continue"/>
            <w:vAlign w:val="center"/>
          </w:tcPr>
          <w:p w14:paraId="5048AE18">
            <w:pPr>
              <w:spacing w:line="360" w:lineRule="exact"/>
              <w:rPr>
                <w:rFonts w:ascii="Times New Roman" w:hAnsi="Times New Roman" w:eastAsia="Times New Roman"/>
                <w:color w:val="auto"/>
                <w:szCs w:val="21"/>
                <w:highlight w:val="none"/>
              </w:rPr>
            </w:pPr>
          </w:p>
        </w:tc>
        <w:tc>
          <w:tcPr>
            <w:tcW w:w="2121" w:type="dxa"/>
            <w:vAlign w:val="center"/>
          </w:tcPr>
          <w:p w14:paraId="37CF4A93">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251081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供应商应具</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测绘乙级及以上资质(需包含以下专业：地理信息系统工程、界线与不动产测绘)。</w:t>
            </w:r>
          </w:p>
          <w:p w14:paraId="6F8C5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w:t>
            </w:r>
            <w:r>
              <w:rPr>
                <w:rFonts w:hint="eastAsia" w:ascii="宋体" w:hAnsi="宋体" w:cs="宋体"/>
                <w:color w:val="auto"/>
                <w:szCs w:val="21"/>
                <w:highlight w:val="none"/>
                <w:lang w:val="en-US" w:eastAsia="zh-CN"/>
              </w:rPr>
              <w:t>测绘</w:t>
            </w:r>
            <w:r>
              <w:rPr>
                <w:rFonts w:hint="eastAsia" w:ascii="宋体" w:hAnsi="宋体" w:cs="宋体"/>
                <w:color w:val="auto"/>
                <w:szCs w:val="21"/>
                <w:highlight w:val="none"/>
              </w:rPr>
              <w:t>相关专业中级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和注册测绘师</w:t>
            </w:r>
            <w:r>
              <w:rPr>
                <w:rFonts w:hint="eastAsia" w:ascii="宋体" w:hAnsi="宋体" w:cs="宋体"/>
                <w:color w:val="auto"/>
                <w:szCs w:val="21"/>
                <w:highlight w:val="none"/>
              </w:rPr>
              <w:t>，且为本单位人员，须提供</w:t>
            </w:r>
            <w:r>
              <w:rPr>
                <w:rFonts w:hint="eastAsia" w:ascii="宋体" w:hAnsi="宋体" w:cs="宋体"/>
                <w:color w:val="auto"/>
                <w:szCs w:val="21"/>
                <w:highlight w:val="none"/>
                <w:lang w:eastAsia="zh-CN"/>
              </w:rPr>
              <w:t>2024年12月以来任意一个月有效的</w:t>
            </w:r>
            <w:r>
              <w:rPr>
                <w:rFonts w:hint="eastAsia" w:ascii="宋体" w:hAnsi="宋体" w:cs="宋体"/>
                <w:color w:val="auto"/>
                <w:szCs w:val="21"/>
                <w:highlight w:val="none"/>
              </w:rPr>
              <w:t>缴纳社保证明材料。</w:t>
            </w:r>
          </w:p>
          <w:p w14:paraId="40879FFA">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w:t>
            </w:r>
            <w:r>
              <w:rPr>
                <w:rFonts w:hint="eastAsia" w:ascii="宋体" w:hAnsi="宋体" w:cs="宋体"/>
                <w:color w:val="auto"/>
                <w:kern w:val="0"/>
                <w:szCs w:val="21"/>
                <w:highlight w:val="none"/>
                <w:lang w:eastAsia="zh-CN" w:bidi="ar"/>
              </w:rPr>
              <w:t>根据需要将对所有参与</w:t>
            </w:r>
            <w:r>
              <w:rPr>
                <w:rFonts w:hint="eastAsia" w:ascii="宋体" w:hAnsi="宋体" w:cs="宋体"/>
                <w:color w:val="auto"/>
                <w:kern w:val="0"/>
                <w:szCs w:val="21"/>
                <w:highlight w:val="none"/>
                <w:lang w:bidi="ar"/>
              </w:rPr>
              <w:t>本项目投标的供应商的信用情况（失信被执行人、重大税收违法失信主体、政府采购严重违法失信行为记录名单）进行查询。若在开标当天查询到供应商有相关负面信息的，则该供应商为无效供应商。</w:t>
            </w:r>
          </w:p>
          <w:p w14:paraId="1FE718CE">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64E22AC4">
            <w:pPr>
              <w:pStyle w:val="23"/>
              <w:spacing w:line="360" w:lineRule="auto"/>
              <w:ind w:left="0" w:leftChars="0" w:firstLine="420"/>
              <w:rPr>
                <w:rFonts w:ascii="Times New Roman" w:hAnsi="Times New Roman"/>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4DFF92D2">
      <w:pPr>
        <w:jc w:val="left"/>
        <w:rPr>
          <w:bCs/>
          <w:color w:val="auto"/>
          <w:highlight w:val="none"/>
        </w:rPr>
      </w:pPr>
      <w:r>
        <w:rPr>
          <w:rFonts w:hint="eastAsia" w:ascii="宋体" w:hAnsi="宋体"/>
          <w:bCs/>
          <w:color w:val="auto"/>
          <w:sz w:val="30"/>
          <w:szCs w:val="30"/>
          <w:highlight w:val="none"/>
        </w:rPr>
        <w:t>1.磋商程序及办法前附表</w:t>
      </w:r>
      <w:bookmarkEnd w:id="85"/>
      <w:bookmarkEnd w:id="86"/>
      <w:bookmarkEnd w:id="87"/>
      <w:bookmarkEnd w:id="88"/>
      <w:bookmarkEnd w:id="89"/>
      <w:bookmarkEnd w:id="90"/>
    </w:p>
    <w:p w14:paraId="0D3B653F">
      <w:pPr>
        <w:rPr>
          <w:color w:val="auto"/>
          <w:highlight w:val="none"/>
        </w:rPr>
      </w:pPr>
    </w:p>
    <w:p w14:paraId="10954AB8">
      <w:pPr>
        <w:numPr>
          <w:ilvl w:val="0"/>
          <w:numId w:val="6"/>
        </w:numPr>
        <w:rPr>
          <w:color w:val="auto"/>
          <w:sz w:val="30"/>
          <w:szCs w:val="30"/>
          <w:highlight w:val="none"/>
        </w:rPr>
      </w:pPr>
      <w:r>
        <w:rPr>
          <w:rFonts w:hint="eastAsia"/>
          <w:color w:val="auto"/>
          <w:sz w:val="30"/>
          <w:szCs w:val="30"/>
          <w:highlight w:val="none"/>
        </w:rPr>
        <w:t>详细评审</w:t>
      </w:r>
    </w:p>
    <w:tbl>
      <w:tblPr>
        <w:tblStyle w:val="24"/>
        <w:tblW w:w="97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1744"/>
        <w:gridCol w:w="5636"/>
      </w:tblGrid>
      <w:tr w14:paraId="1DAA1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35A377DD">
            <w:pPr>
              <w:widowControl/>
              <w:spacing w:line="360" w:lineRule="auto"/>
              <w:jc w:val="left"/>
              <w:rPr>
                <w:rFonts w:ascii="宋体" w:hAnsi="宋体" w:eastAsia="Times New Roman" w:cs="宋体"/>
                <w:color w:val="auto"/>
                <w:szCs w:val="21"/>
                <w:highlight w:val="none"/>
              </w:rPr>
            </w:pPr>
            <w:bookmarkStart w:id="91" w:name="_Toc12526"/>
            <w:bookmarkStart w:id="92" w:name="_Toc10657"/>
            <w:bookmarkStart w:id="93" w:name="_Toc5269853"/>
            <w:bookmarkStart w:id="94" w:name="_Toc11164"/>
          </w:p>
          <w:p w14:paraId="798F12A5">
            <w:pPr>
              <w:widowControl/>
              <w:spacing w:line="360" w:lineRule="auto"/>
              <w:jc w:val="left"/>
              <w:rPr>
                <w:rFonts w:ascii="宋体" w:hAnsi="宋体" w:eastAsia="Times New Roman" w:cs="宋体"/>
                <w:color w:val="auto"/>
                <w:szCs w:val="21"/>
                <w:highlight w:val="none"/>
              </w:rPr>
            </w:pPr>
          </w:p>
          <w:p w14:paraId="0164C408">
            <w:pPr>
              <w:widowControl/>
              <w:spacing w:line="360" w:lineRule="auto"/>
              <w:jc w:val="left"/>
              <w:rPr>
                <w:rFonts w:ascii="宋体" w:hAnsi="宋体" w:eastAsia="Times New Roman" w:cs="宋体"/>
                <w:color w:val="auto"/>
                <w:szCs w:val="21"/>
                <w:highlight w:val="none"/>
              </w:rPr>
            </w:pPr>
          </w:p>
          <w:p w14:paraId="1D6CD600">
            <w:pPr>
              <w:widowControl/>
              <w:spacing w:line="360" w:lineRule="auto"/>
              <w:jc w:val="left"/>
              <w:rPr>
                <w:rFonts w:ascii="宋体" w:hAnsi="宋体" w:eastAsia="Times New Roman" w:cs="宋体"/>
                <w:color w:val="auto"/>
                <w:szCs w:val="21"/>
                <w:highlight w:val="none"/>
              </w:rPr>
            </w:pPr>
          </w:p>
          <w:p w14:paraId="717AEBE0">
            <w:pPr>
              <w:widowControl/>
              <w:spacing w:line="360" w:lineRule="auto"/>
              <w:jc w:val="left"/>
              <w:rPr>
                <w:rFonts w:ascii="宋体" w:hAnsi="宋体" w:eastAsia="Times New Roman" w:cs="宋体"/>
                <w:color w:val="auto"/>
                <w:szCs w:val="21"/>
                <w:highlight w:val="none"/>
              </w:rPr>
            </w:pPr>
          </w:p>
          <w:p w14:paraId="0EF89DE6">
            <w:pPr>
              <w:widowControl/>
              <w:spacing w:line="360" w:lineRule="auto"/>
              <w:jc w:val="left"/>
              <w:rPr>
                <w:rFonts w:ascii="宋体" w:hAnsi="宋体" w:eastAsia="Times New Roman" w:cs="宋体"/>
                <w:color w:val="auto"/>
                <w:szCs w:val="21"/>
                <w:highlight w:val="none"/>
              </w:rPr>
            </w:pPr>
          </w:p>
          <w:p w14:paraId="61E56BCB">
            <w:pPr>
              <w:widowControl/>
              <w:spacing w:line="360" w:lineRule="auto"/>
              <w:jc w:val="left"/>
              <w:rPr>
                <w:rFonts w:ascii="宋体" w:hAnsi="宋体" w:eastAsia="Times New Roman" w:cs="宋体"/>
                <w:color w:val="auto"/>
                <w:szCs w:val="21"/>
                <w:highlight w:val="none"/>
              </w:rPr>
            </w:pPr>
          </w:p>
          <w:p w14:paraId="7D9C407E">
            <w:pPr>
              <w:widowControl/>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685DEF47">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2.2.1</w:t>
            </w:r>
          </w:p>
        </w:tc>
        <w:tc>
          <w:tcPr>
            <w:tcW w:w="1744" w:type="dxa"/>
            <w:tcBorders>
              <w:top w:val="single" w:color="auto" w:sz="4" w:space="0"/>
              <w:left w:val="single" w:color="auto" w:sz="4" w:space="0"/>
              <w:bottom w:val="single" w:color="auto" w:sz="4" w:space="0"/>
              <w:right w:val="single" w:color="auto" w:sz="4" w:space="0"/>
            </w:tcBorders>
            <w:vAlign w:val="center"/>
          </w:tcPr>
          <w:p w14:paraId="3A0C75FF">
            <w:pPr>
              <w:adjustRightInd w:val="0"/>
              <w:spacing w:line="360" w:lineRule="auto"/>
              <w:jc w:val="center"/>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 xml:space="preserve"> 分值构成</w:t>
            </w:r>
          </w:p>
          <w:p w14:paraId="0165417E">
            <w:pPr>
              <w:pStyle w:val="22"/>
              <w:ind w:firstLine="0" w:firstLineChars="0"/>
              <w:jc w:val="center"/>
              <w:rPr>
                <w:rFonts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（总分100分）</w:t>
            </w:r>
          </w:p>
        </w:tc>
        <w:tc>
          <w:tcPr>
            <w:tcW w:w="5636" w:type="dxa"/>
            <w:tcBorders>
              <w:top w:val="single" w:color="auto" w:sz="4" w:space="0"/>
              <w:left w:val="single" w:color="auto" w:sz="4" w:space="0"/>
              <w:bottom w:val="single" w:color="auto" w:sz="4" w:space="0"/>
              <w:right w:val="single" w:color="auto" w:sz="4" w:space="0"/>
            </w:tcBorders>
            <w:vAlign w:val="center"/>
          </w:tcPr>
          <w:p w14:paraId="1C9884F2">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经济标评分：</w:t>
            </w:r>
            <w:r>
              <w:rPr>
                <w:rFonts w:hint="eastAsia" w:ascii="Times New Roman" w:hAnsi="Times New Roman" w:eastAsia="宋体"/>
                <w:color w:val="auto"/>
                <w:szCs w:val="21"/>
                <w:highlight w:val="none"/>
                <w:lang w:val="en-US" w:eastAsia="zh-CN"/>
              </w:rPr>
              <w:t>1</w:t>
            </w:r>
            <w:r>
              <w:rPr>
                <w:rFonts w:hint="eastAsia" w:ascii="Times New Roman" w:hAnsi="Times New Roman" w:eastAsia="Times New Roman"/>
                <w:color w:val="auto"/>
                <w:szCs w:val="21"/>
                <w:highlight w:val="none"/>
              </w:rPr>
              <w:t>0分</w:t>
            </w:r>
          </w:p>
          <w:p w14:paraId="25B70353">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技术标评分：</w:t>
            </w:r>
            <w:r>
              <w:rPr>
                <w:rFonts w:hint="eastAsia" w:ascii="Times New Roman" w:hAnsi="Times New Roman" w:eastAsia="宋体"/>
                <w:color w:val="auto"/>
                <w:szCs w:val="21"/>
                <w:highlight w:val="none"/>
                <w:lang w:val="en-US" w:eastAsia="zh-CN"/>
              </w:rPr>
              <w:t>65</w:t>
            </w:r>
            <w:r>
              <w:rPr>
                <w:rFonts w:hint="eastAsia" w:ascii="Times New Roman" w:hAnsi="Times New Roman" w:eastAsia="Times New Roman"/>
                <w:color w:val="auto"/>
                <w:szCs w:val="21"/>
                <w:highlight w:val="none"/>
              </w:rPr>
              <w:t>分</w:t>
            </w:r>
          </w:p>
          <w:p w14:paraId="045027DE">
            <w:pPr>
              <w:adjustRightInd w:val="0"/>
              <w:spacing w:line="360" w:lineRule="auto"/>
              <w:jc w:val="left"/>
              <w:textAlignment w:val="baseline"/>
              <w:rPr>
                <w:rFonts w:ascii="宋体" w:hAnsi="宋体" w:eastAsia="Times New Roman" w:cs="宋体"/>
                <w:color w:val="auto"/>
                <w:szCs w:val="21"/>
                <w:highlight w:val="none"/>
              </w:rPr>
            </w:pPr>
            <w:r>
              <w:rPr>
                <w:rFonts w:hint="eastAsia" w:ascii="Times New Roman" w:hAnsi="Times New Roman" w:eastAsia="Times New Roman"/>
                <w:color w:val="auto"/>
                <w:szCs w:val="21"/>
                <w:highlight w:val="none"/>
              </w:rPr>
              <w:t>综合标评分：</w:t>
            </w:r>
            <w:r>
              <w:rPr>
                <w:rFonts w:hint="eastAsia" w:ascii="Times New Roman" w:hAnsi="Times New Roman"/>
                <w:color w:val="auto"/>
                <w:szCs w:val="21"/>
                <w:highlight w:val="none"/>
                <w:lang w:val="en-US" w:eastAsia="zh-CN"/>
              </w:rPr>
              <w:t>25</w:t>
            </w:r>
            <w:r>
              <w:rPr>
                <w:rFonts w:hint="eastAsia" w:ascii="Times New Roman" w:hAnsi="Times New Roman" w:eastAsia="Times New Roman"/>
                <w:color w:val="auto"/>
                <w:szCs w:val="21"/>
                <w:highlight w:val="none"/>
              </w:rPr>
              <w:t>分</w:t>
            </w:r>
          </w:p>
        </w:tc>
      </w:tr>
      <w:tr w14:paraId="73F67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5" w:hRule="atLeast"/>
          <w:jc w:val="center"/>
        </w:trPr>
        <w:tc>
          <w:tcPr>
            <w:tcW w:w="1148" w:type="dxa"/>
            <w:vMerge w:val="continue"/>
            <w:tcBorders>
              <w:top w:val="single" w:color="auto" w:sz="4" w:space="0"/>
              <w:left w:val="single" w:color="auto" w:sz="4" w:space="0"/>
              <w:right w:val="single" w:color="auto" w:sz="4" w:space="0"/>
            </w:tcBorders>
            <w:vAlign w:val="center"/>
          </w:tcPr>
          <w:p w14:paraId="5796FCD3">
            <w:pPr>
              <w:widowControl/>
              <w:spacing w:line="360" w:lineRule="auto"/>
              <w:jc w:val="left"/>
              <w:rPr>
                <w:rFonts w:ascii="宋体" w:hAnsi="宋体" w:eastAsia="Times New Roman"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028A46B2">
            <w:pPr>
              <w:widowControl/>
              <w:spacing w:line="360" w:lineRule="auto"/>
              <w:rPr>
                <w:rFonts w:ascii="宋体" w:hAnsi="宋体" w:eastAsia="Times New Roman" w:cs="宋体"/>
                <w:color w:val="auto"/>
                <w:szCs w:val="21"/>
                <w:highlight w:val="none"/>
              </w:rPr>
            </w:pPr>
          </w:p>
          <w:p w14:paraId="63FC5444">
            <w:pPr>
              <w:widowControl/>
              <w:spacing w:line="360" w:lineRule="auto"/>
              <w:jc w:val="center"/>
              <w:rPr>
                <w:rFonts w:ascii="宋体" w:hAnsi="宋体" w:eastAsia="Times New Roman" w:cs="宋体"/>
                <w:color w:val="auto"/>
                <w:szCs w:val="21"/>
                <w:highlight w:val="none"/>
              </w:rPr>
            </w:pPr>
          </w:p>
          <w:p w14:paraId="14C031FA">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2.2.2（1）经济标评分（</w:t>
            </w:r>
            <w:r>
              <w:rPr>
                <w:rFonts w:hint="eastAsia" w:ascii="宋体" w:hAnsi="宋体" w:eastAsia="宋体" w:cs="宋体"/>
                <w:color w:val="auto"/>
                <w:szCs w:val="21"/>
                <w:highlight w:val="none"/>
                <w:lang w:val="en-US" w:eastAsia="zh-CN"/>
              </w:rPr>
              <w:t>1</w:t>
            </w:r>
            <w:r>
              <w:rPr>
                <w:rFonts w:hint="eastAsia" w:ascii="宋体" w:hAnsi="宋体" w:eastAsia="Times New Roman" w:cs="宋体"/>
                <w:color w:val="auto"/>
                <w:szCs w:val="21"/>
                <w:highlight w:val="none"/>
              </w:rPr>
              <w:t>0分）</w:t>
            </w:r>
          </w:p>
        </w:tc>
        <w:tc>
          <w:tcPr>
            <w:tcW w:w="1744" w:type="dxa"/>
            <w:tcBorders>
              <w:top w:val="single" w:color="auto" w:sz="4" w:space="0"/>
              <w:left w:val="single" w:color="auto" w:sz="4" w:space="0"/>
              <w:bottom w:val="single" w:color="auto" w:sz="4" w:space="0"/>
              <w:right w:val="single" w:color="auto" w:sz="4" w:space="0"/>
            </w:tcBorders>
            <w:vAlign w:val="center"/>
          </w:tcPr>
          <w:p w14:paraId="20113496">
            <w:pPr>
              <w:spacing w:line="360" w:lineRule="auto"/>
              <w:rPr>
                <w:rFonts w:ascii="Times New Roman" w:hAnsi="Times New Roman" w:eastAsia="Times New Roman"/>
                <w:color w:val="auto"/>
                <w:szCs w:val="21"/>
                <w:highlight w:val="none"/>
              </w:rPr>
            </w:pPr>
          </w:p>
          <w:p w14:paraId="5B5B6FFA">
            <w:pPr>
              <w:adjustRightInd w:val="0"/>
              <w:spacing w:line="360" w:lineRule="auto"/>
              <w:jc w:val="center"/>
              <w:textAlignment w:val="baseline"/>
              <w:rPr>
                <w:rFonts w:hint="eastAsia" w:ascii="宋体" w:hAnsi="宋体" w:eastAsia="宋体" w:cs="宋体"/>
                <w:color w:val="auto"/>
                <w:szCs w:val="21"/>
                <w:highlight w:val="none"/>
                <w:lang w:val="en-US" w:eastAsia="zh-CN"/>
              </w:rPr>
            </w:pPr>
          </w:p>
          <w:p w14:paraId="4501BB30">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磋商报价</w:t>
            </w:r>
          </w:p>
          <w:p w14:paraId="18FB4DFD">
            <w:pPr>
              <w:adjustRightInd w:val="0"/>
              <w:spacing w:line="360" w:lineRule="auto"/>
              <w:jc w:val="center"/>
              <w:textAlignment w:val="baseline"/>
              <w:rPr>
                <w:rFonts w:ascii="宋体" w:hAnsi="宋体" w:eastAsia="Times New Roman" w:cs="宋体"/>
                <w:color w:val="auto"/>
                <w:szCs w:val="21"/>
                <w:highlight w:val="none"/>
              </w:rPr>
            </w:pPr>
            <w:r>
              <w:rPr>
                <w:rFonts w:hint="eastAsia" w:ascii="宋体" w:hAnsi="宋体" w:eastAsia="宋体" w:cs="宋体"/>
                <w:color w:val="auto"/>
                <w:szCs w:val="21"/>
                <w:highlight w:val="none"/>
                <w:lang w:val="en-US" w:eastAsia="zh-CN"/>
              </w:rPr>
              <w:t>（10分）</w:t>
            </w:r>
          </w:p>
        </w:tc>
        <w:tc>
          <w:tcPr>
            <w:tcW w:w="5636" w:type="dxa"/>
            <w:tcBorders>
              <w:top w:val="single" w:color="auto" w:sz="4" w:space="0"/>
              <w:left w:val="single" w:color="auto" w:sz="4" w:space="0"/>
              <w:bottom w:val="single" w:color="auto" w:sz="4" w:space="0"/>
              <w:right w:val="single" w:color="auto" w:sz="4" w:space="0"/>
            </w:tcBorders>
            <w:vAlign w:val="center"/>
          </w:tcPr>
          <w:p w14:paraId="3E0F864D">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评标基准价：</w:t>
            </w:r>
          </w:p>
          <w:p w14:paraId="73801CF6">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满足招标文件要求且价格最低的评标价（含小微企业评标价）为评标基准价，</w:t>
            </w:r>
          </w:p>
          <w:p w14:paraId="37785717">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投标报价得分计算：</w:t>
            </w:r>
          </w:p>
          <w:p w14:paraId="50BB26CA">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投标报价等于评标基准价其价格分为</w:t>
            </w:r>
            <w:r>
              <w:rPr>
                <w:rFonts w:hint="eastAsia" w:ascii="Times New Roman" w:hAnsi="Times New Roman"/>
                <w:color w:val="auto"/>
                <w:szCs w:val="21"/>
                <w:highlight w:val="none"/>
                <w:lang w:val="en-US" w:eastAsia="zh-CN"/>
              </w:rPr>
              <w:t>10</w:t>
            </w:r>
            <w:r>
              <w:rPr>
                <w:rFonts w:hint="eastAsia" w:ascii="Times New Roman" w:hAnsi="Times New Roman" w:eastAsia="Times New Roman"/>
                <w:color w:val="auto"/>
                <w:szCs w:val="21"/>
                <w:highlight w:val="none"/>
              </w:rPr>
              <w:t>分。</w:t>
            </w:r>
          </w:p>
          <w:p w14:paraId="315B2F6D">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其他投标人的价格分统一按照下列公式计算：</w:t>
            </w:r>
          </w:p>
          <w:p w14:paraId="572951AF">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报价得分=(评标基准价／报价)×价格权值（</w:t>
            </w:r>
            <w:r>
              <w:rPr>
                <w:rFonts w:hint="eastAsia" w:ascii="Times New Roman" w:hAnsi="Times New Roman" w:eastAsia="宋体"/>
                <w:color w:val="auto"/>
                <w:szCs w:val="21"/>
                <w:highlight w:val="none"/>
                <w:lang w:val="en-US" w:eastAsia="zh-CN"/>
              </w:rPr>
              <w:t>10</w:t>
            </w:r>
            <w:r>
              <w:rPr>
                <w:rFonts w:hint="eastAsia" w:ascii="Times New Roman" w:hAnsi="Times New Roman" w:eastAsia="Times New Roman"/>
                <w:color w:val="auto"/>
                <w:szCs w:val="21"/>
                <w:highlight w:val="none"/>
              </w:rPr>
              <w:t>分）（四舍五入后保留小数点后两位）</w:t>
            </w:r>
          </w:p>
        </w:tc>
      </w:tr>
      <w:tr w14:paraId="385AA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7C00C8FD">
            <w:pPr>
              <w:widowControl/>
              <w:spacing w:line="360" w:lineRule="auto"/>
              <w:jc w:val="left"/>
              <w:rPr>
                <w:rFonts w:ascii="宋体" w:hAnsi="宋体" w:eastAsia="Times New Roman" w:cs="宋体"/>
                <w:color w:val="auto"/>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74E73F1C">
            <w:pPr>
              <w:widowControl/>
              <w:spacing w:line="360" w:lineRule="auto"/>
              <w:jc w:val="center"/>
              <w:rPr>
                <w:rFonts w:ascii="宋体" w:hAnsi="宋体" w:eastAsia="Times New Roman" w:cs="宋体"/>
                <w:color w:val="auto"/>
                <w:szCs w:val="21"/>
                <w:highlight w:val="none"/>
              </w:rPr>
            </w:pPr>
          </w:p>
          <w:p w14:paraId="27DBC1A9">
            <w:pPr>
              <w:widowControl/>
              <w:spacing w:line="360" w:lineRule="auto"/>
              <w:jc w:val="center"/>
              <w:rPr>
                <w:rFonts w:ascii="宋体" w:hAnsi="宋体" w:eastAsia="Times New Roman" w:cs="宋体"/>
                <w:color w:val="auto"/>
                <w:szCs w:val="21"/>
                <w:highlight w:val="none"/>
              </w:rPr>
            </w:pPr>
          </w:p>
          <w:p w14:paraId="757A6F75">
            <w:pPr>
              <w:widowControl/>
              <w:spacing w:line="360" w:lineRule="auto"/>
              <w:jc w:val="center"/>
              <w:rPr>
                <w:rFonts w:ascii="宋体" w:hAnsi="宋体" w:eastAsia="Times New Roman" w:cs="宋体"/>
                <w:color w:val="auto"/>
                <w:szCs w:val="21"/>
                <w:highlight w:val="none"/>
              </w:rPr>
            </w:pPr>
          </w:p>
          <w:p w14:paraId="662254E4">
            <w:pPr>
              <w:widowControl/>
              <w:spacing w:line="360" w:lineRule="auto"/>
              <w:jc w:val="center"/>
              <w:rPr>
                <w:rFonts w:ascii="宋体" w:hAnsi="宋体" w:eastAsia="Times New Roman" w:cs="宋体"/>
                <w:color w:val="auto"/>
                <w:szCs w:val="21"/>
                <w:highlight w:val="none"/>
              </w:rPr>
            </w:pPr>
          </w:p>
          <w:p w14:paraId="5295E186">
            <w:pPr>
              <w:widowControl/>
              <w:spacing w:line="360" w:lineRule="auto"/>
              <w:jc w:val="center"/>
              <w:rPr>
                <w:rFonts w:ascii="宋体" w:hAnsi="宋体" w:eastAsia="Times New Roman" w:cs="宋体"/>
                <w:color w:val="auto"/>
                <w:szCs w:val="21"/>
                <w:highlight w:val="none"/>
              </w:rPr>
            </w:pPr>
          </w:p>
          <w:p w14:paraId="796B2EA8">
            <w:pPr>
              <w:widowControl/>
              <w:spacing w:line="360" w:lineRule="auto"/>
              <w:jc w:val="center"/>
              <w:rPr>
                <w:rFonts w:ascii="宋体" w:hAnsi="宋体" w:eastAsia="Times New Roman" w:cs="宋体"/>
                <w:color w:val="auto"/>
                <w:szCs w:val="21"/>
                <w:highlight w:val="none"/>
              </w:rPr>
            </w:pPr>
          </w:p>
          <w:p w14:paraId="74A038E9">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2.2.2（2）</w:t>
            </w:r>
            <w:r>
              <w:rPr>
                <w:rFonts w:hint="eastAsia" w:ascii="Times New Roman" w:hAnsi="Times New Roman" w:eastAsia="Times New Roman"/>
                <w:color w:val="auto"/>
                <w:szCs w:val="21"/>
                <w:highlight w:val="none"/>
              </w:rPr>
              <w:t>技术标评分（</w:t>
            </w:r>
            <w:r>
              <w:rPr>
                <w:rFonts w:hint="eastAsia" w:ascii="Times New Roman" w:hAnsi="Times New Roman" w:eastAsia="宋体"/>
                <w:color w:val="auto"/>
                <w:szCs w:val="21"/>
                <w:highlight w:val="none"/>
                <w:lang w:val="en-US" w:eastAsia="zh-CN"/>
              </w:rPr>
              <w:t>65</w:t>
            </w:r>
            <w:r>
              <w:rPr>
                <w:rFonts w:hint="eastAsia" w:ascii="Times New Roman" w:hAnsi="Times New Roman" w:eastAsia="Times New Roman"/>
                <w:color w:val="auto"/>
                <w:szCs w:val="21"/>
                <w:highlight w:val="none"/>
              </w:rPr>
              <w:t>分）</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5AABF808">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技术实施方案（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center"/>
          </w:tcPr>
          <w:p w14:paraId="52DEBD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投标人技术实施方案针对性强，技术架构先进、方案介绍内容详尽、准确、全面，总体说明构思详尽、内容完整、方案合理、切合实际的得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p w14:paraId="3246BB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方案较合理、较切合实际的得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p w14:paraId="4B6B2B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方案不够合理、不够切合实际的得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0252CCF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00FC3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7348532C">
            <w:pPr>
              <w:widowControl/>
              <w:spacing w:line="360" w:lineRule="auto"/>
              <w:jc w:val="left"/>
              <w:rPr>
                <w:rFonts w:ascii="宋体" w:hAnsi="宋体" w:eastAsia="Times New Roman" w:cs="宋体"/>
                <w:color w:val="auto"/>
                <w:szCs w:val="21"/>
                <w:highlight w:val="none"/>
              </w:rPr>
            </w:pPr>
          </w:p>
        </w:tc>
        <w:tc>
          <w:tcPr>
            <w:tcW w:w="1245" w:type="dxa"/>
            <w:vMerge w:val="continue"/>
            <w:tcBorders>
              <w:left w:val="single" w:color="auto" w:sz="4" w:space="0"/>
              <w:right w:val="single" w:color="auto" w:sz="4" w:space="0"/>
            </w:tcBorders>
            <w:vAlign w:val="center"/>
          </w:tcPr>
          <w:p w14:paraId="52F10E06">
            <w:pPr>
              <w:widowControl/>
              <w:spacing w:line="360" w:lineRule="auto"/>
              <w:jc w:val="center"/>
              <w:rPr>
                <w:rFonts w:hint="eastAsia" w:ascii="宋体" w:hAnsi="宋体" w:eastAsia="Times New Roman" w:cs="宋体"/>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3EE41FDD">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组织机构及人员设备方案（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center"/>
          </w:tcPr>
          <w:p w14:paraId="6307F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拟派项目部组成人员中，组织机构及人员设备方案配置充分，分工明确，方案合理、切合实际的得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1BF55D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方案较合理、较切合实际的得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55EE6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方案不够合理、不够切合实际的得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14:paraId="4DCEACF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296EC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1148" w:type="dxa"/>
            <w:vMerge w:val="continue"/>
            <w:tcBorders>
              <w:left w:val="single" w:color="auto" w:sz="4" w:space="0"/>
              <w:right w:val="single" w:color="auto" w:sz="4" w:space="0"/>
            </w:tcBorders>
            <w:vAlign w:val="center"/>
          </w:tcPr>
          <w:p w14:paraId="02B9D3B2">
            <w:pPr>
              <w:widowControl/>
              <w:spacing w:line="360" w:lineRule="auto"/>
              <w:jc w:val="left"/>
              <w:rPr>
                <w:rFonts w:ascii="宋体" w:hAnsi="宋体" w:eastAsia="Times New Roman" w:cs="宋体"/>
                <w:color w:val="auto"/>
                <w:szCs w:val="21"/>
                <w:highlight w:val="none"/>
              </w:rPr>
            </w:pPr>
          </w:p>
        </w:tc>
        <w:tc>
          <w:tcPr>
            <w:tcW w:w="1245" w:type="dxa"/>
            <w:vMerge w:val="continue"/>
            <w:tcBorders>
              <w:left w:val="single" w:color="auto" w:sz="4" w:space="0"/>
              <w:right w:val="single" w:color="auto" w:sz="4" w:space="0"/>
            </w:tcBorders>
            <w:vAlign w:val="center"/>
          </w:tcPr>
          <w:p w14:paraId="61621525">
            <w:pPr>
              <w:widowControl/>
              <w:spacing w:line="360" w:lineRule="auto"/>
              <w:jc w:val="center"/>
              <w:rPr>
                <w:rFonts w:ascii="宋体" w:hAnsi="宋体" w:eastAsia="Times New Roman" w:cs="宋体"/>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7AFFE1AF">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质量管理体系及保证措施（</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center"/>
          </w:tcPr>
          <w:p w14:paraId="5EADF8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实施方案中质量管理体系及保证措施科学合理、内容详尽、针对性及可操作性强，措施合理、切合实际的得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065DDC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措施较合理、较切合实际的得4分；</w:t>
            </w:r>
          </w:p>
          <w:p w14:paraId="1F35E0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措施不够合理、不够切合实际的得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50FD67D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5E97A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1" w:hRule="atLeast"/>
          <w:jc w:val="center"/>
        </w:trPr>
        <w:tc>
          <w:tcPr>
            <w:tcW w:w="1148" w:type="dxa"/>
            <w:vMerge w:val="continue"/>
            <w:tcBorders>
              <w:left w:val="single" w:color="auto" w:sz="4" w:space="0"/>
              <w:right w:val="single" w:color="auto" w:sz="4" w:space="0"/>
            </w:tcBorders>
            <w:vAlign w:val="center"/>
          </w:tcPr>
          <w:p w14:paraId="7D4106BF">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75FFF2D1">
            <w:pPr>
              <w:spacing w:line="360" w:lineRule="auto"/>
              <w:rPr>
                <w:rFonts w:ascii="Times New Roman" w:hAnsi="Times New Roman" w:eastAsia="Times New Roman"/>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788C503B">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成果管理及保密措施</w:t>
            </w:r>
          </w:p>
          <w:p w14:paraId="1392CA69">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top"/>
          </w:tcPr>
          <w:p w14:paraId="426E24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实施方案中成果管理及保密措施科学合理、内容详尽、针对性及可操作性强，切合实际的得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4D4CC8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措施较合理、较切合实际的得4分；</w:t>
            </w:r>
          </w:p>
          <w:p w14:paraId="371439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措施不够合理、不够切合实际的得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1D48DEC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4CD79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7551606A">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3C4C08CB">
            <w:pPr>
              <w:spacing w:line="360" w:lineRule="auto"/>
              <w:rPr>
                <w:rFonts w:ascii="Times New Roman" w:hAnsi="Times New Roman" w:eastAsia="Times New Roman"/>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1C71BF51">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进度保证措施</w:t>
            </w:r>
          </w:p>
          <w:p w14:paraId="6A267C47">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top"/>
          </w:tcPr>
          <w:p w14:paraId="08B2CB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服务期承诺满足磋商文件要求，进度保证措施合理且有针对性，项目进度安排及周期合理，能按时完成技术服务，有具体的违约责任承诺得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3ECDC6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服务期承诺满足磋商文件要求，进度保证措施基本合理，项目进度安排及周期基本合理，能满足要求的，有具体的违约责任承诺得5分；</w:t>
            </w:r>
          </w:p>
          <w:p w14:paraId="35552E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服务期承诺满足磋商文件要求，有进度保证措施的，项目进度安排及周期一般，基本满足要求得3分；</w:t>
            </w:r>
          </w:p>
          <w:p w14:paraId="00F7F2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服务期承诺满足磋商文件要求，有进度保证措施的，得1分；</w:t>
            </w:r>
          </w:p>
          <w:p w14:paraId="68DEF65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未提供本项内容得0分。</w:t>
            </w:r>
          </w:p>
        </w:tc>
      </w:tr>
      <w:tr w14:paraId="46A6A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4D958CC3">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0BEFD7DC">
            <w:pPr>
              <w:spacing w:line="360" w:lineRule="auto"/>
              <w:rPr>
                <w:rFonts w:ascii="Times New Roman" w:hAnsi="Times New Roman" w:eastAsia="Times New Roman"/>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38D5296B">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安全管理体系与措施</w:t>
            </w:r>
          </w:p>
          <w:p w14:paraId="07040E09">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top"/>
          </w:tcPr>
          <w:p w14:paraId="48D328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实施方案中安全管理体系与措施科学合理、内容详尽、针对性及可操作性强，切合实际的得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4AF56D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措施较合理、较切合实际的得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0F4967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措施不够合理、不够切合实际的得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6FA4191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1C8D9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496DD109">
            <w:pPr>
              <w:spacing w:line="360" w:lineRule="auto"/>
              <w:rPr>
                <w:rFonts w:ascii="Times New Roman" w:hAnsi="Times New Roman" w:eastAsia="Times New Roman"/>
                <w:color w:val="auto"/>
                <w:szCs w:val="21"/>
                <w:highlight w:val="none"/>
              </w:rPr>
            </w:pPr>
          </w:p>
        </w:tc>
        <w:tc>
          <w:tcPr>
            <w:tcW w:w="1245" w:type="dxa"/>
            <w:tcBorders>
              <w:left w:val="single" w:color="auto" w:sz="4" w:space="0"/>
              <w:right w:val="single" w:color="auto" w:sz="4" w:space="0"/>
            </w:tcBorders>
            <w:vAlign w:val="center"/>
          </w:tcPr>
          <w:p w14:paraId="576DE3E8">
            <w:pPr>
              <w:spacing w:line="360" w:lineRule="auto"/>
              <w:rPr>
                <w:rFonts w:ascii="Times New Roman" w:hAnsi="Times New Roman" w:eastAsia="Times New Roman"/>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69C2D605">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项目实施难点及关键过程分析</w:t>
            </w:r>
          </w:p>
          <w:p w14:paraId="736041A1">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top"/>
          </w:tcPr>
          <w:p w14:paraId="32B522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实施方案中项目实施难点及关键过程理解分析透彻，难点解决方法和方案科学合理，关键过程控制得当。</w:t>
            </w:r>
          </w:p>
          <w:p w14:paraId="31B26D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分析透彻、方案合理、过程控制得当的得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38A2011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分析较透彻、方案较合理、过程控制较得当的得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4729C9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分析不够透彻、方案不够合理、过程控制不够得当的得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45E9406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未针对本项目描述或没有的得0分。</w:t>
            </w:r>
          </w:p>
        </w:tc>
      </w:tr>
      <w:tr w14:paraId="429D7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6E8DE56A">
            <w:pPr>
              <w:spacing w:line="360" w:lineRule="auto"/>
              <w:rPr>
                <w:rFonts w:ascii="Times New Roman" w:hAnsi="Times New Roman" w:eastAsia="Times New Roman"/>
                <w:color w:val="auto"/>
                <w:szCs w:val="21"/>
                <w:highlight w:val="none"/>
              </w:rPr>
            </w:pPr>
          </w:p>
        </w:tc>
        <w:tc>
          <w:tcPr>
            <w:tcW w:w="1245" w:type="dxa"/>
            <w:tcBorders>
              <w:left w:val="single" w:color="auto" w:sz="4" w:space="0"/>
              <w:right w:val="single" w:color="auto" w:sz="4" w:space="0"/>
            </w:tcBorders>
            <w:vAlign w:val="center"/>
          </w:tcPr>
          <w:p w14:paraId="158DB11D">
            <w:pPr>
              <w:spacing w:line="360" w:lineRule="auto"/>
              <w:rPr>
                <w:rFonts w:ascii="Times New Roman" w:hAnsi="Times New Roman" w:eastAsia="Times New Roman"/>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7C0FD29A">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shd w:val="clear" w:color="auto" w:fill="auto"/>
            <w:vAlign w:val="top"/>
          </w:tcPr>
          <w:p w14:paraId="69445F3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包括但不限于：配备稳定的技术服务人员、响应时间、服务承诺及服务便利性等针对性强，全面到位得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基本符合且合理得</w:t>
            </w:r>
            <w:r>
              <w:rPr>
                <w:rFonts w:hint="eastAsia" w:ascii="宋体" w:hAnsi="宋体" w:cs="宋体"/>
                <w:color w:val="auto"/>
                <w:szCs w:val="21"/>
                <w:highlight w:val="none"/>
                <w:lang w:val="en-US" w:eastAsia="zh-CN"/>
              </w:rPr>
              <w:t>4分，</w:t>
            </w:r>
            <w:r>
              <w:rPr>
                <w:rFonts w:hint="eastAsia" w:ascii="宋体" w:hAnsi="宋体" w:eastAsia="宋体" w:cs="宋体"/>
                <w:color w:val="auto"/>
                <w:szCs w:val="21"/>
                <w:highlight w:val="none"/>
              </w:rPr>
              <w:t>较合理可行</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可行</w:t>
            </w:r>
            <w:r>
              <w:rPr>
                <w:rFonts w:hint="eastAsia" w:ascii="宋体" w:hAnsi="宋体" w:eastAsia="宋体" w:cs="宋体"/>
                <w:color w:val="auto"/>
                <w:szCs w:val="21"/>
                <w:highlight w:val="none"/>
              </w:rPr>
              <w:t>不合理得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，不提供不得分</w:t>
            </w:r>
            <w:r>
              <w:rPr>
                <w:rFonts w:hint="eastAsia" w:ascii="宋体" w:hAnsi="宋体" w:eastAsia="宋体" w:cs="宋体"/>
                <w:color w:val="auto"/>
                <w:szCs w:val="21"/>
                <w:highlight w:val="none"/>
              </w:rPr>
              <w:t>。</w:t>
            </w:r>
          </w:p>
        </w:tc>
      </w:tr>
      <w:tr w14:paraId="4F50B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148" w:type="dxa"/>
            <w:vMerge w:val="continue"/>
            <w:tcBorders>
              <w:left w:val="single" w:color="auto" w:sz="4" w:space="0"/>
              <w:right w:val="single" w:color="auto" w:sz="4" w:space="0"/>
            </w:tcBorders>
            <w:vAlign w:val="center"/>
          </w:tcPr>
          <w:p w14:paraId="7ABC5D92">
            <w:pPr>
              <w:spacing w:line="360" w:lineRule="auto"/>
              <w:jc w:val="left"/>
              <w:rPr>
                <w:rFonts w:ascii="宋体" w:hAnsi="宋体" w:eastAsia="Times New Roman" w:cs="宋体"/>
                <w:color w:val="auto"/>
                <w:spacing w:val="1"/>
                <w:kern w:val="0"/>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60A65A7B">
            <w:pPr>
              <w:spacing w:line="360" w:lineRule="auto"/>
              <w:jc w:val="left"/>
              <w:rPr>
                <w:rFonts w:ascii="宋体" w:hAnsi="宋体" w:eastAsia="Times New Roman" w:cs="宋体"/>
                <w:color w:val="auto"/>
                <w:szCs w:val="21"/>
                <w:highlight w:val="none"/>
              </w:rPr>
            </w:pPr>
          </w:p>
          <w:p w14:paraId="64C1F0B9">
            <w:pPr>
              <w:spacing w:line="360" w:lineRule="auto"/>
              <w:jc w:val="left"/>
              <w:rPr>
                <w:rFonts w:ascii="宋体" w:hAnsi="宋体" w:eastAsia="Times New Roman" w:cs="宋体"/>
                <w:color w:val="auto"/>
                <w:szCs w:val="21"/>
                <w:highlight w:val="none"/>
              </w:rPr>
            </w:pPr>
          </w:p>
          <w:p w14:paraId="7C81F357">
            <w:pPr>
              <w:spacing w:line="360" w:lineRule="auto"/>
              <w:jc w:val="left"/>
              <w:rPr>
                <w:rFonts w:ascii="宋体" w:hAnsi="宋体" w:eastAsia="Times New Roman" w:cs="宋体"/>
                <w:color w:val="auto"/>
                <w:szCs w:val="21"/>
                <w:highlight w:val="none"/>
              </w:rPr>
            </w:pPr>
          </w:p>
          <w:p w14:paraId="1290F9F6">
            <w:pPr>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2.2.2（3）综合标评分</w:t>
            </w:r>
            <w:r>
              <w:rPr>
                <w:rFonts w:hint="eastAsia" w:ascii="宋体" w:hAnsi="宋体" w:eastAsia="Times New Roman" w:cs="宋体"/>
                <w:color w:val="auto"/>
                <w:spacing w:val="1"/>
                <w:kern w:val="0"/>
                <w:szCs w:val="21"/>
                <w:highlight w:val="none"/>
              </w:rPr>
              <w:t>（</w:t>
            </w:r>
            <w:r>
              <w:rPr>
                <w:rFonts w:hint="eastAsia" w:ascii="宋体" w:hAnsi="宋体" w:cs="宋体"/>
                <w:color w:val="auto"/>
                <w:spacing w:val="1"/>
                <w:kern w:val="0"/>
                <w:szCs w:val="21"/>
                <w:highlight w:val="none"/>
                <w:lang w:val="en-US" w:eastAsia="zh-CN"/>
              </w:rPr>
              <w:t>25</w:t>
            </w:r>
            <w:r>
              <w:rPr>
                <w:rFonts w:hint="eastAsia" w:ascii="宋体" w:hAnsi="宋体" w:eastAsia="Times New Roman" w:cs="宋体"/>
                <w:color w:val="auto"/>
                <w:spacing w:val="1"/>
                <w:kern w:val="0"/>
                <w:szCs w:val="21"/>
                <w:highlight w:val="none"/>
              </w:rPr>
              <w:t>分）</w:t>
            </w:r>
          </w:p>
        </w:tc>
        <w:tc>
          <w:tcPr>
            <w:tcW w:w="1744" w:type="dxa"/>
            <w:tcBorders>
              <w:top w:val="single" w:color="auto" w:sz="4" w:space="0"/>
              <w:left w:val="single" w:color="auto" w:sz="4" w:space="0"/>
              <w:bottom w:val="single" w:color="auto" w:sz="4" w:space="0"/>
              <w:right w:val="single" w:color="auto" w:sz="4" w:space="0"/>
            </w:tcBorders>
            <w:vAlign w:val="center"/>
          </w:tcPr>
          <w:p w14:paraId="1D1677A9">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拟投入</w:t>
            </w:r>
            <w:r>
              <w:rPr>
                <w:rFonts w:hint="eastAsia" w:ascii="宋体" w:hAnsi="宋体" w:eastAsia="宋体" w:cs="宋体"/>
                <w:color w:val="auto"/>
                <w:szCs w:val="21"/>
                <w:highlight w:val="none"/>
                <w:lang w:val="en-US" w:eastAsia="zh-CN"/>
              </w:rPr>
              <w:t>项目组成员 （10分）</w:t>
            </w:r>
          </w:p>
        </w:tc>
        <w:tc>
          <w:tcPr>
            <w:tcW w:w="5636" w:type="dxa"/>
            <w:tcBorders>
              <w:top w:val="single" w:color="auto" w:sz="4" w:space="0"/>
              <w:left w:val="single" w:color="auto" w:sz="4" w:space="0"/>
              <w:bottom w:val="single" w:color="auto" w:sz="4" w:space="0"/>
              <w:right w:val="single" w:color="auto" w:sz="4" w:space="0"/>
            </w:tcBorders>
            <w:vAlign w:val="center"/>
          </w:tcPr>
          <w:p w14:paraId="0CDB59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1.项目负责人：拟投入项目负责人具有测绘高级工程师职称，得2分，不具备不得分。</w:t>
            </w:r>
          </w:p>
          <w:p w14:paraId="24546F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2.技术负责人：拟投入本项目的技术负责人具有测绘高级工程师职称的，得2分，不具备不得分。</w:t>
            </w:r>
          </w:p>
          <w:p w14:paraId="615EE8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3.除项目负责人、技术负责人外，拟投入本项目的其他人员中具有测绘工程师职称的，每个1分，最多得6分；</w:t>
            </w:r>
          </w:p>
          <w:p w14:paraId="2EA828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以上具备资格的人员不可以重复。</w:t>
            </w:r>
          </w:p>
          <w:p w14:paraId="4A1192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（以上所有项目拟投入人员需提供证书和近三个月的社保证明复印件，否则本项不得分。）</w:t>
            </w:r>
          </w:p>
        </w:tc>
      </w:tr>
      <w:tr w14:paraId="09693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148" w:type="dxa"/>
            <w:vMerge w:val="continue"/>
            <w:tcBorders>
              <w:left w:val="single" w:color="auto" w:sz="4" w:space="0"/>
              <w:right w:val="single" w:color="auto" w:sz="4" w:space="0"/>
            </w:tcBorders>
            <w:vAlign w:val="center"/>
          </w:tcPr>
          <w:p w14:paraId="308D81C3">
            <w:pPr>
              <w:spacing w:line="360" w:lineRule="auto"/>
              <w:jc w:val="left"/>
              <w:rPr>
                <w:rFonts w:ascii="宋体" w:hAnsi="宋体" w:eastAsia="Times New Roman" w:cs="宋体"/>
                <w:color w:val="auto"/>
                <w:spacing w:val="1"/>
                <w:kern w:val="0"/>
                <w:szCs w:val="21"/>
                <w:highlight w:val="none"/>
              </w:rPr>
            </w:pPr>
          </w:p>
        </w:tc>
        <w:tc>
          <w:tcPr>
            <w:tcW w:w="1245" w:type="dxa"/>
            <w:vMerge w:val="continue"/>
            <w:tcBorders>
              <w:left w:val="single" w:color="auto" w:sz="4" w:space="0"/>
              <w:right w:val="single" w:color="auto" w:sz="4" w:space="0"/>
            </w:tcBorders>
            <w:vAlign w:val="center"/>
          </w:tcPr>
          <w:p w14:paraId="2361E7A5">
            <w:pPr>
              <w:spacing w:line="360" w:lineRule="auto"/>
              <w:jc w:val="left"/>
              <w:rPr>
                <w:rFonts w:ascii="宋体" w:hAnsi="宋体" w:eastAsia="Times New Roman" w:cs="宋体"/>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0BB70916">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企业业绩 （</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vAlign w:val="top"/>
          </w:tcPr>
          <w:p w14:paraId="66D3D4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年1月1日以来承担过类</w:t>
            </w:r>
            <w:r>
              <w:rPr>
                <w:rFonts w:hint="eastAsia" w:ascii="宋体" w:hAnsi="宋体" w:cs="宋体"/>
                <w:color w:val="auto"/>
                <w:szCs w:val="21"/>
                <w:highlight w:val="none"/>
                <w:lang w:eastAsia="zh-CN"/>
              </w:rPr>
              <w:t>似</w:t>
            </w:r>
            <w:r>
              <w:rPr>
                <w:rFonts w:hint="eastAsia" w:ascii="宋体" w:hAnsi="宋体" w:eastAsia="宋体" w:cs="宋体"/>
                <w:color w:val="auto"/>
                <w:szCs w:val="21"/>
                <w:highlight w:val="none"/>
              </w:rPr>
              <w:t>项目</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业绩，每提供1个得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分，最多得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分。注：须将类似业绩中标通知书或采购合同清晰可见的原件扫描件制作在响应文件中并加盖电子公章，否则不得分。</w:t>
            </w:r>
          </w:p>
        </w:tc>
      </w:tr>
      <w:tr w14:paraId="76053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14:paraId="1CA1880B">
            <w:pPr>
              <w:spacing w:line="360" w:lineRule="auto"/>
              <w:jc w:val="left"/>
              <w:rPr>
                <w:rFonts w:ascii="宋体" w:hAnsi="宋体" w:eastAsia="Times New Roman" w:cs="宋体"/>
                <w:color w:val="auto"/>
                <w:spacing w:val="1"/>
                <w:kern w:val="0"/>
                <w:szCs w:val="21"/>
                <w:highlight w:val="none"/>
              </w:rPr>
            </w:pPr>
          </w:p>
        </w:tc>
        <w:tc>
          <w:tcPr>
            <w:tcW w:w="1245" w:type="dxa"/>
            <w:vMerge w:val="continue"/>
            <w:tcBorders>
              <w:left w:val="single" w:color="auto" w:sz="4" w:space="0"/>
              <w:right w:val="single" w:color="auto" w:sz="4" w:space="0"/>
            </w:tcBorders>
            <w:vAlign w:val="center"/>
          </w:tcPr>
          <w:p w14:paraId="57D20025">
            <w:pPr>
              <w:spacing w:line="360" w:lineRule="auto"/>
              <w:jc w:val="left"/>
              <w:rPr>
                <w:rFonts w:ascii="宋体" w:hAnsi="宋体" w:eastAsia="Times New Roman" w:cs="宋体"/>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56EECFAC">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企业证书</w:t>
            </w:r>
          </w:p>
          <w:p w14:paraId="4A3E552E">
            <w:pPr>
              <w:adjustRightInd w:val="0"/>
              <w:spacing w:line="360" w:lineRule="auto"/>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5636" w:type="dxa"/>
            <w:tcBorders>
              <w:top w:val="single" w:color="auto" w:sz="4" w:space="0"/>
              <w:left w:val="single" w:color="auto" w:sz="4" w:space="0"/>
              <w:bottom w:val="single" w:color="auto" w:sz="4" w:space="0"/>
              <w:right w:val="single" w:color="auto" w:sz="4" w:space="0"/>
            </w:tcBorders>
            <w:vAlign w:val="top"/>
          </w:tcPr>
          <w:p w14:paraId="748E07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投标人具有有效期内的质量管理体系认证证书、环境管理体系认证证书、职业健康管理体系认证证书齐全的得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分，每缺一个体系认证扣1分，扣完为止。</w:t>
            </w:r>
          </w:p>
          <w:p w14:paraId="05DB723F">
            <w:pPr>
              <w:pStyle w:val="41"/>
              <w:rPr>
                <w:rFonts w:hint="eastAsia"/>
                <w:color w:val="auto"/>
                <w:highlight w:val="none"/>
              </w:rPr>
            </w:pPr>
            <w:r>
              <w:rPr>
                <w:rFonts w:hint="eastAsia" w:ascii="宋体" w:hAnsi="宋体" w:cs="宋体"/>
                <w:color w:val="auto"/>
                <w:szCs w:val="21"/>
                <w:highlight w:val="none"/>
                <w:lang w:val="en-US" w:eastAsia="zh-CN"/>
              </w:rPr>
              <w:t>注：需提供证书原件扫描件和认证机构网页截图。</w:t>
            </w:r>
          </w:p>
          <w:p w14:paraId="0DE27604">
            <w:pPr>
              <w:pStyle w:val="41"/>
              <w:rPr>
                <w:rFonts w:hint="eastAsia"/>
                <w:color w:val="auto"/>
                <w:highlight w:val="none"/>
              </w:rPr>
            </w:pPr>
          </w:p>
        </w:tc>
      </w:tr>
      <w:tr w14:paraId="6CD77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14:paraId="0CBDA213">
            <w:pPr>
              <w:widowControl/>
              <w:spacing w:line="360" w:lineRule="auto"/>
              <w:jc w:val="center"/>
              <w:rPr>
                <w:rFonts w:ascii="Times New Roman" w:hAnsi="Times New Roman" w:eastAsia="Times New Roman"/>
                <w:color w:val="auto"/>
                <w:szCs w:val="21"/>
                <w:highlight w:val="none"/>
              </w:rPr>
            </w:pPr>
            <w:r>
              <w:rPr>
                <w:rFonts w:hint="eastAsia" w:ascii="宋体" w:hAnsi="宋体" w:eastAsia="Times New Roman" w:cs="宋体"/>
                <w:color w:val="auto"/>
                <w:spacing w:val="1"/>
                <w:kern w:val="0"/>
                <w:szCs w:val="21"/>
                <w:highlight w:val="none"/>
              </w:rPr>
              <w:t>废标条款</w:t>
            </w: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26D95606">
            <w:pPr>
              <w:spacing w:line="360" w:lineRule="auto"/>
              <w:jc w:val="left"/>
              <w:rPr>
                <w:rFonts w:ascii="宋体" w:hAnsi="宋体" w:cs="宋体"/>
                <w:color w:val="auto"/>
                <w:spacing w:val="1"/>
                <w:kern w:val="0"/>
                <w:szCs w:val="21"/>
                <w:highlight w:val="none"/>
              </w:rPr>
            </w:pPr>
            <w:r>
              <w:rPr>
                <w:rFonts w:hint="eastAsia" w:ascii="宋体" w:hAnsi="宋体" w:cs="宋体"/>
                <w:color w:val="auto"/>
                <w:szCs w:val="21"/>
                <w:highlight w:val="none"/>
              </w:rPr>
              <w:t>投标截止时间止，投标人少于3个的</w:t>
            </w:r>
            <w:r>
              <w:rPr>
                <w:rFonts w:hint="eastAsia" w:ascii="宋体" w:hAnsi="宋体" w:eastAsia="Times New Roman" w:cs="宋体"/>
                <w:color w:val="auto"/>
                <w:szCs w:val="21"/>
                <w:highlight w:val="none"/>
              </w:rPr>
              <w:t>。</w:t>
            </w:r>
          </w:p>
        </w:tc>
      </w:tr>
      <w:tr w14:paraId="1EB69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7D39D74D">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5CB9FD3D">
            <w:pPr>
              <w:spacing w:line="360" w:lineRule="auto"/>
              <w:jc w:val="left"/>
              <w:rPr>
                <w:rFonts w:ascii="宋体" w:hAnsi="宋体" w:cs="宋体"/>
                <w:color w:val="auto"/>
                <w:spacing w:val="1"/>
                <w:kern w:val="0"/>
                <w:szCs w:val="21"/>
                <w:highlight w:val="none"/>
              </w:rPr>
            </w:pPr>
            <w:r>
              <w:rPr>
                <w:rFonts w:hint="eastAsia" w:ascii="宋体" w:hAnsi="宋体" w:cs="宋体"/>
                <w:bCs/>
                <w:color w:val="auto"/>
                <w:szCs w:val="21"/>
                <w:highlight w:val="none"/>
              </w:rPr>
              <w:t>投标人的投标报价高于最高投标限价。</w:t>
            </w:r>
          </w:p>
        </w:tc>
      </w:tr>
      <w:tr w14:paraId="3C325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44BAAB98">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38F0B4A2">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bCs/>
                <w:color w:val="auto"/>
                <w:szCs w:val="21"/>
                <w:highlight w:val="none"/>
              </w:rPr>
              <w:t>投标人投标文件制作机器码一致的。</w:t>
            </w:r>
          </w:p>
        </w:tc>
      </w:tr>
      <w:tr w14:paraId="5DAB2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593A34C5">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48347410">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color w:val="auto"/>
                <w:spacing w:val="1"/>
                <w:kern w:val="0"/>
                <w:szCs w:val="21"/>
                <w:highlight w:val="none"/>
              </w:rPr>
              <w:t>法律法规规定的其他内容。</w:t>
            </w:r>
          </w:p>
        </w:tc>
      </w:tr>
      <w:bookmarkEnd w:id="91"/>
      <w:bookmarkEnd w:id="92"/>
    </w:tbl>
    <w:p w14:paraId="5A3878F2">
      <w:pPr>
        <w:pStyle w:val="4"/>
        <w:spacing w:line="460" w:lineRule="exact"/>
        <w:jc w:val="left"/>
        <w:rPr>
          <w:rFonts w:ascii="宋体" w:hAnsi="宋体"/>
          <w:bCs w:val="0"/>
          <w:color w:val="auto"/>
          <w:sz w:val="21"/>
          <w:szCs w:val="21"/>
          <w:highlight w:val="none"/>
        </w:rPr>
      </w:pPr>
      <w:bookmarkStart w:id="95" w:name="_Toc2654"/>
      <w:bookmarkStart w:id="96" w:name="_Toc25442"/>
      <w:r>
        <w:rPr>
          <w:rFonts w:hint="eastAsia" w:ascii="宋体" w:hAnsi="宋体"/>
          <w:bCs w:val="0"/>
          <w:color w:val="auto"/>
          <w:sz w:val="21"/>
          <w:szCs w:val="21"/>
          <w:highlight w:val="none"/>
        </w:rPr>
        <w:t>1.磋商程序及方法</w:t>
      </w:r>
      <w:bookmarkEnd w:id="93"/>
      <w:bookmarkEnd w:id="94"/>
      <w:bookmarkEnd w:id="95"/>
      <w:bookmarkEnd w:id="96"/>
    </w:p>
    <w:p w14:paraId="25788A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3A79110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306C158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4061A30C">
      <w:pPr>
        <w:pStyle w:val="4"/>
        <w:spacing w:line="460" w:lineRule="exact"/>
        <w:jc w:val="left"/>
        <w:rPr>
          <w:rFonts w:ascii="宋体" w:hAnsi="宋体"/>
          <w:bCs w:val="0"/>
          <w:color w:val="auto"/>
          <w:sz w:val="21"/>
          <w:szCs w:val="21"/>
          <w:highlight w:val="none"/>
        </w:rPr>
      </w:pPr>
      <w:bookmarkStart w:id="97" w:name="_Toc27667"/>
      <w:bookmarkStart w:id="98" w:name="_Toc14560"/>
      <w:bookmarkStart w:id="99" w:name="_Toc20027"/>
      <w:bookmarkStart w:id="100" w:name="_Toc5269854"/>
      <w:r>
        <w:rPr>
          <w:rFonts w:hint="eastAsia" w:ascii="宋体" w:hAnsi="宋体"/>
          <w:bCs w:val="0"/>
          <w:color w:val="auto"/>
          <w:sz w:val="21"/>
          <w:szCs w:val="21"/>
          <w:highlight w:val="none"/>
        </w:rPr>
        <w:t>2.确定成交供应商原则</w:t>
      </w:r>
      <w:bookmarkEnd w:id="97"/>
      <w:bookmarkEnd w:id="98"/>
      <w:bookmarkEnd w:id="99"/>
      <w:bookmarkEnd w:id="100"/>
    </w:p>
    <w:p w14:paraId="648596A4">
      <w:pPr>
        <w:tabs>
          <w:tab w:val="left" w:pos="720"/>
          <w:tab w:val="left" w:pos="1980"/>
        </w:tabs>
        <w:spacing w:line="460" w:lineRule="exact"/>
        <w:ind w:firstLine="422" w:firstLineChars="200"/>
        <w:rPr>
          <w:rFonts w:ascii="宋体" w:hAnsi="宋体"/>
          <w:b/>
          <w:color w:val="auto"/>
          <w:szCs w:val="21"/>
          <w:highlight w:val="none"/>
        </w:rPr>
      </w:pPr>
      <w:bookmarkStart w:id="101" w:name="_Toc152045601"/>
      <w:bookmarkStart w:id="102" w:name="_Toc179632619"/>
      <w:bookmarkStart w:id="103" w:name="_Toc144974568"/>
      <w:bookmarkStart w:id="104" w:name="_Toc152042378"/>
      <w:bookmarkStart w:id="105" w:name="_Toc409023137"/>
      <w:r>
        <w:rPr>
          <w:rFonts w:hint="eastAsia" w:ascii="宋体" w:hAnsi="宋体"/>
          <w:b/>
          <w:color w:val="auto"/>
          <w:szCs w:val="21"/>
          <w:highlight w:val="none"/>
        </w:rPr>
        <w:t>响应文件满足磋商文件全部实质性要求且按评审因素的量化指标评审得分最高的供应商为成交供应商。</w:t>
      </w:r>
    </w:p>
    <w:bookmarkEnd w:id="101"/>
    <w:bookmarkEnd w:id="102"/>
    <w:bookmarkEnd w:id="103"/>
    <w:bookmarkEnd w:id="104"/>
    <w:bookmarkEnd w:id="105"/>
    <w:p w14:paraId="466EA1C5">
      <w:pPr>
        <w:pStyle w:val="4"/>
        <w:spacing w:line="460" w:lineRule="exact"/>
        <w:jc w:val="left"/>
        <w:rPr>
          <w:rFonts w:ascii="宋体" w:hAnsi="宋体"/>
          <w:bCs w:val="0"/>
          <w:color w:val="auto"/>
          <w:sz w:val="21"/>
          <w:szCs w:val="21"/>
          <w:highlight w:val="none"/>
        </w:rPr>
      </w:pPr>
      <w:bookmarkStart w:id="106" w:name="_Toc5269855"/>
      <w:bookmarkStart w:id="107" w:name="_Toc32254"/>
      <w:bookmarkStart w:id="108" w:name="_Toc19301"/>
      <w:bookmarkStart w:id="109" w:name="_Toc10826"/>
      <w:bookmarkStart w:id="110" w:name="_Toc152042379"/>
      <w:bookmarkStart w:id="111" w:name="_Toc152045602"/>
      <w:bookmarkStart w:id="112" w:name="_Toc179632620"/>
      <w:bookmarkStart w:id="113" w:name="_Toc144974569"/>
      <w:r>
        <w:rPr>
          <w:rFonts w:hint="eastAsia" w:ascii="宋体" w:hAnsi="宋体"/>
          <w:bCs w:val="0"/>
          <w:color w:val="auto"/>
          <w:sz w:val="21"/>
          <w:szCs w:val="21"/>
          <w:highlight w:val="none"/>
        </w:rPr>
        <w:t>3.初步评审</w:t>
      </w:r>
      <w:bookmarkEnd w:id="106"/>
      <w:bookmarkEnd w:id="107"/>
      <w:bookmarkEnd w:id="108"/>
      <w:bookmarkEnd w:id="109"/>
    </w:p>
    <w:p w14:paraId="216A07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10"/>
      <w:bookmarkEnd w:id="111"/>
      <w:bookmarkEnd w:id="112"/>
      <w:bookmarkEnd w:id="113"/>
    </w:p>
    <w:p w14:paraId="24B385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0C4A41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2A4963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5F3A2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BB86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13DF24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1E439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（3）响应文件中载明的标准和方法等不符合谈判文件的要求；</w:t>
      </w:r>
    </w:p>
    <w:p w14:paraId="1F06AD85">
      <w:pPr>
        <w:pStyle w:val="9"/>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7F15F9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55F63E95">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72ACD2E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71260FD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51C778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4" w:name="_Toc152042383"/>
    </w:p>
    <w:p w14:paraId="077C891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14"/>
    </w:p>
    <w:p w14:paraId="778114B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054C57B3">
      <w:pPr>
        <w:pStyle w:val="4"/>
        <w:spacing w:line="460" w:lineRule="exact"/>
        <w:jc w:val="left"/>
        <w:rPr>
          <w:rFonts w:ascii="宋体" w:hAnsi="宋体"/>
          <w:bCs w:val="0"/>
          <w:color w:val="auto"/>
          <w:sz w:val="21"/>
          <w:szCs w:val="21"/>
          <w:highlight w:val="none"/>
        </w:rPr>
      </w:pPr>
      <w:bookmarkStart w:id="115" w:name="_Toc152045606"/>
      <w:bookmarkStart w:id="116" w:name="_Toc179632624"/>
      <w:bookmarkStart w:id="117" w:name="_Toc144974573"/>
      <w:bookmarkStart w:id="118" w:name="_Toc152042384"/>
      <w:bookmarkStart w:id="119" w:name="_Toc24256"/>
      <w:bookmarkStart w:id="120" w:name="_Toc5269856"/>
      <w:bookmarkStart w:id="121" w:name="_Toc4653"/>
      <w:bookmarkStart w:id="122" w:name="_Toc24174"/>
      <w:r>
        <w:rPr>
          <w:rFonts w:hint="eastAsia" w:ascii="宋体" w:hAnsi="宋体"/>
          <w:bCs w:val="0"/>
          <w:color w:val="auto"/>
          <w:sz w:val="21"/>
          <w:szCs w:val="21"/>
          <w:highlight w:val="none"/>
        </w:rPr>
        <w:t>4.</w:t>
      </w:r>
      <w:bookmarkEnd w:id="115"/>
      <w:bookmarkEnd w:id="116"/>
      <w:bookmarkEnd w:id="117"/>
      <w:bookmarkEnd w:id="118"/>
      <w:r>
        <w:rPr>
          <w:rFonts w:hint="eastAsia" w:ascii="宋体" w:hAnsi="宋体"/>
          <w:bCs w:val="0"/>
          <w:color w:val="auto"/>
          <w:sz w:val="21"/>
          <w:szCs w:val="21"/>
          <w:highlight w:val="none"/>
        </w:rPr>
        <w:t>磋商</w:t>
      </w:r>
      <w:bookmarkEnd w:id="119"/>
      <w:bookmarkEnd w:id="120"/>
      <w:bookmarkEnd w:id="121"/>
      <w:bookmarkEnd w:id="122"/>
    </w:p>
    <w:p w14:paraId="6B179C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2BA6663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3" w:name="_Toc5269857"/>
      <w:bookmarkStart w:id="124" w:name="_Toc1923"/>
      <w:bookmarkStart w:id="125" w:name="_Toc179632626"/>
      <w:bookmarkStart w:id="126" w:name="_Toc152045608"/>
      <w:bookmarkStart w:id="127" w:name="_Toc144974576"/>
      <w:bookmarkStart w:id="128" w:name="_Toc152042386"/>
    </w:p>
    <w:p w14:paraId="5C4888BD">
      <w:pPr>
        <w:pStyle w:val="4"/>
        <w:spacing w:line="460" w:lineRule="exact"/>
        <w:jc w:val="left"/>
        <w:rPr>
          <w:rFonts w:ascii="宋体" w:hAnsi="宋体"/>
          <w:bCs w:val="0"/>
          <w:color w:val="auto"/>
          <w:sz w:val="21"/>
          <w:szCs w:val="21"/>
          <w:highlight w:val="none"/>
        </w:rPr>
      </w:pPr>
      <w:bookmarkStart w:id="129" w:name="_Toc31429"/>
      <w:bookmarkStart w:id="130" w:name="_Toc19795"/>
      <w:r>
        <w:rPr>
          <w:rFonts w:hint="eastAsia" w:ascii="宋体" w:hAnsi="宋体"/>
          <w:bCs w:val="0"/>
          <w:color w:val="auto"/>
          <w:sz w:val="21"/>
          <w:szCs w:val="21"/>
          <w:highlight w:val="none"/>
        </w:rPr>
        <w:t>5.综合评分</w:t>
      </w:r>
      <w:bookmarkEnd w:id="123"/>
      <w:bookmarkEnd w:id="124"/>
      <w:bookmarkEnd w:id="129"/>
      <w:bookmarkEnd w:id="130"/>
    </w:p>
    <w:p w14:paraId="1D864F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449784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3940147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1FB5E68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05BF0FCA">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0DDBBD1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785ACF6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72791E19">
      <w:pPr>
        <w:pStyle w:val="4"/>
        <w:spacing w:line="460" w:lineRule="exact"/>
        <w:jc w:val="left"/>
        <w:rPr>
          <w:rFonts w:ascii="宋体" w:hAnsi="宋体"/>
          <w:bCs w:val="0"/>
          <w:color w:val="auto"/>
          <w:sz w:val="21"/>
          <w:szCs w:val="21"/>
          <w:highlight w:val="none"/>
        </w:rPr>
      </w:pPr>
      <w:bookmarkStart w:id="131" w:name="_Toc5269858"/>
      <w:bookmarkStart w:id="132" w:name="_Toc11290"/>
      <w:bookmarkStart w:id="133" w:name="_Toc3554"/>
      <w:bookmarkStart w:id="134" w:name="_Toc6801"/>
      <w:r>
        <w:rPr>
          <w:rFonts w:hint="eastAsia" w:ascii="宋体" w:hAnsi="宋体"/>
          <w:bCs w:val="0"/>
          <w:color w:val="auto"/>
          <w:sz w:val="21"/>
          <w:szCs w:val="21"/>
          <w:highlight w:val="none"/>
        </w:rPr>
        <w:t>6.磋商结果</w:t>
      </w:r>
      <w:bookmarkEnd w:id="131"/>
      <w:bookmarkEnd w:id="132"/>
      <w:bookmarkEnd w:id="133"/>
      <w:bookmarkEnd w:id="134"/>
    </w:p>
    <w:bookmarkEnd w:id="125"/>
    <w:bookmarkEnd w:id="126"/>
    <w:bookmarkEnd w:id="127"/>
    <w:bookmarkEnd w:id="128"/>
    <w:p w14:paraId="2B464B6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4A4DE0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F4D65C">
      <w:pPr>
        <w:rPr>
          <w:rStyle w:val="60"/>
          <w:color w:val="auto"/>
          <w:highlight w:val="none"/>
        </w:rPr>
        <w:sectPr>
          <w:headerReference r:id="rId8" w:type="default"/>
          <w:footerReference r:id="rId9" w:type="default"/>
          <w:pgSz w:w="11911" w:h="16838"/>
          <w:pgMar w:top="1134" w:right="1689" w:bottom="1440" w:left="1689" w:header="720" w:footer="720" w:gutter="0"/>
          <w:cols w:space="720" w:num="1"/>
        </w:sectPr>
      </w:pPr>
      <w:bookmarkStart w:id="135" w:name="_Toc11800"/>
      <w:bookmarkStart w:id="136" w:name="_Toc12540"/>
    </w:p>
    <w:p w14:paraId="2CF11C90">
      <w:pPr>
        <w:pStyle w:val="2"/>
        <w:rPr>
          <w:b/>
          <w:bCs/>
          <w:color w:val="auto"/>
          <w:sz w:val="28"/>
          <w:szCs w:val="28"/>
          <w:highlight w:val="none"/>
        </w:rPr>
      </w:pPr>
      <w:r>
        <w:rPr>
          <w:rStyle w:val="60"/>
          <w:rFonts w:hint="eastAsia"/>
          <w:b/>
          <w:bCs/>
          <w:color w:val="auto"/>
          <w:highlight w:val="none"/>
        </w:rPr>
        <w:t xml:space="preserve">第四章 </w:t>
      </w:r>
      <w:bookmarkEnd w:id="135"/>
      <w:bookmarkEnd w:id="136"/>
      <w:r>
        <w:rPr>
          <w:rStyle w:val="60"/>
          <w:rFonts w:hint="eastAsia"/>
          <w:b/>
          <w:bCs/>
          <w:color w:val="auto"/>
          <w:highlight w:val="none"/>
        </w:rPr>
        <w:t>采购</w:t>
      </w:r>
      <w:r>
        <w:rPr>
          <w:rStyle w:val="60"/>
          <w:rFonts w:hint="eastAsia"/>
          <w:b/>
          <w:bCs/>
          <w:color w:val="auto"/>
          <w:highlight w:val="none"/>
          <w:lang w:eastAsia="zh-CN"/>
        </w:rPr>
        <w:t>内容及</w:t>
      </w:r>
      <w:r>
        <w:rPr>
          <w:rStyle w:val="60"/>
          <w:rFonts w:hint="eastAsia"/>
          <w:b/>
          <w:bCs/>
          <w:color w:val="auto"/>
          <w:highlight w:val="none"/>
        </w:rPr>
        <w:t>需求</w:t>
      </w:r>
    </w:p>
    <w:p w14:paraId="546E75E4">
      <w:pPr>
        <w:spacing w:line="460" w:lineRule="exact"/>
        <w:ind w:firstLine="420" w:firstLineChars="200"/>
        <w:rPr>
          <w:rFonts w:hint="eastAsia" w:ascii="宋体" w:hAnsi="宋体"/>
          <w:color w:val="auto"/>
          <w:szCs w:val="21"/>
          <w:highlight w:val="none"/>
        </w:rPr>
      </w:pPr>
      <w:bookmarkStart w:id="137" w:name="_Toc28515"/>
      <w:r>
        <w:rPr>
          <w:rFonts w:hint="eastAsia" w:ascii="宋体" w:hAnsi="宋体"/>
          <w:color w:val="auto"/>
          <w:szCs w:val="21"/>
          <w:highlight w:val="none"/>
        </w:rPr>
        <w:t>一、项目概况</w:t>
      </w:r>
    </w:p>
    <w:p w14:paraId="74B280A9">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根据《河南省自然资源厅办公室关于开展2024年城市国土空间监测工作的通知》 (豫自然资办发〔2024)16号)和《郑州市自然资源和规划局关于开展2024年城市国上空间监测工作的通知》(郑自然资发〔2024〕18号)要求在全市开展城市国土空间监测工作。以2023年度国土变更调查成果为底图，依据2024年6月底之前的高分辨率遥感影像和最新的相关专题资料，结合实地调查等工作，在全市范围组织开展城市国土空间监测工作，掌握城市建设总量、用地结构、基础设施和服务功能等情况，支撑城市建设用地细化、国土空间规划编制及实施监督、国土空间规划城市体检评估和用途管制等国土空间治理工作。</w:t>
      </w:r>
      <w:r>
        <w:rPr>
          <w:rFonts w:hint="eastAsia" w:ascii="宋体" w:hAnsi="宋体"/>
          <w:color w:val="auto"/>
          <w:szCs w:val="21"/>
          <w:highlight w:val="none"/>
          <w:lang w:val="en-US" w:eastAsia="zh-CN"/>
        </w:rPr>
        <w:t>荥阳市</w:t>
      </w:r>
      <w:r>
        <w:rPr>
          <w:rFonts w:hint="eastAsia" w:ascii="宋体" w:hAnsi="宋体"/>
          <w:color w:val="auto"/>
          <w:szCs w:val="21"/>
          <w:highlight w:val="none"/>
        </w:rPr>
        <w:t>被确定为2024年县级试点，除正常更新2023年度成果外，还需参照地级市城区范围监测内容，开展城区范围的要素采集。</w:t>
      </w:r>
    </w:p>
    <w:p w14:paraId="2F2B2FE6">
      <w:pPr>
        <w:keepNext/>
        <w:keepLines/>
        <w:pageBreakBefore w:val="0"/>
        <w:wordWrap/>
        <w:overflowPunct/>
        <w:topLinePunct w:val="0"/>
        <w:bidi w:val="0"/>
        <w:adjustRightInd/>
        <w:snapToGrid/>
        <w:spacing w:line="360" w:lineRule="auto"/>
        <w:ind w:firstLine="422" w:firstLineChars="200"/>
        <w:jc w:val="left"/>
        <w:outlineLvl w:val="0"/>
        <w:rPr>
          <w:rFonts w:hint="eastAsia" w:ascii="宋体" w:hAnsi="宋体" w:eastAsia="宋体" w:cs="宋体"/>
          <w:b/>
          <w:bCs w:val="0"/>
          <w:color w:val="auto"/>
          <w:kern w:val="44"/>
          <w:sz w:val="21"/>
          <w:szCs w:val="21"/>
          <w:highlight w:val="none"/>
        </w:rPr>
      </w:pPr>
      <w:bookmarkStart w:id="138" w:name="_Toc11690"/>
      <w:r>
        <w:rPr>
          <w:rFonts w:hint="eastAsia" w:ascii="宋体" w:hAnsi="宋体" w:eastAsia="宋体" w:cs="宋体"/>
          <w:b/>
          <w:bCs w:val="0"/>
          <w:color w:val="auto"/>
          <w:kern w:val="44"/>
          <w:sz w:val="21"/>
          <w:szCs w:val="21"/>
          <w:highlight w:val="none"/>
        </w:rPr>
        <w:t>二、监测内容与范围</w:t>
      </w:r>
      <w:bookmarkEnd w:id="138"/>
    </w:p>
    <w:p w14:paraId="53FDB1B5">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39" w:name="_Toc10595"/>
      <w:r>
        <w:rPr>
          <w:rFonts w:hint="eastAsia" w:ascii="宋体" w:hAnsi="宋体" w:eastAsia="宋体" w:cs="宋体"/>
          <w:color w:val="auto"/>
          <w:kern w:val="28"/>
          <w:sz w:val="21"/>
          <w:szCs w:val="21"/>
          <w:highlight w:val="none"/>
        </w:rPr>
        <w:t>（一）监测内容</w:t>
      </w:r>
      <w:bookmarkEnd w:id="139"/>
    </w:p>
    <w:p w14:paraId="49B42C8C">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监测工作以土地利用现状为依据，在变更调查成果地类基础上进一步细化地类，并确定监测要素的空间位置、占地范围、面积（长度）、相关属性等。主要包括以下监测要素</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项监测内容，在变更调查地类二级类下，按监测要素细化确定三级地类，以监测要素名称命名，并监测其变化情况。</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18项</w:t>
      </w:r>
      <w:r>
        <w:rPr>
          <w:rFonts w:hint="eastAsia" w:ascii="宋体" w:hAnsi="宋体" w:eastAsia="宋体" w:cs="宋体"/>
          <w:color w:val="auto"/>
          <w:sz w:val="21"/>
          <w:szCs w:val="21"/>
          <w:highlight w:val="none"/>
        </w:rPr>
        <w:t>确定监测要素的空间位置（范围）、面积（长度）、相关属性等，并监测其变化情况：</w:t>
      </w:r>
    </w:p>
    <w:p w14:paraId="7F18A5C3">
      <w:pPr>
        <w:pageBreakBefore w:val="0"/>
        <w:wordWrap/>
        <w:overflowPunct/>
        <w:topLinePunct w:val="0"/>
        <w:bidi w:val="0"/>
        <w:adjustRightInd/>
        <w:snapToGrid/>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2024年城市国土空间监测要素</w:t>
      </w:r>
    </w:p>
    <w:tbl>
      <w:tblPr>
        <w:tblStyle w:val="2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000"/>
        <w:gridCol w:w="6532"/>
      </w:tblGrid>
      <w:tr w14:paraId="21C6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46F859C7">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000"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659EF5F1">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目   标</w:t>
            </w:r>
          </w:p>
        </w:tc>
        <w:tc>
          <w:tcPr>
            <w:tcW w:w="6532"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36BBE730">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监  测  要  素</w:t>
            </w:r>
          </w:p>
        </w:tc>
      </w:tr>
      <w:tr w14:paraId="7F68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FD54B3A">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D5F519C">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商业服务业情况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041D6AEB">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菜市场（生鲜超市）、充电站（地上）</w:t>
            </w:r>
          </w:p>
        </w:tc>
      </w:tr>
      <w:tr w14:paraId="29C33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0A65B9A7">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732B03E3">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住宅情况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7F2DBF7">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商品住房（地上）、保障性住房（地上）</w:t>
            </w:r>
          </w:p>
        </w:tc>
      </w:tr>
      <w:tr w14:paraId="20AB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9E97ECD">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0EE28AAD">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就学教育情况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53BE8F9">
            <w:pPr>
              <w:keepNext w:val="0"/>
              <w:keepLines w:val="0"/>
              <w:pageBreakBefore w:val="0"/>
              <w:widowControl/>
              <w:kinsoku w:val="0"/>
              <w:wordWrap/>
              <w:overflowPunct/>
              <w:topLinePunct w:val="0"/>
              <w:autoSpaceDE w:val="0"/>
              <w:autoSpaceDN w:val="0"/>
              <w:bidi w:val="0"/>
              <w:adjustRightInd/>
              <w:snapToGrid/>
              <w:spacing w:line="360" w:lineRule="auto"/>
              <w:ind w:left="112" w:right="10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高等院校（含军事院校）、中等职业学校、特殊教育学校、中小学、幼儿园、专门学校（工读学校）</w:t>
            </w:r>
          </w:p>
        </w:tc>
      </w:tr>
      <w:tr w14:paraId="7B8B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D7776E7">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4E4C33E2">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3E91D94">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医院（含方舱医院）、社区卫生服务设施</w:t>
            </w:r>
          </w:p>
        </w:tc>
      </w:tr>
      <w:tr w14:paraId="1D62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A1A7307">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761773A">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社会福利情况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599F32C">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养老设施、儿童社会福利设施、残疾人福利设施</w:t>
            </w:r>
          </w:p>
        </w:tc>
      </w:tr>
      <w:tr w14:paraId="5A17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3E27CAD7">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633CE5A">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文体活动情况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6E8B7819">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文化艺术场馆、社区文化活动设施、体育场馆（含独立足球场）</w:t>
            </w:r>
          </w:p>
        </w:tc>
      </w:tr>
      <w:tr w14:paraId="4BAF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01BAE97B">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401954B3">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30C6F842">
            <w:pPr>
              <w:keepNext w:val="0"/>
              <w:keepLines w:val="0"/>
              <w:pageBreakBefore w:val="0"/>
              <w:widowControl/>
              <w:kinsoku w:val="0"/>
              <w:wordWrap/>
              <w:overflowPunct/>
              <w:topLinePunct w:val="0"/>
              <w:autoSpaceDE w:val="0"/>
              <w:autoSpaceDN w:val="0"/>
              <w:bidi w:val="0"/>
              <w:adjustRightInd/>
              <w:snapToGrid/>
              <w:spacing w:line="360" w:lineRule="auto"/>
              <w:ind w:left="112" w:right="108"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高速公路服务区、轨道交通站点（地铁站）、对外交通场站、公共交通场站、公共停车场（地面）、停车楼（地上）、机场</w:t>
            </w:r>
          </w:p>
        </w:tc>
      </w:tr>
      <w:tr w14:paraId="3744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5F9D9C66">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433E6DE9">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公用设施情况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0441B763">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自来水厂、污水处理厂、垃圾集中处理设施、消防站、邮政局（所）、供热厂</w:t>
            </w:r>
          </w:p>
        </w:tc>
      </w:tr>
      <w:tr w14:paraId="546E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154389FE">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5CB7050">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机关团体情况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2C71908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公安派出所</w:t>
            </w:r>
          </w:p>
        </w:tc>
      </w:tr>
      <w:tr w14:paraId="0DEB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C66D8AB">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AF9F5EA">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公园与绿地情况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7190A16E">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公园、绿地、广场</w:t>
            </w:r>
          </w:p>
        </w:tc>
      </w:tr>
      <w:tr w14:paraId="32F0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1E686F42">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9ABB11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殡葬设施情况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CD6B0B2">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殡葬设施</w:t>
            </w:r>
          </w:p>
        </w:tc>
      </w:tr>
      <w:tr w14:paraId="4EFA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8D739AB">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FA26E3A">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11C98351">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水电站</w:t>
            </w:r>
          </w:p>
        </w:tc>
      </w:tr>
      <w:tr w14:paraId="4B52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696C7584">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84412F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城市安全韧性情况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78C112EB">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城市内涝积水点、应急避难场所（地上）</w:t>
            </w:r>
          </w:p>
        </w:tc>
      </w:tr>
      <w:tr w14:paraId="4788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0AB753D0">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662FC66">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964A828">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单体建筑的高度、占地面积、建筑总面积</w:t>
            </w:r>
          </w:p>
        </w:tc>
      </w:tr>
      <w:tr w14:paraId="4E5BB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5C487F5D">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84D80B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城市更新情况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220B2513">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新增城市更新改造用地</w:t>
            </w:r>
          </w:p>
        </w:tc>
      </w:tr>
      <w:tr w14:paraId="2B1C1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6E7F3609">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03FB601">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水域、交通网络情况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1927D4D3">
            <w:pPr>
              <w:keepNext w:val="0"/>
              <w:keepLines w:val="0"/>
              <w:pageBreakBefore w:val="0"/>
              <w:widowControl/>
              <w:kinsoku w:val="0"/>
              <w:wordWrap/>
              <w:overflowPunct/>
              <w:topLinePunct w:val="0"/>
              <w:autoSpaceDE w:val="0"/>
              <w:autoSpaceDN w:val="0"/>
              <w:bidi w:val="0"/>
              <w:adjustRightInd/>
              <w:snapToGrid/>
              <w:spacing w:line="360" w:lineRule="auto"/>
              <w:ind w:left="113" w:right="108"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河湖（含大型水库）岸线、河渠结构线，铁路（含高速铁路）、公路</w:t>
            </w:r>
          </w:p>
          <w:p w14:paraId="3104E8B8">
            <w:pPr>
              <w:keepNext w:val="0"/>
              <w:keepLines w:val="0"/>
              <w:pageBreakBefore w:val="0"/>
              <w:widowControl/>
              <w:kinsoku w:val="0"/>
              <w:wordWrap/>
              <w:overflowPunct/>
              <w:topLinePunct w:val="0"/>
              <w:autoSpaceDE w:val="0"/>
              <w:autoSpaceDN w:val="0"/>
              <w:bidi w:val="0"/>
              <w:adjustRightInd/>
              <w:snapToGrid/>
              <w:spacing w:line="360" w:lineRule="auto"/>
              <w:ind w:left="113" w:right="108"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（含高速公路）、城市道路、乡村道路、匝道中心线</w:t>
            </w:r>
          </w:p>
        </w:tc>
      </w:tr>
      <w:tr w14:paraId="6EAC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D5E9809">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F1FBED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室外滑雪场情况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3AD230C">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室外滑雪场（含附属设施）</w:t>
            </w:r>
          </w:p>
        </w:tc>
      </w:tr>
      <w:tr w14:paraId="64A9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F98DD7F">
            <w:pPr>
              <w:keepNext w:val="0"/>
              <w:keepLines w:val="0"/>
              <w:pageBreakBefore w:val="0"/>
              <w:widowControl/>
              <w:kinsoku w:val="0"/>
              <w:wordWrap/>
              <w:overflowPunct/>
              <w:topLinePunct w:val="0"/>
              <w:autoSpaceDE w:val="0"/>
              <w:autoSpaceDN w:val="0"/>
              <w:bidi w:val="0"/>
              <w:adjustRightInd/>
              <w:snapToGrid/>
              <w:spacing w:line="360" w:lineRule="auto"/>
              <w:ind w:left="25" w:firstLine="1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BFA8A15">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历史文化遗产情况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2DC4EDE">
            <w:pPr>
              <w:keepNext w:val="0"/>
              <w:keepLines w:val="0"/>
              <w:pageBreakBefore w:val="0"/>
              <w:widowControl/>
              <w:kinsoku w:val="0"/>
              <w:wordWrap/>
              <w:overflowPunct/>
              <w:topLinePunct w:val="0"/>
              <w:autoSpaceDE w:val="0"/>
              <w:autoSpaceDN w:val="0"/>
              <w:bidi w:val="0"/>
              <w:adjustRightInd/>
              <w:snapToGrid/>
              <w:spacing w:line="360" w:lineRule="auto"/>
              <w:ind w:left="112" w:firstLine="34"/>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历史文化名城、世界文化遗产</w:t>
            </w:r>
          </w:p>
        </w:tc>
      </w:tr>
    </w:tbl>
    <w:p w14:paraId="06760D66">
      <w:pPr>
        <w:pageBreakBefore w:val="0"/>
        <w:wordWrap/>
        <w:overflowPunct/>
        <w:topLinePunct w:val="0"/>
        <w:bidi w:val="0"/>
        <w:adjustRightInd/>
        <w:snapToGrid/>
        <w:spacing w:line="360" w:lineRule="auto"/>
        <w:ind w:firstLine="420" w:firstLineChars="200"/>
        <w:jc w:val="left"/>
        <w:outlineLvl w:val="1"/>
        <w:rPr>
          <w:rFonts w:hint="eastAsia" w:ascii="宋体" w:hAnsi="宋体" w:eastAsia="宋体" w:cs="宋体"/>
          <w:color w:val="auto"/>
          <w:kern w:val="28"/>
          <w:sz w:val="21"/>
          <w:szCs w:val="21"/>
          <w:highlight w:val="none"/>
        </w:rPr>
      </w:pPr>
      <w:bookmarkStart w:id="140" w:name="_Toc29004"/>
      <w:r>
        <w:rPr>
          <w:rFonts w:hint="eastAsia" w:ascii="宋体" w:hAnsi="宋体" w:eastAsia="宋体" w:cs="宋体"/>
          <w:color w:val="auto"/>
          <w:kern w:val="28"/>
          <w:sz w:val="21"/>
          <w:szCs w:val="21"/>
          <w:highlight w:val="none"/>
        </w:rPr>
        <w:t>（二）监测范围</w:t>
      </w:r>
      <w:bookmarkEnd w:id="140"/>
    </w:p>
    <w:p w14:paraId="1279BB8E">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监测范围根据需要分为全域范围和城区监测范围两类。全域范围指城市行政区域为监测范围。城区监测范围指部反馈的“城区范围”和2023年度国土变更调查确定的城市（201）范围的并集。</w:t>
      </w:r>
      <w:r>
        <w:rPr>
          <w:rFonts w:hint="eastAsia" w:ascii="宋体" w:hAnsi="宋体" w:eastAsia="宋体" w:cs="宋体"/>
          <w:color w:val="auto"/>
          <w:sz w:val="21"/>
          <w:szCs w:val="21"/>
          <w:highlight w:val="none"/>
          <w:lang w:eastAsia="zh-CN"/>
        </w:rPr>
        <w:t>荥阳市被省级确定为</w:t>
      </w:r>
      <w:r>
        <w:rPr>
          <w:rFonts w:hint="eastAsia" w:ascii="宋体" w:hAnsi="宋体" w:eastAsia="宋体" w:cs="宋体"/>
          <w:color w:val="auto"/>
          <w:sz w:val="21"/>
          <w:szCs w:val="21"/>
          <w:highlight w:val="none"/>
        </w:rPr>
        <w:t>2024年5个县级试点</w:t>
      </w:r>
      <w:r>
        <w:rPr>
          <w:rFonts w:hint="eastAsia" w:ascii="宋体" w:hAnsi="宋体" w:eastAsia="宋体" w:cs="宋体"/>
          <w:color w:val="auto"/>
          <w:sz w:val="21"/>
          <w:szCs w:val="21"/>
          <w:highlight w:val="none"/>
          <w:lang w:eastAsia="zh-CN"/>
        </w:rPr>
        <w:t>之一</w:t>
      </w:r>
      <w:r>
        <w:rPr>
          <w:rFonts w:hint="eastAsia" w:ascii="宋体" w:hAnsi="宋体" w:eastAsia="宋体" w:cs="宋体"/>
          <w:color w:val="auto"/>
          <w:sz w:val="21"/>
          <w:szCs w:val="21"/>
          <w:highlight w:val="none"/>
        </w:rPr>
        <w:t>，城区范围的监测参考地级市执行。依据《国土空间规划城市体检评估规程》进行“城区”相关统计分析工作时，仍按照“城区范围”执行。</w:t>
      </w:r>
    </w:p>
    <w:p w14:paraId="502E7C4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域范围采集的内容包括：高等院校（含军事院校）、中等职业学校、特殊教育学校，专门学校（工读学校），方舱医院，自来水厂、污水处理厂、供热厂，殡葬设施，轨道交通站点（地铁站）、高速公路服务区、机场，水电站，河湖（含大型水库）岸线、河渠结构线，铁路（含高速铁路）、公路（含高速公路）、城市道路、乡村道路中心线，室外滑雪场（含附属设施）。</w:t>
      </w:r>
    </w:p>
    <w:p w14:paraId="50066FBD">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其余监测要素在城区监测范围内采集。</w:t>
      </w:r>
    </w:p>
    <w:p w14:paraId="28FC4A0A">
      <w:pPr>
        <w:keepNext/>
        <w:keepLines/>
        <w:pageBreakBefore w:val="0"/>
        <w:wordWrap/>
        <w:overflowPunct/>
        <w:topLinePunct w:val="0"/>
        <w:bidi w:val="0"/>
        <w:adjustRightInd/>
        <w:snapToGrid/>
        <w:spacing w:line="360" w:lineRule="auto"/>
        <w:ind w:firstLine="422" w:firstLineChars="200"/>
        <w:jc w:val="left"/>
        <w:outlineLvl w:val="0"/>
        <w:rPr>
          <w:rFonts w:hint="eastAsia" w:ascii="宋体" w:hAnsi="宋体" w:eastAsia="宋体" w:cs="宋体"/>
          <w:b/>
          <w:bCs w:val="0"/>
          <w:color w:val="auto"/>
          <w:kern w:val="44"/>
          <w:sz w:val="21"/>
          <w:szCs w:val="21"/>
          <w:highlight w:val="none"/>
        </w:rPr>
      </w:pPr>
      <w:r>
        <w:rPr>
          <w:rFonts w:hint="eastAsia" w:ascii="宋体" w:hAnsi="宋体" w:eastAsia="宋体" w:cs="宋体"/>
          <w:b/>
          <w:bCs w:val="0"/>
          <w:color w:val="auto"/>
          <w:kern w:val="44"/>
          <w:sz w:val="21"/>
          <w:szCs w:val="21"/>
          <w:highlight w:val="none"/>
          <w:lang w:val="en-US" w:eastAsia="zh-CN"/>
        </w:rPr>
        <w:t>三</w:t>
      </w:r>
      <w:r>
        <w:rPr>
          <w:rFonts w:hint="eastAsia" w:ascii="宋体" w:hAnsi="宋体" w:eastAsia="宋体" w:cs="宋体"/>
          <w:b/>
          <w:bCs w:val="0"/>
          <w:color w:val="auto"/>
          <w:kern w:val="44"/>
          <w:sz w:val="21"/>
          <w:szCs w:val="21"/>
          <w:highlight w:val="none"/>
        </w:rPr>
        <w:t>、工作内容与要求</w:t>
      </w:r>
    </w:p>
    <w:p w14:paraId="3E480A80">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1" w:name="_Toc9483"/>
      <w:r>
        <w:rPr>
          <w:rFonts w:hint="eastAsia" w:ascii="宋体" w:hAnsi="宋体" w:eastAsia="宋体" w:cs="宋体"/>
          <w:color w:val="auto"/>
          <w:kern w:val="28"/>
          <w:sz w:val="21"/>
          <w:szCs w:val="21"/>
          <w:highlight w:val="none"/>
        </w:rPr>
        <w:t>（一）遥感影像收集与正射处理</w:t>
      </w:r>
      <w:bookmarkEnd w:id="141"/>
    </w:p>
    <w:p w14:paraId="30CC9A44">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w:t>
      </w:r>
      <w:r>
        <w:rPr>
          <w:rFonts w:hint="eastAsia" w:ascii="宋体" w:hAnsi="宋体" w:eastAsia="宋体" w:cs="宋体"/>
          <w:color w:val="auto"/>
          <w:sz w:val="21"/>
          <w:szCs w:val="21"/>
          <w:highlight w:val="none"/>
          <w:lang w:eastAsia="zh-CN"/>
        </w:rPr>
        <w:t>上级下发</w:t>
      </w:r>
      <w:r>
        <w:rPr>
          <w:rFonts w:hint="eastAsia" w:ascii="宋体" w:hAnsi="宋体" w:eastAsia="宋体" w:cs="宋体"/>
          <w:color w:val="auto"/>
          <w:sz w:val="21"/>
          <w:szCs w:val="21"/>
          <w:highlight w:val="none"/>
        </w:rPr>
        <w:t>时相为2024年1-6月、1米或者更高分辨率的卫星遥感影像等，综合分析选择时相较新、分辨率更优的影像制作正射影像图，用于城市国土空间监测。</w:t>
      </w:r>
    </w:p>
    <w:p w14:paraId="77151791">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2" w:name="_Toc9330"/>
      <w:r>
        <w:rPr>
          <w:rFonts w:hint="eastAsia" w:ascii="宋体" w:hAnsi="宋体" w:eastAsia="宋体" w:cs="宋体"/>
          <w:color w:val="auto"/>
          <w:kern w:val="28"/>
          <w:sz w:val="21"/>
          <w:szCs w:val="21"/>
          <w:highlight w:val="none"/>
        </w:rPr>
        <w:t>（二）资料收集与整理</w:t>
      </w:r>
      <w:bookmarkEnd w:id="142"/>
    </w:p>
    <w:p w14:paraId="1ACB8397">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涉及教育、公安、民政、生态环境、住建、交通、水利、文化旅游、卫生健康、应急、市场监管、体育、统计、能源管理、邮政等行业，现势性为2023年1月1日之后的最新专题资料、POI数据，结合地籍调查和不动产登记、城市大比例尺基础测绘、数字城市、智慧城市等成果，为确定各类监测对象空间位置、占地范围和属性做参考和指引。</w:t>
      </w:r>
    </w:p>
    <w:p w14:paraId="17B8A5F9">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3" w:name="_Toc7353"/>
      <w:r>
        <w:rPr>
          <w:rFonts w:hint="eastAsia" w:ascii="宋体" w:hAnsi="宋体" w:eastAsia="宋体" w:cs="宋体"/>
          <w:color w:val="auto"/>
          <w:kern w:val="28"/>
          <w:sz w:val="21"/>
          <w:szCs w:val="21"/>
          <w:highlight w:val="none"/>
        </w:rPr>
        <w:t>（三）监测内容采集</w:t>
      </w:r>
      <w:bookmarkEnd w:id="143"/>
    </w:p>
    <w:p w14:paraId="739E1CF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以2023年度国土变更调查成果为底图，以收集的资料为指引，套合最新遥感影像，利用多种技术手段，结合实地调查，确定相关监测内容的位置、占地范围和相关属性等。具体要求如下：</w:t>
      </w:r>
    </w:p>
    <w:p w14:paraId="24E97CB8">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是对于有独立用地的监测要素，监测时实地与2023年度国土变更调查成果地类二级类一致的，在变更调查成果底图上进行细化采集，矢量化相关位置和范围，并标注相关属性；监测时实地与2023年度国土变更调查成果地类二级类不一致的，在单独图层上进行采集，矢量化相关位置和范围，并标注相关属性，同时，按照国土变更调查外业举证相关要求进行举证。可采用实地外业举证、影像举证或提交附件佐证材料的举证方式；实地照片、影像、佐证材料要准确反映监测要素的名称、范围、用途等信息。佐证材料包括但不限于不动产登记、地籍、地形、规划设计图纸和数据等权威资料。对于2023年已举证过，监测时实地没有新变化的情况，不再重复举证。</w:t>
      </w:r>
    </w:p>
    <w:p w14:paraId="0CF35895">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二是对于没有独立用地的监测要素，以单独图层表示其矢量位置，并标注相关属性。</w:t>
      </w:r>
    </w:p>
    <w:p w14:paraId="05E339B0">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三是对于相关部门权威资料可以表明相关属性的，可以直接使用；对于无权威资料或相关资料不能表明相关属性的，要结合外业实地调查确定相关属性。</w:t>
      </w:r>
    </w:p>
    <w:p w14:paraId="0208B353">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四是对于监测时原有监测要素改变为不需要监测的要素，对其范围或位置进行标注，以单独图层表示。</w:t>
      </w:r>
    </w:p>
    <w:p w14:paraId="24203CFA">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五是水域网络、交通网络只更新河湖（含大型水库）岸线、河渠结构线，铁路（含高速铁路）、公路（含高速公路）、城市道路、乡村道路、匝道中心线。</w:t>
      </w:r>
    </w:p>
    <w:p w14:paraId="521A7344">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六是结合管理资料和实地调查对室外滑雪场的范围及相关属性进行更新与补充。</w:t>
      </w:r>
    </w:p>
    <w:p w14:paraId="14BB1C3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七是对部掌握的历史文化名城和世界文化遗产范围变化等情况进行采集。</w:t>
      </w:r>
    </w:p>
    <w:p w14:paraId="4684CE61">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4" w:name="_Toc9121"/>
      <w:r>
        <w:rPr>
          <w:rFonts w:hint="eastAsia" w:ascii="宋体" w:hAnsi="宋体" w:eastAsia="宋体" w:cs="宋体"/>
          <w:color w:val="auto"/>
          <w:kern w:val="28"/>
          <w:sz w:val="21"/>
          <w:szCs w:val="21"/>
          <w:highlight w:val="none"/>
        </w:rPr>
        <w:t>（四）质量控制</w:t>
      </w:r>
      <w:bookmarkEnd w:id="144"/>
    </w:p>
    <w:p w14:paraId="038FE2A1">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bookmarkStart w:id="145" w:name="_Hlk166428749"/>
      <w:r>
        <w:rPr>
          <w:rFonts w:hint="eastAsia" w:ascii="宋体" w:hAnsi="宋体" w:eastAsia="宋体" w:cs="宋体"/>
          <w:color w:val="auto"/>
          <w:sz w:val="21"/>
          <w:szCs w:val="21"/>
          <w:highlight w:val="none"/>
        </w:rPr>
        <w:t>监测成果是各城市基本情况的体现，是城市国土空间规划和国土空间治理科学决策的重要支撑，要把数据真实性、准确性、客观性摆在城市国土空间监测工作的首要位置，采取有效措施，加强数据质量管控，确保成果数据与实际情况一致</w:t>
      </w:r>
      <w:bookmarkEnd w:id="145"/>
      <w:r>
        <w:rPr>
          <w:rFonts w:hint="eastAsia" w:ascii="宋体" w:hAnsi="宋体" w:eastAsia="宋体" w:cs="宋体"/>
          <w:color w:val="auto"/>
          <w:sz w:val="21"/>
          <w:szCs w:val="21"/>
          <w:highlight w:val="none"/>
        </w:rPr>
        <w:t>，按全过程管理的原则开展质量控制，自然资源部要求实行“两级检查、一级验收”制度。</w:t>
      </w:r>
      <w:r>
        <w:rPr>
          <w:rFonts w:hint="eastAsia" w:ascii="宋体" w:hAnsi="宋体" w:eastAsia="宋体" w:cs="宋体"/>
          <w:color w:val="auto"/>
          <w:sz w:val="21"/>
          <w:szCs w:val="21"/>
          <w:highlight w:val="none"/>
          <w:lang w:eastAsia="zh-CN"/>
        </w:rPr>
        <w:t>按照省级要求</w:t>
      </w:r>
      <w:r>
        <w:rPr>
          <w:rFonts w:hint="eastAsia" w:ascii="宋体" w:hAnsi="宋体" w:eastAsia="宋体" w:cs="宋体"/>
          <w:color w:val="auto"/>
          <w:sz w:val="21"/>
          <w:szCs w:val="21"/>
          <w:highlight w:val="none"/>
        </w:rPr>
        <w:t>，为严格质量控制，城市国土空间监测工作落实“县级全面自检、市级检查、省级核查”的三级质量管控机制。</w:t>
      </w:r>
      <w:r>
        <w:rPr>
          <w:rFonts w:hint="eastAsia" w:ascii="宋体" w:hAnsi="宋体" w:eastAsia="宋体" w:cs="宋体"/>
          <w:color w:val="auto"/>
          <w:sz w:val="21"/>
          <w:szCs w:val="21"/>
          <w:highlight w:val="none"/>
          <w:lang w:eastAsia="zh-CN"/>
        </w:rPr>
        <w:t>我市需</w:t>
      </w:r>
      <w:r>
        <w:rPr>
          <w:rFonts w:hint="eastAsia" w:ascii="宋体" w:hAnsi="宋体" w:eastAsia="宋体" w:cs="宋体"/>
          <w:color w:val="auto"/>
          <w:sz w:val="21"/>
          <w:szCs w:val="21"/>
          <w:highlight w:val="none"/>
        </w:rPr>
        <w:t>组织对本地区成果进行100%全面自检，确保成果的真实性、准确性、完整性和规范性。技术单位需建立完善全过程质量控制制度，严格执行质量检查和验收的相关要求。</w:t>
      </w:r>
    </w:p>
    <w:p w14:paraId="6AE91760">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6" w:name="_Toc1566"/>
      <w:r>
        <w:rPr>
          <w:rFonts w:hint="eastAsia" w:ascii="宋体" w:hAnsi="宋体" w:eastAsia="宋体" w:cs="宋体"/>
          <w:color w:val="auto"/>
          <w:kern w:val="28"/>
          <w:sz w:val="21"/>
          <w:szCs w:val="21"/>
          <w:highlight w:val="none"/>
        </w:rPr>
        <w:t>（五）数据成果汇交</w:t>
      </w:r>
      <w:bookmarkEnd w:id="146"/>
    </w:p>
    <w:p w14:paraId="00AA7982">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我市成果形成后需汇总至郑州市级，由郑州市</w:t>
      </w:r>
      <w:r>
        <w:rPr>
          <w:rFonts w:hint="eastAsia" w:ascii="宋体" w:hAnsi="宋体" w:eastAsia="宋体" w:cs="宋体"/>
          <w:color w:val="auto"/>
          <w:sz w:val="21"/>
          <w:szCs w:val="21"/>
          <w:highlight w:val="none"/>
        </w:rPr>
        <w:t>向省级汇交。省级自然资源主管部门按要求组织完成国家级汇交。省级将监测成果纳入国土空间基础信息平台和国土空间规划“一张图”实施监督信息系统。</w:t>
      </w:r>
    </w:p>
    <w:p w14:paraId="2564B075">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7" w:name="_Toc26045"/>
      <w:r>
        <w:rPr>
          <w:rFonts w:hint="eastAsia" w:ascii="宋体" w:hAnsi="宋体" w:eastAsia="宋体" w:cs="宋体"/>
          <w:color w:val="auto"/>
          <w:kern w:val="28"/>
          <w:sz w:val="21"/>
          <w:szCs w:val="21"/>
          <w:highlight w:val="none"/>
        </w:rPr>
        <w:t>（六）监测成果应用</w:t>
      </w:r>
      <w:bookmarkEnd w:id="147"/>
    </w:p>
    <w:p w14:paraId="64A8406F">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要加强工作总结、持续改进工作，在国土空间规划编制及实施监督、国土空间规划城市体检评估等工作中加强监测成果应用。自然资源调查</w:t>
      </w:r>
      <w:r>
        <w:rPr>
          <w:rFonts w:hint="eastAsia" w:ascii="宋体" w:hAnsi="宋体" w:eastAsia="宋体" w:cs="宋体"/>
          <w:color w:val="auto"/>
          <w:sz w:val="21"/>
          <w:szCs w:val="21"/>
          <w:highlight w:val="none"/>
          <w:lang w:eastAsia="zh-CN"/>
        </w:rPr>
        <w:t>和确权科</w:t>
      </w:r>
      <w:r>
        <w:rPr>
          <w:rFonts w:hint="eastAsia" w:ascii="宋体" w:hAnsi="宋体" w:eastAsia="宋体" w:cs="宋体"/>
          <w:color w:val="auto"/>
          <w:sz w:val="21"/>
          <w:szCs w:val="21"/>
          <w:highlight w:val="none"/>
        </w:rPr>
        <w:t>要及时向</w:t>
      </w:r>
      <w:r>
        <w:rPr>
          <w:rFonts w:hint="eastAsia" w:ascii="宋体" w:hAnsi="宋体" w:eastAsia="宋体" w:cs="宋体"/>
          <w:color w:val="auto"/>
          <w:sz w:val="21"/>
          <w:szCs w:val="21"/>
          <w:highlight w:val="none"/>
          <w:lang w:eastAsia="zh-CN"/>
        </w:rPr>
        <w:t>国土空间规划科等</w:t>
      </w:r>
      <w:r>
        <w:rPr>
          <w:rFonts w:hint="eastAsia" w:ascii="宋体" w:hAnsi="宋体" w:eastAsia="宋体" w:cs="宋体"/>
          <w:color w:val="auto"/>
          <w:sz w:val="21"/>
          <w:szCs w:val="21"/>
          <w:highlight w:val="none"/>
        </w:rPr>
        <w:t>提供最终监测成果，要积极向专题数据资料提供的主管部门共享监测成果；</w:t>
      </w:r>
      <w:r>
        <w:rPr>
          <w:rFonts w:hint="eastAsia" w:ascii="宋体" w:hAnsi="宋体" w:eastAsia="宋体" w:cs="宋体"/>
          <w:color w:val="auto"/>
          <w:sz w:val="21"/>
          <w:szCs w:val="21"/>
          <w:highlight w:val="none"/>
          <w:lang w:eastAsia="zh-CN"/>
        </w:rPr>
        <w:t>国土空间规划科</w:t>
      </w:r>
      <w:r>
        <w:rPr>
          <w:rFonts w:hint="eastAsia" w:ascii="宋体" w:hAnsi="宋体" w:eastAsia="宋体" w:cs="宋体"/>
          <w:color w:val="auto"/>
          <w:sz w:val="21"/>
          <w:szCs w:val="21"/>
          <w:highlight w:val="none"/>
        </w:rPr>
        <w:t>要梳理规划编制和体检评估等工作需求，为</w:t>
      </w:r>
      <w:r>
        <w:rPr>
          <w:rFonts w:hint="eastAsia" w:ascii="宋体" w:hAnsi="宋体" w:eastAsia="宋体" w:cs="宋体"/>
          <w:color w:val="auto"/>
          <w:sz w:val="21"/>
          <w:szCs w:val="21"/>
          <w:highlight w:val="none"/>
          <w:lang w:val="en-US" w:eastAsia="zh-CN"/>
        </w:rPr>
        <w:t>荥阳</w:t>
      </w:r>
      <w:r>
        <w:rPr>
          <w:rFonts w:hint="eastAsia" w:ascii="宋体" w:hAnsi="宋体" w:eastAsia="宋体" w:cs="宋体"/>
          <w:color w:val="auto"/>
          <w:sz w:val="21"/>
          <w:szCs w:val="21"/>
          <w:highlight w:val="none"/>
        </w:rPr>
        <w:t xml:space="preserve">具体实施方案编制提出建议，加强监测成果在相关工作中的应用。 </w:t>
      </w:r>
    </w:p>
    <w:p w14:paraId="5109D5C2">
      <w:pPr>
        <w:keepNext/>
        <w:keepLines/>
        <w:pageBreakBefore w:val="0"/>
        <w:wordWrap/>
        <w:overflowPunct/>
        <w:topLinePunct w:val="0"/>
        <w:bidi w:val="0"/>
        <w:adjustRightInd/>
        <w:snapToGrid/>
        <w:spacing w:line="360" w:lineRule="auto"/>
        <w:ind w:firstLine="422" w:firstLineChars="200"/>
        <w:jc w:val="left"/>
        <w:outlineLvl w:val="0"/>
        <w:rPr>
          <w:rFonts w:hint="eastAsia" w:ascii="宋体" w:hAnsi="宋体" w:eastAsia="宋体" w:cs="宋体"/>
          <w:b/>
          <w:bCs w:val="0"/>
          <w:color w:val="auto"/>
          <w:kern w:val="44"/>
          <w:sz w:val="21"/>
          <w:szCs w:val="21"/>
          <w:highlight w:val="none"/>
        </w:rPr>
      </w:pPr>
      <w:bookmarkStart w:id="148" w:name="_Toc11151"/>
      <w:r>
        <w:rPr>
          <w:rFonts w:hint="eastAsia" w:ascii="宋体" w:hAnsi="宋体" w:eastAsia="宋体" w:cs="宋体"/>
          <w:b/>
          <w:bCs w:val="0"/>
          <w:color w:val="auto"/>
          <w:kern w:val="44"/>
          <w:sz w:val="21"/>
          <w:szCs w:val="21"/>
          <w:highlight w:val="none"/>
          <w:lang w:val="en-US" w:eastAsia="zh-CN"/>
        </w:rPr>
        <w:t>四</w:t>
      </w:r>
      <w:r>
        <w:rPr>
          <w:rFonts w:hint="eastAsia" w:ascii="宋体" w:hAnsi="宋体" w:eastAsia="宋体" w:cs="宋体"/>
          <w:b/>
          <w:bCs w:val="0"/>
          <w:color w:val="auto"/>
          <w:kern w:val="44"/>
          <w:sz w:val="21"/>
          <w:szCs w:val="21"/>
          <w:highlight w:val="none"/>
        </w:rPr>
        <w:t>、主要成果</w:t>
      </w:r>
      <w:bookmarkEnd w:id="148"/>
    </w:p>
    <w:p w14:paraId="0E5E3BC6">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49" w:name="_Toc32316"/>
      <w:r>
        <w:rPr>
          <w:rFonts w:hint="eastAsia" w:ascii="宋体" w:hAnsi="宋体" w:eastAsia="宋体" w:cs="宋体"/>
          <w:color w:val="auto"/>
          <w:kern w:val="28"/>
          <w:sz w:val="21"/>
          <w:szCs w:val="21"/>
          <w:highlight w:val="none"/>
        </w:rPr>
        <w:t>（一）基础成果</w:t>
      </w:r>
      <w:bookmarkEnd w:id="149"/>
    </w:p>
    <w:p w14:paraId="28962B3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按照统一要求，通过整合、采集、细化与更新形成的空间数据成果。</w:t>
      </w:r>
    </w:p>
    <w:p w14:paraId="4DD720E1">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正射影像数据（各地制作的正射纠正影像数据，需经过质检合格后提供）；</w:t>
      </w:r>
    </w:p>
    <w:p w14:paraId="2DE956BE">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城市国土空间监测数据（包括细化数据集、补充数据集、地类变化数据集等）；</w:t>
      </w:r>
    </w:p>
    <w:p w14:paraId="3B8E0AB9">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生产元数据；</w:t>
      </w:r>
    </w:p>
    <w:p w14:paraId="704C37C6">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实地照片数据；</w:t>
      </w:r>
    </w:p>
    <w:p w14:paraId="21E72FEA">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技术文件（包括实施细则、实施方案、项目总结等）；</w:t>
      </w:r>
    </w:p>
    <w:p w14:paraId="55C7903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外业调查文件。</w:t>
      </w:r>
    </w:p>
    <w:p w14:paraId="3F14C870">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50" w:name="_Toc25401"/>
      <w:r>
        <w:rPr>
          <w:rFonts w:hint="eastAsia" w:ascii="宋体" w:hAnsi="宋体" w:eastAsia="宋体" w:cs="宋体"/>
          <w:color w:val="auto"/>
          <w:kern w:val="28"/>
          <w:sz w:val="21"/>
          <w:szCs w:val="21"/>
          <w:highlight w:val="none"/>
        </w:rPr>
        <w:t>（二）统计成果</w:t>
      </w:r>
      <w:bookmarkEnd w:id="150"/>
    </w:p>
    <w:p w14:paraId="14AE08D1">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基于基础成果进行汇总统计形成的表格成果。</w:t>
      </w:r>
    </w:p>
    <w:p w14:paraId="6E2BD618">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城市国土空间监测重点要素统计表；</w:t>
      </w:r>
    </w:p>
    <w:p w14:paraId="45D07769">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城市国土空间监测各类要素统计表。</w:t>
      </w:r>
    </w:p>
    <w:p w14:paraId="70F887EF">
      <w:pPr>
        <w:pageBreakBefore w:val="0"/>
        <w:wordWrap/>
        <w:overflowPunct/>
        <w:topLinePunct w:val="0"/>
        <w:bidi w:val="0"/>
        <w:adjustRightInd/>
        <w:snapToGrid/>
        <w:spacing w:line="360" w:lineRule="auto"/>
        <w:ind w:firstLine="369" w:firstLineChars="176"/>
        <w:jc w:val="left"/>
        <w:outlineLvl w:val="1"/>
        <w:rPr>
          <w:rFonts w:hint="eastAsia" w:ascii="宋体" w:hAnsi="宋体" w:eastAsia="宋体" w:cs="宋体"/>
          <w:color w:val="auto"/>
          <w:kern w:val="28"/>
          <w:sz w:val="21"/>
          <w:szCs w:val="21"/>
          <w:highlight w:val="none"/>
        </w:rPr>
      </w:pPr>
      <w:bookmarkStart w:id="151" w:name="_Toc226"/>
      <w:r>
        <w:rPr>
          <w:rFonts w:hint="eastAsia" w:ascii="宋体" w:hAnsi="宋体" w:eastAsia="宋体" w:cs="宋体"/>
          <w:color w:val="auto"/>
          <w:kern w:val="28"/>
          <w:sz w:val="21"/>
          <w:szCs w:val="21"/>
          <w:highlight w:val="none"/>
        </w:rPr>
        <w:t>（三）分析成果</w:t>
      </w:r>
      <w:bookmarkEnd w:id="151"/>
    </w:p>
    <w:p w14:paraId="4C6206B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根据业务管理需要，结合其他有关数据，通过计算和分析形成的数据成果和报告。</w:t>
      </w:r>
    </w:p>
    <w:p w14:paraId="155C5976">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城市国土空间监测成果检查报告；</w:t>
      </w:r>
    </w:p>
    <w:p w14:paraId="356A45DB">
      <w:pPr>
        <w:pageBreakBefore w:val="0"/>
        <w:wordWrap/>
        <w:overflowPunct/>
        <w:topLinePunct w:val="0"/>
        <w:bidi w:val="0"/>
        <w:adjustRightInd/>
        <w:snapToGrid/>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城市国土空间监测工作总结</w:t>
      </w:r>
      <w:r>
        <w:rPr>
          <w:rFonts w:hint="eastAsia" w:ascii="宋体" w:hAnsi="宋体" w:eastAsia="宋体" w:cs="宋体"/>
          <w:color w:val="auto"/>
          <w:sz w:val="21"/>
          <w:szCs w:val="21"/>
          <w:highlight w:val="none"/>
          <w:lang w:eastAsia="zh-CN"/>
        </w:rPr>
        <w:t>。</w:t>
      </w:r>
    </w:p>
    <w:p w14:paraId="2653024F">
      <w:pPr>
        <w:pageBreakBefore w:val="0"/>
        <w:numPr>
          <w:ilvl w:val="0"/>
          <w:numId w:val="0"/>
        </w:numPr>
        <w:wordWrap/>
        <w:overflowPunct/>
        <w:topLinePunct w:val="0"/>
        <w:bidi w:val="0"/>
        <w:adjustRightInd/>
        <w:snapToGrid/>
        <w:spacing w:line="360" w:lineRule="auto"/>
        <w:ind w:left="420" w:leftChars="20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五、技术规范、标准</w:t>
      </w:r>
    </w:p>
    <w:p w14:paraId="6EE38FB4">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本项目所依据的技术规范、标准主要有：</w:t>
      </w:r>
    </w:p>
    <w:p w14:paraId="7C444D87">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1、《中华人民共和国土地管理法》（2019年8月26日第三次修正）；</w:t>
      </w:r>
    </w:p>
    <w:p w14:paraId="66241A15">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2、《土地调查条例》（2016年1月5日修改）；</w:t>
      </w:r>
    </w:p>
    <w:p w14:paraId="02E03C62">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《土地利用现状分类》（GB/T 21010—2017）；</w:t>
      </w:r>
    </w:p>
    <w:p w14:paraId="4305F4E8">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《中共中央国务院关于建立国土空间规划体系并监督实施的若干意见》</w:t>
      </w:r>
    </w:p>
    <w:p w14:paraId="33F54245">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、《自然资源部办公厅关于开展2024年城市国土空间监测工作的通知》（自然资办发〔2024〕20号）及《2024年城市国土空间监测实施方案》；</w:t>
      </w:r>
    </w:p>
    <w:p w14:paraId="37551909">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7、《河南省自然资源厅办公室关于开展2024年城市国土空间监测工作的通知》（豫自然资办发</w:t>
      </w:r>
      <w:r>
        <w:rPr>
          <w:rFonts w:hint="eastAsia" w:ascii="宋体" w:hAnsi="宋体" w:eastAsia="宋体" w:cs="宋体"/>
          <w:color w:val="auto"/>
          <w:sz w:val="21"/>
          <w:szCs w:val="21"/>
          <w:highlight w:val="none"/>
        </w:rPr>
        <w:t>〔2024〕</w:t>
      </w:r>
      <w:r>
        <w:rPr>
          <w:rFonts w:hint="eastAsia" w:ascii="宋体" w:hAnsi="宋体" w:eastAsia="宋体" w:cs="宋体"/>
          <w:color w:val="auto"/>
          <w:sz w:val="21"/>
          <w:szCs w:val="21"/>
          <w:highlight w:val="none"/>
          <w:lang w:val="en-US" w:eastAsia="zh-CN"/>
        </w:rPr>
        <w:t>16号）及《河南省2024年城市国土空间监测实施方案》、《河南省2024年城市国土空间监测技术方案》；</w:t>
      </w:r>
    </w:p>
    <w:p w14:paraId="5DD624AC">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《郑州市自然资源和规划局关于开展2024年城市国国土空间监测工作的通知》（郑自然资发〔2024〕18号）。</w:t>
      </w:r>
    </w:p>
    <w:p w14:paraId="409E9091">
      <w:pPr>
        <w:pStyle w:val="9"/>
        <w:pageBreakBefore w:val="0"/>
        <w:wordWrap/>
        <w:overflowPunct/>
        <w:topLinePunct w:val="0"/>
        <w:bidi w:val="0"/>
        <w:adjustRightInd/>
        <w:snapToGrid/>
        <w:spacing w:after="0" w:line="360" w:lineRule="auto"/>
        <w:ind w:left="0" w:leftChars="0" w:firstLine="438"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以上法律、法规、规范和标准如有变化，以最新发布的为准。</w:t>
      </w:r>
    </w:p>
    <w:p w14:paraId="0F11F147">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项目管理要求</w:t>
      </w:r>
    </w:p>
    <w:p w14:paraId="539F9281">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1、乙方应加强测绘项目管理，严格遵守《中华人民共和国测绘法》有关规定，严禁出现转包、挂靠、违规分包等行为。如果发生以上行为，甲方将根据情节轻重对乙方采取相应处罚措施。</w:t>
      </w:r>
    </w:p>
    <w:p w14:paraId="217C7317">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应加强测绘项目安全保密管理，严格按照国家有关安全保密规定开展测绘作业，统筹做好疫情防控、安全生产、资料成果保密等工作。在项目实施过程中，乙方发生的一切安全保密事故责任均由乙方承担。</w:t>
      </w:r>
    </w:p>
    <w:p w14:paraId="0CCCB97D">
      <w:pPr>
        <w:pStyle w:val="45"/>
        <w:ind w:firstLine="241"/>
        <w:rPr>
          <w:rFonts w:hint="eastAsia" w:ascii="宋体" w:hAnsi="宋体" w:eastAsia="宋体" w:cs="宋体"/>
          <w:b/>
          <w:bCs/>
          <w:color w:val="auto"/>
          <w:sz w:val="24"/>
          <w:szCs w:val="24"/>
          <w:highlight w:val="none"/>
        </w:rPr>
      </w:pPr>
    </w:p>
    <w:p w14:paraId="6625D8AF">
      <w:pPr>
        <w:pStyle w:val="45"/>
        <w:ind w:firstLine="241"/>
        <w:rPr>
          <w:rFonts w:hint="eastAsia" w:ascii="宋体" w:hAnsi="宋体" w:eastAsia="宋体" w:cs="宋体"/>
          <w:b/>
          <w:bCs/>
          <w:color w:val="auto"/>
          <w:sz w:val="24"/>
          <w:szCs w:val="24"/>
          <w:highlight w:val="none"/>
        </w:rPr>
      </w:pPr>
    </w:p>
    <w:p w14:paraId="2DC92D70">
      <w:pPr>
        <w:pStyle w:val="45"/>
        <w:ind w:firstLine="241"/>
        <w:rPr>
          <w:rFonts w:hint="eastAsia" w:ascii="宋体" w:hAnsi="宋体" w:eastAsia="宋体" w:cs="宋体"/>
          <w:b/>
          <w:bCs/>
          <w:color w:val="auto"/>
          <w:sz w:val="24"/>
          <w:szCs w:val="24"/>
          <w:highlight w:val="none"/>
        </w:rPr>
      </w:pPr>
    </w:p>
    <w:p w14:paraId="62026CDE">
      <w:pPr>
        <w:pStyle w:val="45"/>
        <w:ind w:firstLine="241"/>
        <w:rPr>
          <w:rFonts w:hint="eastAsia" w:ascii="宋体" w:hAnsi="宋体" w:eastAsia="宋体" w:cs="宋体"/>
          <w:b/>
          <w:bCs/>
          <w:color w:val="auto"/>
          <w:sz w:val="24"/>
          <w:szCs w:val="24"/>
          <w:highlight w:val="none"/>
        </w:rPr>
      </w:pPr>
    </w:p>
    <w:p w14:paraId="7D151CB4">
      <w:pPr>
        <w:pStyle w:val="45"/>
        <w:ind w:firstLine="24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注：1、未尽事宜，执行国家、省相关政策文件。</w:t>
      </w:r>
    </w:p>
    <w:p w14:paraId="09DF14F7">
      <w:pPr>
        <w:pStyle w:val="45"/>
        <w:numPr>
          <w:ilvl w:val="0"/>
          <w:numId w:val="7"/>
        </w:numPr>
        <w:ind w:firstLine="723" w:firstLineChars="3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跟本项目相关的其他要求，成交供应商按采购人实际规定为准。</w:t>
      </w:r>
    </w:p>
    <w:p w14:paraId="5AAC7AFD">
      <w:pPr>
        <w:pStyle w:val="45"/>
        <w:ind w:firstLine="0" w:firstLineChars="0"/>
        <w:rPr>
          <w:rFonts w:ascii="宋体" w:hAnsi="宋体" w:eastAsia="宋体" w:cs="宋体"/>
          <w:b/>
          <w:bCs/>
          <w:color w:val="auto"/>
          <w:sz w:val="24"/>
          <w:szCs w:val="24"/>
          <w:highlight w:val="none"/>
        </w:rPr>
      </w:pPr>
    </w:p>
    <w:p w14:paraId="4787D893">
      <w:pPr>
        <w:pStyle w:val="45"/>
        <w:ind w:firstLine="0" w:firstLineChars="0"/>
        <w:rPr>
          <w:rFonts w:ascii="宋体" w:hAnsi="宋体" w:eastAsia="宋体" w:cs="宋体"/>
          <w:b/>
          <w:bCs/>
          <w:color w:val="auto"/>
          <w:sz w:val="24"/>
          <w:szCs w:val="24"/>
          <w:highlight w:val="none"/>
        </w:rPr>
      </w:pPr>
    </w:p>
    <w:p w14:paraId="7456D6BF">
      <w:pPr>
        <w:pStyle w:val="45"/>
        <w:ind w:firstLine="0" w:firstLineChars="0"/>
        <w:rPr>
          <w:rFonts w:ascii="宋体" w:hAnsi="宋体" w:eastAsia="宋体" w:cs="宋体"/>
          <w:b/>
          <w:bCs/>
          <w:color w:val="auto"/>
          <w:sz w:val="24"/>
          <w:szCs w:val="24"/>
          <w:highlight w:val="none"/>
        </w:rPr>
        <w:sectPr>
          <w:pgSz w:w="11911" w:h="16838"/>
          <w:pgMar w:top="1134" w:right="1689" w:bottom="1440" w:left="1689" w:header="720" w:footer="720" w:gutter="0"/>
          <w:cols w:space="720" w:num="1"/>
        </w:sectPr>
      </w:pPr>
    </w:p>
    <w:p w14:paraId="08D51C83">
      <w:pPr>
        <w:pStyle w:val="2"/>
        <w:numPr>
          <w:ilvl w:val="0"/>
          <w:numId w:val="8"/>
        </w:numPr>
        <w:rPr>
          <w:rStyle w:val="60"/>
          <w:b/>
          <w:bCs/>
          <w:color w:val="auto"/>
          <w:highlight w:val="none"/>
        </w:rPr>
      </w:pPr>
      <w:bookmarkStart w:id="152" w:name="_Toc5092"/>
      <w:r>
        <w:rPr>
          <w:rStyle w:val="60"/>
          <w:rFonts w:hint="eastAsia"/>
          <w:b/>
          <w:bCs/>
          <w:color w:val="auto"/>
          <w:highlight w:val="none"/>
        </w:rPr>
        <w:t>合同条款</w:t>
      </w:r>
      <w:bookmarkEnd w:id="137"/>
    </w:p>
    <w:p w14:paraId="11A391CC">
      <w:pPr>
        <w:pStyle w:val="2"/>
        <w:numPr>
          <w:ilvl w:val="0"/>
          <w:numId w:val="0"/>
        </w:numPr>
        <w:rPr>
          <w:rStyle w:val="60"/>
          <w:color w:val="auto"/>
          <w:highlight w:val="none"/>
        </w:rPr>
      </w:pPr>
      <w:r>
        <w:rPr>
          <w:rStyle w:val="60"/>
          <w:rFonts w:hint="eastAsia"/>
          <w:color w:val="auto"/>
          <w:highlight w:val="none"/>
        </w:rPr>
        <w:t>（合同范本仅供参考，</w:t>
      </w:r>
      <w:r>
        <w:rPr>
          <w:rFonts w:hint="eastAsia"/>
          <w:color w:val="auto"/>
          <w:highlight w:val="none"/>
        </w:rPr>
        <w:t>以实际签订为准</w:t>
      </w:r>
      <w:r>
        <w:rPr>
          <w:rStyle w:val="60"/>
          <w:rFonts w:hint="eastAsia"/>
          <w:color w:val="auto"/>
          <w:highlight w:val="none"/>
        </w:rPr>
        <w:t>）</w:t>
      </w:r>
      <w:bookmarkEnd w:id="152"/>
    </w:p>
    <w:p w14:paraId="34EC886F">
      <w:pPr>
        <w:spacing w:line="600" w:lineRule="exact"/>
        <w:ind w:firstLine="560" w:firstLineChars="200"/>
        <w:rPr>
          <w:rFonts w:ascii="宋体" w:hAnsi="宋体"/>
          <w:color w:val="auto"/>
          <w:sz w:val="28"/>
          <w:highlight w:val="none"/>
        </w:rPr>
      </w:pPr>
      <w:bookmarkStart w:id="153" w:name="_Toc22163"/>
      <w:bookmarkStart w:id="154" w:name="_Toc21006"/>
    </w:p>
    <w:p w14:paraId="4E4747DA">
      <w:pPr>
        <w:spacing w:line="600" w:lineRule="exact"/>
        <w:ind w:firstLine="560" w:firstLineChars="200"/>
        <w:rPr>
          <w:rFonts w:ascii="宋体" w:hAnsi="宋体"/>
          <w:color w:val="auto"/>
          <w:sz w:val="28"/>
          <w:highlight w:val="none"/>
        </w:rPr>
      </w:pPr>
    </w:p>
    <w:bookmarkEnd w:id="153"/>
    <w:bookmarkEnd w:id="154"/>
    <w:p w14:paraId="6EB90AD1">
      <w:pPr>
        <w:spacing w:line="360" w:lineRule="auto"/>
        <w:ind w:firstLine="201" w:firstLineChars="50"/>
        <w:jc w:val="center"/>
        <w:rPr>
          <w:rFonts w:hint="eastAsia" w:ascii="宋体" w:hAnsi="宋体"/>
          <w:b/>
          <w:color w:val="auto"/>
          <w:sz w:val="36"/>
          <w:szCs w:val="36"/>
          <w:highlight w:val="none"/>
        </w:rPr>
      </w:pPr>
      <w:bookmarkStart w:id="155" w:name="_Toc8695"/>
      <w:r>
        <w:rPr>
          <w:rFonts w:hint="eastAsia"/>
          <w:b/>
          <w:color w:val="auto"/>
          <w:sz w:val="40"/>
          <w:szCs w:val="28"/>
          <w:highlight w:val="none"/>
          <w:lang w:eastAsia="zh-CN"/>
        </w:rPr>
        <w:t>荥阳市自然资源和规划局荥阳市城市国土空间监测项目</w:t>
      </w:r>
    </w:p>
    <w:p w14:paraId="006EB133">
      <w:pPr>
        <w:spacing w:line="360" w:lineRule="auto"/>
        <w:ind w:firstLine="181" w:firstLineChars="50"/>
        <w:jc w:val="center"/>
        <w:rPr>
          <w:rFonts w:hint="eastAsia" w:ascii="宋体" w:hAnsi="宋体"/>
          <w:b/>
          <w:color w:val="auto"/>
          <w:sz w:val="36"/>
          <w:szCs w:val="36"/>
          <w:highlight w:val="none"/>
        </w:rPr>
      </w:pPr>
    </w:p>
    <w:p w14:paraId="1EF08A36">
      <w:pPr>
        <w:spacing w:line="360" w:lineRule="auto"/>
        <w:ind w:firstLine="181" w:firstLineChars="50"/>
        <w:jc w:val="center"/>
        <w:rPr>
          <w:rFonts w:ascii="宋体" w:hAnsi="宋体"/>
          <w:b/>
          <w:color w:val="auto"/>
          <w:sz w:val="36"/>
          <w:szCs w:val="36"/>
          <w:highlight w:val="none"/>
        </w:rPr>
      </w:pPr>
      <w:r>
        <w:rPr>
          <w:rFonts w:hint="eastAsia" w:ascii="宋体" w:hAnsi="宋体"/>
          <w:b/>
          <w:color w:val="auto"/>
          <w:sz w:val="36"/>
          <w:szCs w:val="36"/>
          <w:highlight w:val="none"/>
        </w:rPr>
        <w:t>技术服务合同</w:t>
      </w:r>
    </w:p>
    <w:p w14:paraId="0CF2F9D6">
      <w:pPr>
        <w:spacing w:line="360" w:lineRule="auto"/>
        <w:jc w:val="center"/>
        <w:rPr>
          <w:rFonts w:ascii="宋体" w:hAnsi="宋体"/>
          <w:b/>
          <w:color w:val="auto"/>
          <w:sz w:val="30"/>
          <w:szCs w:val="30"/>
          <w:highlight w:val="none"/>
        </w:rPr>
      </w:pPr>
    </w:p>
    <w:p w14:paraId="60672D67">
      <w:pPr>
        <w:spacing w:line="360" w:lineRule="auto"/>
        <w:jc w:val="center"/>
        <w:rPr>
          <w:rFonts w:ascii="宋体" w:hAnsi="宋体"/>
          <w:b/>
          <w:color w:val="auto"/>
          <w:sz w:val="30"/>
          <w:szCs w:val="30"/>
          <w:highlight w:val="none"/>
        </w:rPr>
      </w:pPr>
    </w:p>
    <w:p w14:paraId="7145BE21">
      <w:pPr>
        <w:spacing w:line="360" w:lineRule="auto"/>
        <w:ind w:firstLine="472" w:firstLineChars="147"/>
        <w:rPr>
          <w:rFonts w:ascii="宋体" w:hAnsi="宋体"/>
          <w:b/>
          <w:color w:val="auto"/>
          <w:sz w:val="32"/>
          <w:szCs w:val="32"/>
          <w:highlight w:val="none"/>
        </w:rPr>
      </w:pPr>
    </w:p>
    <w:p w14:paraId="1B9BDF8B">
      <w:pPr>
        <w:spacing w:line="360" w:lineRule="auto"/>
        <w:ind w:firstLine="472" w:firstLineChars="147"/>
        <w:rPr>
          <w:rFonts w:ascii="宋体" w:hAnsi="宋体"/>
          <w:b/>
          <w:color w:val="auto"/>
          <w:sz w:val="32"/>
          <w:szCs w:val="32"/>
          <w:highlight w:val="none"/>
        </w:rPr>
      </w:pPr>
    </w:p>
    <w:p w14:paraId="45DB8C2C">
      <w:pPr>
        <w:pStyle w:val="23"/>
        <w:tabs>
          <w:tab w:val="left" w:pos="180"/>
        </w:tabs>
        <w:ind w:firstLine="643"/>
        <w:rPr>
          <w:rFonts w:ascii="宋体" w:hAnsi="宋体"/>
          <w:b/>
          <w:color w:val="auto"/>
          <w:sz w:val="32"/>
          <w:szCs w:val="32"/>
          <w:highlight w:val="none"/>
          <w:lang w:eastAsia="zh-CN"/>
        </w:rPr>
      </w:pPr>
    </w:p>
    <w:p w14:paraId="1B2868E4">
      <w:pPr>
        <w:spacing w:line="360" w:lineRule="auto"/>
        <w:rPr>
          <w:rFonts w:ascii="宋体" w:hAnsi="宋体"/>
          <w:b/>
          <w:color w:val="auto"/>
          <w:sz w:val="32"/>
          <w:szCs w:val="32"/>
          <w:highlight w:val="none"/>
        </w:rPr>
      </w:pPr>
    </w:p>
    <w:p w14:paraId="2D5C0240">
      <w:pPr>
        <w:pStyle w:val="40"/>
      </w:pPr>
    </w:p>
    <w:p w14:paraId="784CA806">
      <w:pPr>
        <w:spacing w:line="360" w:lineRule="auto"/>
        <w:rPr>
          <w:rFonts w:ascii="宋体" w:hAnsi="宋体"/>
          <w:b/>
          <w:color w:val="auto"/>
          <w:sz w:val="32"/>
          <w:szCs w:val="32"/>
          <w:highlight w:val="none"/>
        </w:rPr>
      </w:pPr>
    </w:p>
    <w:p w14:paraId="2FD6ED09">
      <w:pPr>
        <w:spacing w:line="360" w:lineRule="auto"/>
        <w:rPr>
          <w:rFonts w:ascii="宋体" w:hAnsi="宋体"/>
          <w:b/>
          <w:color w:val="auto"/>
          <w:sz w:val="32"/>
          <w:szCs w:val="32"/>
          <w:highlight w:val="none"/>
        </w:rPr>
      </w:pPr>
    </w:p>
    <w:p w14:paraId="635039AD">
      <w:pPr>
        <w:spacing w:line="360" w:lineRule="auto"/>
        <w:jc w:val="center"/>
        <w:rPr>
          <w:rFonts w:ascii="宋体" w:hAnsi="宋体"/>
          <w:bCs/>
          <w:color w:val="auto"/>
          <w:sz w:val="30"/>
          <w:szCs w:val="30"/>
          <w:highlight w:val="none"/>
        </w:rPr>
      </w:pPr>
      <w:r>
        <w:rPr>
          <w:rFonts w:hint="eastAsia" w:ascii="宋体" w:hAnsi="宋体"/>
          <w:bCs/>
          <w:color w:val="auto"/>
          <w:sz w:val="30"/>
          <w:szCs w:val="30"/>
          <w:highlight w:val="none"/>
        </w:rPr>
        <w:t>甲  方：荥阳市自然资源和规划局</w:t>
      </w:r>
    </w:p>
    <w:p w14:paraId="17C17FA9">
      <w:pPr>
        <w:spacing w:line="360" w:lineRule="auto"/>
        <w:ind w:firstLine="1950" w:firstLineChars="650"/>
        <w:rPr>
          <w:rFonts w:ascii="宋体" w:hAnsi="宋体"/>
          <w:bCs/>
          <w:color w:val="auto"/>
          <w:sz w:val="30"/>
          <w:szCs w:val="30"/>
          <w:highlight w:val="none"/>
        </w:rPr>
      </w:pPr>
      <w:r>
        <w:rPr>
          <w:rFonts w:hint="eastAsia" w:ascii="宋体" w:hAnsi="宋体"/>
          <w:bCs/>
          <w:color w:val="auto"/>
          <w:sz w:val="30"/>
          <w:szCs w:val="30"/>
          <w:highlight w:val="none"/>
        </w:rPr>
        <w:t>乙  方：</w:t>
      </w:r>
    </w:p>
    <w:p w14:paraId="0FF7E10C">
      <w:pPr>
        <w:pStyle w:val="23"/>
        <w:tabs>
          <w:tab w:val="left" w:pos="180"/>
        </w:tabs>
        <w:ind w:firstLine="1540" w:firstLineChars="550"/>
        <w:rPr>
          <w:color w:val="auto"/>
          <w:highlight w:val="none"/>
          <w:lang w:eastAsia="zh-CN"/>
        </w:rPr>
      </w:pPr>
      <w:r>
        <w:rPr>
          <w:rFonts w:hint="eastAsia" w:ascii="宋体" w:hAnsi="宋体"/>
          <w:color w:val="auto"/>
          <w:kern w:val="28"/>
          <w:sz w:val="28"/>
          <w:szCs w:val="28"/>
          <w:highlight w:val="none"/>
          <w:lang w:eastAsia="zh-CN"/>
        </w:rPr>
        <w:t>签订时间</w:t>
      </w:r>
      <w:r>
        <w:rPr>
          <w:rFonts w:hint="eastAsia" w:ascii="宋体" w:hAnsi="宋体"/>
          <w:color w:val="auto"/>
          <w:sz w:val="28"/>
          <w:szCs w:val="28"/>
          <w:highlight w:val="none"/>
          <w:lang w:eastAsia="zh-CN"/>
        </w:rPr>
        <w:t>:</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eastAsia="zh-CN"/>
        </w:rPr>
        <w:t>年</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eastAsia="zh-CN"/>
        </w:rPr>
        <w:t xml:space="preserve"> </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eastAsia="zh-CN"/>
        </w:rPr>
        <w:t>月</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eastAsia="zh-CN"/>
        </w:rPr>
        <w:t xml:space="preserve"> </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eastAsia="zh-CN"/>
        </w:rPr>
        <w:t>日</w:t>
      </w:r>
    </w:p>
    <w:p w14:paraId="754B39C1">
      <w:pPr>
        <w:jc w:val="center"/>
        <w:rPr>
          <w:rFonts w:ascii="黑体" w:eastAsia="黑体"/>
          <w:color w:val="auto"/>
          <w:sz w:val="28"/>
          <w:highlight w:val="none"/>
        </w:rPr>
      </w:pPr>
    </w:p>
    <w:p w14:paraId="045B7A94">
      <w:pPr>
        <w:pStyle w:val="23"/>
        <w:tabs>
          <w:tab w:val="left" w:pos="180"/>
        </w:tabs>
        <w:ind w:firstLine="440"/>
        <w:rPr>
          <w:color w:val="auto"/>
          <w:highlight w:val="none"/>
          <w:lang w:eastAsia="zh-CN"/>
        </w:rPr>
      </w:pPr>
    </w:p>
    <w:p w14:paraId="44973199">
      <w:pPr>
        <w:pStyle w:val="23"/>
        <w:tabs>
          <w:tab w:val="left" w:pos="180"/>
        </w:tabs>
        <w:ind w:firstLine="440"/>
        <w:rPr>
          <w:color w:val="auto"/>
          <w:highlight w:val="none"/>
          <w:lang w:eastAsia="zh-CN"/>
        </w:rPr>
      </w:pPr>
    </w:p>
    <w:p w14:paraId="61F38644">
      <w:pPr>
        <w:spacing w:line="480" w:lineRule="exact"/>
        <w:ind w:firstLine="480" w:firstLineChars="200"/>
        <w:rPr>
          <w:rFonts w:ascii="仿宋_GB2312" w:eastAsia="仿宋_GB2312"/>
          <w:color w:val="auto"/>
          <w:sz w:val="24"/>
          <w:szCs w:val="24"/>
          <w:highlight w:val="none"/>
        </w:rPr>
      </w:pPr>
    </w:p>
    <w:p w14:paraId="0B40FC18">
      <w:pPr>
        <w:pStyle w:val="40"/>
        <w:rPr>
          <w:color w:val="auto"/>
          <w:highlight w:val="none"/>
        </w:rPr>
      </w:pPr>
    </w:p>
    <w:p w14:paraId="552915F5">
      <w:pPr>
        <w:rPr>
          <w:color w:val="auto"/>
          <w:highlight w:val="none"/>
        </w:rPr>
      </w:pPr>
    </w:p>
    <w:p w14:paraId="28978368">
      <w:pPr>
        <w:pStyle w:val="40"/>
      </w:pPr>
    </w:p>
    <w:p w14:paraId="03256235">
      <w:pPr>
        <w:pStyle w:val="23"/>
        <w:rPr>
          <w:color w:val="auto"/>
          <w:highlight w:val="none"/>
        </w:rPr>
      </w:pPr>
    </w:p>
    <w:p w14:paraId="0C9524B8">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依据《中华人民共和国</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lang w:val="zh-CN"/>
        </w:rPr>
        <w:t>》、《中华人民共和国政府采购法》与项目行业有关的法律法规，以及</w:t>
      </w:r>
      <w:r>
        <w:rPr>
          <w:rFonts w:hint="eastAsia" w:ascii="宋体" w:hAnsi="宋体" w:eastAsia="宋体" w:cs="宋体"/>
          <w:color w:val="auto"/>
          <w:szCs w:val="21"/>
          <w:highlight w:val="none"/>
          <w:lang w:val="zh-CN" w:eastAsia="zh-CN"/>
        </w:rPr>
        <w:t>____项目</w:t>
      </w:r>
      <w:r>
        <w:rPr>
          <w:rFonts w:hint="eastAsia" w:ascii="宋体" w:hAnsi="宋体" w:eastAsia="宋体" w:cs="宋体"/>
          <w:color w:val="auto"/>
          <w:szCs w:val="21"/>
          <w:highlight w:val="none"/>
          <w:lang w:val="zh-CN"/>
        </w:rPr>
        <w:t>（项目编号：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的《招标文件》</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乙方的《投标文件》及《中标通知书》，甲、乙双方</w:t>
      </w:r>
      <w:r>
        <w:rPr>
          <w:rFonts w:hint="eastAsia" w:ascii="宋体" w:hAnsi="宋体" w:eastAsia="宋体" w:cs="宋体"/>
          <w:color w:val="auto"/>
          <w:szCs w:val="21"/>
          <w:highlight w:val="none"/>
          <w:lang w:val="en-US" w:eastAsia="zh-CN"/>
        </w:rPr>
        <w:t>同</w:t>
      </w:r>
      <w:r>
        <w:rPr>
          <w:rFonts w:hint="eastAsia" w:ascii="宋体" w:hAnsi="宋体" w:eastAsia="宋体" w:cs="宋体"/>
          <w:color w:val="auto"/>
          <w:szCs w:val="21"/>
          <w:highlight w:val="none"/>
          <w:lang w:val="zh-CN"/>
        </w:rPr>
        <w:t>意签订本合同。约定以下合同条款，以兹共同遵守、全面履行。</w:t>
      </w:r>
    </w:p>
    <w:p w14:paraId="7EF8D7B3">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bookmarkStart w:id="156" w:name="bookmark125"/>
      <w:bookmarkStart w:id="157" w:name="_Toc18585"/>
      <w:bookmarkStart w:id="158" w:name="_Toc6773"/>
      <w:bookmarkStart w:id="159" w:name="_Toc22185"/>
      <w:bookmarkStart w:id="160" w:name="_Toc21456"/>
      <w:bookmarkStart w:id="161" w:name="_Toc6311"/>
      <w:bookmarkStart w:id="162" w:name="_Toc13993"/>
      <w:bookmarkStart w:id="163" w:name="_Toc2918"/>
      <w:r>
        <w:rPr>
          <w:rFonts w:hint="eastAsia" w:ascii="宋体" w:hAnsi="宋体" w:eastAsia="宋体" w:cs="宋体"/>
          <w:b/>
          <w:bCs/>
          <w:color w:val="auto"/>
          <w:szCs w:val="21"/>
          <w:highlight w:val="none"/>
          <w:lang w:val="zh-CN"/>
        </w:rPr>
        <w:t>一</w:t>
      </w:r>
      <w:bookmarkEnd w:id="156"/>
      <w:r>
        <w:rPr>
          <w:rFonts w:hint="eastAsia" w:ascii="宋体" w:hAnsi="宋体" w:eastAsia="宋体" w:cs="宋体"/>
          <w:b/>
          <w:bCs/>
          <w:color w:val="auto"/>
          <w:szCs w:val="21"/>
          <w:highlight w:val="none"/>
          <w:lang w:val="zh-CN"/>
        </w:rPr>
        <w:t>、项目基本情况：</w:t>
      </w:r>
    </w:p>
    <w:p w14:paraId="74956B6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依据国家及行业规范标准，对荥阳市行政区域范围943.2平方公里开展城市国土空间监测。</w:t>
      </w:r>
    </w:p>
    <w:p w14:paraId="10253B46">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二、主要内容：</w:t>
      </w:r>
    </w:p>
    <w:bookmarkEnd w:id="157"/>
    <w:bookmarkEnd w:id="158"/>
    <w:bookmarkEnd w:id="159"/>
    <w:bookmarkEnd w:id="160"/>
    <w:bookmarkEnd w:id="161"/>
    <w:bookmarkEnd w:id="162"/>
    <w:bookmarkEnd w:id="163"/>
    <w:p w14:paraId="124EE59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1.1工作目标</w:t>
      </w:r>
    </w:p>
    <w:p w14:paraId="50DFF634">
      <w:pPr>
        <w:keepNext w:val="0"/>
        <w:keepLines w:val="0"/>
        <w:pageBreakBefore w:val="0"/>
        <w:wordWrap/>
        <w:overflowPunct/>
        <w:topLinePunct w:val="0"/>
        <w:bidi w:val="0"/>
        <w:adjustRightInd/>
        <w:snapToGrid/>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2023年度国土变更调查成果为底图，依据2024年6月底之前的高分辨率遥感影像和最新的相关专题资料，结合实地调查等工作，在全市范围组织开展城市国土空间监测工作，掌握城市建设总量、用地结构、基础设施和服务功能等情况，支撑城市建设用地细化、国土空间规划编制及实施监督、国土空间规划城市体检评估和用途管制等国土空间治理工作。荥阳市被确定为2024年县级试点，除正常更新2023年度成果外，还需参照地级市城区范围监测内容，开展城区范围的要素采集。</w:t>
      </w:r>
    </w:p>
    <w:p w14:paraId="6FDF6838">
      <w:pPr>
        <w:keepNext w:val="0"/>
        <w:keepLines w:val="0"/>
        <w:pageBreakBefore w:val="0"/>
        <w:wordWrap/>
        <w:overflowPunct/>
        <w:topLinePunct w:val="0"/>
        <w:bidi w:val="0"/>
        <w:adjustRightInd/>
        <w:snapToGrid/>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1.2监测内容与范围</w:t>
      </w:r>
    </w:p>
    <w:p w14:paraId="4B3FE6B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4" w:name="_Toc7196"/>
      <w:r>
        <w:rPr>
          <w:rFonts w:hint="eastAsia" w:ascii="宋体" w:hAnsi="宋体" w:eastAsia="宋体" w:cs="宋体"/>
          <w:color w:val="auto"/>
          <w:szCs w:val="21"/>
          <w:highlight w:val="none"/>
          <w:lang w:val="zh-CN"/>
        </w:rPr>
        <w:t>（一）监测内容</w:t>
      </w:r>
      <w:bookmarkEnd w:id="164"/>
    </w:p>
    <w:p w14:paraId="7B89E6C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监测工作以土地利用现状为依据，在变更调查成果地类基础上进一步细化地类，并确定监测要素的空间位置、占地范围、面积（长度）、相关属性等。主要包括以下监测要素</w:t>
      </w:r>
      <w:r>
        <w:rPr>
          <w:rFonts w:hint="eastAsia" w:ascii="宋体" w:hAnsi="宋体" w:eastAsia="宋体" w:cs="宋体"/>
          <w:color w:val="auto"/>
          <w:szCs w:val="21"/>
          <w:highlight w:val="none"/>
          <w:lang w:val="zh-CN" w:eastAsia="zh-CN"/>
        </w:rPr>
        <w:t>，其中</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至</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项监测内容，在变更调查地类二级类下，按监测要素细化确定三级地类，以监测要素名称命名，并监测其变化情况。</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至</w:t>
      </w:r>
      <w:r>
        <w:rPr>
          <w:rFonts w:hint="eastAsia" w:ascii="宋体" w:hAnsi="宋体" w:eastAsia="宋体" w:cs="宋体"/>
          <w:color w:val="auto"/>
          <w:szCs w:val="21"/>
          <w:highlight w:val="none"/>
          <w:lang w:val="en-US" w:eastAsia="zh-CN"/>
        </w:rPr>
        <w:t>18项</w:t>
      </w:r>
      <w:r>
        <w:rPr>
          <w:rFonts w:hint="eastAsia" w:ascii="宋体" w:hAnsi="宋体" w:eastAsia="宋体" w:cs="宋体"/>
          <w:color w:val="auto"/>
          <w:szCs w:val="21"/>
          <w:highlight w:val="none"/>
          <w:lang w:val="zh-CN"/>
        </w:rPr>
        <w:t>确定监测要素的空间位置（范围）、面积（长度）、相关属性等，并监测其变化情况：</w:t>
      </w:r>
    </w:p>
    <w:p w14:paraId="5AF2178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2024年城市国土空间监测要素</w:t>
      </w:r>
    </w:p>
    <w:tbl>
      <w:tblPr>
        <w:tblStyle w:val="2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000"/>
        <w:gridCol w:w="6532"/>
      </w:tblGrid>
      <w:tr w14:paraId="5C0B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393B0D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2000"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750190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目   标</w:t>
            </w:r>
          </w:p>
        </w:tc>
        <w:tc>
          <w:tcPr>
            <w:tcW w:w="6532" w:type="dxa"/>
            <w:tcBorders>
              <w:top w:val="single" w:color="000000" w:sz="2" w:space="0"/>
              <w:left w:val="single" w:color="000000" w:sz="2" w:space="0"/>
              <w:bottom w:val="single" w:color="000000" w:sz="2" w:space="0"/>
              <w:right w:val="single" w:color="000000" w:sz="2" w:space="0"/>
            </w:tcBorders>
            <w:shd w:val="clear" w:color="auto" w:fill="BEBEBE"/>
            <w:noWrap w:val="0"/>
            <w:vAlign w:val="top"/>
          </w:tcPr>
          <w:p w14:paraId="5CE74E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监  测  要  素</w:t>
            </w:r>
          </w:p>
        </w:tc>
      </w:tr>
      <w:tr w14:paraId="7AB4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A9D43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C062F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商业服务业情况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7B0AA5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菜市场（生鲜超市）、充电站（地上）</w:t>
            </w:r>
          </w:p>
        </w:tc>
      </w:tr>
      <w:tr w14:paraId="1504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3376C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44BF5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住宅情况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31BFB6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商品住房（地上）、保障性住房（地上）</w:t>
            </w:r>
          </w:p>
        </w:tc>
      </w:tr>
      <w:tr w14:paraId="3447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B551D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3F21F5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就学教育情况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D7916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高等院校（含军事院校）、中等职业学校、特殊教育学校、中小学、幼儿园、专门学校（工读学校）</w:t>
            </w:r>
          </w:p>
        </w:tc>
      </w:tr>
      <w:tr w14:paraId="5B9A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6795F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AF16B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医疗情况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15068A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医院（含方舱医院）、社区卫生服务设施</w:t>
            </w:r>
          </w:p>
        </w:tc>
      </w:tr>
      <w:tr w14:paraId="3BF7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4A9AAE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47D613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社会福利情况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69B24D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养老设施、儿童社会福利设施、残疾人福利设施</w:t>
            </w:r>
          </w:p>
        </w:tc>
      </w:tr>
      <w:tr w14:paraId="532E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14955D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470F0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文体活动情况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6AC2C6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文化艺术场馆、社区文化活动设施、体育场馆（含独立足球场）</w:t>
            </w:r>
          </w:p>
        </w:tc>
      </w:tr>
      <w:tr w14:paraId="07D6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564835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B1FDA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交通情况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686037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高速公路服务区、轨道交通站点（地铁站）、对外交通场站、公共交通场站、公共停车场（地面）、停车楼（地上）、机场</w:t>
            </w:r>
          </w:p>
        </w:tc>
      </w:tr>
      <w:tr w14:paraId="4865D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059D68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07D42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公用设施情况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4B70E3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自来水厂、污水处理厂、垃圾集中处理设施、消防站、邮政局（所）、供热厂</w:t>
            </w:r>
          </w:p>
        </w:tc>
      </w:tr>
      <w:tr w14:paraId="0061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554B6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74C642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机关团体情况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6A7A0E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公安派出所</w:t>
            </w:r>
          </w:p>
        </w:tc>
      </w:tr>
      <w:tr w14:paraId="4137F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05092F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8DC85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公园与绿地情况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58400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公园、绿地、广场</w:t>
            </w:r>
          </w:p>
        </w:tc>
      </w:tr>
      <w:tr w14:paraId="54C8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DF137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83329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殡葬设施情况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47900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殡葬设施</w:t>
            </w:r>
          </w:p>
        </w:tc>
      </w:tr>
      <w:tr w14:paraId="0AC3B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779254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5346B8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水利设施情况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513EE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水电站</w:t>
            </w:r>
          </w:p>
        </w:tc>
      </w:tr>
      <w:tr w14:paraId="60A81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32EA01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17467F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城市安全韧性情况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0D8437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城市内涝积水点、应急避难场所（地上）</w:t>
            </w:r>
          </w:p>
        </w:tc>
      </w:tr>
      <w:tr w14:paraId="40D5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3FE657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577FA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建筑情况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16E0EB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单体建筑的高度、占地面积、建筑总面积</w:t>
            </w:r>
          </w:p>
        </w:tc>
      </w:tr>
      <w:tr w14:paraId="6488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5E9482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8FC1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城市更新情况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58ABD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新增城市更新改造用地</w:t>
            </w:r>
          </w:p>
        </w:tc>
      </w:tr>
      <w:tr w14:paraId="4E416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5D8BBC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2A1508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水域、交通网络情况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1090AD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河湖（含大型水库）岸线、河渠结构线，铁路（含高速铁路）、公路</w:t>
            </w:r>
          </w:p>
          <w:p w14:paraId="70EE6C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（含高速公路）、城市道路、乡村道路、匝道中心线</w:t>
            </w:r>
          </w:p>
        </w:tc>
      </w:tr>
      <w:tr w14:paraId="4461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425AD0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F0180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室外滑雪场情况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53E855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室外滑雪场（含附属设施）</w:t>
            </w:r>
          </w:p>
        </w:tc>
      </w:tr>
      <w:tr w14:paraId="53B0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708" w:type="dxa"/>
            <w:tcBorders>
              <w:top w:val="single" w:color="000000" w:sz="2" w:space="0"/>
              <w:left w:val="single" w:color="000000" w:sz="2" w:space="0"/>
              <w:bottom w:val="single" w:color="000000" w:sz="2" w:space="0"/>
              <w:right w:val="single" w:color="000000" w:sz="2" w:space="0"/>
            </w:tcBorders>
            <w:noWrap w:val="0"/>
            <w:vAlign w:val="center"/>
          </w:tcPr>
          <w:p w14:paraId="293C96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w:t>
            </w:r>
          </w:p>
        </w:tc>
        <w:tc>
          <w:tcPr>
            <w:tcW w:w="2000" w:type="dxa"/>
            <w:tcBorders>
              <w:top w:val="single" w:color="000000" w:sz="2" w:space="0"/>
              <w:left w:val="single" w:color="000000" w:sz="2" w:space="0"/>
              <w:bottom w:val="single" w:color="000000" w:sz="2" w:space="0"/>
              <w:right w:val="single" w:color="000000" w:sz="2" w:space="0"/>
            </w:tcBorders>
            <w:noWrap w:val="0"/>
            <w:vAlign w:val="center"/>
          </w:tcPr>
          <w:p w14:paraId="65A2EC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历史文化遗产情况</w:t>
            </w:r>
          </w:p>
        </w:tc>
        <w:tc>
          <w:tcPr>
            <w:tcW w:w="6532" w:type="dxa"/>
            <w:tcBorders>
              <w:top w:val="single" w:color="000000" w:sz="2" w:space="0"/>
              <w:left w:val="single" w:color="000000" w:sz="2" w:space="0"/>
              <w:bottom w:val="single" w:color="000000" w:sz="2" w:space="0"/>
              <w:right w:val="single" w:color="000000" w:sz="2" w:space="0"/>
            </w:tcBorders>
            <w:noWrap w:val="0"/>
            <w:vAlign w:val="center"/>
          </w:tcPr>
          <w:p w14:paraId="703ECA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历史文化名城、世界文化遗产</w:t>
            </w:r>
          </w:p>
        </w:tc>
      </w:tr>
    </w:tbl>
    <w:p w14:paraId="7436A24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5" w:name="_Toc9875"/>
      <w:r>
        <w:rPr>
          <w:rFonts w:hint="eastAsia" w:ascii="宋体" w:hAnsi="宋体" w:eastAsia="宋体" w:cs="宋体"/>
          <w:color w:val="auto"/>
          <w:szCs w:val="21"/>
          <w:highlight w:val="none"/>
          <w:lang w:val="zh-CN"/>
        </w:rPr>
        <w:t>（二）监测范围</w:t>
      </w:r>
      <w:bookmarkEnd w:id="165"/>
    </w:p>
    <w:p w14:paraId="7E0DC2C5">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监测范围根据需要分为全域范围和城区监测范围两类。全域范围指城市行政区域为监测范围。城区监测范围指部反馈的“城区范围”和2023年度国土变更调查确定的城市（201）范围的并集。</w:t>
      </w:r>
      <w:r>
        <w:rPr>
          <w:rFonts w:hint="eastAsia" w:ascii="宋体" w:hAnsi="宋体" w:eastAsia="宋体" w:cs="宋体"/>
          <w:color w:val="auto"/>
          <w:szCs w:val="21"/>
          <w:highlight w:val="none"/>
          <w:lang w:val="zh-CN" w:eastAsia="zh-CN"/>
        </w:rPr>
        <w:t>荥阳</w:t>
      </w:r>
      <w:r>
        <w:rPr>
          <w:rFonts w:hint="eastAsia" w:ascii="宋体" w:hAnsi="宋体" w:eastAsia="宋体" w:cs="宋体"/>
          <w:color w:val="auto"/>
          <w:szCs w:val="21"/>
          <w:highlight w:val="none"/>
          <w:lang w:val="zh-CN"/>
        </w:rPr>
        <w:t>市</w:t>
      </w:r>
      <w:r>
        <w:rPr>
          <w:rFonts w:hint="eastAsia" w:ascii="宋体" w:hAnsi="宋体" w:eastAsia="宋体" w:cs="宋体"/>
          <w:color w:val="auto"/>
          <w:szCs w:val="21"/>
          <w:highlight w:val="none"/>
          <w:lang w:val="zh-CN" w:eastAsia="zh-CN"/>
        </w:rPr>
        <w:t>被省级确定为</w:t>
      </w:r>
      <w:r>
        <w:rPr>
          <w:rFonts w:hint="eastAsia" w:ascii="宋体" w:hAnsi="宋体" w:eastAsia="宋体" w:cs="宋体"/>
          <w:color w:val="auto"/>
          <w:szCs w:val="21"/>
          <w:highlight w:val="none"/>
          <w:lang w:val="zh-CN"/>
        </w:rPr>
        <w:t>2024年5个县级试点</w:t>
      </w:r>
      <w:r>
        <w:rPr>
          <w:rFonts w:hint="eastAsia" w:ascii="宋体" w:hAnsi="宋体" w:eastAsia="宋体" w:cs="宋体"/>
          <w:color w:val="auto"/>
          <w:szCs w:val="21"/>
          <w:highlight w:val="none"/>
          <w:lang w:val="zh-CN" w:eastAsia="zh-CN"/>
        </w:rPr>
        <w:t>之一</w:t>
      </w:r>
      <w:r>
        <w:rPr>
          <w:rFonts w:hint="eastAsia" w:ascii="宋体" w:hAnsi="宋体" w:eastAsia="宋体" w:cs="宋体"/>
          <w:color w:val="auto"/>
          <w:szCs w:val="21"/>
          <w:highlight w:val="none"/>
          <w:lang w:val="zh-CN"/>
        </w:rPr>
        <w:t>，城区范围的监测参考地级市执行。依据《国土空间规划城市体检评估规程》进行“城区”相关统计分析工作时，仍按照“城区范围”执行。</w:t>
      </w:r>
    </w:p>
    <w:p w14:paraId="146162A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全域范围采集的内容包括：高等院校（含军事院校）、中等职业学校、特殊教育学校，专门学校（工读学校），方舱医院，自来水厂、污水处理厂、供热厂，殡葬设施，轨道交通站点（地铁站）、高速公路服务区、机场，水电站，河湖（含大型水库）岸线、河渠结构线，铁路（含高速铁路）、公路（含高速公路）、城市道路、乡村道路中心线，室外滑雪场（含附属设施）。</w:t>
      </w:r>
    </w:p>
    <w:p w14:paraId="3CDF131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其余监测要素在城区监测范围内采集。</w:t>
      </w:r>
    </w:p>
    <w:p w14:paraId="327116F5">
      <w:pPr>
        <w:keepNext w:val="0"/>
        <w:keepLines w:val="0"/>
        <w:pageBreakBefore w:val="0"/>
        <w:wordWrap/>
        <w:overflowPunct/>
        <w:topLinePunct w:val="0"/>
        <w:bidi w:val="0"/>
        <w:adjustRightInd/>
        <w:snapToGrid/>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1.3工作内容与要求</w:t>
      </w:r>
    </w:p>
    <w:p w14:paraId="474953A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6" w:name="_Toc15694"/>
      <w:r>
        <w:rPr>
          <w:rFonts w:hint="eastAsia" w:ascii="宋体" w:hAnsi="宋体" w:eastAsia="宋体" w:cs="宋体"/>
          <w:color w:val="auto"/>
          <w:szCs w:val="21"/>
          <w:highlight w:val="none"/>
          <w:lang w:val="zh-CN"/>
        </w:rPr>
        <w:t>（一）遥感影像收集与正射处理</w:t>
      </w:r>
      <w:bookmarkEnd w:id="166"/>
    </w:p>
    <w:p w14:paraId="0F323E6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收集</w:t>
      </w:r>
      <w:r>
        <w:rPr>
          <w:rFonts w:hint="eastAsia" w:ascii="宋体" w:hAnsi="宋体" w:eastAsia="宋体" w:cs="宋体"/>
          <w:color w:val="auto"/>
          <w:szCs w:val="21"/>
          <w:highlight w:val="none"/>
          <w:lang w:val="zh-CN" w:eastAsia="zh-CN"/>
        </w:rPr>
        <w:t>上级下发</w:t>
      </w:r>
      <w:r>
        <w:rPr>
          <w:rFonts w:hint="eastAsia" w:ascii="宋体" w:hAnsi="宋体" w:eastAsia="宋体" w:cs="宋体"/>
          <w:color w:val="auto"/>
          <w:szCs w:val="21"/>
          <w:highlight w:val="none"/>
          <w:lang w:val="zh-CN"/>
        </w:rPr>
        <w:t>时相为2024年1-6月、1米或者更高分辨率的卫星遥感影像等，综合分析选择时相较新、分辨率更优的影像制作正射影像图，用于城市国土空间监测。</w:t>
      </w:r>
    </w:p>
    <w:p w14:paraId="1853678B">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7" w:name="_Toc30250"/>
      <w:r>
        <w:rPr>
          <w:rFonts w:hint="eastAsia" w:ascii="宋体" w:hAnsi="宋体" w:eastAsia="宋体" w:cs="宋体"/>
          <w:color w:val="auto"/>
          <w:szCs w:val="21"/>
          <w:highlight w:val="none"/>
          <w:lang w:val="zh-CN"/>
        </w:rPr>
        <w:t>（二）资料收集与整理</w:t>
      </w:r>
      <w:bookmarkEnd w:id="167"/>
    </w:p>
    <w:p w14:paraId="32E50FF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收集涉及教育、公安、民政、生态环境、住建、交通、水利、文化旅游、卫生健康、应急、市场监管、体育、统计、能源管理、邮政等行业，现势性为2023年1月1日之后的最新专题资料、POI数据，结合地籍调查和不动产登记、城市大比例尺基础测绘、数字城市、智慧城市等成果，为确定各类监测对象空间位置、占地范围和属性做参考和指引。</w:t>
      </w:r>
    </w:p>
    <w:p w14:paraId="7046AAA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8" w:name="_Toc13854"/>
      <w:r>
        <w:rPr>
          <w:rFonts w:hint="eastAsia" w:ascii="宋体" w:hAnsi="宋体" w:eastAsia="宋体" w:cs="宋体"/>
          <w:color w:val="auto"/>
          <w:szCs w:val="21"/>
          <w:highlight w:val="none"/>
          <w:lang w:val="zh-CN"/>
        </w:rPr>
        <w:t>（三）监测内容采集</w:t>
      </w:r>
      <w:bookmarkEnd w:id="168"/>
    </w:p>
    <w:p w14:paraId="42C0ADF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以2023年度国土变更调查成果为底图，以收集的资料为指引，套合最新遥感影像，利用多种技术手段，结合实地调查，确定相关监测内容的位置、占地范围和相关属性等。具体要求如下：</w:t>
      </w:r>
    </w:p>
    <w:p w14:paraId="12662A4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是对于有独立用地的监测要素，监测时实地与2023年度国土变更调查成果地类二级类一致的，在变更调查成果底图上进行细化采集，矢量化相关位置和范围，并标注相关属性；监测时实地与2023年度国土变更调查成果地类二级类不一致的，在单独图层上进行采集，矢量化相关位置和范围，并标注相关属性，同时，按照国土变更调查外业举证相关要求进行举证。可采用实地外业举证、影像举证或提交附件佐证材料的举证方式；实地照片、影像、佐证材料要准确反映监测要素的名称、范围、用途等信息。佐证材料包括但不限于不动产登记、地籍、地形、规划设计图纸和数据等权威资料。对于2023年已举证过，监测时实地没有新变化的情况，不再重复举证。</w:t>
      </w:r>
    </w:p>
    <w:p w14:paraId="0FD5ADB8">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二是对于没有独立用地的监测要素，以单独图层表示其矢量位置，并标注相关属性。</w:t>
      </w:r>
    </w:p>
    <w:p w14:paraId="5AEFA80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三是对于相关部门权威资料可以表明相关属性的，可以直接使用；对于无权威资料或相关资料不能表明相关属性的，要结合外业实地调查确定相关属性。</w:t>
      </w:r>
    </w:p>
    <w:p w14:paraId="636DD021">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四是对于监测时原有监测要素改变为不需要监测的要素，对其范围或位置进行标注，以单独图层表示。</w:t>
      </w:r>
    </w:p>
    <w:p w14:paraId="7CFF8FFB">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五是水域网络、交通网络只更新河湖（含大型水库）岸线、河渠结构线，铁路（含高速铁路）、公路（含高速公路）、城市道路、乡村道路、匝道中心线。</w:t>
      </w:r>
    </w:p>
    <w:p w14:paraId="44AC071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六是结合管理资料和实地调查对室外滑雪场的范围及相关属性进行更新与补充。</w:t>
      </w:r>
    </w:p>
    <w:p w14:paraId="6EDD3BC1">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七是对部掌握的历史文化名城和世界文化遗产范围变化等情况进行采集。</w:t>
      </w:r>
    </w:p>
    <w:p w14:paraId="65C1A668">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69" w:name="_Toc20885"/>
      <w:r>
        <w:rPr>
          <w:rFonts w:hint="eastAsia" w:ascii="宋体" w:hAnsi="宋体" w:eastAsia="宋体" w:cs="宋体"/>
          <w:color w:val="auto"/>
          <w:szCs w:val="21"/>
          <w:highlight w:val="none"/>
          <w:lang w:val="zh-CN"/>
        </w:rPr>
        <w:t>（四）质量控制</w:t>
      </w:r>
      <w:bookmarkEnd w:id="169"/>
    </w:p>
    <w:p w14:paraId="55EFA1C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监测成果是各城市基本情况的体现，是城市国土空间规划和国土空间治理科学决策的重要支撑，要把数据真实性、准确性、客观性摆在城市国土空间监测工作的首要位置，采取有效措施，加强数据质量管控，确保成果数据与实际情况一致，按全过程管理的原则开展质量控制，自然资源部要求实行“两级检查、一级验收”制度。</w:t>
      </w:r>
      <w:r>
        <w:rPr>
          <w:rFonts w:hint="eastAsia" w:ascii="宋体" w:hAnsi="宋体" w:eastAsia="宋体" w:cs="宋体"/>
          <w:color w:val="auto"/>
          <w:szCs w:val="21"/>
          <w:highlight w:val="none"/>
          <w:lang w:val="zh-CN" w:eastAsia="zh-CN"/>
        </w:rPr>
        <w:t>按照省级要求</w:t>
      </w:r>
      <w:r>
        <w:rPr>
          <w:rFonts w:hint="eastAsia" w:ascii="宋体" w:hAnsi="宋体" w:eastAsia="宋体" w:cs="宋体"/>
          <w:color w:val="auto"/>
          <w:szCs w:val="21"/>
          <w:highlight w:val="none"/>
          <w:lang w:val="zh-CN"/>
        </w:rPr>
        <w:t>，为严格质量控制，城市国土空间监测工作落实“县级全面自检、市级检查、省级核查”的三级质量管控机制。</w:t>
      </w:r>
      <w:r>
        <w:rPr>
          <w:rFonts w:hint="eastAsia" w:ascii="宋体" w:hAnsi="宋体" w:eastAsia="宋体" w:cs="宋体"/>
          <w:color w:val="auto"/>
          <w:szCs w:val="21"/>
          <w:highlight w:val="none"/>
          <w:lang w:val="zh-CN" w:eastAsia="zh-CN"/>
        </w:rPr>
        <w:t>我市需</w:t>
      </w:r>
      <w:r>
        <w:rPr>
          <w:rFonts w:hint="eastAsia" w:ascii="宋体" w:hAnsi="宋体" w:eastAsia="宋体" w:cs="宋体"/>
          <w:color w:val="auto"/>
          <w:szCs w:val="21"/>
          <w:highlight w:val="none"/>
          <w:lang w:val="zh-CN"/>
        </w:rPr>
        <w:t>组织对本地区成果进行100%全面自检，确保成果的真实性、准确性、完整性和规范性。技术单位需建立完善全过程质量控制制度，严格执行质量检查和验收的相关要求。</w:t>
      </w:r>
    </w:p>
    <w:p w14:paraId="1183259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0" w:name="_Toc5805"/>
      <w:r>
        <w:rPr>
          <w:rFonts w:hint="eastAsia" w:ascii="宋体" w:hAnsi="宋体" w:eastAsia="宋体" w:cs="宋体"/>
          <w:color w:val="auto"/>
          <w:szCs w:val="21"/>
          <w:highlight w:val="none"/>
          <w:lang w:val="zh-CN"/>
        </w:rPr>
        <w:t>（五）数据成果汇交</w:t>
      </w:r>
      <w:bookmarkEnd w:id="170"/>
    </w:p>
    <w:p w14:paraId="335E11C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我市成果形成后需汇总至郑州市级，由郑州市</w:t>
      </w:r>
      <w:r>
        <w:rPr>
          <w:rFonts w:hint="eastAsia" w:ascii="宋体" w:hAnsi="宋体" w:eastAsia="宋体" w:cs="宋体"/>
          <w:color w:val="auto"/>
          <w:szCs w:val="21"/>
          <w:highlight w:val="none"/>
          <w:lang w:val="zh-CN"/>
        </w:rPr>
        <w:t>向省级汇交。省级自然资源主管部门按要求组织完成国家级汇交。省级将监测成果纳入国土空间基础信息平台和国土空间规划“一张图”实施监督信息系统。</w:t>
      </w:r>
    </w:p>
    <w:p w14:paraId="698664A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1" w:name="_Toc16461"/>
      <w:r>
        <w:rPr>
          <w:rFonts w:hint="eastAsia" w:ascii="宋体" w:hAnsi="宋体" w:eastAsia="宋体" w:cs="宋体"/>
          <w:color w:val="auto"/>
          <w:szCs w:val="21"/>
          <w:highlight w:val="none"/>
          <w:lang w:val="zh-CN"/>
        </w:rPr>
        <w:t>（六）监测成果应用</w:t>
      </w:r>
      <w:bookmarkEnd w:id="171"/>
    </w:p>
    <w:p w14:paraId="52D9E99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要加强工作总结、持续改进工作，在国土空间规划编制及实施监督、国土空间规划城市体检评估等工作中加强监测成果应用。自然资源调查</w:t>
      </w:r>
      <w:r>
        <w:rPr>
          <w:rFonts w:hint="eastAsia" w:ascii="宋体" w:hAnsi="宋体" w:eastAsia="宋体" w:cs="宋体"/>
          <w:color w:val="auto"/>
          <w:szCs w:val="21"/>
          <w:highlight w:val="none"/>
          <w:lang w:val="zh-CN" w:eastAsia="zh-CN"/>
        </w:rPr>
        <w:t>和权益科</w:t>
      </w:r>
      <w:r>
        <w:rPr>
          <w:rFonts w:hint="eastAsia" w:ascii="宋体" w:hAnsi="宋体" w:eastAsia="宋体" w:cs="宋体"/>
          <w:color w:val="auto"/>
          <w:szCs w:val="21"/>
          <w:highlight w:val="none"/>
          <w:lang w:val="zh-CN"/>
        </w:rPr>
        <w:t>要及时向</w:t>
      </w:r>
      <w:r>
        <w:rPr>
          <w:rFonts w:hint="eastAsia" w:ascii="宋体" w:hAnsi="宋体" w:eastAsia="宋体" w:cs="宋体"/>
          <w:color w:val="auto"/>
          <w:szCs w:val="21"/>
          <w:highlight w:val="none"/>
          <w:lang w:val="zh-CN" w:eastAsia="zh-CN"/>
        </w:rPr>
        <w:t>国土空间规划科等</w:t>
      </w:r>
      <w:r>
        <w:rPr>
          <w:rFonts w:hint="eastAsia" w:ascii="宋体" w:hAnsi="宋体" w:eastAsia="宋体" w:cs="宋体"/>
          <w:color w:val="auto"/>
          <w:szCs w:val="21"/>
          <w:highlight w:val="none"/>
          <w:lang w:val="zh-CN"/>
        </w:rPr>
        <w:t>提供最终监测成果，要积极向专题数据资料提供的主管部门共享监测成果；</w:t>
      </w:r>
      <w:r>
        <w:rPr>
          <w:rFonts w:hint="eastAsia" w:ascii="宋体" w:hAnsi="宋体" w:eastAsia="宋体" w:cs="宋体"/>
          <w:color w:val="auto"/>
          <w:szCs w:val="21"/>
          <w:highlight w:val="none"/>
          <w:lang w:val="zh-CN" w:eastAsia="zh-CN"/>
        </w:rPr>
        <w:t>国土空间规划科</w:t>
      </w:r>
      <w:r>
        <w:rPr>
          <w:rFonts w:hint="eastAsia" w:ascii="宋体" w:hAnsi="宋体" w:eastAsia="宋体" w:cs="宋体"/>
          <w:color w:val="auto"/>
          <w:szCs w:val="21"/>
          <w:highlight w:val="none"/>
          <w:lang w:val="zh-CN"/>
        </w:rPr>
        <w:t>要梳理规划编制和体检评估等工作需求，为</w:t>
      </w:r>
      <w:r>
        <w:rPr>
          <w:rFonts w:hint="eastAsia" w:ascii="宋体" w:hAnsi="宋体" w:eastAsia="宋体" w:cs="宋体"/>
          <w:color w:val="auto"/>
          <w:szCs w:val="21"/>
          <w:highlight w:val="none"/>
          <w:lang w:val="zh-CN" w:eastAsia="zh-CN"/>
        </w:rPr>
        <w:t>荥阳</w:t>
      </w:r>
      <w:r>
        <w:rPr>
          <w:rFonts w:hint="eastAsia" w:ascii="宋体" w:hAnsi="宋体" w:eastAsia="宋体" w:cs="宋体"/>
          <w:color w:val="auto"/>
          <w:szCs w:val="21"/>
          <w:highlight w:val="none"/>
          <w:lang w:val="zh-CN"/>
        </w:rPr>
        <w:t xml:space="preserve">具体实施方案编制提出建议，加强监测成果在相关工作中的应用。 </w:t>
      </w:r>
    </w:p>
    <w:p w14:paraId="299091B3">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1.4主要成果</w:t>
      </w:r>
    </w:p>
    <w:p w14:paraId="64B5101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2" w:name="_Toc16421"/>
      <w:r>
        <w:rPr>
          <w:rFonts w:hint="eastAsia" w:ascii="宋体" w:hAnsi="宋体" w:eastAsia="宋体" w:cs="宋体"/>
          <w:color w:val="auto"/>
          <w:szCs w:val="21"/>
          <w:highlight w:val="none"/>
          <w:lang w:val="zh-CN"/>
        </w:rPr>
        <w:t>（一）基础成果</w:t>
      </w:r>
      <w:bookmarkEnd w:id="172"/>
    </w:p>
    <w:p w14:paraId="5A2F24D1">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按照统一要求，通过整合、采集、细化与更新形成的空间数据成果。</w:t>
      </w:r>
    </w:p>
    <w:p w14:paraId="5F22B49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正射影像数据（各地制作的正射纠正影像数据，需经过质检合格后提供）；</w:t>
      </w:r>
    </w:p>
    <w:p w14:paraId="199564C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城市国土空间监测数据（包括细化数据集、补充数据集、地类变化数据集等）；</w:t>
      </w:r>
    </w:p>
    <w:p w14:paraId="79D8EE43">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生产元数据；</w:t>
      </w:r>
    </w:p>
    <w:p w14:paraId="2B109FB1">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实地照片数据；</w:t>
      </w:r>
    </w:p>
    <w:p w14:paraId="73408B2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技术文件（包括实施细则、实施方案、项目总结等）；</w:t>
      </w:r>
    </w:p>
    <w:p w14:paraId="1926C43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外业调查文件。</w:t>
      </w:r>
    </w:p>
    <w:p w14:paraId="709221F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3" w:name="_Toc30891"/>
      <w:r>
        <w:rPr>
          <w:rFonts w:hint="eastAsia" w:ascii="宋体" w:hAnsi="宋体" w:eastAsia="宋体" w:cs="宋体"/>
          <w:color w:val="auto"/>
          <w:szCs w:val="21"/>
          <w:highlight w:val="none"/>
          <w:lang w:val="zh-CN"/>
        </w:rPr>
        <w:t>（二）统计成果</w:t>
      </w:r>
      <w:bookmarkEnd w:id="173"/>
    </w:p>
    <w:p w14:paraId="01F924C1">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基于基础成果进行汇总统计形成的表格成果。</w:t>
      </w:r>
    </w:p>
    <w:p w14:paraId="40C0B53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城市国土空间监测重点要素统计表；</w:t>
      </w:r>
    </w:p>
    <w:p w14:paraId="2C66C05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城市国土空间监测各类要素统计表。</w:t>
      </w:r>
    </w:p>
    <w:p w14:paraId="13EC49A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4" w:name="_Toc23644"/>
      <w:r>
        <w:rPr>
          <w:rFonts w:hint="eastAsia" w:ascii="宋体" w:hAnsi="宋体" w:eastAsia="宋体" w:cs="宋体"/>
          <w:color w:val="auto"/>
          <w:szCs w:val="21"/>
          <w:highlight w:val="none"/>
          <w:lang w:val="zh-CN"/>
        </w:rPr>
        <w:t>（三）分析成果</w:t>
      </w:r>
      <w:bookmarkEnd w:id="174"/>
    </w:p>
    <w:p w14:paraId="3A1EE185">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根据业务管理需要，结合其他有关数据，通过计算和分析形成的数据成果和报告。</w:t>
      </w:r>
    </w:p>
    <w:p w14:paraId="0780029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城市国土空间监测成果检查报告；</w:t>
      </w:r>
    </w:p>
    <w:p w14:paraId="03CED61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城市国土空间监测工作总结。</w:t>
      </w:r>
    </w:p>
    <w:p w14:paraId="0F0C933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1.5技术规范、标准</w:t>
      </w:r>
    </w:p>
    <w:p w14:paraId="54DAD296">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val="zh-CN"/>
        </w:rPr>
        <w:t>技术规范、标准</w:t>
      </w:r>
    </w:p>
    <w:p w14:paraId="0E43C14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1、《中华人民共和国土地管理法》（2019年8月26日第三次修正）；</w:t>
      </w:r>
    </w:p>
    <w:p w14:paraId="18236A6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2、《土地调查条例》（2016年1月5日修改）；</w:t>
      </w:r>
    </w:p>
    <w:p w14:paraId="505363A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《土地利用现状分类》（GB/T 21010—2017）；</w:t>
      </w:r>
    </w:p>
    <w:p w14:paraId="5C2EB34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《中共中央国务院关于建立国土空间规划体系并监督实施的若干意见》</w:t>
      </w:r>
    </w:p>
    <w:p w14:paraId="7820A2E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、《自然资源部办公厅关于开展2024年城市国土空间监测工作的通知》（自然资办发</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lang w:val="zh-CN"/>
        </w:rPr>
        <w:t>20号）及《2024年城市国土空间监测实施方案》；</w:t>
      </w:r>
    </w:p>
    <w:p w14:paraId="279255D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7、《河南省自然资源厅办公室关于开展2024年城市国土空间监测工作的通知》（豫自然资办发〔2024〕16号）及《河南省2024年城市国土空间监测实施方案》、《河南省</w:t>
      </w:r>
      <w:r>
        <w:rPr>
          <w:rFonts w:hint="default"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lang w:val="en-US" w:eastAsia="zh-CN"/>
        </w:rPr>
        <w:t>年城市国土空间监测技术方案》；</w:t>
      </w:r>
    </w:p>
    <w:p w14:paraId="4FE52A6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《郑州市自然资源和规划局关于开展2024年城市国国土空间监测工作的通知》（郑自然资发</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lang w:val="zh-CN"/>
        </w:rPr>
        <w:t>18号）。</w:t>
      </w:r>
    </w:p>
    <w:p w14:paraId="2CFCCC40">
      <w:pPr>
        <w:keepNext w:val="0"/>
        <w:keepLines w:val="0"/>
        <w:pageBreakBefore w:val="0"/>
        <w:wordWrap/>
        <w:overflowPunct/>
        <w:topLinePunct w:val="0"/>
        <w:bidi w:val="0"/>
        <w:adjustRightInd/>
        <w:snapToGrid/>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zh-CN"/>
        </w:rPr>
        <w:t>以上法律、法规、规范和标准如有变化，以最新发布的为准。</w:t>
      </w:r>
    </w:p>
    <w:p w14:paraId="68E0CAB4">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 工期要求</w:t>
      </w:r>
    </w:p>
    <w:p w14:paraId="08D561C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自然资源部、河南省自然资源厅时间要求及时完成地类变化监测、城市国土空间监测、空间信息细化与补充调查、水网和路网等监测要素更新、监测成果分析、应用方向分析、城市国土空间监测数据库建设、成果汇总等。</w:t>
      </w:r>
    </w:p>
    <w:p w14:paraId="0BB49ABA">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工期为</w:t>
      </w:r>
      <w:r>
        <w:rPr>
          <w:rFonts w:hint="eastAsia" w:ascii="宋体" w:hAnsi="宋体" w:cs="宋体"/>
          <w:color w:val="auto"/>
          <w:szCs w:val="21"/>
          <w:highlight w:val="none"/>
          <w:lang w:val="zh-CN"/>
        </w:rPr>
        <w:t>签订合同之日起</w:t>
      </w:r>
      <w:r>
        <w:rPr>
          <w:rFonts w:hint="eastAsia" w:ascii="宋体" w:hAnsi="宋体" w:eastAsia="宋体" w:cs="宋体"/>
          <w:color w:val="auto"/>
          <w:szCs w:val="21"/>
          <w:highlight w:val="none"/>
          <w:lang w:val="zh-CN"/>
        </w:rPr>
        <w:t>至项目完工通过省级质量检查，省级出具验收通过意见。</w:t>
      </w:r>
    </w:p>
    <w:p w14:paraId="1FB3E3BC">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 成果资料查验(验收交付)</w:t>
      </w:r>
    </w:p>
    <w:p w14:paraId="1CA68FD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1、验收时间：以省、郑州市成果具体安排的交付时间为准。</w:t>
      </w:r>
    </w:p>
    <w:p w14:paraId="4E497B16">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2、验收方式：省级组织对提交的成果进行验收。</w:t>
      </w:r>
    </w:p>
    <w:p w14:paraId="0591235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CN"/>
        </w:rPr>
        <w:t>3、验收标准：成果资料规范、完整、真实、准确，上报省、国家的成果通过省、国家检查或抽查，符合国家相关规范和质量标准要求。</w:t>
      </w:r>
    </w:p>
    <w:p w14:paraId="586329C8">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lang w:val="zh-CN"/>
        </w:rPr>
        <w:t>、知识产权</w:t>
      </w:r>
    </w:p>
    <w:p w14:paraId="6DAFEB0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5" w:name="bookmark130"/>
      <w:bookmarkEnd w:id="175"/>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乙方应保证所提供的服务或其任何一部分均不会侵犯任何第三方的专利权、商标权或著作权。</w:t>
      </w:r>
    </w:p>
    <w:p w14:paraId="14E2B99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76" w:name="bookmark131"/>
      <w:bookmarkEnd w:id="176"/>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乙方保证所提供的服务的所有权完全属于乙方且无任何抵押、查封等产权瑕疵。如有产权瑕疵的，视为乙方违约，乙方应负担由此而产生的一切损失。</w:t>
      </w:r>
    </w:p>
    <w:p w14:paraId="1C8BA487">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lang w:val="zh-CN"/>
        </w:rPr>
        <w:t>、甲方的权利和义务</w:t>
      </w:r>
    </w:p>
    <w:p w14:paraId="19A6193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77" w:name="bookmark133"/>
      <w:bookmarkEnd w:id="177"/>
      <w:r>
        <w:rPr>
          <w:rFonts w:hint="eastAsia" w:ascii="宋体" w:hAnsi="宋体" w:eastAsia="宋体" w:cs="宋体"/>
          <w:color w:val="auto"/>
          <w:szCs w:val="21"/>
          <w:highlight w:val="none"/>
          <w:lang w:val="en-US"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75EB0D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78" w:name="bookmark135"/>
      <w:bookmarkEnd w:id="178"/>
      <w:bookmarkStart w:id="179" w:name="bookmark134"/>
      <w:bookmarkEnd w:id="179"/>
      <w:r>
        <w:rPr>
          <w:rFonts w:hint="eastAsia" w:ascii="宋体" w:hAnsi="宋体" w:eastAsia="宋体" w:cs="宋体"/>
          <w:color w:val="auto"/>
          <w:szCs w:val="21"/>
          <w:highlight w:val="none"/>
          <w:lang w:val="en-US" w:eastAsia="zh-CN"/>
        </w:rPr>
        <w:t>2、负责检查监督乙方管理工作的实施及制度的执行情况。</w:t>
      </w:r>
    </w:p>
    <w:p w14:paraId="5CBED02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0" w:name="bookmark136"/>
      <w:bookmarkEnd w:id="180"/>
      <w:r>
        <w:rPr>
          <w:rFonts w:hint="eastAsia" w:ascii="宋体" w:hAnsi="宋体" w:eastAsia="宋体" w:cs="宋体"/>
          <w:color w:val="auto"/>
          <w:szCs w:val="21"/>
          <w:highlight w:val="none"/>
          <w:lang w:val="en-US" w:eastAsia="zh-CN"/>
        </w:rPr>
        <w:t>3、根据本合同规定，按时向乙方支付应付服务费用。</w:t>
      </w:r>
    </w:p>
    <w:p w14:paraId="7148C09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1" w:name="bookmark137"/>
      <w:bookmarkEnd w:id="181"/>
      <w:r>
        <w:rPr>
          <w:rFonts w:hint="eastAsia" w:ascii="宋体" w:hAnsi="宋体" w:eastAsia="宋体" w:cs="宋体"/>
          <w:color w:val="auto"/>
          <w:szCs w:val="21"/>
          <w:highlight w:val="none"/>
          <w:lang w:val="en-US" w:eastAsia="zh-CN"/>
        </w:rPr>
        <w:t>4、国家法律、法规所规定由甲方承担的其它责任。</w:t>
      </w:r>
    </w:p>
    <w:p w14:paraId="6C56394C">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乙方</w:t>
      </w:r>
      <w:r>
        <w:rPr>
          <w:rFonts w:hint="eastAsia" w:ascii="宋体" w:hAnsi="宋体" w:eastAsia="宋体" w:cs="宋体"/>
          <w:b/>
          <w:bCs/>
          <w:color w:val="auto"/>
          <w:szCs w:val="21"/>
          <w:highlight w:val="none"/>
          <w:lang w:val="zh-CN"/>
        </w:rPr>
        <w:t>的权利和义务</w:t>
      </w:r>
    </w:p>
    <w:p w14:paraId="7494141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2" w:name="bookmark139"/>
      <w:bookmarkEnd w:id="182"/>
      <w:r>
        <w:rPr>
          <w:rFonts w:hint="eastAsia" w:ascii="宋体" w:hAnsi="宋体" w:eastAsia="宋体" w:cs="宋体"/>
          <w:color w:val="auto"/>
          <w:szCs w:val="21"/>
          <w:highlight w:val="none"/>
          <w:lang w:val="en-US" w:eastAsia="zh-CN"/>
        </w:rPr>
        <w:t>1、对本合同规定的委托服务范围内的项目享有管理权及服务义务。</w:t>
      </w:r>
    </w:p>
    <w:p w14:paraId="30061485">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3" w:name="bookmark140"/>
      <w:bookmarkEnd w:id="183"/>
      <w:r>
        <w:rPr>
          <w:rFonts w:hint="eastAsia" w:ascii="宋体" w:hAnsi="宋体" w:eastAsia="宋体" w:cs="宋体"/>
          <w:color w:val="auto"/>
          <w:szCs w:val="21"/>
          <w:highlight w:val="none"/>
          <w:lang w:val="en-US" w:eastAsia="zh-CN"/>
        </w:rPr>
        <w:t>2、根据本合同的规定向甲方收取相关服务费用，并有权在本项目管理范围内管理及合理使用。</w:t>
      </w:r>
    </w:p>
    <w:p w14:paraId="559BB77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4" w:name="bookmark141"/>
      <w:bookmarkEnd w:id="184"/>
      <w:r>
        <w:rPr>
          <w:rFonts w:hint="eastAsia" w:ascii="宋体" w:hAnsi="宋体" w:eastAsia="宋体" w:cs="宋体"/>
          <w:color w:val="auto"/>
          <w:szCs w:val="21"/>
          <w:highlight w:val="none"/>
          <w:lang w:val="en-US" w:eastAsia="zh-CN"/>
        </w:rPr>
        <w:t>3、及时向甲方通告本项目服务范围内有关服务的重大事项，及时配合处理投诉。</w:t>
      </w:r>
    </w:p>
    <w:p w14:paraId="16DC3A05">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5" w:name="bookmark142"/>
      <w:bookmarkEnd w:id="185"/>
      <w:r>
        <w:rPr>
          <w:rFonts w:hint="eastAsia" w:ascii="宋体" w:hAnsi="宋体" w:eastAsia="宋体" w:cs="宋体"/>
          <w:color w:val="auto"/>
          <w:szCs w:val="21"/>
          <w:highlight w:val="none"/>
          <w:lang w:val="en-US" w:eastAsia="zh-CN"/>
        </w:rPr>
        <w:t>4、接受项目行业管理部门及政府有关部门的指导，接受甲方的监督。</w:t>
      </w:r>
    </w:p>
    <w:p w14:paraId="5ED61B1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86" w:name="bookmark143"/>
      <w:bookmarkEnd w:id="186"/>
      <w:bookmarkStart w:id="187" w:name="bookmark144"/>
      <w:bookmarkEnd w:id="187"/>
      <w:r>
        <w:rPr>
          <w:rFonts w:hint="eastAsia" w:ascii="宋体" w:hAnsi="宋体" w:eastAsia="宋体" w:cs="宋体"/>
          <w:color w:val="auto"/>
          <w:szCs w:val="21"/>
          <w:highlight w:val="none"/>
          <w:lang w:val="en-US" w:eastAsia="zh-CN"/>
        </w:rPr>
        <w:t>5、国家法律、法规所规定由乙方承担的其它责任。</w:t>
      </w:r>
    </w:p>
    <w:p w14:paraId="3769B545">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九、总价款及支付方式：</w:t>
      </w:r>
    </w:p>
    <w:p w14:paraId="22E0295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项目中标总价款：____元(小写：￥____元整)</w:t>
      </w:r>
    </w:p>
    <w:p w14:paraId="48196B95">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1、付款方式：由甲方分三阶段分别支付给乙方。具体支付方式和时间如下：</w:t>
      </w:r>
    </w:p>
    <w:p w14:paraId="5B4699E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（1）第一阶段：乙方进入现场工作，完成工作量的30%，甲方支付乙方合同总金额的30%；</w:t>
      </w:r>
    </w:p>
    <w:p w14:paraId="2E9B17E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（2）第二阶段：乙方完成至工作量的60%，甲方付至合同总金额的60%；</w:t>
      </w:r>
    </w:p>
    <w:p w14:paraId="6FD0273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（3）第三阶段：乙方完成全部工作并验收合格后，甲方付清剩余合同总金额的40%。</w:t>
      </w:r>
    </w:p>
    <w:p w14:paraId="1A072F4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2、其他未尽事宜由双方另行协商确定。</w:t>
      </w:r>
    </w:p>
    <w:p w14:paraId="15A131F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3、支付方式为：汇款或转账。 </w:t>
      </w:r>
    </w:p>
    <w:p w14:paraId="7043C1A6">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甲方违约</w:t>
      </w:r>
      <w:r>
        <w:rPr>
          <w:rFonts w:hint="eastAsia" w:ascii="宋体" w:hAnsi="宋体" w:eastAsia="宋体" w:cs="宋体"/>
          <w:b/>
          <w:bCs/>
          <w:color w:val="auto"/>
          <w:szCs w:val="21"/>
          <w:highlight w:val="none"/>
          <w:lang w:val="zh-CN" w:eastAsia="zh-CN"/>
        </w:rPr>
        <w:t>责任</w:t>
      </w:r>
    </w:p>
    <w:p w14:paraId="0B1D26A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88" w:name="bookmark146"/>
      <w:bookmarkEnd w:id="188"/>
      <w:bookmarkStart w:id="189" w:name="bookmark149"/>
      <w:r>
        <w:rPr>
          <w:rFonts w:hint="eastAsia" w:ascii="宋体" w:hAnsi="宋体" w:eastAsia="宋体" w:cs="宋体"/>
          <w:color w:val="auto"/>
          <w:szCs w:val="21"/>
          <w:highlight w:val="none"/>
          <w:lang w:val="zh-CN"/>
        </w:rPr>
        <w:t>1、合同签订后，乙方未进入现场工作前，由于甲方原因而造成工程停止、终止合同时，甲方向乙方偿付项目经费的___％；若乙方已进入现场工作，但由于甲方原因造成工程停止、终止合同，甲方除应按乙方完成的实际工作量支付项目价款外，还应按项目经费的___％向乙方偿付违约金。</w:t>
      </w:r>
    </w:p>
    <w:p w14:paraId="1ABE355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2、因甲方原因造成乙方停窝工时，工期应顺延。</w:t>
      </w:r>
    </w:p>
    <w:p w14:paraId="5ABC162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3、对于乙方提供的图纸等资料以及属于乙方的成果，甲方有义务保密，不得向第三方提供或用于本合同以外的项目，否则乙方有权对因此造成的损失追究责任。</w:t>
      </w:r>
    </w:p>
    <w:p w14:paraId="24ED4C36">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十一、乙方违约责任</w:t>
      </w:r>
    </w:p>
    <w:p w14:paraId="4AD4915A">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1、合同生效后，如乙方擅自中途停止或解除合同，向甲方偿付项目经费的___％惩罚性违约金，并退还全部已收款项。</w:t>
      </w:r>
    </w:p>
    <w:p w14:paraId="1F324BA3">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提供的成果质量不合格，乙方应无偿采取补救措施，以达到质量要求。因成果质量不符合合同约定的要求（而又非甲方原因所致）造成后果时，乙方应对因此造成的损失负赔偿责任，并承担相应的法律责任（由于甲方原因产生的责任由甲方自己负责）。</w:t>
      </w:r>
    </w:p>
    <w:p w14:paraId="36AC825A">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3、对于甲方提供的图纸和技术资料以及其他甲方的成果，乙方有义务保密，不得向第三方转让或提供，否则甲方有权对因此造成的损失追究责任。</w:t>
      </w:r>
    </w:p>
    <w:bookmarkEnd w:id="189"/>
    <w:p w14:paraId="2930AAEF">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十二</w:t>
      </w:r>
      <w:r>
        <w:rPr>
          <w:rFonts w:hint="eastAsia" w:ascii="宋体" w:hAnsi="宋体" w:eastAsia="宋体" w:cs="宋体"/>
          <w:b/>
          <w:bCs/>
          <w:color w:val="auto"/>
          <w:szCs w:val="21"/>
          <w:highlight w:val="none"/>
          <w:lang w:val="zh-CN"/>
        </w:rPr>
        <w:t>、不可抗</w:t>
      </w:r>
      <w:r>
        <w:rPr>
          <w:rFonts w:hint="eastAsia" w:ascii="宋体" w:hAnsi="宋体" w:eastAsia="宋体" w:cs="宋体"/>
          <w:b/>
          <w:bCs/>
          <w:color w:val="auto"/>
          <w:szCs w:val="21"/>
          <w:highlight w:val="none"/>
          <w:lang w:val="en-US" w:eastAsia="zh-CN"/>
        </w:rPr>
        <w:t>力</w:t>
      </w:r>
      <w:r>
        <w:rPr>
          <w:rFonts w:hint="eastAsia" w:ascii="宋体" w:hAnsi="宋体" w:eastAsia="宋体" w:cs="宋体"/>
          <w:b/>
          <w:bCs/>
          <w:color w:val="auto"/>
          <w:szCs w:val="21"/>
          <w:highlight w:val="none"/>
          <w:lang w:val="zh-CN"/>
        </w:rPr>
        <w:t>事件处理</w:t>
      </w:r>
    </w:p>
    <w:p w14:paraId="415282D6">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90" w:name="bookmark150"/>
      <w:bookmarkEnd w:id="190"/>
      <w:r>
        <w:rPr>
          <w:rFonts w:hint="eastAsia" w:ascii="宋体" w:hAnsi="宋体" w:eastAsia="宋体" w:cs="宋体"/>
          <w:color w:val="auto"/>
          <w:szCs w:val="21"/>
          <w:highlight w:val="none"/>
          <w:lang w:val="en-US" w:eastAsia="zh-CN"/>
        </w:rPr>
        <w:t>1、在合同有效期内，任何一方因不可抗力事件导致不能履行合同，则合同履行期可延长，其延长期与不可抗力影响期相同。</w:t>
      </w:r>
    </w:p>
    <w:p w14:paraId="7C856F8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91" w:name="bookmark151"/>
      <w:bookmarkEnd w:id="191"/>
      <w:r>
        <w:rPr>
          <w:rFonts w:hint="eastAsia" w:ascii="宋体" w:hAnsi="宋体" w:eastAsia="宋体" w:cs="宋体"/>
          <w:color w:val="auto"/>
          <w:szCs w:val="21"/>
          <w:highlight w:val="none"/>
          <w:lang w:val="en-US" w:eastAsia="zh-CN"/>
        </w:rPr>
        <w:t>2、不可抗力事件发生后，应立即通知对方，并寄送有关权威机构出具的证明。</w:t>
      </w:r>
    </w:p>
    <w:p w14:paraId="12ED7F8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en-US" w:eastAsia="zh-CN"/>
        </w:rPr>
      </w:pPr>
      <w:bookmarkStart w:id="192" w:name="bookmark152"/>
      <w:bookmarkEnd w:id="192"/>
      <w:r>
        <w:rPr>
          <w:rFonts w:hint="eastAsia" w:ascii="宋体" w:hAnsi="宋体" w:eastAsia="宋体" w:cs="宋体"/>
          <w:color w:val="auto"/>
          <w:szCs w:val="21"/>
          <w:highlight w:val="none"/>
          <w:lang w:val="en-US" w:eastAsia="zh-CN"/>
        </w:rPr>
        <w:t>3、不可抗力事件延续120天以上，双方应通过友好协商，确定是否继续履行合同。</w:t>
      </w:r>
    </w:p>
    <w:p w14:paraId="6FBF7274">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val="zh-CN"/>
        </w:rPr>
        <w:t>、解决</w:t>
      </w:r>
      <w:r>
        <w:rPr>
          <w:rFonts w:hint="eastAsia" w:ascii="宋体" w:hAnsi="宋体" w:eastAsia="宋体" w:cs="宋体"/>
          <w:b/>
          <w:bCs/>
          <w:color w:val="auto"/>
          <w:szCs w:val="21"/>
          <w:highlight w:val="none"/>
          <w:lang w:val="en-US" w:eastAsia="zh-CN"/>
        </w:rPr>
        <w:t>合同纠纷</w:t>
      </w:r>
      <w:r>
        <w:rPr>
          <w:rFonts w:hint="eastAsia" w:ascii="宋体" w:hAnsi="宋体" w:eastAsia="宋体" w:cs="宋体"/>
          <w:b/>
          <w:bCs/>
          <w:color w:val="auto"/>
          <w:szCs w:val="21"/>
          <w:highlight w:val="none"/>
          <w:lang w:val="zh-CN"/>
        </w:rPr>
        <w:t>的方式</w:t>
      </w:r>
    </w:p>
    <w:p w14:paraId="03B0C39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在执行本合同中发生的或与本合同有关的争端，双方应通过友好协商解决。不愿通过协商、调解解决或者协商、调解不成的，可向甲方所在地人民法院起诉。</w:t>
      </w:r>
    </w:p>
    <w:p w14:paraId="48E112D9">
      <w:pPr>
        <w:keepNext w:val="0"/>
        <w:keepLines w:val="0"/>
        <w:pageBreakBefore w:val="0"/>
        <w:wordWrap/>
        <w:overflowPunct/>
        <w:topLinePunct w:val="0"/>
        <w:bidi w:val="0"/>
        <w:adjustRightInd/>
        <w:snapToGrid/>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lang w:val="zh-CN"/>
        </w:rPr>
        <w:t>、合同生效及其他</w:t>
      </w:r>
    </w:p>
    <w:p w14:paraId="6ED5349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93" w:name="bookmark153"/>
      <w:bookmarkEnd w:id="193"/>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val="zh-CN"/>
        </w:rPr>
        <w:t>合同经双方法定代表人或其授权委托代理人签字并加盖单位公章后生效。</w:t>
      </w:r>
    </w:p>
    <w:p w14:paraId="60D538D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bookmarkStart w:id="194" w:name="bookmark154"/>
      <w:bookmarkEnd w:id="194"/>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合同执行中涉及采购资金和采购内容修改或补充的，须经政府采购监管部门审批，并签书面补充协议报政府采购监督管理部门备案，方可作为主合同不可分割的一部分。</w:t>
      </w:r>
    </w:p>
    <w:p w14:paraId="5C46BE2E">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本合同</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val="zh-CN"/>
        </w:rPr>
        <w:t>式</w:t>
      </w:r>
      <w:r>
        <w:rPr>
          <w:rFonts w:hint="eastAsia" w:ascii="宋体" w:hAnsi="宋体" w:eastAsia="宋体" w:cs="宋体"/>
          <w:color w:val="auto"/>
          <w:szCs w:val="21"/>
          <w:highlight w:val="none"/>
          <w:lang w:val="en-US" w:eastAsia="zh-CN"/>
        </w:rPr>
        <w:t xml:space="preserve"> 陆 </w:t>
      </w:r>
      <w:r>
        <w:rPr>
          <w:rFonts w:hint="eastAsia" w:ascii="宋体" w:hAnsi="宋体" w:eastAsia="宋体" w:cs="宋体"/>
          <w:color w:val="auto"/>
          <w:szCs w:val="21"/>
          <w:highlight w:val="none"/>
          <w:lang w:val="zh-CN" w:eastAsia="zh-CN"/>
        </w:rPr>
        <w:t>份，</w:t>
      </w:r>
      <w:r>
        <w:rPr>
          <w:rFonts w:hint="eastAsia" w:ascii="宋体" w:hAnsi="宋体" w:eastAsia="宋体" w:cs="宋体"/>
          <w:color w:val="auto"/>
          <w:szCs w:val="21"/>
          <w:highlight w:val="none"/>
          <w:lang w:val="zh-CN"/>
        </w:rPr>
        <w:t>甲方</w:t>
      </w:r>
      <w:r>
        <w:rPr>
          <w:rFonts w:hint="eastAsia" w:ascii="宋体" w:hAnsi="宋体" w:eastAsia="宋体" w:cs="宋体"/>
          <w:color w:val="auto"/>
          <w:szCs w:val="21"/>
          <w:highlight w:val="none"/>
          <w:lang w:val="en-US" w:eastAsia="zh-CN"/>
        </w:rPr>
        <w:t xml:space="preserve"> 叁 </w:t>
      </w:r>
      <w:r>
        <w:rPr>
          <w:rFonts w:hint="eastAsia" w:ascii="宋体" w:hAnsi="宋体" w:eastAsia="宋体" w:cs="宋体"/>
          <w:color w:val="auto"/>
          <w:szCs w:val="21"/>
          <w:highlight w:val="none"/>
          <w:lang w:val="zh-CN"/>
        </w:rPr>
        <w:t>份</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乙</w:t>
      </w:r>
      <w:r>
        <w:rPr>
          <w:rFonts w:hint="eastAsia" w:ascii="宋体" w:hAnsi="宋体" w:eastAsia="宋体" w:cs="宋体"/>
          <w:color w:val="auto"/>
          <w:szCs w:val="21"/>
          <w:highlight w:val="none"/>
          <w:lang w:val="zh-CN"/>
        </w:rPr>
        <w:t>方</w:t>
      </w:r>
      <w:r>
        <w:rPr>
          <w:rFonts w:hint="eastAsia" w:ascii="宋体" w:hAnsi="宋体" w:eastAsia="宋体" w:cs="宋体"/>
          <w:color w:val="auto"/>
          <w:szCs w:val="21"/>
          <w:highlight w:val="none"/>
          <w:lang w:val="en-US" w:eastAsia="zh-CN"/>
        </w:rPr>
        <w:t xml:space="preserve"> 叁 份</w:t>
      </w:r>
      <w:r>
        <w:rPr>
          <w:rFonts w:hint="eastAsia" w:ascii="宋体" w:hAnsi="宋体" w:eastAsia="宋体" w:cs="宋体"/>
          <w:color w:val="auto"/>
          <w:szCs w:val="21"/>
          <w:highlight w:val="none"/>
          <w:lang w:val="zh-CN"/>
        </w:rPr>
        <w:t>。</w:t>
      </w:r>
    </w:p>
    <w:p w14:paraId="198D3E0A">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附件：</w:t>
      </w:r>
    </w:p>
    <w:p w14:paraId="0B6C12C3">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p>
    <w:p w14:paraId="19530FC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p>
    <w:p w14:paraId="18CCE540">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甲</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方：</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方：</w:t>
      </w:r>
    </w:p>
    <w:p w14:paraId="082D554B">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（盖章）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（盖章）</w:t>
      </w:r>
    </w:p>
    <w:p w14:paraId="63505F0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授权代表签字：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授权代表签字：</w:t>
      </w:r>
    </w:p>
    <w:p w14:paraId="4AC1CF29">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期：</w:t>
      </w:r>
    </w:p>
    <w:p w14:paraId="7B4E9E2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5F239954">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7274687D">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3408B1CF">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2212CA8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0E481BD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6280E557">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7869CEDC">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15EAB352">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5581EBF6">
      <w:pPr>
        <w:keepNext w:val="0"/>
        <w:keepLines w:val="0"/>
        <w:pageBreakBefore w:val="0"/>
        <w:wordWrap/>
        <w:overflowPunct/>
        <w:topLinePunct w:val="0"/>
        <w:bidi w:val="0"/>
        <w:adjustRightInd/>
        <w:snapToGrid/>
        <w:spacing w:line="360" w:lineRule="auto"/>
        <w:ind w:firstLine="420" w:firstLineChars="200"/>
        <w:rPr>
          <w:rFonts w:hint="eastAsia" w:ascii="宋体" w:hAnsi="宋体" w:eastAsia="宋体" w:cs="宋体"/>
          <w:color w:val="auto"/>
          <w:szCs w:val="21"/>
          <w:highlight w:val="none"/>
          <w:lang w:val="zh-CN"/>
        </w:rPr>
      </w:pPr>
    </w:p>
    <w:p w14:paraId="61911529">
      <w:pPr>
        <w:pStyle w:val="23"/>
        <w:rPr>
          <w:color w:val="auto"/>
          <w:highlight w:val="none"/>
        </w:rPr>
      </w:pPr>
    </w:p>
    <w:p w14:paraId="544C3935">
      <w:pPr>
        <w:pStyle w:val="23"/>
        <w:rPr>
          <w:color w:val="auto"/>
          <w:highlight w:val="none"/>
        </w:rPr>
      </w:pPr>
    </w:p>
    <w:p w14:paraId="6A3BE9B6">
      <w:pPr>
        <w:pStyle w:val="23"/>
        <w:rPr>
          <w:color w:val="auto"/>
          <w:highlight w:val="none"/>
        </w:rPr>
      </w:pPr>
    </w:p>
    <w:p w14:paraId="179489B6">
      <w:pPr>
        <w:pStyle w:val="23"/>
        <w:rPr>
          <w:color w:val="auto"/>
          <w:highlight w:val="none"/>
        </w:rPr>
      </w:pPr>
    </w:p>
    <w:p w14:paraId="2D771804">
      <w:pPr>
        <w:pStyle w:val="23"/>
        <w:rPr>
          <w:color w:val="auto"/>
          <w:highlight w:val="none"/>
        </w:rPr>
      </w:pPr>
    </w:p>
    <w:p w14:paraId="7748A10B">
      <w:pPr>
        <w:pStyle w:val="23"/>
        <w:rPr>
          <w:color w:val="auto"/>
          <w:highlight w:val="none"/>
        </w:rPr>
      </w:pPr>
    </w:p>
    <w:p w14:paraId="505FFF9A">
      <w:pPr>
        <w:pStyle w:val="23"/>
        <w:rPr>
          <w:color w:val="auto"/>
          <w:highlight w:val="none"/>
        </w:rPr>
      </w:pPr>
    </w:p>
    <w:p w14:paraId="3FF570A9">
      <w:pPr>
        <w:pStyle w:val="23"/>
        <w:rPr>
          <w:color w:val="auto"/>
          <w:highlight w:val="none"/>
        </w:rPr>
      </w:pPr>
    </w:p>
    <w:p w14:paraId="73488ADC">
      <w:pPr>
        <w:pStyle w:val="23"/>
        <w:rPr>
          <w:color w:val="auto"/>
          <w:highlight w:val="none"/>
        </w:rPr>
      </w:pPr>
    </w:p>
    <w:p w14:paraId="526BB315">
      <w:pPr>
        <w:pStyle w:val="23"/>
        <w:rPr>
          <w:color w:val="auto"/>
          <w:highlight w:val="none"/>
        </w:rPr>
      </w:pPr>
    </w:p>
    <w:p w14:paraId="077D855D">
      <w:pPr>
        <w:pStyle w:val="23"/>
        <w:rPr>
          <w:color w:val="auto"/>
          <w:highlight w:val="none"/>
        </w:rPr>
      </w:pPr>
    </w:p>
    <w:p w14:paraId="176ED59F">
      <w:pPr>
        <w:pStyle w:val="23"/>
        <w:rPr>
          <w:color w:val="auto"/>
          <w:highlight w:val="none"/>
        </w:rPr>
      </w:pPr>
    </w:p>
    <w:p w14:paraId="597A3E85">
      <w:pPr>
        <w:pStyle w:val="23"/>
        <w:rPr>
          <w:color w:val="auto"/>
          <w:highlight w:val="none"/>
        </w:rPr>
      </w:pPr>
    </w:p>
    <w:p w14:paraId="1FAE5E85">
      <w:pPr>
        <w:pStyle w:val="23"/>
        <w:rPr>
          <w:color w:val="auto"/>
          <w:highlight w:val="none"/>
        </w:rPr>
      </w:pPr>
    </w:p>
    <w:p w14:paraId="40805EFA">
      <w:pPr>
        <w:pStyle w:val="23"/>
        <w:rPr>
          <w:color w:val="auto"/>
          <w:highlight w:val="none"/>
        </w:rPr>
      </w:pPr>
    </w:p>
    <w:p w14:paraId="2E59B920">
      <w:pPr>
        <w:pStyle w:val="23"/>
        <w:rPr>
          <w:color w:val="auto"/>
          <w:highlight w:val="none"/>
        </w:rPr>
      </w:pPr>
    </w:p>
    <w:p w14:paraId="6095CFF3">
      <w:pPr>
        <w:pStyle w:val="23"/>
        <w:rPr>
          <w:color w:val="auto"/>
          <w:highlight w:val="none"/>
        </w:rPr>
      </w:pPr>
    </w:p>
    <w:p w14:paraId="70B0B007">
      <w:pPr>
        <w:pStyle w:val="23"/>
        <w:rPr>
          <w:color w:val="auto"/>
          <w:highlight w:val="none"/>
        </w:rPr>
      </w:pPr>
    </w:p>
    <w:p w14:paraId="091BF57B">
      <w:pPr>
        <w:pStyle w:val="2"/>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55"/>
    </w:p>
    <w:p w14:paraId="3043A20A">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40566E17">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77035BD4">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78E4ACED">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lang w:eastAsia="zh-CN"/>
        </w:rPr>
        <w:t>荥阳市自然资源和规划局荥阳市城市国土空间监测项目</w:t>
      </w:r>
      <w:r>
        <w:rPr>
          <w:rFonts w:hint="eastAsia" w:ascii="Calibri" w:hAnsi="Calibri" w:eastAsia="宋体"/>
          <w:b w:val="0"/>
          <w:bCs w:val="0"/>
          <w:color w:val="auto"/>
          <w:spacing w:val="0"/>
          <w:sz w:val="44"/>
          <w:szCs w:val="44"/>
          <w:highlight w:val="none"/>
        </w:rPr>
        <w:t>（项目名称）</w:t>
      </w:r>
    </w:p>
    <w:p w14:paraId="090663A4">
      <w:pPr>
        <w:pStyle w:val="9"/>
        <w:kinsoku w:val="0"/>
        <w:overflowPunct w:val="0"/>
        <w:rPr>
          <w:color w:val="auto"/>
          <w:sz w:val="48"/>
          <w:highlight w:val="none"/>
        </w:rPr>
      </w:pPr>
    </w:p>
    <w:p w14:paraId="6A150F2E">
      <w:pPr>
        <w:pStyle w:val="9"/>
        <w:kinsoku w:val="0"/>
        <w:overflowPunct w:val="0"/>
        <w:rPr>
          <w:color w:val="auto"/>
          <w:sz w:val="48"/>
          <w:highlight w:val="none"/>
        </w:rPr>
      </w:pPr>
    </w:p>
    <w:p w14:paraId="2FB6082F">
      <w:pPr>
        <w:pStyle w:val="9"/>
        <w:kinsoku w:val="0"/>
        <w:overflowPunct w:val="0"/>
        <w:rPr>
          <w:color w:val="auto"/>
          <w:sz w:val="48"/>
          <w:highlight w:val="none"/>
        </w:rPr>
      </w:pPr>
    </w:p>
    <w:p w14:paraId="003F4183">
      <w:pPr>
        <w:pStyle w:val="9"/>
        <w:kinsoku w:val="0"/>
        <w:overflowPunct w:val="0"/>
        <w:rPr>
          <w:color w:val="auto"/>
          <w:sz w:val="48"/>
          <w:highlight w:val="none"/>
        </w:rPr>
      </w:pPr>
    </w:p>
    <w:p w14:paraId="771584CA">
      <w:pPr>
        <w:pStyle w:val="9"/>
        <w:kinsoku w:val="0"/>
        <w:overflowPunct w:val="0"/>
        <w:rPr>
          <w:color w:val="auto"/>
          <w:sz w:val="48"/>
          <w:highlight w:val="none"/>
        </w:rPr>
      </w:pPr>
    </w:p>
    <w:p w14:paraId="0F865B91">
      <w:pPr>
        <w:pStyle w:val="9"/>
        <w:kinsoku w:val="0"/>
        <w:overflowPunct w:val="0"/>
        <w:rPr>
          <w:color w:val="auto"/>
          <w:sz w:val="48"/>
          <w:highlight w:val="none"/>
        </w:rPr>
      </w:pPr>
    </w:p>
    <w:p w14:paraId="2B6E0988">
      <w:pPr>
        <w:pStyle w:val="9"/>
        <w:kinsoku w:val="0"/>
        <w:overflowPunct w:val="0"/>
        <w:rPr>
          <w:color w:val="auto"/>
          <w:sz w:val="63"/>
          <w:highlight w:val="none"/>
        </w:rPr>
      </w:pPr>
    </w:p>
    <w:p w14:paraId="4F0F82BC">
      <w:pPr>
        <w:jc w:val="center"/>
        <w:rPr>
          <w:color w:val="auto"/>
          <w:sz w:val="48"/>
          <w:szCs w:val="56"/>
          <w:highlight w:val="none"/>
        </w:rPr>
      </w:pPr>
      <w:r>
        <w:rPr>
          <w:rFonts w:hint="eastAsia"/>
          <w:color w:val="auto"/>
          <w:sz w:val="44"/>
          <w:szCs w:val="44"/>
          <w:highlight w:val="none"/>
        </w:rPr>
        <w:t>竞争性磋商响应文件</w:t>
      </w:r>
    </w:p>
    <w:p w14:paraId="4A93B9D6">
      <w:pPr>
        <w:jc w:val="center"/>
        <w:rPr>
          <w:color w:val="auto"/>
          <w:sz w:val="36"/>
          <w:szCs w:val="44"/>
          <w:highlight w:val="none"/>
        </w:rPr>
      </w:pPr>
    </w:p>
    <w:p w14:paraId="7B4DFDA5">
      <w:pPr>
        <w:pStyle w:val="22"/>
        <w:ind w:firstLine="240"/>
        <w:rPr>
          <w:color w:val="auto"/>
          <w:highlight w:val="none"/>
        </w:rPr>
      </w:pPr>
    </w:p>
    <w:p w14:paraId="2B9E2FBA">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0BDB84DB">
      <w:pPr>
        <w:rPr>
          <w:color w:val="auto"/>
          <w:highlight w:val="none"/>
        </w:rPr>
      </w:pPr>
    </w:p>
    <w:p w14:paraId="0D989CD3">
      <w:pPr>
        <w:pStyle w:val="9"/>
        <w:tabs>
          <w:tab w:val="left" w:pos="4938"/>
          <w:tab w:val="left" w:pos="5418"/>
        </w:tabs>
        <w:kinsoku w:val="0"/>
        <w:overflowPunct w:val="0"/>
        <w:spacing w:line="240" w:lineRule="auto"/>
        <w:rPr>
          <w:rFonts w:ascii="宋体" w:eastAsia="宋体" w:cs="宋体"/>
          <w:color w:val="auto"/>
          <w:spacing w:val="-1"/>
          <w:highlight w:val="none"/>
        </w:rPr>
      </w:pPr>
    </w:p>
    <w:p w14:paraId="57825F05">
      <w:pPr>
        <w:pStyle w:val="9"/>
        <w:tabs>
          <w:tab w:val="left" w:pos="4938"/>
          <w:tab w:val="left" w:pos="5418"/>
        </w:tabs>
        <w:kinsoku w:val="0"/>
        <w:overflowPunct w:val="0"/>
        <w:spacing w:line="240" w:lineRule="auto"/>
        <w:rPr>
          <w:rFonts w:ascii="宋体" w:eastAsia="宋体" w:cs="宋体"/>
          <w:color w:val="auto"/>
          <w:spacing w:val="-1"/>
          <w:highlight w:val="none"/>
        </w:rPr>
      </w:pPr>
    </w:p>
    <w:p w14:paraId="6986251D">
      <w:pPr>
        <w:pStyle w:val="9"/>
        <w:tabs>
          <w:tab w:val="left" w:pos="4938"/>
          <w:tab w:val="left" w:pos="5418"/>
        </w:tabs>
        <w:kinsoku w:val="0"/>
        <w:overflowPunct w:val="0"/>
        <w:spacing w:line="240" w:lineRule="auto"/>
        <w:rPr>
          <w:rFonts w:ascii="宋体" w:eastAsia="宋体" w:cs="宋体"/>
          <w:color w:val="auto"/>
          <w:spacing w:val="-1"/>
          <w:highlight w:val="none"/>
        </w:rPr>
      </w:pPr>
    </w:p>
    <w:p w14:paraId="36847A01">
      <w:pPr>
        <w:pStyle w:val="9"/>
        <w:tabs>
          <w:tab w:val="left" w:pos="4938"/>
          <w:tab w:val="left" w:pos="5418"/>
        </w:tabs>
        <w:kinsoku w:val="0"/>
        <w:overflowPunct w:val="0"/>
        <w:spacing w:line="240" w:lineRule="auto"/>
        <w:rPr>
          <w:rFonts w:ascii="宋体" w:eastAsia="宋体" w:cs="宋体"/>
          <w:color w:val="auto"/>
          <w:spacing w:val="-1"/>
          <w:highlight w:val="none"/>
        </w:rPr>
      </w:pPr>
    </w:p>
    <w:p w14:paraId="60A1D97E">
      <w:pPr>
        <w:pStyle w:val="9"/>
        <w:tabs>
          <w:tab w:val="left" w:pos="4938"/>
          <w:tab w:val="left" w:pos="5418"/>
        </w:tabs>
        <w:kinsoku w:val="0"/>
        <w:overflowPunct w:val="0"/>
        <w:spacing w:line="240" w:lineRule="auto"/>
        <w:rPr>
          <w:rFonts w:ascii="宋体" w:eastAsia="宋体" w:cs="宋体"/>
          <w:color w:val="auto"/>
          <w:spacing w:val="-1"/>
          <w:highlight w:val="none"/>
        </w:rPr>
      </w:pPr>
    </w:p>
    <w:p w14:paraId="0DB07377">
      <w:pPr>
        <w:pStyle w:val="9"/>
        <w:tabs>
          <w:tab w:val="left" w:pos="4938"/>
          <w:tab w:val="left" w:pos="5418"/>
        </w:tabs>
        <w:kinsoku w:val="0"/>
        <w:overflowPunct w:val="0"/>
        <w:spacing w:line="240" w:lineRule="auto"/>
        <w:rPr>
          <w:rFonts w:ascii="宋体" w:eastAsia="宋体" w:cs="宋体"/>
          <w:color w:val="auto"/>
          <w:spacing w:val="-1"/>
          <w:highlight w:val="none"/>
        </w:rPr>
      </w:pPr>
    </w:p>
    <w:p w14:paraId="25118168">
      <w:pPr>
        <w:pStyle w:val="9"/>
        <w:tabs>
          <w:tab w:val="left" w:pos="4938"/>
          <w:tab w:val="left" w:pos="5418"/>
        </w:tabs>
        <w:kinsoku w:val="0"/>
        <w:overflowPunct w:val="0"/>
        <w:spacing w:line="240" w:lineRule="auto"/>
        <w:rPr>
          <w:rFonts w:ascii="宋体" w:eastAsia="宋体" w:cs="宋体"/>
          <w:color w:val="auto"/>
          <w:spacing w:val="-1"/>
          <w:highlight w:val="none"/>
        </w:rPr>
      </w:pPr>
    </w:p>
    <w:p w14:paraId="76E60B6D">
      <w:pPr>
        <w:pStyle w:val="9"/>
        <w:tabs>
          <w:tab w:val="left" w:pos="4938"/>
          <w:tab w:val="left" w:pos="5418"/>
        </w:tabs>
        <w:kinsoku w:val="0"/>
        <w:overflowPunct w:val="0"/>
        <w:spacing w:line="240" w:lineRule="auto"/>
        <w:rPr>
          <w:rFonts w:ascii="宋体" w:eastAsia="宋体" w:cs="宋体"/>
          <w:color w:val="auto"/>
          <w:spacing w:val="-1"/>
          <w:highlight w:val="none"/>
        </w:rPr>
      </w:pPr>
    </w:p>
    <w:p w14:paraId="2E0B7861">
      <w:pPr>
        <w:pStyle w:val="9"/>
        <w:tabs>
          <w:tab w:val="left" w:pos="4938"/>
          <w:tab w:val="left" w:pos="5418"/>
        </w:tabs>
        <w:kinsoku w:val="0"/>
        <w:overflowPunct w:val="0"/>
        <w:spacing w:line="240" w:lineRule="auto"/>
        <w:rPr>
          <w:rFonts w:ascii="宋体" w:eastAsia="宋体" w:cs="宋体"/>
          <w:color w:val="auto"/>
          <w:spacing w:val="-1"/>
          <w:highlight w:val="none"/>
        </w:rPr>
      </w:pPr>
    </w:p>
    <w:p w14:paraId="6877D3D0">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256EECAF">
      <w:pPr>
        <w:pStyle w:val="9"/>
        <w:tabs>
          <w:tab w:val="left" w:pos="4938"/>
          <w:tab w:val="left" w:pos="5418"/>
        </w:tabs>
        <w:kinsoku w:val="0"/>
        <w:overflowPunct w:val="0"/>
        <w:spacing w:line="240" w:lineRule="auto"/>
        <w:rPr>
          <w:rFonts w:ascii="宋体" w:eastAsia="宋体" w:cs="宋体"/>
          <w:color w:val="auto"/>
          <w:highlight w:val="none"/>
        </w:rPr>
      </w:pPr>
    </w:p>
    <w:p w14:paraId="79F5522D">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1DC13303">
      <w:pPr>
        <w:pStyle w:val="9"/>
        <w:tabs>
          <w:tab w:val="left" w:pos="733"/>
          <w:tab w:val="left" w:pos="1693"/>
          <w:tab w:val="left" w:pos="2653"/>
        </w:tabs>
        <w:kinsoku w:val="0"/>
        <w:overflowPunct w:val="0"/>
        <w:ind w:left="12"/>
        <w:jc w:val="center"/>
        <w:rPr>
          <w:rFonts w:ascii="宋体" w:eastAsia="宋体" w:cs="宋体"/>
          <w:color w:val="auto"/>
          <w:highlight w:val="none"/>
        </w:rPr>
      </w:pPr>
      <w:bookmarkStart w:id="195" w:name="______年______月______日"/>
      <w:bookmarkEnd w:id="195"/>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14:paraId="062180DF">
      <w:pPr>
        <w:jc w:val="center"/>
        <w:rPr>
          <w:rFonts w:hint="eastAsia" w:ascii="仿宋" w:hAnsi="仿宋" w:eastAsia="仿宋"/>
          <w:b/>
          <w:color w:val="auto"/>
          <w:w w:val="95"/>
          <w:sz w:val="36"/>
          <w:highlight w:val="none"/>
        </w:rPr>
      </w:pPr>
    </w:p>
    <w:p w14:paraId="0779DEF1">
      <w:pPr>
        <w:jc w:val="center"/>
        <w:rPr>
          <w:rFonts w:hint="eastAsia" w:ascii="仿宋" w:hAnsi="仿宋" w:eastAsia="仿宋"/>
          <w:b/>
          <w:color w:val="auto"/>
          <w:w w:val="95"/>
          <w:sz w:val="36"/>
          <w:highlight w:val="none"/>
        </w:rPr>
      </w:pPr>
    </w:p>
    <w:p w14:paraId="3B140FD7">
      <w:pPr>
        <w:pStyle w:val="40"/>
        <w:rPr>
          <w:rFonts w:hint="eastAsia" w:ascii="仿宋" w:hAnsi="仿宋" w:eastAsia="仿宋"/>
          <w:b/>
          <w:color w:val="auto"/>
          <w:w w:val="95"/>
          <w:sz w:val="36"/>
          <w:highlight w:val="none"/>
        </w:rPr>
      </w:pPr>
    </w:p>
    <w:p w14:paraId="28142361">
      <w:pPr>
        <w:rPr>
          <w:rFonts w:hint="eastAsia"/>
        </w:rPr>
      </w:pPr>
    </w:p>
    <w:p w14:paraId="541162E6">
      <w:pPr>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57624E27">
      <w:pPr>
        <w:jc w:val="center"/>
        <w:rPr>
          <w:rFonts w:ascii="仿宋" w:hAnsi="仿宋" w:eastAsia="仿宋"/>
          <w:b/>
          <w:color w:val="auto"/>
          <w:sz w:val="36"/>
          <w:highlight w:val="none"/>
        </w:rPr>
      </w:pPr>
    </w:p>
    <w:p w14:paraId="7593DDC8">
      <w:pPr>
        <w:pStyle w:val="41"/>
        <w:rPr>
          <w:color w:val="auto"/>
          <w:highlight w:val="none"/>
        </w:rPr>
      </w:pPr>
    </w:p>
    <w:p w14:paraId="3D6918E5">
      <w:pPr>
        <w:pStyle w:val="41"/>
        <w:spacing w:line="360" w:lineRule="auto"/>
        <w:rPr>
          <w:color w:val="auto"/>
          <w:szCs w:val="21"/>
          <w:highlight w:val="none"/>
        </w:rPr>
      </w:pPr>
    </w:p>
    <w:p w14:paraId="0E5E844D">
      <w:pPr>
        <w:spacing w:line="360" w:lineRule="auto"/>
        <w:rPr>
          <w:rFonts w:ascii="宋体" w:hAnsi="宋体"/>
          <w:color w:val="auto"/>
          <w:szCs w:val="21"/>
          <w:highlight w:val="none"/>
        </w:rPr>
      </w:pPr>
      <w:bookmarkStart w:id="196" w:name="_Toc19724"/>
      <w:bookmarkStart w:id="197" w:name="_Toc24162"/>
      <w:bookmarkStart w:id="198" w:name="_Toc509411862"/>
      <w:bookmarkStart w:id="199" w:name="_Toc16726"/>
      <w:bookmarkStart w:id="200" w:name="_Toc2043"/>
      <w:bookmarkStart w:id="201" w:name="_Toc24895"/>
      <w:bookmarkStart w:id="202" w:name="_Toc9480"/>
      <w:bookmarkStart w:id="203" w:name="_Toc10890"/>
      <w:bookmarkStart w:id="204" w:name="_Toc16028"/>
      <w:bookmarkStart w:id="205" w:name="_Toc10197"/>
      <w:r>
        <w:rPr>
          <w:rFonts w:hint="eastAsia" w:ascii="宋体" w:hAnsi="宋体"/>
          <w:color w:val="auto"/>
          <w:szCs w:val="21"/>
          <w:highlight w:val="none"/>
        </w:rPr>
        <w:t>1.</w:t>
      </w:r>
      <w:bookmarkEnd w:id="196"/>
      <w:bookmarkEnd w:id="197"/>
      <w:bookmarkEnd w:id="198"/>
      <w:bookmarkEnd w:id="199"/>
      <w:bookmarkEnd w:id="200"/>
      <w:bookmarkEnd w:id="201"/>
      <w:bookmarkEnd w:id="202"/>
      <w:bookmarkEnd w:id="203"/>
      <w:r>
        <w:rPr>
          <w:rFonts w:hint="eastAsia" w:ascii="宋体" w:hAnsi="宋体"/>
          <w:color w:val="auto"/>
          <w:szCs w:val="21"/>
          <w:highlight w:val="none"/>
        </w:rPr>
        <w:t>磋商响应承诺书</w:t>
      </w:r>
    </w:p>
    <w:p w14:paraId="77194364">
      <w:pPr>
        <w:spacing w:line="360" w:lineRule="auto"/>
        <w:rPr>
          <w:rFonts w:ascii="宋体" w:hAnsi="宋体"/>
          <w:color w:val="auto"/>
          <w:szCs w:val="21"/>
          <w:highlight w:val="none"/>
        </w:rPr>
      </w:pPr>
      <w:bookmarkStart w:id="206" w:name="_Toc509411863"/>
      <w:bookmarkStart w:id="207" w:name="_Toc23990"/>
      <w:bookmarkStart w:id="208" w:name="_Toc22482"/>
      <w:bookmarkStart w:id="209" w:name="_Toc6781"/>
      <w:bookmarkStart w:id="210" w:name="_Toc22456"/>
      <w:bookmarkStart w:id="211" w:name="_Toc21365"/>
      <w:bookmarkStart w:id="212" w:name="_Toc21545"/>
      <w:bookmarkStart w:id="213" w:name="_Toc11285"/>
      <w:r>
        <w:rPr>
          <w:rFonts w:hint="eastAsia" w:ascii="宋体" w:hAnsi="宋体"/>
          <w:color w:val="auto"/>
          <w:szCs w:val="21"/>
          <w:highlight w:val="none"/>
        </w:rPr>
        <w:t>2.</w:t>
      </w:r>
      <w:bookmarkEnd w:id="206"/>
      <w:bookmarkEnd w:id="207"/>
      <w:bookmarkEnd w:id="208"/>
      <w:bookmarkEnd w:id="209"/>
      <w:bookmarkEnd w:id="210"/>
      <w:bookmarkEnd w:id="211"/>
      <w:bookmarkEnd w:id="212"/>
      <w:bookmarkEnd w:id="213"/>
      <w:bookmarkStart w:id="214" w:name="_Toc8614"/>
      <w:bookmarkStart w:id="215" w:name="_Toc28847"/>
      <w:bookmarkStart w:id="216" w:name="_Toc509411864"/>
      <w:bookmarkStart w:id="217" w:name="_Toc21091"/>
      <w:bookmarkStart w:id="218" w:name="_Toc16045"/>
      <w:bookmarkStart w:id="219" w:name="_Toc31275"/>
      <w:bookmarkStart w:id="220" w:name="_Toc26192"/>
      <w:bookmarkStart w:id="221" w:name="_Toc22629"/>
      <w:r>
        <w:rPr>
          <w:rFonts w:hint="eastAsia" w:ascii="宋体" w:hAnsi="宋体"/>
          <w:color w:val="auto"/>
          <w:szCs w:val="21"/>
          <w:highlight w:val="none"/>
        </w:rPr>
        <w:t>磋商响应函附录（第一轮报价）</w:t>
      </w:r>
    </w:p>
    <w:p w14:paraId="572A7953">
      <w:pPr>
        <w:spacing w:line="360" w:lineRule="auto"/>
        <w:rPr>
          <w:rFonts w:ascii="宋体" w:hAnsi="宋体"/>
          <w:color w:val="auto"/>
          <w:szCs w:val="21"/>
          <w:highlight w:val="none"/>
        </w:rPr>
      </w:pPr>
      <w:r>
        <w:rPr>
          <w:rFonts w:hint="eastAsia" w:ascii="宋体" w:hAnsi="宋体"/>
          <w:color w:val="auto"/>
          <w:szCs w:val="21"/>
          <w:highlight w:val="none"/>
        </w:rPr>
        <w:t>3.报价明细表</w:t>
      </w:r>
      <w:bookmarkEnd w:id="214"/>
      <w:bookmarkEnd w:id="215"/>
      <w:bookmarkEnd w:id="216"/>
      <w:bookmarkEnd w:id="217"/>
      <w:bookmarkEnd w:id="218"/>
      <w:bookmarkEnd w:id="219"/>
      <w:bookmarkEnd w:id="220"/>
      <w:bookmarkEnd w:id="221"/>
    </w:p>
    <w:p w14:paraId="0A685B79">
      <w:pPr>
        <w:spacing w:line="360" w:lineRule="auto"/>
        <w:rPr>
          <w:rFonts w:ascii="宋体" w:hAnsi="宋体"/>
          <w:color w:val="auto"/>
          <w:szCs w:val="21"/>
          <w:highlight w:val="none"/>
        </w:rPr>
      </w:pPr>
      <w:bookmarkStart w:id="222" w:name="_Toc16575"/>
      <w:bookmarkStart w:id="223" w:name="_Toc26854"/>
      <w:bookmarkStart w:id="224" w:name="_Toc10251"/>
      <w:bookmarkStart w:id="225" w:name="_Toc2381"/>
      <w:bookmarkStart w:id="226" w:name="_Toc9106"/>
      <w:bookmarkStart w:id="227" w:name="_Toc23186"/>
      <w:bookmarkStart w:id="228" w:name="_Toc509411866"/>
      <w:bookmarkStart w:id="229" w:name="_Toc19514"/>
      <w:r>
        <w:rPr>
          <w:rFonts w:hint="eastAsia" w:ascii="宋体" w:hAnsi="宋体"/>
          <w:color w:val="auto"/>
          <w:szCs w:val="21"/>
          <w:highlight w:val="none"/>
        </w:rPr>
        <w:t>4.</w:t>
      </w:r>
      <w:bookmarkEnd w:id="222"/>
      <w:bookmarkEnd w:id="223"/>
      <w:bookmarkEnd w:id="224"/>
      <w:bookmarkEnd w:id="225"/>
      <w:bookmarkEnd w:id="226"/>
      <w:bookmarkEnd w:id="227"/>
      <w:bookmarkEnd w:id="228"/>
      <w:bookmarkEnd w:id="229"/>
      <w:r>
        <w:rPr>
          <w:rFonts w:hint="eastAsia" w:ascii="宋体" w:hAnsi="宋体"/>
          <w:color w:val="auto"/>
          <w:szCs w:val="21"/>
          <w:highlight w:val="none"/>
        </w:rPr>
        <w:t>中小企业声明函</w:t>
      </w:r>
    </w:p>
    <w:p w14:paraId="6D7C7CE1">
      <w:pPr>
        <w:spacing w:line="360" w:lineRule="auto"/>
        <w:rPr>
          <w:rFonts w:ascii="宋体" w:hAnsi="宋体"/>
          <w:color w:val="auto"/>
          <w:szCs w:val="21"/>
          <w:highlight w:val="none"/>
        </w:rPr>
      </w:pPr>
      <w:bookmarkStart w:id="230" w:name="_Toc11592"/>
      <w:bookmarkStart w:id="231" w:name="_Toc15804"/>
      <w:bookmarkStart w:id="232" w:name="_Toc30257"/>
      <w:bookmarkStart w:id="233" w:name="_Toc8572"/>
      <w:bookmarkStart w:id="234" w:name="_Toc5331"/>
      <w:bookmarkStart w:id="235" w:name="_Toc21302"/>
      <w:bookmarkStart w:id="236" w:name="_Toc509411869"/>
      <w:bookmarkStart w:id="237" w:name="_Toc25923"/>
      <w:r>
        <w:rPr>
          <w:rFonts w:hint="eastAsia" w:ascii="宋体" w:hAnsi="宋体"/>
          <w:color w:val="auto"/>
          <w:szCs w:val="21"/>
          <w:highlight w:val="none"/>
        </w:rPr>
        <w:t>5.</w:t>
      </w:r>
      <w:bookmarkEnd w:id="230"/>
      <w:bookmarkEnd w:id="231"/>
      <w:bookmarkEnd w:id="232"/>
      <w:bookmarkEnd w:id="233"/>
      <w:bookmarkEnd w:id="234"/>
      <w:bookmarkEnd w:id="235"/>
      <w:bookmarkEnd w:id="236"/>
      <w:bookmarkEnd w:id="237"/>
      <w:bookmarkStart w:id="238" w:name="_Toc24692"/>
      <w:bookmarkStart w:id="239" w:name="_Toc12321"/>
      <w:bookmarkStart w:id="240" w:name="_Toc14056"/>
      <w:bookmarkStart w:id="241" w:name="_Toc12476"/>
      <w:bookmarkStart w:id="242" w:name="_Toc16613"/>
      <w:bookmarkStart w:id="243" w:name="_Toc509411870"/>
      <w:bookmarkStart w:id="244" w:name="_Toc8414"/>
      <w:bookmarkStart w:id="245" w:name="_Toc22983"/>
      <w:r>
        <w:rPr>
          <w:rFonts w:hint="eastAsia" w:ascii="宋体" w:hAnsi="宋体"/>
          <w:color w:val="auto"/>
          <w:szCs w:val="21"/>
          <w:highlight w:val="none"/>
        </w:rPr>
        <w:t>商务条款偏差表</w:t>
      </w:r>
    </w:p>
    <w:p w14:paraId="1945F4CD">
      <w:pPr>
        <w:spacing w:line="360" w:lineRule="auto"/>
        <w:rPr>
          <w:rFonts w:ascii="宋体" w:hAnsi="宋体"/>
          <w:color w:val="auto"/>
          <w:szCs w:val="21"/>
          <w:highlight w:val="none"/>
        </w:rPr>
      </w:pPr>
      <w:r>
        <w:rPr>
          <w:rFonts w:hint="eastAsia" w:ascii="宋体" w:hAnsi="宋体"/>
          <w:color w:val="auto"/>
          <w:szCs w:val="21"/>
          <w:highlight w:val="none"/>
        </w:rPr>
        <w:t>6.售后服务承诺</w:t>
      </w:r>
      <w:bookmarkEnd w:id="238"/>
      <w:bookmarkEnd w:id="239"/>
      <w:bookmarkEnd w:id="240"/>
      <w:bookmarkEnd w:id="241"/>
      <w:bookmarkEnd w:id="242"/>
      <w:bookmarkEnd w:id="243"/>
      <w:bookmarkEnd w:id="244"/>
      <w:bookmarkEnd w:id="245"/>
    </w:p>
    <w:p w14:paraId="66F37FC9">
      <w:pPr>
        <w:spacing w:line="360" w:lineRule="auto"/>
        <w:rPr>
          <w:rFonts w:ascii="宋体" w:hAnsi="宋体"/>
          <w:color w:val="auto"/>
          <w:szCs w:val="21"/>
          <w:highlight w:val="none"/>
        </w:rPr>
      </w:pPr>
      <w:bookmarkStart w:id="246" w:name="_Toc22673"/>
      <w:bookmarkStart w:id="247" w:name="_Toc26548"/>
      <w:bookmarkStart w:id="248" w:name="_Toc10060"/>
      <w:bookmarkStart w:id="249" w:name="_Toc27802"/>
      <w:bookmarkStart w:id="250" w:name="_Toc27305"/>
      <w:bookmarkStart w:id="251" w:name="_Toc5087"/>
      <w:bookmarkStart w:id="252" w:name="_Toc509411871"/>
      <w:bookmarkStart w:id="253" w:name="_Toc20444"/>
      <w:r>
        <w:rPr>
          <w:rFonts w:hint="eastAsia" w:ascii="宋体" w:hAnsi="宋体"/>
          <w:color w:val="auto"/>
          <w:szCs w:val="21"/>
          <w:highlight w:val="none"/>
        </w:rPr>
        <w:t>7.资格证明材料</w:t>
      </w:r>
      <w:bookmarkEnd w:id="246"/>
      <w:bookmarkEnd w:id="247"/>
      <w:bookmarkEnd w:id="248"/>
      <w:bookmarkEnd w:id="249"/>
      <w:bookmarkEnd w:id="250"/>
      <w:bookmarkEnd w:id="251"/>
      <w:bookmarkEnd w:id="252"/>
      <w:bookmarkEnd w:id="253"/>
    </w:p>
    <w:p w14:paraId="5686FC69">
      <w:pPr>
        <w:spacing w:line="360" w:lineRule="auto"/>
        <w:rPr>
          <w:rFonts w:ascii="宋体" w:hAnsi="宋体"/>
          <w:color w:val="auto"/>
          <w:szCs w:val="21"/>
          <w:highlight w:val="none"/>
        </w:rPr>
      </w:pPr>
      <w:bookmarkStart w:id="254" w:name="_Toc5299"/>
      <w:bookmarkStart w:id="255" w:name="_Toc17534"/>
      <w:bookmarkStart w:id="256" w:name="_Toc17026"/>
      <w:bookmarkStart w:id="257" w:name="_Toc5818"/>
      <w:bookmarkStart w:id="258" w:name="_Toc19702"/>
      <w:bookmarkStart w:id="259" w:name="_Toc509411872"/>
      <w:bookmarkStart w:id="260" w:name="_Toc27361"/>
      <w:bookmarkStart w:id="261" w:name="_Toc6412"/>
      <w:r>
        <w:rPr>
          <w:rFonts w:hint="eastAsia" w:ascii="宋体" w:hAnsi="宋体"/>
          <w:color w:val="auto"/>
          <w:szCs w:val="21"/>
          <w:highlight w:val="none"/>
        </w:rPr>
        <w:t>8.法定代表人授权书</w:t>
      </w:r>
      <w:bookmarkEnd w:id="254"/>
      <w:bookmarkEnd w:id="255"/>
      <w:bookmarkEnd w:id="256"/>
      <w:bookmarkEnd w:id="257"/>
      <w:bookmarkEnd w:id="258"/>
      <w:bookmarkEnd w:id="259"/>
      <w:bookmarkEnd w:id="260"/>
      <w:bookmarkEnd w:id="261"/>
    </w:p>
    <w:p w14:paraId="1DDCDA6A">
      <w:pPr>
        <w:spacing w:line="360" w:lineRule="auto"/>
        <w:rPr>
          <w:rFonts w:ascii="宋体" w:hAnsi="宋体"/>
          <w:color w:val="auto"/>
          <w:szCs w:val="21"/>
          <w:highlight w:val="none"/>
        </w:rPr>
      </w:pPr>
      <w:bookmarkStart w:id="262" w:name="_Toc31389"/>
      <w:bookmarkStart w:id="263" w:name="_Toc20624"/>
      <w:bookmarkStart w:id="264" w:name="_Toc509411873"/>
      <w:bookmarkStart w:id="265" w:name="_Toc7668"/>
      <w:bookmarkStart w:id="266" w:name="_Toc11792"/>
      <w:bookmarkStart w:id="267" w:name="_Toc31584"/>
      <w:bookmarkStart w:id="268" w:name="_Toc24793"/>
      <w:bookmarkStart w:id="269" w:name="_Toc12791"/>
      <w:r>
        <w:rPr>
          <w:rFonts w:hint="eastAsia" w:ascii="宋体" w:hAnsi="宋体"/>
          <w:color w:val="auto"/>
          <w:szCs w:val="21"/>
          <w:highlight w:val="none"/>
        </w:rPr>
        <w:t>9.供应商基本情况</w:t>
      </w:r>
      <w:bookmarkEnd w:id="262"/>
      <w:bookmarkEnd w:id="263"/>
      <w:bookmarkEnd w:id="264"/>
      <w:bookmarkEnd w:id="265"/>
      <w:bookmarkEnd w:id="266"/>
      <w:bookmarkEnd w:id="267"/>
      <w:bookmarkEnd w:id="268"/>
      <w:bookmarkEnd w:id="269"/>
    </w:p>
    <w:p w14:paraId="06A42BDF">
      <w:pPr>
        <w:spacing w:line="360" w:lineRule="auto"/>
        <w:rPr>
          <w:rFonts w:ascii="宋体" w:hAnsi="宋体"/>
          <w:color w:val="auto"/>
          <w:szCs w:val="21"/>
          <w:highlight w:val="none"/>
        </w:rPr>
      </w:pPr>
      <w:bookmarkStart w:id="270" w:name="_Toc23157"/>
      <w:bookmarkStart w:id="271" w:name="_Toc15803"/>
      <w:bookmarkStart w:id="272" w:name="_Toc509411874"/>
      <w:bookmarkStart w:id="273" w:name="_Toc24676"/>
      <w:bookmarkStart w:id="274" w:name="_Toc23438"/>
      <w:r>
        <w:rPr>
          <w:rFonts w:hint="eastAsia" w:ascii="宋体" w:hAnsi="宋体"/>
          <w:color w:val="auto"/>
          <w:szCs w:val="21"/>
          <w:highlight w:val="none"/>
        </w:rPr>
        <w:t>10.类似项目业绩情况表</w:t>
      </w:r>
      <w:bookmarkEnd w:id="270"/>
      <w:bookmarkEnd w:id="271"/>
      <w:bookmarkEnd w:id="272"/>
      <w:bookmarkEnd w:id="273"/>
      <w:bookmarkEnd w:id="274"/>
    </w:p>
    <w:p w14:paraId="5E1373A2">
      <w:pPr>
        <w:spacing w:line="360" w:lineRule="auto"/>
        <w:rPr>
          <w:rFonts w:ascii="宋体" w:hAnsi="宋体"/>
          <w:color w:val="auto"/>
          <w:szCs w:val="21"/>
          <w:highlight w:val="none"/>
        </w:rPr>
      </w:pPr>
      <w:r>
        <w:rPr>
          <w:rFonts w:hint="eastAsia" w:ascii="宋体" w:hAnsi="宋体"/>
          <w:color w:val="auto"/>
          <w:szCs w:val="21"/>
          <w:highlight w:val="none"/>
        </w:rPr>
        <w:t>11.服务方案</w:t>
      </w:r>
    </w:p>
    <w:p w14:paraId="0F758CFA">
      <w:pPr>
        <w:spacing w:line="360" w:lineRule="auto"/>
        <w:rPr>
          <w:rFonts w:ascii="宋体" w:hAnsi="宋体"/>
          <w:color w:val="auto"/>
          <w:szCs w:val="21"/>
          <w:highlight w:val="none"/>
        </w:rPr>
      </w:pPr>
      <w:r>
        <w:rPr>
          <w:rFonts w:hint="eastAsia" w:ascii="宋体" w:hAnsi="宋体"/>
          <w:color w:val="auto"/>
          <w:szCs w:val="21"/>
          <w:highlight w:val="none"/>
        </w:rPr>
        <w:t>12.供应商认为必要的其它材料</w:t>
      </w:r>
    </w:p>
    <w:p w14:paraId="27A18ED7">
      <w:pPr>
        <w:pStyle w:val="48"/>
        <w:spacing w:line="360" w:lineRule="auto"/>
        <w:rPr>
          <w:color w:val="auto"/>
          <w:sz w:val="21"/>
          <w:szCs w:val="21"/>
          <w:highlight w:val="none"/>
        </w:rPr>
      </w:pPr>
      <w:r>
        <w:rPr>
          <w:rFonts w:hint="eastAsia" w:hAnsi="宋体"/>
          <w:color w:val="auto"/>
          <w:sz w:val="21"/>
          <w:szCs w:val="21"/>
          <w:highlight w:val="none"/>
        </w:rPr>
        <w:t>13.磋商报价（第二轮）</w:t>
      </w:r>
    </w:p>
    <w:p w14:paraId="27D51F9A">
      <w:pPr>
        <w:spacing w:line="360" w:lineRule="auto"/>
        <w:rPr>
          <w:rFonts w:ascii="宋体" w:hAnsi="宋体"/>
          <w:color w:val="auto"/>
          <w:szCs w:val="21"/>
          <w:highlight w:val="none"/>
        </w:rPr>
      </w:pPr>
      <w:bookmarkStart w:id="275" w:name="_Toc509411875"/>
      <w:bookmarkStart w:id="276" w:name="_Toc3649"/>
      <w:bookmarkStart w:id="277" w:name="_Toc21805"/>
      <w:r>
        <w:rPr>
          <w:rFonts w:hint="eastAsia" w:ascii="宋体" w:hAnsi="宋体"/>
          <w:color w:val="auto"/>
          <w:szCs w:val="21"/>
          <w:highlight w:val="none"/>
        </w:rPr>
        <w:t>注：</w:t>
      </w:r>
      <w:bookmarkEnd w:id="275"/>
      <w:bookmarkEnd w:id="276"/>
      <w:bookmarkEnd w:id="277"/>
    </w:p>
    <w:p w14:paraId="33BB781D">
      <w:pPr>
        <w:spacing w:line="360" w:lineRule="auto"/>
        <w:rPr>
          <w:rFonts w:ascii="宋体" w:hAnsi="宋体"/>
          <w:color w:val="auto"/>
          <w:szCs w:val="21"/>
          <w:highlight w:val="none"/>
        </w:rPr>
      </w:pPr>
      <w:bookmarkStart w:id="278" w:name="_Toc31371"/>
      <w:bookmarkStart w:id="279" w:name="_Toc509411876"/>
      <w:bookmarkStart w:id="280" w:name="_Toc22621"/>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78"/>
      <w:bookmarkEnd w:id="279"/>
      <w:bookmarkEnd w:id="280"/>
    </w:p>
    <w:p w14:paraId="7D2A8873">
      <w:pPr>
        <w:jc w:val="center"/>
        <w:rPr>
          <w:rFonts w:ascii="宋体" w:hAnsi="宋体"/>
          <w:color w:val="auto"/>
          <w:sz w:val="28"/>
          <w:szCs w:val="28"/>
          <w:highlight w:val="none"/>
        </w:rPr>
      </w:pPr>
      <w:r>
        <w:rPr>
          <w:rFonts w:hint="eastAsia"/>
          <w:color w:val="auto"/>
          <w:highlight w:val="none"/>
        </w:rPr>
        <w:br w:type="page"/>
      </w:r>
      <w:bookmarkEnd w:id="204"/>
      <w:bookmarkEnd w:id="205"/>
      <w:r>
        <w:rPr>
          <w:rFonts w:hint="eastAsia" w:ascii="宋体" w:hAnsi="宋体"/>
          <w:color w:val="auto"/>
          <w:sz w:val="28"/>
          <w:szCs w:val="28"/>
          <w:highlight w:val="none"/>
        </w:rPr>
        <w:t>1、磋商响应承诺书</w:t>
      </w:r>
    </w:p>
    <w:p w14:paraId="62EB010B">
      <w:pPr>
        <w:rPr>
          <w:rFonts w:ascii="宋体" w:hAnsi="宋体"/>
          <w:color w:val="auto"/>
          <w:sz w:val="28"/>
          <w:szCs w:val="28"/>
          <w:highlight w:val="none"/>
        </w:rPr>
      </w:pPr>
    </w:p>
    <w:p w14:paraId="5C26B175">
      <w:pPr>
        <w:pStyle w:val="9"/>
        <w:tabs>
          <w:tab w:val="left" w:pos="742"/>
        </w:tabs>
        <w:kinsoku w:val="0"/>
        <w:overflowPunct w:val="0"/>
        <w:spacing w:line="360" w:lineRule="auto"/>
        <w:ind w:right="145"/>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2195C013">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31A20482">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32DF836F">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26D4E408">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0259480B">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361D4B0A">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w:t>
      </w:r>
      <w:r>
        <w:rPr>
          <w:rFonts w:hint="eastAsia" w:ascii="宋体" w:eastAsia="宋体" w:cs="宋体"/>
          <w:b w:val="0"/>
          <w:bCs w:val="0"/>
          <w:color w:val="auto"/>
          <w:sz w:val="21"/>
          <w:szCs w:val="21"/>
          <w:highlight w:val="none"/>
          <w:lang w:eastAsia="zh-CN"/>
        </w:rPr>
        <w:t>民法典</w:t>
      </w:r>
      <w:r>
        <w:rPr>
          <w:rFonts w:hint="eastAsia" w:ascii="宋体" w:eastAsia="宋体" w:cs="宋体"/>
          <w:b w:val="0"/>
          <w:bCs w:val="0"/>
          <w:color w:val="auto"/>
          <w:sz w:val="21"/>
          <w:szCs w:val="21"/>
          <w:highlight w:val="none"/>
        </w:rPr>
        <w:t>》履行我方的全部责任。</w:t>
      </w:r>
    </w:p>
    <w:p w14:paraId="3F07CC6F">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0701269F">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19B709AA">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2E05E671">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F53D93D">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57DB2FDB">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24BAA950">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7E741D9E">
      <w:pPr>
        <w:pStyle w:val="9"/>
        <w:tabs>
          <w:tab w:val="left" w:pos="5137"/>
        </w:tabs>
        <w:kinsoku w:val="0"/>
        <w:overflowPunct w:val="0"/>
        <w:spacing w:line="360" w:lineRule="auto"/>
        <w:ind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0E9731AA">
      <w:pPr>
        <w:pStyle w:val="9"/>
        <w:tabs>
          <w:tab w:val="left" w:pos="4218"/>
        </w:tabs>
        <w:kinsoku w:val="0"/>
        <w:overflowPunct w:val="0"/>
        <w:spacing w:line="360" w:lineRule="auto"/>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31471349">
      <w:pPr>
        <w:pStyle w:val="9"/>
        <w:tabs>
          <w:tab w:val="left" w:pos="1200"/>
          <w:tab w:val="left" w:pos="2400"/>
          <w:tab w:val="left" w:pos="3360"/>
        </w:tabs>
        <w:kinsoku w:val="0"/>
        <w:overflowPunct w:val="0"/>
        <w:spacing w:line="240" w:lineRule="auto"/>
        <w:ind w:right="123"/>
        <w:jc w:val="left"/>
        <w:rPr>
          <w:rFonts w:ascii="宋体" w:eastAsia="宋体" w:cs="宋体"/>
          <w:b w:val="0"/>
          <w:bCs w:val="0"/>
          <w:color w:val="auto"/>
          <w:sz w:val="21"/>
          <w:szCs w:val="16"/>
          <w:highlight w:val="none"/>
        </w:rPr>
        <w:sectPr>
          <w:headerReference r:id="rId10" w:type="default"/>
          <w:footerReference r:id="rId11"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11902BEC">
      <w:pPr>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4"/>
        <w:tblW w:w="8486" w:type="dxa"/>
        <w:jc w:val="center"/>
        <w:tblLayout w:type="fixed"/>
        <w:tblCellMar>
          <w:top w:w="0" w:type="dxa"/>
          <w:left w:w="108" w:type="dxa"/>
          <w:bottom w:w="0" w:type="dxa"/>
          <w:right w:w="108" w:type="dxa"/>
        </w:tblCellMar>
      </w:tblPr>
      <w:tblGrid>
        <w:gridCol w:w="2366"/>
        <w:gridCol w:w="6120"/>
      </w:tblGrid>
      <w:tr w14:paraId="3DE3BD79">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C7608A2">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2F5BA101">
            <w:pPr>
              <w:jc w:val="center"/>
              <w:rPr>
                <w:rFonts w:ascii="宋体" w:hAnsi="宋体" w:cs="宋体"/>
                <w:color w:val="auto"/>
                <w:sz w:val="24"/>
                <w:highlight w:val="none"/>
              </w:rPr>
            </w:pPr>
          </w:p>
        </w:tc>
      </w:tr>
      <w:tr w14:paraId="7E455081">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099AB327">
            <w:pPr>
              <w:jc w:val="center"/>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28466DD9">
            <w:pPr>
              <w:ind w:left="108"/>
              <w:jc w:val="center"/>
              <w:rPr>
                <w:rFonts w:ascii="宋体" w:hAnsi="宋体" w:cs="宋体"/>
                <w:color w:val="auto"/>
                <w:sz w:val="24"/>
                <w:highlight w:val="none"/>
              </w:rPr>
            </w:pPr>
          </w:p>
        </w:tc>
      </w:tr>
      <w:tr w14:paraId="1994E595">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40344FA">
            <w:pPr>
              <w:jc w:val="center"/>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47CE4733">
            <w:pPr>
              <w:jc w:val="center"/>
              <w:rPr>
                <w:rFonts w:ascii="宋体" w:hAnsi="宋体" w:cs="宋体"/>
                <w:color w:val="auto"/>
                <w:sz w:val="24"/>
                <w:highlight w:val="none"/>
              </w:rPr>
            </w:pPr>
          </w:p>
        </w:tc>
      </w:tr>
      <w:tr w14:paraId="17818998">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DC750BC">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报价（元）</w:t>
            </w:r>
          </w:p>
        </w:tc>
        <w:tc>
          <w:tcPr>
            <w:tcW w:w="6120" w:type="dxa"/>
            <w:tcBorders>
              <w:top w:val="single" w:color="auto" w:sz="4" w:space="0"/>
              <w:left w:val="single" w:color="auto" w:sz="4" w:space="0"/>
              <w:bottom w:val="single" w:color="auto" w:sz="4" w:space="0"/>
              <w:right w:val="single" w:color="auto" w:sz="4" w:space="0"/>
            </w:tcBorders>
            <w:vAlign w:val="center"/>
          </w:tcPr>
          <w:p w14:paraId="678DF22D">
            <w:pPr>
              <w:pStyle w:val="50"/>
              <w:tabs>
                <w:tab w:val="left" w:pos="3463"/>
              </w:tabs>
              <w:kinsoku w:val="0"/>
              <w:overflowPunct w:val="0"/>
              <w:spacing w:line="360" w:lineRule="auto"/>
              <w:ind w:left="103"/>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6AE11303">
            <w:pPr>
              <w:pStyle w:val="50"/>
              <w:tabs>
                <w:tab w:val="left" w:pos="3463"/>
              </w:tabs>
              <w:kinsoku w:val="0"/>
              <w:overflowPunct w:val="0"/>
              <w:spacing w:line="360" w:lineRule="auto"/>
              <w:ind w:left="103"/>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22121985">
            <w:pPr>
              <w:ind w:left="1205" w:hanging="1201" w:hangingChars="600"/>
              <w:rPr>
                <w:rFonts w:ascii="宋体" w:hAnsi="宋体" w:cs="宋体"/>
                <w:color w:val="auto"/>
                <w:sz w:val="24"/>
                <w:highlight w:val="none"/>
              </w:rPr>
            </w:pPr>
            <w:r>
              <w:rPr>
                <w:rFonts w:hint="eastAsia" w:ascii="Times New Roman" w:hAnsi="Times New Roman" w:eastAsia="Times New Roman"/>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211C797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3436330">
            <w:pPr>
              <w:jc w:val="center"/>
              <w:rPr>
                <w:rFonts w:ascii="宋体" w:hAnsi="宋体" w:cs="宋体"/>
                <w:color w:val="auto"/>
                <w:sz w:val="24"/>
                <w:highlight w:val="none"/>
              </w:rPr>
            </w:pPr>
            <w:r>
              <w:rPr>
                <w:rFonts w:hint="eastAsia" w:ascii="宋体" w:hAnsi="宋体" w:eastAsia="Times New Roman" w:cs="宋体"/>
                <w:color w:val="auto"/>
                <w:sz w:val="24"/>
                <w:highlight w:val="none"/>
              </w:rPr>
              <w:t>服务周期</w:t>
            </w:r>
          </w:p>
        </w:tc>
        <w:tc>
          <w:tcPr>
            <w:tcW w:w="6120" w:type="dxa"/>
            <w:tcBorders>
              <w:top w:val="single" w:color="auto" w:sz="4" w:space="0"/>
              <w:left w:val="single" w:color="auto" w:sz="4" w:space="0"/>
              <w:bottom w:val="single" w:color="auto" w:sz="4" w:space="0"/>
              <w:right w:val="single" w:color="auto" w:sz="4" w:space="0"/>
            </w:tcBorders>
            <w:vAlign w:val="center"/>
          </w:tcPr>
          <w:p w14:paraId="0A6C2515">
            <w:pPr>
              <w:ind w:left="1440" w:hanging="1440" w:hangingChars="600"/>
              <w:rPr>
                <w:rFonts w:ascii="宋体" w:hAnsi="宋体" w:cs="宋体"/>
                <w:color w:val="auto"/>
                <w:sz w:val="24"/>
                <w:highlight w:val="none"/>
              </w:rPr>
            </w:pPr>
          </w:p>
        </w:tc>
      </w:tr>
      <w:tr w14:paraId="272002F3">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502664E">
            <w:pPr>
              <w:jc w:val="center"/>
              <w:rPr>
                <w:rFonts w:ascii="宋体" w:hAnsi="宋体" w:cs="宋体"/>
                <w:color w:val="auto"/>
                <w:sz w:val="24"/>
                <w:highlight w:val="none"/>
              </w:rPr>
            </w:pPr>
            <w:r>
              <w:rPr>
                <w:rFonts w:hint="eastAsia" w:ascii="宋体" w:hAnsi="宋体" w:eastAsia="Times New Roman" w:cs="宋体"/>
                <w:color w:val="auto"/>
                <w:sz w:val="24"/>
                <w:highlight w:val="none"/>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14:paraId="172B623A">
            <w:pPr>
              <w:ind w:left="1440" w:hanging="1440" w:hangingChars="600"/>
              <w:rPr>
                <w:rFonts w:ascii="宋体" w:hAnsi="宋体" w:cs="宋体"/>
                <w:color w:val="auto"/>
                <w:sz w:val="24"/>
                <w:highlight w:val="none"/>
              </w:rPr>
            </w:pPr>
          </w:p>
        </w:tc>
      </w:tr>
      <w:tr w14:paraId="7C63D77C">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C897DDB">
            <w:pPr>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5E50B6C2">
            <w:pPr>
              <w:ind w:left="1440" w:hanging="1440" w:hangingChars="600"/>
              <w:rPr>
                <w:rFonts w:ascii="宋体" w:hAnsi="宋体" w:cs="宋体"/>
                <w:color w:val="auto"/>
                <w:sz w:val="24"/>
                <w:highlight w:val="none"/>
              </w:rPr>
            </w:pPr>
          </w:p>
        </w:tc>
      </w:tr>
      <w:tr w14:paraId="16C18109">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FF7178C">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5F8D6FC5">
            <w:pPr>
              <w:ind w:left="1440" w:hanging="1440" w:hangingChars="600"/>
              <w:rPr>
                <w:rFonts w:ascii="宋体" w:hAnsi="宋体" w:cs="宋体"/>
                <w:color w:val="auto"/>
                <w:sz w:val="24"/>
                <w:highlight w:val="none"/>
              </w:rPr>
            </w:pPr>
          </w:p>
        </w:tc>
      </w:tr>
    </w:tbl>
    <w:p w14:paraId="7B590CF9">
      <w:pPr>
        <w:pStyle w:val="10"/>
        <w:spacing w:line="600" w:lineRule="exact"/>
        <w:jc w:val="right"/>
        <w:rPr>
          <w:rFonts w:ascii="宋体" w:hAnsi="宋体" w:cs="宋体"/>
          <w:color w:val="auto"/>
          <w:sz w:val="24"/>
          <w:highlight w:val="none"/>
        </w:rPr>
      </w:pPr>
    </w:p>
    <w:p w14:paraId="725457F4">
      <w:pPr>
        <w:pStyle w:val="10"/>
        <w:spacing w:line="600" w:lineRule="exact"/>
        <w:jc w:val="right"/>
        <w:rPr>
          <w:rFonts w:ascii="宋体" w:hAnsi="宋体" w:cs="宋体"/>
          <w:color w:val="auto"/>
          <w:sz w:val="24"/>
          <w:highlight w:val="none"/>
        </w:rPr>
      </w:pPr>
    </w:p>
    <w:p w14:paraId="74B0AD0F">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供应商：（盖单位章或电子签章）</w:t>
      </w:r>
      <w:r>
        <w:rPr>
          <w:rFonts w:hint="eastAsia" w:ascii="宋体" w:hAnsi="宋体" w:cs="宋体"/>
          <w:color w:val="auto"/>
          <w:w w:val="99"/>
          <w:szCs w:val="21"/>
          <w:highlight w:val="none"/>
        </w:rPr>
        <w:t xml:space="preserve"> </w:t>
      </w:r>
    </w:p>
    <w:p w14:paraId="2ECFE50D">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0B5F30B0">
      <w:pPr>
        <w:pStyle w:val="9"/>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3D7CAD01">
      <w:pPr>
        <w:numPr>
          <w:ilvl w:val="0"/>
          <w:numId w:val="7"/>
        </w:numPr>
        <w:ind w:left="0" w:leftChars="0" w:firstLine="840" w:firstLineChars="300"/>
        <w:jc w:val="center"/>
        <w:rPr>
          <w:rFonts w:hint="eastAsia" w:ascii="宋体" w:hAnsi="宋体"/>
          <w:bCs/>
          <w:color w:val="auto"/>
          <w:sz w:val="28"/>
          <w:szCs w:val="28"/>
          <w:highlight w:val="none"/>
        </w:rPr>
      </w:pPr>
      <w:bookmarkStart w:id="281" w:name="_Toc6817"/>
      <w:bookmarkStart w:id="282" w:name="_Toc32011"/>
      <w:bookmarkStart w:id="283" w:name="_Toc2256"/>
      <w:bookmarkStart w:id="284" w:name="_Toc28742"/>
      <w:bookmarkStart w:id="285" w:name="_Toc30874"/>
      <w:bookmarkStart w:id="286" w:name="_Toc27499"/>
      <w:bookmarkStart w:id="287" w:name="_Toc8508"/>
      <w:bookmarkStart w:id="288" w:name="_Toc30817"/>
      <w:bookmarkStart w:id="289" w:name="_Toc13449"/>
      <w:bookmarkStart w:id="290" w:name="_Toc10867"/>
      <w:bookmarkStart w:id="291" w:name="_Toc9626"/>
      <w:bookmarkStart w:id="292" w:name="_Toc7716"/>
      <w:bookmarkStart w:id="293" w:name="_Toc16756"/>
      <w:r>
        <w:rPr>
          <w:rFonts w:hint="eastAsia" w:ascii="宋体" w:hAnsi="宋体"/>
          <w:bCs/>
          <w:color w:val="auto"/>
          <w:sz w:val="28"/>
          <w:szCs w:val="28"/>
          <w:highlight w:val="none"/>
        </w:rPr>
        <w:t>报价明细表</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446B3AF8">
      <w:pPr>
        <w:pStyle w:val="22"/>
        <w:ind w:firstLine="240"/>
        <w:rPr>
          <w:color w:val="auto"/>
          <w:highlight w:val="none"/>
        </w:rPr>
      </w:pPr>
    </w:p>
    <w:tbl>
      <w:tblPr>
        <w:tblStyle w:val="24"/>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3450"/>
        <w:gridCol w:w="1550"/>
        <w:gridCol w:w="1716"/>
        <w:gridCol w:w="1716"/>
        <w:gridCol w:w="843"/>
      </w:tblGrid>
      <w:tr w14:paraId="0175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0" w:type="auto"/>
            <w:tcBorders>
              <w:top w:val="single" w:color="000000" w:sz="8" w:space="0"/>
              <w:left w:val="single" w:color="000000" w:sz="8" w:space="0"/>
              <w:bottom w:val="single" w:color="000000" w:sz="4" w:space="0"/>
              <w:right w:val="single" w:color="000000" w:sz="4" w:space="0"/>
            </w:tcBorders>
            <w:shd w:val="clear" w:color="auto" w:fill="D7D7D7" w:themeFill="background1" w:themeFillShade="D8"/>
            <w:noWrap/>
            <w:vAlign w:val="center"/>
          </w:tcPr>
          <w:p w14:paraId="5522AE7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D7D7D7" w:themeFill="background1" w:themeFillShade="D8"/>
            <w:noWrap/>
            <w:vAlign w:val="center"/>
          </w:tcPr>
          <w:p w14:paraId="5AB38A0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工作内容</w:t>
            </w:r>
          </w:p>
        </w:tc>
        <w:tc>
          <w:tcPr>
            <w:tcW w:w="0" w:type="auto"/>
            <w:tcBorders>
              <w:top w:val="single" w:color="000000" w:sz="8" w:space="0"/>
              <w:left w:val="single" w:color="000000" w:sz="4" w:space="0"/>
              <w:bottom w:val="single" w:color="000000" w:sz="4" w:space="0"/>
              <w:right w:val="single" w:color="000000" w:sz="4" w:space="0"/>
            </w:tcBorders>
            <w:shd w:val="clear" w:color="auto" w:fill="D7D7D7" w:themeFill="background1" w:themeFillShade="D8"/>
            <w:noWrap/>
            <w:vAlign w:val="center"/>
          </w:tcPr>
          <w:p w14:paraId="783CB7E4">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面积(KM</w:t>
            </w:r>
            <w:r>
              <w:rPr>
                <w:rStyle w:val="92"/>
                <w:lang w:val="en-US" w:eastAsia="zh-CN" w:bidi="ar"/>
              </w:rPr>
              <w:t>²</w:t>
            </w:r>
            <w:r>
              <w:rPr>
                <w:rStyle w:val="79"/>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auto" w:fill="D7D7D7" w:themeFill="background1" w:themeFillShade="D8"/>
            <w:noWrap/>
            <w:vAlign w:val="center"/>
          </w:tcPr>
          <w:p w14:paraId="3D4A1676">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单价（元）</w:t>
            </w:r>
          </w:p>
        </w:tc>
        <w:tc>
          <w:tcPr>
            <w:tcW w:w="0" w:type="auto"/>
            <w:tcBorders>
              <w:top w:val="single" w:color="000000" w:sz="8" w:space="0"/>
              <w:left w:val="single" w:color="000000" w:sz="4" w:space="0"/>
              <w:bottom w:val="single" w:color="000000" w:sz="4" w:space="0"/>
              <w:right w:val="single" w:color="000000" w:sz="4" w:space="0"/>
            </w:tcBorders>
            <w:shd w:val="clear" w:color="auto" w:fill="D7D7D7" w:themeFill="background1" w:themeFillShade="D8"/>
            <w:noWrap/>
            <w:vAlign w:val="center"/>
          </w:tcPr>
          <w:p w14:paraId="729F789C">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小计（</w:t>
            </w:r>
            <w:bookmarkStart w:id="380" w:name="_GoBack"/>
            <w:bookmarkEnd w:id="380"/>
            <w:r>
              <w:rPr>
                <w:rFonts w:hint="eastAsia" w:ascii="黑体" w:hAnsi="宋体" w:eastAsia="黑体" w:cs="黑体"/>
                <w:b/>
                <w:bCs/>
                <w:i w:val="0"/>
                <w:iCs w:val="0"/>
                <w:color w:val="000000"/>
                <w:kern w:val="0"/>
                <w:sz w:val="24"/>
                <w:szCs w:val="24"/>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auto" w:fill="D7D7D7" w:themeFill="background1" w:themeFillShade="D8"/>
            <w:noWrap/>
            <w:vAlign w:val="center"/>
          </w:tcPr>
          <w:p w14:paraId="14D59782">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备注</w:t>
            </w:r>
          </w:p>
        </w:tc>
      </w:tr>
      <w:tr w14:paraId="6735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AE3D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637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实施方案编制、技术设计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2FC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4B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49A9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05F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B5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87C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FB5D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资料收集、分析利用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BDE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EEA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EDF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1D2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73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15C9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FD8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组织开展技术培训</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1D2A0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95E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D909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3AF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F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CB53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3E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全域范围实地地类调查举证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4C30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D21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D32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37A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553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E6E8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9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全域范围数据库建设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25EA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53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FAF4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03E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6405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4CBE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2C6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B8C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EE7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F30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50B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03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64E9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9AB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A5A3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6C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C071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2AA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718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190D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335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762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A5F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B1C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EDC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bl>
    <w:p w14:paraId="40B0835A">
      <w:pPr>
        <w:pStyle w:val="22"/>
        <w:ind w:firstLine="240"/>
        <w:rPr>
          <w:color w:val="auto"/>
          <w:highlight w:val="none"/>
        </w:rPr>
      </w:pPr>
    </w:p>
    <w:p w14:paraId="4DB98898">
      <w:pPr>
        <w:numPr>
          <w:ilvl w:val="0"/>
          <w:numId w:val="0"/>
        </w:numPr>
        <w:ind w:leftChars="300"/>
        <w:jc w:val="center"/>
        <w:rPr>
          <w:rFonts w:ascii="宋体" w:hAnsi="宋体"/>
          <w:b/>
          <w:bCs w:val="0"/>
          <w:color w:val="auto"/>
          <w:sz w:val="28"/>
          <w:szCs w:val="28"/>
          <w:highlight w:val="none"/>
        </w:rPr>
      </w:pPr>
      <w:r>
        <w:rPr>
          <w:rFonts w:hint="eastAsia" w:ascii="宋体" w:hAnsi="宋体"/>
          <w:b/>
          <w:bCs w:val="0"/>
          <w:color w:val="auto"/>
          <w:sz w:val="28"/>
          <w:szCs w:val="28"/>
          <w:highlight w:val="none"/>
        </w:rPr>
        <w:t>（格式</w:t>
      </w:r>
      <w:r>
        <w:rPr>
          <w:rFonts w:hint="eastAsia" w:ascii="宋体" w:hAnsi="宋体"/>
          <w:b/>
          <w:bCs w:val="0"/>
          <w:color w:val="auto"/>
          <w:sz w:val="28"/>
          <w:szCs w:val="28"/>
          <w:highlight w:val="none"/>
          <w:lang w:eastAsia="zh-CN"/>
        </w:rPr>
        <w:t>仅供参考，可自行增减内容</w:t>
      </w:r>
      <w:r>
        <w:rPr>
          <w:rFonts w:hint="eastAsia" w:ascii="宋体" w:hAnsi="宋体"/>
          <w:b/>
          <w:bCs w:val="0"/>
          <w:color w:val="auto"/>
          <w:sz w:val="28"/>
          <w:szCs w:val="28"/>
          <w:highlight w:val="none"/>
        </w:rPr>
        <w:t>）</w:t>
      </w:r>
    </w:p>
    <w:p w14:paraId="22611CD3">
      <w:pPr>
        <w:pStyle w:val="22"/>
        <w:ind w:firstLine="240"/>
        <w:rPr>
          <w:color w:val="auto"/>
          <w:highlight w:val="none"/>
        </w:rPr>
      </w:pPr>
    </w:p>
    <w:p w14:paraId="1A178DBD">
      <w:pPr>
        <w:pStyle w:val="22"/>
        <w:ind w:firstLine="240"/>
        <w:rPr>
          <w:color w:val="auto"/>
          <w:highlight w:val="none"/>
        </w:rPr>
      </w:pPr>
    </w:p>
    <w:p w14:paraId="17E81112">
      <w:pPr>
        <w:pStyle w:val="22"/>
        <w:ind w:firstLine="240"/>
        <w:rPr>
          <w:color w:val="auto"/>
          <w:highlight w:val="none"/>
        </w:rPr>
      </w:pPr>
    </w:p>
    <w:p w14:paraId="31D2D9F4">
      <w:pPr>
        <w:pStyle w:val="22"/>
        <w:ind w:firstLine="240"/>
        <w:rPr>
          <w:color w:val="auto"/>
          <w:highlight w:val="none"/>
        </w:rPr>
      </w:pPr>
    </w:p>
    <w:p w14:paraId="523BB753">
      <w:pPr>
        <w:pStyle w:val="22"/>
        <w:ind w:firstLine="240"/>
        <w:rPr>
          <w:color w:val="auto"/>
          <w:highlight w:val="none"/>
        </w:rPr>
      </w:pPr>
    </w:p>
    <w:p w14:paraId="66DA0E5B">
      <w:pPr>
        <w:pStyle w:val="22"/>
        <w:ind w:firstLine="240"/>
        <w:rPr>
          <w:color w:val="auto"/>
          <w:highlight w:val="none"/>
        </w:rPr>
      </w:pPr>
    </w:p>
    <w:p w14:paraId="7F3E3BB6">
      <w:pPr>
        <w:pStyle w:val="22"/>
        <w:ind w:firstLine="240"/>
        <w:rPr>
          <w:color w:val="auto"/>
          <w:highlight w:val="none"/>
        </w:rPr>
      </w:pPr>
    </w:p>
    <w:p w14:paraId="460534A2">
      <w:pPr>
        <w:pStyle w:val="22"/>
        <w:ind w:firstLine="240"/>
        <w:rPr>
          <w:color w:val="auto"/>
          <w:highlight w:val="none"/>
        </w:rPr>
      </w:pPr>
    </w:p>
    <w:p w14:paraId="0976ADFE">
      <w:pPr>
        <w:pStyle w:val="22"/>
        <w:ind w:firstLine="240"/>
        <w:rPr>
          <w:color w:val="auto"/>
          <w:highlight w:val="none"/>
        </w:rPr>
      </w:pPr>
    </w:p>
    <w:p w14:paraId="3F5C1552">
      <w:pPr>
        <w:pStyle w:val="22"/>
        <w:ind w:firstLine="240"/>
        <w:rPr>
          <w:color w:val="auto"/>
          <w:highlight w:val="none"/>
        </w:rPr>
      </w:pPr>
    </w:p>
    <w:p w14:paraId="3B6C84E4">
      <w:pPr>
        <w:pStyle w:val="22"/>
        <w:ind w:firstLine="240"/>
        <w:rPr>
          <w:color w:val="auto"/>
          <w:highlight w:val="none"/>
        </w:rPr>
      </w:pPr>
    </w:p>
    <w:p w14:paraId="1E3FF6CF">
      <w:pPr>
        <w:pStyle w:val="22"/>
        <w:ind w:firstLine="240"/>
        <w:rPr>
          <w:color w:val="auto"/>
          <w:highlight w:val="none"/>
        </w:rPr>
      </w:pPr>
    </w:p>
    <w:p w14:paraId="0B1A75B6">
      <w:pPr>
        <w:pStyle w:val="22"/>
        <w:ind w:firstLine="240"/>
        <w:rPr>
          <w:color w:val="auto"/>
          <w:highlight w:val="none"/>
        </w:rPr>
      </w:pPr>
    </w:p>
    <w:p w14:paraId="1B1CFDBA">
      <w:pPr>
        <w:pStyle w:val="22"/>
        <w:ind w:firstLine="240"/>
        <w:rPr>
          <w:color w:val="auto"/>
          <w:highlight w:val="none"/>
        </w:rPr>
      </w:pPr>
    </w:p>
    <w:p w14:paraId="4FD1A593">
      <w:pPr>
        <w:pStyle w:val="22"/>
        <w:ind w:firstLine="240"/>
        <w:rPr>
          <w:color w:val="auto"/>
          <w:highlight w:val="none"/>
        </w:rPr>
      </w:pPr>
    </w:p>
    <w:p w14:paraId="4FB3332F">
      <w:pPr>
        <w:jc w:val="center"/>
        <w:rPr>
          <w:rFonts w:ascii="宋体" w:hAnsi="宋体"/>
          <w:b/>
          <w:color w:val="auto"/>
          <w:spacing w:val="6"/>
          <w:sz w:val="28"/>
          <w:szCs w:val="28"/>
          <w:highlight w:val="none"/>
        </w:rPr>
      </w:pPr>
      <w:bookmarkStart w:id="294" w:name="_Toc23409"/>
      <w:bookmarkStart w:id="295" w:name="_Toc31599"/>
      <w:bookmarkStart w:id="296" w:name="_Toc68"/>
      <w:bookmarkStart w:id="297" w:name="_Toc20204"/>
      <w:bookmarkStart w:id="298" w:name="_Toc691"/>
      <w:bookmarkStart w:id="299" w:name="_Toc29920"/>
      <w:bookmarkStart w:id="300" w:name="_Toc11459"/>
      <w:bookmarkStart w:id="301" w:name="_Toc10887"/>
      <w:bookmarkStart w:id="302" w:name="_Toc6882"/>
      <w:bookmarkStart w:id="303" w:name="_Toc26596"/>
      <w:bookmarkStart w:id="304" w:name="_Toc17043"/>
      <w:bookmarkStart w:id="305" w:name="_Toc21725"/>
      <w:bookmarkStart w:id="306" w:name="_Toc21127"/>
      <w:r>
        <w:rPr>
          <w:rFonts w:hint="eastAsia" w:ascii="宋体" w:hAnsi="宋体"/>
          <w:bCs/>
          <w:color w:val="auto"/>
          <w:sz w:val="28"/>
          <w:szCs w:val="28"/>
          <w:highlight w:val="none"/>
        </w:rPr>
        <w:t>4、中小企业声明函（供应商）</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29F70B7C">
      <w:pPr>
        <w:rPr>
          <w:rFonts w:ascii="宋体" w:hAnsi="宋体"/>
          <w:b/>
          <w:color w:val="auto"/>
          <w:spacing w:val="6"/>
          <w:sz w:val="24"/>
          <w:highlight w:val="none"/>
        </w:rPr>
      </w:pPr>
    </w:p>
    <w:p w14:paraId="01199747">
      <w:pPr>
        <w:adjustRightInd w:val="0"/>
        <w:snapToGrid w:val="0"/>
        <w:spacing w:line="360" w:lineRule="auto"/>
        <w:jc w:val="left"/>
        <w:rPr>
          <w:rFonts w:ascii="宋体" w:hAnsi="宋体" w:cs="宋体"/>
          <w:color w:val="auto"/>
          <w:szCs w:val="21"/>
          <w:highlight w:val="none"/>
        </w:rPr>
      </w:pPr>
    </w:p>
    <w:p w14:paraId="3F7976AB">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______（采购人名称）______（项目名称）采购活动，服务全部由符合政策要求的中小企业承接。相关企业的具体情况如下：</w:t>
      </w:r>
    </w:p>
    <w:p w14:paraId="26B8FDB0">
      <w:pPr>
        <w:adjustRightInd w:val="0"/>
        <w:snapToGrid w:val="0"/>
        <w:spacing w:line="360" w:lineRule="auto"/>
        <w:jc w:val="left"/>
        <w:rPr>
          <w:rFonts w:ascii="宋体" w:hAnsi="宋体" w:cs="宋体"/>
          <w:color w:val="auto"/>
          <w:szCs w:val="21"/>
          <w:highlight w:val="none"/>
        </w:rPr>
      </w:pPr>
    </w:p>
    <w:p w14:paraId="3D780408">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行业，承接企业为______（企业名称），从业人员______人，营业收入为______万元，资产总额为______万元，属于______（请填写：中型、小型、微型）企业。</w:t>
      </w:r>
    </w:p>
    <w:p w14:paraId="29C481CB">
      <w:pPr>
        <w:adjustRightInd w:val="0"/>
        <w:snapToGrid w:val="0"/>
        <w:spacing w:line="360" w:lineRule="auto"/>
        <w:jc w:val="left"/>
        <w:rPr>
          <w:rFonts w:ascii="宋体" w:hAnsi="宋体" w:cs="宋体"/>
          <w:color w:val="auto"/>
          <w:szCs w:val="21"/>
          <w:highlight w:val="none"/>
        </w:rPr>
      </w:pPr>
    </w:p>
    <w:p w14:paraId="7213C11F">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 ______人，营业收入为______万元，资产总额为______万元，属于______（请填写：中型、小型、微型）企业。</w:t>
      </w:r>
    </w:p>
    <w:p w14:paraId="6B16A218">
      <w:pPr>
        <w:adjustRightInd w:val="0"/>
        <w:snapToGrid w:val="0"/>
        <w:spacing w:line="360" w:lineRule="auto"/>
        <w:jc w:val="left"/>
        <w:rPr>
          <w:rFonts w:ascii="宋体" w:hAnsi="宋体" w:cs="宋体"/>
          <w:color w:val="auto"/>
          <w:szCs w:val="21"/>
          <w:highlight w:val="none"/>
        </w:rPr>
      </w:pPr>
    </w:p>
    <w:p w14:paraId="729D09B4">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14:paraId="704A2214">
      <w:pPr>
        <w:adjustRightInd w:val="0"/>
        <w:snapToGrid w:val="0"/>
        <w:spacing w:line="360" w:lineRule="auto"/>
        <w:jc w:val="left"/>
        <w:rPr>
          <w:rFonts w:ascii="宋体" w:hAnsi="宋体" w:cs="宋体"/>
          <w:color w:val="auto"/>
          <w:szCs w:val="21"/>
          <w:highlight w:val="none"/>
        </w:rPr>
      </w:pPr>
    </w:p>
    <w:p w14:paraId="0D245D36">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2B6A3D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30A2C8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2A9EA355">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4F2000A6">
      <w:pPr>
        <w:adjustRightInd w:val="0"/>
        <w:snapToGrid w:val="0"/>
        <w:spacing w:line="360" w:lineRule="auto"/>
        <w:jc w:val="right"/>
        <w:rPr>
          <w:rFonts w:ascii="宋体" w:hAnsi="宋体" w:cs="宋体"/>
          <w:color w:val="auto"/>
          <w:sz w:val="24"/>
          <w:highlight w:val="none"/>
        </w:rPr>
      </w:pPr>
    </w:p>
    <w:p w14:paraId="26FD609F">
      <w:pPr>
        <w:adjustRightInd w:val="0"/>
        <w:snapToGrid w:val="0"/>
        <w:spacing w:line="360" w:lineRule="auto"/>
        <w:rPr>
          <w:rFonts w:ascii="宋体" w:hAnsi="宋体" w:cs="宋体"/>
          <w:color w:val="auto"/>
          <w:sz w:val="24"/>
          <w:highlight w:val="none"/>
        </w:rPr>
      </w:pPr>
    </w:p>
    <w:p w14:paraId="231A85AC">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企业名称：（盖章或电子签章）</w:t>
      </w:r>
    </w:p>
    <w:p w14:paraId="02EADB87">
      <w:pPr>
        <w:adjustRightInd w:val="0"/>
        <w:snapToGrid w:val="0"/>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日期：</w:t>
      </w:r>
    </w:p>
    <w:p w14:paraId="7FCB6E78">
      <w:pPr>
        <w:rPr>
          <w:rFonts w:ascii="宋体" w:hAnsi="宋体"/>
          <w:color w:val="auto"/>
          <w:sz w:val="24"/>
          <w:highlight w:val="none"/>
        </w:rPr>
      </w:pPr>
    </w:p>
    <w:p w14:paraId="502B6ED4">
      <w:pPr>
        <w:jc w:val="center"/>
        <w:rPr>
          <w:rFonts w:ascii="宋体" w:hAnsi="宋体"/>
          <w:bCs/>
          <w:color w:val="auto"/>
          <w:sz w:val="28"/>
          <w:szCs w:val="28"/>
          <w:highlight w:val="none"/>
        </w:rPr>
      </w:pPr>
      <w:bookmarkStart w:id="307" w:name="_Toc4102"/>
      <w:bookmarkStart w:id="308" w:name="_Toc15591"/>
      <w:bookmarkStart w:id="309" w:name="_Toc15382"/>
      <w:bookmarkStart w:id="310" w:name="_Toc16847"/>
      <w:bookmarkStart w:id="311" w:name="_Toc17529"/>
      <w:bookmarkStart w:id="312" w:name="_Toc7454"/>
    </w:p>
    <w:p w14:paraId="547513FA">
      <w:pPr>
        <w:jc w:val="center"/>
        <w:rPr>
          <w:rFonts w:ascii="宋体" w:hAnsi="宋体"/>
          <w:bCs/>
          <w:color w:val="auto"/>
          <w:sz w:val="28"/>
          <w:szCs w:val="28"/>
          <w:highlight w:val="none"/>
        </w:rPr>
      </w:pPr>
    </w:p>
    <w:p w14:paraId="1C9B7FB6">
      <w:pPr>
        <w:jc w:val="center"/>
        <w:rPr>
          <w:rFonts w:ascii="宋体" w:hAnsi="宋体"/>
          <w:bCs/>
          <w:color w:val="auto"/>
          <w:sz w:val="28"/>
          <w:szCs w:val="28"/>
          <w:highlight w:val="none"/>
        </w:rPr>
      </w:pPr>
    </w:p>
    <w:bookmarkEnd w:id="307"/>
    <w:bookmarkEnd w:id="308"/>
    <w:bookmarkEnd w:id="309"/>
    <w:bookmarkEnd w:id="310"/>
    <w:bookmarkEnd w:id="311"/>
    <w:bookmarkEnd w:id="312"/>
    <w:p w14:paraId="4B82D6A7">
      <w:pPr>
        <w:pStyle w:val="22"/>
        <w:ind w:firstLine="240"/>
        <w:rPr>
          <w:color w:val="auto"/>
          <w:highlight w:val="none"/>
        </w:rPr>
      </w:pPr>
    </w:p>
    <w:p w14:paraId="0C7575D5">
      <w:pPr>
        <w:pStyle w:val="23"/>
        <w:ind w:left="420" w:firstLine="420"/>
        <w:rPr>
          <w:color w:val="auto"/>
          <w:highlight w:val="none"/>
        </w:rPr>
      </w:pPr>
    </w:p>
    <w:p w14:paraId="301A0DF2">
      <w:pPr>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0A0D6031">
      <w:pPr>
        <w:pStyle w:val="22"/>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EB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D83C53">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109118B">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53A66E00">
            <w:pPr>
              <w:jc w:val="center"/>
              <w:rPr>
                <w:rFonts w:ascii="宋体" w:hAnsi="宋体"/>
                <w:b/>
                <w:color w:val="auto"/>
                <w:sz w:val="24"/>
                <w:highlight w:val="none"/>
              </w:rPr>
            </w:pPr>
            <w:r>
              <w:rPr>
                <w:rFonts w:hint="eastAsia" w:ascii="宋体" w:hAnsi="宋体"/>
                <w:b/>
                <w:color w:val="auto"/>
                <w:sz w:val="24"/>
                <w:highlight w:val="none"/>
                <w:lang w:eastAsia="zh-CN"/>
              </w:rPr>
              <w:t>采购文件</w:t>
            </w:r>
            <w:r>
              <w:rPr>
                <w:rFonts w:hint="eastAsia" w:ascii="宋体" w:hAnsi="宋体"/>
                <w:b/>
                <w:color w:val="auto"/>
                <w:sz w:val="24"/>
                <w:highlight w:val="none"/>
              </w:rPr>
              <w:t>要求</w:t>
            </w:r>
          </w:p>
        </w:tc>
        <w:tc>
          <w:tcPr>
            <w:tcW w:w="1530" w:type="dxa"/>
            <w:vAlign w:val="center"/>
          </w:tcPr>
          <w:p w14:paraId="1296E617">
            <w:pPr>
              <w:jc w:val="center"/>
              <w:rPr>
                <w:rFonts w:hint="eastAsia" w:ascii="宋体" w:hAnsi="宋体" w:eastAsia="宋体"/>
                <w:b/>
                <w:color w:val="auto"/>
                <w:sz w:val="24"/>
                <w:highlight w:val="none"/>
                <w:lang w:eastAsia="zh-CN"/>
              </w:rPr>
            </w:pPr>
            <w:r>
              <w:rPr>
                <w:rFonts w:hint="eastAsia" w:ascii="宋体" w:hAnsi="宋体"/>
                <w:b/>
                <w:color w:val="auto"/>
                <w:sz w:val="24"/>
                <w:highlight w:val="none"/>
              </w:rPr>
              <w:t>响应</w:t>
            </w:r>
            <w:r>
              <w:rPr>
                <w:rFonts w:hint="eastAsia" w:ascii="宋体" w:hAnsi="宋体"/>
                <w:b/>
                <w:color w:val="auto"/>
                <w:sz w:val="24"/>
                <w:highlight w:val="none"/>
                <w:lang w:eastAsia="zh-CN"/>
              </w:rPr>
              <w:t>内容</w:t>
            </w:r>
          </w:p>
        </w:tc>
        <w:tc>
          <w:tcPr>
            <w:tcW w:w="1320" w:type="dxa"/>
            <w:vAlign w:val="center"/>
          </w:tcPr>
          <w:p w14:paraId="24A051EF">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08532FEF">
            <w:pPr>
              <w:jc w:val="center"/>
              <w:rPr>
                <w:rFonts w:ascii="宋体" w:hAnsi="宋体"/>
                <w:b/>
                <w:color w:val="auto"/>
                <w:sz w:val="24"/>
                <w:highlight w:val="none"/>
              </w:rPr>
            </w:pPr>
            <w:r>
              <w:rPr>
                <w:rFonts w:hint="eastAsia" w:ascii="宋体" w:hAnsi="宋体"/>
                <w:b/>
                <w:color w:val="auto"/>
                <w:sz w:val="24"/>
                <w:highlight w:val="none"/>
              </w:rPr>
              <w:t>备注</w:t>
            </w:r>
          </w:p>
        </w:tc>
      </w:tr>
      <w:tr w14:paraId="0A7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BB4EF25">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5B69DA38">
            <w:pPr>
              <w:jc w:val="center"/>
              <w:rPr>
                <w:rFonts w:ascii="宋体" w:hAnsi="宋体" w:cs="仿宋"/>
                <w:color w:val="auto"/>
                <w:sz w:val="24"/>
                <w:highlight w:val="none"/>
              </w:rPr>
            </w:pPr>
            <w:r>
              <w:rPr>
                <w:rFonts w:hint="eastAsia" w:ascii="宋体" w:hAnsi="宋体" w:eastAsia="Times New Roman" w:cs="仿宋"/>
                <w:color w:val="auto"/>
                <w:sz w:val="24"/>
                <w:highlight w:val="none"/>
              </w:rPr>
              <w:t>服务周期</w:t>
            </w:r>
          </w:p>
        </w:tc>
        <w:tc>
          <w:tcPr>
            <w:tcW w:w="1899" w:type="dxa"/>
          </w:tcPr>
          <w:p w14:paraId="50ADA71C">
            <w:pPr>
              <w:jc w:val="center"/>
              <w:rPr>
                <w:rFonts w:ascii="宋体" w:hAnsi="宋体"/>
                <w:color w:val="auto"/>
                <w:sz w:val="24"/>
                <w:highlight w:val="none"/>
              </w:rPr>
            </w:pPr>
          </w:p>
        </w:tc>
        <w:tc>
          <w:tcPr>
            <w:tcW w:w="1530" w:type="dxa"/>
          </w:tcPr>
          <w:p w14:paraId="14A04224">
            <w:pPr>
              <w:jc w:val="center"/>
              <w:rPr>
                <w:rFonts w:ascii="宋体" w:hAnsi="宋体"/>
                <w:color w:val="auto"/>
                <w:sz w:val="24"/>
                <w:highlight w:val="none"/>
              </w:rPr>
            </w:pPr>
          </w:p>
        </w:tc>
        <w:tc>
          <w:tcPr>
            <w:tcW w:w="1320" w:type="dxa"/>
          </w:tcPr>
          <w:p w14:paraId="4AE06479">
            <w:pPr>
              <w:jc w:val="center"/>
              <w:rPr>
                <w:rFonts w:ascii="宋体" w:hAnsi="宋体"/>
                <w:color w:val="auto"/>
                <w:sz w:val="24"/>
                <w:highlight w:val="none"/>
              </w:rPr>
            </w:pPr>
          </w:p>
        </w:tc>
        <w:tc>
          <w:tcPr>
            <w:tcW w:w="825" w:type="dxa"/>
          </w:tcPr>
          <w:p w14:paraId="6F7FA3E0">
            <w:pPr>
              <w:jc w:val="center"/>
              <w:rPr>
                <w:rFonts w:ascii="宋体" w:hAnsi="宋体"/>
                <w:color w:val="auto"/>
                <w:sz w:val="24"/>
                <w:highlight w:val="none"/>
              </w:rPr>
            </w:pPr>
          </w:p>
        </w:tc>
      </w:tr>
      <w:tr w14:paraId="264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F1A2ABC">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00CB8C63">
            <w:pPr>
              <w:jc w:val="center"/>
              <w:rPr>
                <w:rFonts w:hint="eastAsia" w:ascii="宋体" w:hAnsi="宋体" w:eastAsia="宋体" w:cs="仿宋"/>
                <w:color w:val="auto"/>
                <w:sz w:val="24"/>
                <w:highlight w:val="none"/>
                <w:lang w:eastAsia="zh-CN"/>
              </w:rPr>
            </w:pPr>
            <w:r>
              <w:rPr>
                <w:rFonts w:hint="eastAsia" w:ascii="宋体" w:hAnsi="宋体" w:eastAsia="宋体" w:cs="仿宋"/>
                <w:color w:val="auto"/>
                <w:sz w:val="24"/>
                <w:highlight w:val="none"/>
                <w:lang w:eastAsia="zh-CN"/>
              </w:rPr>
              <w:t>采购内容</w:t>
            </w:r>
          </w:p>
        </w:tc>
        <w:tc>
          <w:tcPr>
            <w:tcW w:w="1899" w:type="dxa"/>
          </w:tcPr>
          <w:p w14:paraId="59E4A1FE">
            <w:pPr>
              <w:jc w:val="center"/>
              <w:rPr>
                <w:rFonts w:ascii="宋体" w:hAnsi="宋体"/>
                <w:color w:val="auto"/>
                <w:sz w:val="24"/>
                <w:highlight w:val="none"/>
              </w:rPr>
            </w:pPr>
          </w:p>
        </w:tc>
        <w:tc>
          <w:tcPr>
            <w:tcW w:w="1530" w:type="dxa"/>
          </w:tcPr>
          <w:p w14:paraId="43C5259C">
            <w:pPr>
              <w:jc w:val="center"/>
              <w:rPr>
                <w:rFonts w:ascii="宋体" w:hAnsi="宋体"/>
                <w:color w:val="auto"/>
                <w:sz w:val="24"/>
                <w:highlight w:val="none"/>
              </w:rPr>
            </w:pPr>
          </w:p>
        </w:tc>
        <w:tc>
          <w:tcPr>
            <w:tcW w:w="1320" w:type="dxa"/>
          </w:tcPr>
          <w:p w14:paraId="44287633">
            <w:pPr>
              <w:jc w:val="center"/>
              <w:rPr>
                <w:rFonts w:ascii="宋体" w:hAnsi="宋体"/>
                <w:color w:val="auto"/>
                <w:sz w:val="24"/>
                <w:highlight w:val="none"/>
              </w:rPr>
            </w:pPr>
          </w:p>
        </w:tc>
        <w:tc>
          <w:tcPr>
            <w:tcW w:w="825" w:type="dxa"/>
          </w:tcPr>
          <w:p w14:paraId="3C80C795">
            <w:pPr>
              <w:jc w:val="center"/>
              <w:rPr>
                <w:rFonts w:ascii="宋体" w:hAnsi="宋体"/>
                <w:color w:val="auto"/>
                <w:sz w:val="24"/>
                <w:highlight w:val="none"/>
              </w:rPr>
            </w:pPr>
          </w:p>
        </w:tc>
      </w:tr>
      <w:tr w14:paraId="506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C94B235">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3868328E">
            <w:pPr>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质量标准</w:t>
            </w:r>
          </w:p>
        </w:tc>
        <w:tc>
          <w:tcPr>
            <w:tcW w:w="1899" w:type="dxa"/>
          </w:tcPr>
          <w:p w14:paraId="24711FCD">
            <w:pPr>
              <w:jc w:val="center"/>
              <w:rPr>
                <w:rFonts w:ascii="宋体" w:hAnsi="宋体"/>
                <w:color w:val="auto"/>
                <w:sz w:val="24"/>
                <w:highlight w:val="none"/>
              </w:rPr>
            </w:pPr>
          </w:p>
        </w:tc>
        <w:tc>
          <w:tcPr>
            <w:tcW w:w="1530" w:type="dxa"/>
          </w:tcPr>
          <w:p w14:paraId="7BCD49EA">
            <w:pPr>
              <w:jc w:val="center"/>
              <w:rPr>
                <w:rFonts w:ascii="宋体" w:hAnsi="宋体"/>
                <w:color w:val="auto"/>
                <w:sz w:val="24"/>
                <w:highlight w:val="none"/>
              </w:rPr>
            </w:pPr>
          </w:p>
        </w:tc>
        <w:tc>
          <w:tcPr>
            <w:tcW w:w="1320" w:type="dxa"/>
          </w:tcPr>
          <w:p w14:paraId="60C14C09">
            <w:pPr>
              <w:jc w:val="center"/>
              <w:rPr>
                <w:rFonts w:ascii="宋体" w:hAnsi="宋体"/>
                <w:color w:val="auto"/>
                <w:sz w:val="24"/>
                <w:highlight w:val="none"/>
              </w:rPr>
            </w:pPr>
          </w:p>
        </w:tc>
        <w:tc>
          <w:tcPr>
            <w:tcW w:w="825" w:type="dxa"/>
          </w:tcPr>
          <w:p w14:paraId="4E62E510">
            <w:pPr>
              <w:jc w:val="center"/>
              <w:rPr>
                <w:rFonts w:ascii="宋体" w:hAnsi="宋体"/>
                <w:color w:val="auto"/>
                <w:sz w:val="24"/>
                <w:highlight w:val="none"/>
              </w:rPr>
            </w:pPr>
          </w:p>
        </w:tc>
      </w:tr>
      <w:tr w14:paraId="49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85DD5E">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70B4D57E">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54140859">
            <w:pPr>
              <w:jc w:val="center"/>
              <w:rPr>
                <w:rFonts w:ascii="宋体" w:hAnsi="宋体"/>
                <w:color w:val="auto"/>
                <w:sz w:val="24"/>
                <w:highlight w:val="none"/>
              </w:rPr>
            </w:pPr>
          </w:p>
        </w:tc>
        <w:tc>
          <w:tcPr>
            <w:tcW w:w="1530" w:type="dxa"/>
          </w:tcPr>
          <w:p w14:paraId="78D07126">
            <w:pPr>
              <w:jc w:val="center"/>
              <w:rPr>
                <w:rFonts w:ascii="宋体" w:hAnsi="宋体"/>
                <w:color w:val="auto"/>
                <w:sz w:val="24"/>
                <w:highlight w:val="none"/>
              </w:rPr>
            </w:pPr>
          </w:p>
        </w:tc>
        <w:tc>
          <w:tcPr>
            <w:tcW w:w="1320" w:type="dxa"/>
          </w:tcPr>
          <w:p w14:paraId="0AE44518">
            <w:pPr>
              <w:jc w:val="center"/>
              <w:rPr>
                <w:rFonts w:ascii="宋体" w:hAnsi="宋体"/>
                <w:color w:val="auto"/>
                <w:sz w:val="24"/>
                <w:highlight w:val="none"/>
              </w:rPr>
            </w:pPr>
          </w:p>
        </w:tc>
        <w:tc>
          <w:tcPr>
            <w:tcW w:w="825" w:type="dxa"/>
          </w:tcPr>
          <w:p w14:paraId="51F930D7">
            <w:pPr>
              <w:jc w:val="center"/>
              <w:rPr>
                <w:rFonts w:ascii="宋体" w:hAnsi="宋体"/>
                <w:color w:val="auto"/>
                <w:sz w:val="24"/>
                <w:highlight w:val="none"/>
              </w:rPr>
            </w:pPr>
          </w:p>
        </w:tc>
      </w:tr>
      <w:tr w14:paraId="181D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F1C903B">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F310BF8">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08764191">
            <w:pPr>
              <w:jc w:val="center"/>
              <w:rPr>
                <w:rFonts w:ascii="宋体" w:hAnsi="宋体"/>
                <w:color w:val="auto"/>
                <w:sz w:val="24"/>
                <w:highlight w:val="none"/>
              </w:rPr>
            </w:pPr>
          </w:p>
        </w:tc>
        <w:tc>
          <w:tcPr>
            <w:tcW w:w="1530" w:type="dxa"/>
          </w:tcPr>
          <w:p w14:paraId="40237158">
            <w:pPr>
              <w:jc w:val="center"/>
              <w:rPr>
                <w:rFonts w:ascii="宋体" w:hAnsi="宋体"/>
                <w:color w:val="auto"/>
                <w:sz w:val="24"/>
                <w:highlight w:val="none"/>
              </w:rPr>
            </w:pPr>
          </w:p>
        </w:tc>
        <w:tc>
          <w:tcPr>
            <w:tcW w:w="1320" w:type="dxa"/>
          </w:tcPr>
          <w:p w14:paraId="234AC9DE">
            <w:pPr>
              <w:jc w:val="center"/>
              <w:rPr>
                <w:rFonts w:ascii="宋体" w:hAnsi="宋体"/>
                <w:color w:val="auto"/>
                <w:sz w:val="24"/>
                <w:highlight w:val="none"/>
              </w:rPr>
            </w:pPr>
          </w:p>
        </w:tc>
        <w:tc>
          <w:tcPr>
            <w:tcW w:w="825" w:type="dxa"/>
          </w:tcPr>
          <w:p w14:paraId="50D06779">
            <w:pPr>
              <w:jc w:val="center"/>
              <w:rPr>
                <w:rFonts w:ascii="宋体" w:hAnsi="宋体"/>
                <w:color w:val="auto"/>
                <w:sz w:val="24"/>
                <w:highlight w:val="none"/>
              </w:rPr>
            </w:pPr>
          </w:p>
        </w:tc>
      </w:tr>
    </w:tbl>
    <w:p w14:paraId="43BCA532">
      <w:pPr>
        <w:pStyle w:val="22"/>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7CE8BF17">
      <w:pPr>
        <w:pStyle w:val="22"/>
        <w:ind w:firstLine="240"/>
        <w:rPr>
          <w:color w:val="auto"/>
          <w:highlight w:val="none"/>
        </w:rPr>
      </w:pPr>
    </w:p>
    <w:p w14:paraId="20BCEBA0">
      <w:pPr>
        <w:pStyle w:val="22"/>
        <w:ind w:firstLine="240"/>
        <w:rPr>
          <w:color w:val="auto"/>
          <w:highlight w:val="none"/>
        </w:rPr>
      </w:pPr>
    </w:p>
    <w:p w14:paraId="1BED2DB5">
      <w:pPr>
        <w:pStyle w:val="22"/>
        <w:ind w:firstLine="240"/>
        <w:rPr>
          <w:color w:val="auto"/>
          <w:highlight w:val="none"/>
        </w:rPr>
      </w:pPr>
    </w:p>
    <w:p w14:paraId="038075F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688990FF">
      <w:pPr>
        <w:pStyle w:val="22"/>
        <w:ind w:firstLine="240"/>
        <w:rPr>
          <w:color w:val="auto"/>
          <w:highlight w:val="none"/>
        </w:rPr>
      </w:pPr>
    </w:p>
    <w:p w14:paraId="24113CD9">
      <w:pPr>
        <w:pStyle w:val="22"/>
        <w:ind w:firstLine="240"/>
        <w:rPr>
          <w:color w:val="auto"/>
          <w:highlight w:val="none"/>
        </w:rPr>
      </w:pPr>
    </w:p>
    <w:p w14:paraId="4F777AEC">
      <w:pPr>
        <w:pStyle w:val="22"/>
        <w:ind w:firstLine="240"/>
        <w:rPr>
          <w:color w:val="auto"/>
          <w:highlight w:val="none"/>
        </w:rPr>
      </w:pPr>
    </w:p>
    <w:p w14:paraId="74817A89">
      <w:pPr>
        <w:pStyle w:val="22"/>
        <w:ind w:firstLine="240"/>
        <w:rPr>
          <w:color w:val="auto"/>
          <w:highlight w:val="none"/>
        </w:rPr>
      </w:pPr>
    </w:p>
    <w:p w14:paraId="50C1FE9D">
      <w:pPr>
        <w:pStyle w:val="22"/>
        <w:ind w:firstLine="240"/>
        <w:rPr>
          <w:color w:val="auto"/>
          <w:highlight w:val="none"/>
        </w:rPr>
      </w:pPr>
    </w:p>
    <w:p w14:paraId="45332FB7">
      <w:pPr>
        <w:pStyle w:val="22"/>
        <w:ind w:firstLine="240"/>
        <w:rPr>
          <w:color w:val="auto"/>
          <w:highlight w:val="none"/>
        </w:rPr>
      </w:pPr>
    </w:p>
    <w:p w14:paraId="196E3F12">
      <w:pPr>
        <w:pStyle w:val="23"/>
        <w:ind w:left="420" w:firstLine="420"/>
        <w:rPr>
          <w:color w:val="auto"/>
          <w:highlight w:val="none"/>
        </w:rPr>
      </w:pPr>
    </w:p>
    <w:p w14:paraId="3D91C670">
      <w:pPr>
        <w:pStyle w:val="23"/>
        <w:ind w:left="420" w:firstLine="420"/>
        <w:rPr>
          <w:color w:val="auto"/>
          <w:highlight w:val="none"/>
        </w:rPr>
      </w:pPr>
    </w:p>
    <w:p w14:paraId="26B65E2E">
      <w:pPr>
        <w:pStyle w:val="23"/>
        <w:ind w:left="420" w:firstLine="420"/>
        <w:rPr>
          <w:color w:val="auto"/>
          <w:highlight w:val="none"/>
        </w:rPr>
      </w:pPr>
    </w:p>
    <w:p w14:paraId="5B8A055E">
      <w:pPr>
        <w:pStyle w:val="23"/>
        <w:ind w:left="420" w:firstLine="420"/>
        <w:rPr>
          <w:color w:val="auto"/>
          <w:highlight w:val="none"/>
        </w:rPr>
      </w:pPr>
    </w:p>
    <w:p w14:paraId="77FA4031">
      <w:pPr>
        <w:pStyle w:val="23"/>
        <w:ind w:left="420" w:firstLine="420"/>
        <w:rPr>
          <w:color w:val="auto"/>
          <w:highlight w:val="none"/>
        </w:rPr>
      </w:pPr>
    </w:p>
    <w:p w14:paraId="0D89DC4C">
      <w:pPr>
        <w:pStyle w:val="23"/>
        <w:ind w:left="420" w:firstLine="420"/>
        <w:rPr>
          <w:color w:val="auto"/>
          <w:highlight w:val="none"/>
        </w:rPr>
      </w:pPr>
    </w:p>
    <w:p w14:paraId="74644776">
      <w:pPr>
        <w:pStyle w:val="23"/>
        <w:ind w:left="420" w:firstLine="420"/>
        <w:rPr>
          <w:color w:val="auto"/>
          <w:highlight w:val="none"/>
        </w:rPr>
      </w:pPr>
    </w:p>
    <w:p w14:paraId="20CBAB1F">
      <w:pPr>
        <w:pStyle w:val="22"/>
        <w:ind w:firstLine="240"/>
        <w:rPr>
          <w:color w:val="auto"/>
          <w:highlight w:val="none"/>
        </w:rPr>
      </w:pPr>
    </w:p>
    <w:p w14:paraId="7A7691BF">
      <w:pPr>
        <w:rPr>
          <w:color w:val="auto"/>
          <w:highlight w:val="none"/>
        </w:rPr>
      </w:pPr>
    </w:p>
    <w:p w14:paraId="17E2A470">
      <w:pPr>
        <w:pStyle w:val="22"/>
        <w:ind w:firstLine="240"/>
        <w:rPr>
          <w:color w:val="auto"/>
          <w:highlight w:val="none"/>
        </w:rPr>
      </w:pPr>
    </w:p>
    <w:p w14:paraId="44DC4C0A">
      <w:pPr>
        <w:jc w:val="center"/>
        <w:rPr>
          <w:rFonts w:ascii="宋体" w:hAnsi="宋体"/>
          <w:bCs/>
          <w:color w:val="auto"/>
          <w:sz w:val="28"/>
          <w:szCs w:val="28"/>
          <w:highlight w:val="none"/>
        </w:rPr>
      </w:pPr>
      <w:bookmarkStart w:id="313" w:name="_Toc22632"/>
      <w:bookmarkStart w:id="314" w:name="_Toc23086"/>
      <w:bookmarkStart w:id="315" w:name="_Toc12714"/>
      <w:bookmarkStart w:id="316" w:name="_Toc26765"/>
      <w:bookmarkStart w:id="317" w:name="_Toc12126"/>
      <w:bookmarkStart w:id="318" w:name="_Toc32354"/>
      <w:bookmarkStart w:id="319" w:name="_Toc32615"/>
      <w:bookmarkStart w:id="320" w:name="_Toc17107"/>
      <w:bookmarkStart w:id="321" w:name="_Toc509411890"/>
      <w:bookmarkStart w:id="322" w:name="_Toc15865"/>
      <w:bookmarkStart w:id="323" w:name="_Toc30953"/>
      <w:bookmarkStart w:id="324" w:name="_Toc15178"/>
      <w:bookmarkStart w:id="325" w:name="_Toc12527"/>
      <w:bookmarkStart w:id="326" w:name="_Toc29393"/>
      <w:r>
        <w:rPr>
          <w:rFonts w:hint="eastAsia" w:ascii="宋体" w:hAnsi="宋体"/>
          <w:bCs/>
          <w:color w:val="auto"/>
          <w:sz w:val="28"/>
          <w:szCs w:val="28"/>
          <w:highlight w:val="none"/>
        </w:rPr>
        <w:t>6、服务承诺</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0110372">
      <w:pPr>
        <w:rPr>
          <w:rFonts w:ascii="宋体" w:hAnsi="宋体"/>
          <w:bCs/>
          <w:color w:val="auto"/>
          <w:sz w:val="24"/>
          <w:highlight w:val="none"/>
        </w:rPr>
      </w:pPr>
    </w:p>
    <w:p w14:paraId="2A9A5C9A">
      <w:pPr>
        <w:spacing w:line="360" w:lineRule="auto"/>
        <w:rPr>
          <w:rFonts w:ascii="宋体" w:hAnsi="宋体"/>
          <w:color w:val="auto"/>
          <w:sz w:val="24"/>
          <w:highlight w:val="none"/>
        </w:rPr>
      </w:pPr>
      <w:r>
        <w:rPr>
          <w:rFonts w:hint="eastAsia" w:ascii="宋体" w:hAnsi="宋体"/>
          <w:color w:val="auto"/>
          <w:sz w:val="24"/>
          <w:highlight w:val="none"/>
        </w:rPr>
        <w:t>1、详细说明服务的内容、形式、服务周期，解决质量或操作问题的响应时间、应急问题解决时间等。</w:t>
      </w:r>
    </w:p>
    <w:p w14:paraId="257773FF">
      <w:pPr>
        <w:spacing w:line="360" w:lineRule="auto"/>
        <w:rPr>
          <w:rFonts w:ascii="宋体" w:hAnsi="宋体"/>
          <w:color w:val="auto"/>
          <w:sz w:val="24"/>
          <w:highlight w:val="none"/>
        </w:rPr>
      </w:pPr>
      <w:r>
        <w:rPr>
          <w:rFonts w:hint="eastAsia" w:ascii="宋体" w:hAnsi="宋体"/>
          <w:color w:val="auto"/>
          <w:sz w:val="24"/>
          <w:highlight w:val="none"/>
        </w:rPr>
        <w:t>2、服务单位名称、地点、联系方式。</w:t>
      </w:r>
    </w:p>
    <w:p w14:paraId="7054C044">
      <w:pPr>
        <w:spacing w:line="360" w:lineRule="auto"/>
        <w:rPr>
          <w:rFonts w:ascii="宋体" w:hAnsi="宋体"/>
          <w:color w:val="auto"/>
          <w:sz w:val="24"/>
          <w:highlight w:val="none"/>
        </w:rPr>
      </w:pPr>
      <w:r>
        <w:rPr>
          <w:rFonts w:hint="eastAsia" w:ascii="宋体" w:hAnsi="宋体"/>
          <w:color w:val="auto"/>
          <w:sz w:val="24"/>
          <w:highlight w:val="none"/>
        </w:rPr>
        <w:t>3、服务技术设备和人员等情况。</w:t>
      </w:r>
    </w:p>
    <w:p w14:paraId="1B98F32A">
      <w:pPr>
        <w:spacing w:line="360" w:lineRule="auto"/>
        <w:rPr>
          <w:rFonts w:ascii="宋体" w:hAnsi="宋体"/>
          <w:color w:val="auto"/>
          <w:sz w:val="24"/>
          <w:highlight w:val="none"/>
        </w:rPr>
      </w:pPr>
      <w:r>
        <w:rPr>
          <w:rFonts w:hint="eastAsia" w:ascii="宋体" w:hAnsi="宋体"/>
          <w:color w:val="auto"/>
          <w:sz w:val="24"/>
          <w:highlight w:val="none"/>
        </w:rPr>
        <w:t>4、供应商认为需要说明的其他服务承诺。</w:t>
      </w:r>
    </w:p>
    <w:p w14:paraId="507A35E3">
      <w:pPr>
        <w:spacing w:line="360" w:lineRule="auto"/>
        <w:rPr>
          <w:rFonts w:ascii="宋体" w:hAnsi="宋体"/>
          <w:color w:val="auto"/>
          <w:sz w:val="24"/>
          <w:highlight w:val="none"/>
        </w:rPr>
      </w:pPr>
    </w:p>
    <w:p w14:paraId="31517DA8">
      <w:pPr>
        <w:spacing w:line="360" w:lineRule="auto"/>
        <w:rPr>
          <w:rFonts w:ascii="宋体" w:hAnsi="宋体"/>
          <w:color w:val="auto"/>
          <w:sz w:val="24"/>
          <w:highlight w:val="none"/>
        </w:rPr>
      </w:pPr>
    </w:p>
    <w:p w14:paraId="2E76F59E">
      <w:pPr>
        <w:spacing w:line="360" w:lineRule="auto"/>
        <w:rPr>
          <w:rFonts w:ascii="宋体" w:hAnsi="宋体"/>
          <w:color w:val="auto"/>
          <w:sz w:val="24"/>
          <w:highlight w:val="none"/>
        </w:rPr>
      </w:pPr>
      <w:r>
        <w:rPr>
          <w:rFonts w:hint="eastAsia" w:ascii="宋体" w:hAnsi="宋体"/>
          <w:color w:val="auto"/>
          <w:sz w:val="24"/>
          <w:highlight w:val="none"/>
        </w:rPr>
        <w:t>供应商（公章或电子签章）：</w:t>
      </w:r>
    </w:p>
    <w:p w14:paraId="62E9DEC0">
      <w:pPr>
        <w:spacing w:line="360" w:lineRule="auto"/>
        <w:rPr>
          <w:rFonts w:ascii="宋体" w:hAnsi="宋体"/>
          <w:color w:val="auto"/>
          <w:sz w:val="24"/>
          <w:highlight w:val="none"/>
        </w:rPr>
      </w:pPr>
      <w:r>
        <w:rPr>
          <w:rFonts w:hint="eastAsia" w:ascii="宋体" w:hAnsi="宋体"/>
          <w:color w:val="auto"/>
          <w:sz w:val="24"/>
          <w:highlight w:val="none"/>
        </w:rPr>
        <w:t xml:space="preserve">供应商代表（签字或盖章或电子签章）：  </w:t>
      </w:r>
    </w:p>
    <w:p w14:paraId="64C7C9A8">
      <w:pPr>
        <w:spacing w:line="360" w:lineRule="auto"/>
        <w:rPr>
          <w:rFonts w:ascii="宋体" w:hAnsi="宋体"/>
          <w:color w:val="auto"/>
          <w:sz w:val="24"/>
          <w:highlight w:val="none"/>
        </w:rPr>
      </w:pPr>
      <w:r>
        <w:rPr>
          <w:rFonts w:hint="eastAsia" w:ascii="宋体" w:hAnsi="宋体"/>
          <w:color w:val="auto"/>
          <w:sz w:val="24"/>
          <w:highlight w:val="none"/>
        </w:rPr>
        <w:t>日          期：</w:t>
      </w:r>
    </w:p>
    <w:p w14:paraId="75D32369">
      <w:pPr>
        <w:rPr>
          <w:rFonts w:ascii="宋体" w:hAnsi="宋体"/>
          <w:color w:val="auto"/>
          <w:sz w:val="24"/>
          <w:highlight w:val="none"/>
        </w:rPr>
      </w:pPr>
    </w:p>
    <w:p w14:paraId="4A18A64C">
      <w:pPr>
        <w:rPr>
          <w:rFonts w:ascii="宋体" w:hAnsi="宋体"/>
          <w:bCs/>
          <w:color w:val="auto"/>
          <w:sz w:val="24"/>
          <w:highlight w:val="none"/>
        </w:rPr>
      </w:pPr>
    </w:p>
    <w:p w14:paraId="72100116">
      <w:pPr>
        <w:rPr>
          <w:rFonts w:ascii="宋体" w:hAnsi="宋体"/>
          <w:bCs/>
          <w:color w:val="auto"/>
          <w:highlight w:val="none"/>
        </w:rPr>
      </w:pPr>
    </w:p>
    <w:p w14:paraId="37530B7E">
      <w:pPr>
        <w:rPr>
          <w:rFonts w:ascii="宋体" w:hAnsi="宋体"/>
          <w:bCs/>
          <w:color w:val="auto"/>
          <w:highlight w:val="none"/>
        </w:rPr>
      </w:pPr>
    </w:p>
    <w:p w14:paraId="53AD1BE4">
      <w:pPr>
        <w:rPr>
          <w:rFonts w:ascii="宋体" w:hAnsi="宋体"/>
          <w:bCs/>
          <w:color w:val="auto"/>
          <w:highlight w:val="none"/>
        </w:rPr>
      </w:pPr>
    </w:p>
    <w:p w14:paraId="3A616FFA">
      <w:pPr>
        <w:rPr>
          <w:rFonts w:ascii="宋体" w:hAnsi="宋体"/>
          <w:bCs/>
          <w:color w:val="auto"/>
          <w:highlight w:val="none"/>
        </w:rPr>
      </w:pPr>
    </w:p>
    <w:p w14:paraId="09813210">
      <w:pPr>
        <w:rPr>
          <w:rFonts w:ascii="宋体" w:hAnsi="宋体"/>
          <w:bCs/>
          <w:color w:val="auto"/>
          <w:highlight w:val="none"/>
        </w:rPr>
      </w:pPr>
    </w:p>
    <w:p w14:paraId="1CA2DACC">
      <w:pPr>
        <w:rPr>
          <w:rFonts w:ascii="宋体" w:hAnsi="宋体"/>
          <w:bCs/>
          <w:color w:val="auto"/>
          <w:highlight w:val="none"/>
        </w:rPr>
      </w:pPr>
    </w:p>
    <w:p w14:paraId="15939268">
      <w:pPr>
        <w:rPr>
          <w:rFonts w:ascii="宋体" w:hAnsi="宋体"/>
          <w:bCs/>
          <w:color w:val="auto"/>
          <w:highlight w:val="none"/>
        </w:rPr>
      </w:pPr>
    </w:p>
    <w:p w14:paraId="6740479F">
      <w:pPr>
        <w:rPr>
          <w:rFonts w:ascii="宋体" w:hAnsi="宋体"/>
          <w:bCs/>
          <w:color w:val="auto"/>
          <w:highlight w:val="none"/>
        </w:rPr>
      </w:pPr>
    </w:p>
    <w:p w14:paraId="3FDA52A2">
      <w:pPr>
        <w:rPr>
          <w:rFonts w:ascii="宋体" w:hAnsi="宋体"/>
          <w:bCs/>
          <w:color w:val="auto"/>
          <w:highlight w:val="none"/>
        </w:rPr>
      </w:pPr>
    </w:p>
    <w:p w14:paraId="06054DF4">
      <w:pPr>
        <w:rPr>
          <w:rFonts w:ascii="宋体" w:hAnsi="宋体"/>
          <w:bCs/>
          <w:color w:val="auto"/>
          <w:highlight w:val="none"/>
        </w:rPr>
      </w:pPr>
    </w:p>
    <w:p w14:paraId="45BE76A8">
      <w:pPr>
        <w:pStyle w:val="9"/>
        <w:rPr>
          <w:rFonts w:ascii="宋体" w:eastAsia="宋体"/>
          <w:color w:val="auto"/>
          <w:highlight w:val="none"/>
        </w:rPr>
      </w:pPr>
    </w:p>
    <w:p w14:paraId="0A2DCF89">
      <w:pPr>
        <w:pStyle w:val="9"/>
        <w:rPr>
          <w:rFonts w:ascii="宋体" w:eastAsia="宋体"/>
          <w:color w:val="auto"/>
          <w:highlight w:val="none"/>
        </w:rPr>
      </w:pPr>
    </w:p>
    <w:p w14:paraId="7E5F3347">
      <w:pPr>
        <w:pStyle w:val="9"/>
        <w:rPr>
          <w:rFonts w:ascii="宋体" w:eastAsia="宋体"/>
          <w:color w:val="auto"/>
          <w:highlight w:val="none"/>
        </w:rPr>
      </w:pPr>
    </w:p>
    <w:p w14:paraId="1EC55E6D">
      <w:pPr>
        <w:pStyle w:val="9"/>
        <w:rPr>
          <w:rFonts w:ascii="宋体" w:eastAsia="宋体"/>
          <w:color w:val="auto"/>
          <w:highlight w:val="none"/>
        </w:rPr>
      </w:pPr>
    </w:p>
    <w:p w14:paraId="7EEBCB60">
      <w:pPr>
        <w:pStyle w:val="9"/>
        <w:rPr>
          <w:rFonts w:ascii="宋体" w:eastAsia="宋体"/>
          <w:color w:val="auto"/>
          <w:highlight w:val="none"/>
        </w:rPr>
      </w:pPr>
    </w:p>
    <w:p w14:paraId="11386BB7">
      <w:pPr>
        <w:pStyle w:val="9"/>
        <w:rPr>
          <w:rFonts w:ascii="宋体" w:eastAsia="宋体"/>
          <w:color w:val="auto"/>
          <w:highlight w:val="none"/>
        </w:rPr>
      </w:pPr>
    </w:p>
    <w:p w14:paraId="36D4D737">
      <w:pPr>
        <w:pStyle w:val="9"/>
        <w:rPr>
          <w:rFonts w:ascii="宋体" w:eastAsia="宋体"/>
          <w:color w:val="auto"/>
          <w:highlight w:val="none"/>
        </w:rPr>
      </w:pPr>
    </w:p>
    <w:p w14:paraId="0CB51B24">
      <w:pPr>
        <w:pStyle w:val="18"/>
        <w:rPr>
          <w:color w:val="auto"/>
          <w:highlight w:val="none"/>
        </w:rPr>
      </w:pPr>
    </w:p>
    <w:p w14:paraId="47B8D4A1">
      <w:pPr>
        <w:pStyle w:val="9"/>
        <w:rPr>
          <w:rFonts w:ascii="宋体" w:eastAsia="宋体"/>
          <w:color w:val="auto"/>
          <w:highlight w:val="none"/>
        </w:rPr>
      </w:pPr>
    </w:p>
    <w:p w14:paraId="7A318BBB">
      <w:pPr>
        <w:rPr>
          <w:rFonts w:ascii="宋体" w:hAnsi="宋体"/>
          <w:bCs/>
          <w:color w:val="auto"/>
          <w:highlight w:val="none"/>
        </w:rPr>
      </w:pPr>
    </w:p>
    <w:p w14:paraId="617EFE5A">
      <w:pPr>
        <w:pStyle w:val="22"/>
        <w:ind w:firstLine="240"/>
        <w:rPr>
          <w:color w:val="auto"/>
          <w:highlight w:val="none"/>
        </w:rPr>
      </w:pPr>
    </w:p>
    <w:p w14:paraId="14B7C84C">
      <w:pPr>
        <w:rPr>
          <w:rFonts w:ascii="宋体" w:hAnsi="宋体"/>
          <w:bCs/>
          <w:color w:val="auto"/>
          <w:highlight w:val="none"/>
        </w:rPr>
      </w:pPr>
    </w:p>
    <w:p w14:paraId="5423C126">
      <w:pPr>
        <w:ind w:left="2940"/>
        <w:jc w:val="left"/>
        <w:rPr>
          <w:rFonts w:ascii="宋体" w:hAnsi="宋体"/>
          <w:bCs/>
          <w:color w:val="auto"/>
          <w:sz w:val="28"/>
          <w:szCs w:val="28"/>
          <w:highlight w:val="none"/>
        </w:rPr>
      </w:pPr>
      <w:bookmarkStart w:id="327" w:name="_Toc29695"/>
      <w:bookmarkStart w:id="328" w:name="_Toc31745"/>
      <w:bookmarkStart w:id="329" w:name="_Toc30876"/>
      <w:bookmarkStart w:id="330" w:name="_Toc25716"/>
      <w:bookmarkStart w:id="331" w:name="_Toc13540"/>
      <w:bookmarkStart w:id="332" w:name="_Toc10760"/>
      <w:bookmarkStart w:id="333" w:name="_Toc25911"/>
      <w:bookmarkStart w:id="334" w:name="_Toc16789"/>
      <w:bookmarkStart w:id="335" w:name="_Toc8165"/>
      <w:bookmarkStart w:id="336" w:name="_Toc17966"/>
      <w:bookmarkStart w:id="337" w:name="_Toc217"/>
      <w:r>
        <w:rPr>
          <w:rFonts w:hint="eastAsia" w:ascii="宋体" w:hAnsi="宋体"/>
          <w:bCs/>
          <w:color w:val="auto"/>
          <w:sz w:val="28"/>
          <w:szCs w:val="28"/>
          <w:highlight w:val="none"/>
        </w:rPr>
        <w:t>7、资格证明材料</w:t>
      </w:r>
      <w:bookmarkEnd w:id="327"/>
      <w:bookmarkEnd w:id="328"/>
      <w:bookmarkEnd w:id="329"/>
      <w:bookmarkEnd w:id="330"/>
      <w:bookmarkEnd w:id="331"/>
      <w:bookmarkEnd w:id="332"/>
      <w:bookmarkEnd w:id="333"/>
      <w:bookmarkEnd w:id="334"/>
      <w:bookmarkEnd w:id="335"/>
      <w:bookmarkEnd w:id="336"/>
      <w:bookmarkEnd w:id="337"/>
    </w:p>
    <w:p w14:paraId="16C0CFCA">
      <w:pPr>
        <w:pStyle w:val="9"/>
        <w:rPr>
          <w:color w:val="auto"/>
          <w:highlight w:val="none"/>
        </w:rPr>
      </w:pPr>
    </w:p>
    <w:p w14:paraId="6D3598E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34FAF8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1733BF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579593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35945A3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15DFE328">
      <w:pPr>
        <w:pStyle w:val="20"/>
        <w:spacing w:beforeAutospacing="0" w:afterAutospacing="0" w:line="360" w:lineRule="auto"/>
        <w:ind w:firstLine="482" w:firstLineChars="200"/>
        <w:jc w:val="both"/>
        <w:rPr>
          <w:rFonts w:hint="eastAsia" w:ascii="宋体" w:hAnsi="宋体" w:cs="宋体"/>
          <w:color w:val="auto"/>
          <w:kern w:val="2"/>
          <w:sz w:val="21"/>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3EF06C5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1E953D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w:t>
      </w:r>
      <w:r>
        <w:rPr>
          <w:rFonts w:hint="eastAsia" w:ascii="宋体" w:hAnsi="宋体" w:cs="宋体"/>
          <w:color w:val="auto"/>
          <w:szCs w:val="21"/>
          <w:highlight w:val="none"/>
          <w:lang w:eastAsia="zh-CN"/>
        </w:rPr>
        <w:t>有</w:t>
      </w:r>
      <w:r>
        <w:rPr>
          <w:rFonts w:hint="eastAsia" w:ascii="宋体" w:hAnsi="宋体" w:cs="宋体"/>
          <w:color w:val="auto"/>
          <w:szCs w:val="21"/>
          <w:highlight w:val="none"/>
        </w:rPr>
        <w:t>测绘乙级及以上资质(需包含以下专业：地理信息系统工程、界线与不动产测绘)。</w:t>
      </w:r>
    </w:p>
    <w:p w14:paraId="4AC5E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w:t>
      </w:r>
      <w:r>
        <w:rPr>
          <w:rFonts w:hint="eastAsia" w:ascii="宋体" w:hAnsi="宋体" w:cs="宋体"/>
          <w:color w:val="auto"/>
          <w:szCs w:val="21"/>
          <w:highlight w:val="none"/>
          <w:lang w:val="en-US" w:eastAsia="zh-CN"/>
        </w:rPr>
        <w:t>测绘</w:t>
      </w:r>
      <w:r>
        <w:rPr>
          <w:rFonts w:hint="eastAsia" w:ascii="宋体" w:hAnsi="宋体" w:cs="宋体"/>
          <w:color w:val="auto"/>
          <w:szCs w:val="21"/>
          <w:highlight w:val="none"/>
        </w:rPr>
        <w:t>相关专业中级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和注册测绘师</w:t>
      </w:r>
      <w:r>
        <w:rPr>
          <w:rFonts w:hint="eastAsia" w:ascii="宋体" w:hAnsi="宋体" w:cs="宋体"/>
          <w:color w:val="auto"/>
          <w:szCs w:val="21"/>
          <w:highlight w:val="none"/>
        </w:rPr>
        <w:t>，且为本单位人员，须提供</w:t>
      </w:r>
      <w:r>
        <w:rPr>
          <w:rFonts w:hint="eastAsia" w:ascii="宋体" w:hAnsi="宋体" w:cs="宋体"/>
          <w:color w:val="auto"/>
          <w:szCs w:val="21"/>
          <w:highlight w:val="none"/>
          <w:lang w:eastAsia="zh-CN"/>
        </w:rPr>
        <w:t>2024年12月以来任意一个月有效的</w:t>
      </w:r>
      <w:r>
        <w:rPr>
          <w:rFonts w:hint="eastAsia" w:ascii="宋体" w:hAnsi="宋体" w:cs="宋体"/>
          <w:color w:val="auto"/>
          <w:szCs w:val="21"/>
          <w:highlight w:val="none"/>
        </w:rPr>
        <w:t>缴纳社保证明材料。</w:t>
      </w:r>
    </w:p>
    <w:p w14:paraId="28E11213">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w:t>
      </w:r>
      <w:r>
        <w:rPr>
          <w:rFonts w:hint="eastAsia" w:ascii="宋体" w:hAnsi="宋体" w:cs="宋体"/>
          <w:color w:val="auto"/>
          <w:kern w:val="0"/>
          <w:szCs w:val="21"/>
          <w:highlight w:val="none"/>
          <w:lang w:eastAsia="zh-CN" w:bidi="ar"/>
        </w:rPr>
        <w:t>根据需要将对所有参与</w:t>
      </w:r>
      <w:r>
        <w:rPr>
          <w:rFonts w:hint="eastAsia" w:ascii="宋体" w:hAnsi="宋体" w:cs="宋体"/>
          <w:color w:val="auto"/>
          <w:kern w:val="0"/>
          <w:szCs w:val="21"/>
          <w:highlight w:val="none"/>
          <w:lang w:bidi="ar"/>
        </w:rPr>
        <w:t>本项目投标的供应商的信用情况（失信被执行人、重大税收违法失信主体、政府采购严重违法失信行为记录名单）进行查询。若在开标当天查询到供应商有相关负面信息的，则该供应商为无效供应商。</w:t>
      </w:r>
    </w:p>
    <w:p w14:paraId="186BE984">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3A2F4159">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2DB9BE76">
      <w:pPr>
        <w:pStyle w:val="23"/>
        <w:spacing w:line="360" w:lineRule="auto"/>
        <w:ind w:left="0" w:leftChars="0" w:firstLine="420"/>
        <w:rPr>
          <w:rFonts w:ascii="宋体" w:hAnsi="宋体" w:cs="宋体"/>
          <w:color w:val="auto"/>
          <w:kern w:val="0"/>
          <w:szCs w:val="21"/>
          <w:highlight w:val="none"/>
          <w:lang w:bidi="ar"/>
        </w:rPr>
      </w:pPr>
    </w:p>
    <w:p w14:paraId="051793CB">
      <w:pPr>
        <w:spacing w:line="360" w:lineRule="auto"/>
        <w:jc w:val="center"/>
        <w:rPr>
          <w:rFonts w:ascii="宋体" w:hAnsi="宋体"/>
          <w:bCs/>
          <w:color w:val="auto"/>
          <w:highlight w:val="none"/>
        </w:rPr>
      </w:pPr>
      <w:r>
        <w:rPr>
          <w:rFonts w:hint="eastAsia" w:ascii="宋体" w:hAnsi="宋体"/>
          <w:color w:val="auto"/>
          <w:sz w:val="24"/>
          <w:highlight w:val="none"/>
        </w:rPr>
        <w:br w:type="page"/>
      </w:r>
      <w:bookmarkStart w:id="338" w:name="_Toc8296"/>
      <w:bookmarkStart w:id="339" w:name="_Toc32409"/>
      <w:bookmarkStart w:id="340" w:name="_Toc1264"/>
      <w:bookmarkStart w:id="341" w:name="_Toc25549"/>
      <w:bookmarkStart w:id="342" w:name="_Toc22012"/>
      <w:bookmarkStart w:id="343" w:name="_Toc24870"/>
      <w:bookmarkStart w:id="344" w:name="_Toc9874"/>
      <w:bookmarkStart w:id="345" w:name="_Toc5336"/>
      <w:bookmarkStart w:id="346" w:name="_Toc20355"/>
      <w:bookmarkStart w:id="347" w:name="_Toc11478"/>
      <w:bookmarkStart w:id="348" w:name="_Toc3462"/>
      <w:r>
        <w:rPr>
          <w:rFonts w:hint="eastAsia" w:ascii="宋体" w:hAnsi="宋体"/>
          <w:bCs/>
          <w:color w:val="auto"/>
          <w:sz w:val="28"/>
          <w:szCs w:val="28"/>
          <w:highlight w:val="none"/>
        </w:rPr>
        <w:t>8、法定代表人授权书</w:t>
      </w:r>
      <w:bookmarkEnd w:id="338"/>
      <w:bookmarkEnd w:id="339"/>
      <w:bookmarkEnd w:id="340"/>
      <w:bookmarkEnd w:id="341"/>
      <w:bookmarkEnd w:id="342"/>
      <w:bookmarkEnd w:id="343"/>
      <w:bookmarkEnd w:id="344"/>
      <w:bookmarkEnd w:id="345"/>
      <w:bookmarkEnd w:id="346"/>
      <w:bookmarkEnd w:id="347"/>
      <w:bookmarkEnd w:id="348"/>
    </w:p>
    <w:p w14:paraId="569B2F0E">
      <w:pPr>
        <w:rPr>
          <w:rFonts w:ascii="宋体" w:hAnsi="宋体"/>
          <w:b/>
          <w:color w:val="auto"/>
          <w:sz w:val="24"/>
          <w:highlight w:val="none"/>
        </w:rPr>
      </w:pPr>
    </w:p>
    <w:p w14:paraId="31DF0428">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1F0791A2">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2C051CBA">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23BC4286">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7BDED00B">
      <w:pPr>
        <w:ind w:firstLine="480" w:firstLineChars="200"/>
        <w:rPr>
          <w:rFonts w:ascii="宋体" w:hAnsi="宋体"/>
          <w:color w:val="auto"/>
          <w:sz w:val="24"/>
          <w:highlight w:val="none"/>
        </w:rPr>
      </w:pPr>
    </w:p>
    <w:p w14:paraId="18BDE6AD">
      <w:pPr>
        <w:ind w:firstLine="480" w:firstLineChars="200"/>
        <w:rPr>
          <w:rFonts w:ascii="宋体" w:hAnsi="宋体"/>
          <w:color w:val="auto"/>
          <w:sz w:val="24"/>
          <w:highlight w:val="none"/>
        </w:rPr>
      </w:pPr>
    </w:p>
    <w:p w14:paraId="5EFD5442">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5E2CC87A">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4C277178">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6871DD99">
      <w:pPr>
        <w:ind w:firstLine="480" w:firstLineChars="200"/>
        <w:rPr>
          <w:rFonts w:ascii="宋体" w:hAnsi="宋体"/>
          <w:color w:val="auto"/>
          <w:sz w:val="24"/>
          <w:highlight w:val="none"/>
        </w:rPr>
      </w:pPr>
      <w:r>
        <w:rPr>
          <w:rFonts w:hint="eastAsia" w:ascii="宋体" w:hAnsi="宋体"/>
          <w:color w:val="auto"/>
          <w:sz w:val="24"/>
          <w:highlight w:val="none"/>
        </w:rPr>
        <w:t>日    期：</w:t>
      </w:r>
    </w:p>
    <w:p w14:paraId="6B8576BD">
      <w:pPr>
        <w:ind w:firstLine="420" w:firstLineChars="200"/>
        <w:rPr>
          <w:rFonts w:ascii="宋体" w:hAnsi="宋体"/>
          <w:color w:val="auto"/>
          <w:highlight w:val="none"/>
        </w:rPr>
      </w:pPr>
    </w:p>
    <w:p w14:paraId="704F906F">
      <w:pPr>
        <w:rPr>
          <w:rFonts w:ascii="宋体" w:hAnsi="宋体"/>
          <w:color w:val="auto"/>
          <w:highlight w:val="none"/>
        </w:rPr>
      </w:pPr>
      <w:bookmarkStart w:id="349" w:name="_Toc12746"/>
      <w:bookmarkStart w:id="350" w:name="_Toc441"/>
      <w:bookmarkStart w:id="351" w:name="_Toc509411891"/>
      <w:r>
        <w:rPr>
          <w:rFonts w:hint="eastAsia" w:ascii="宋体" w:hAnsi="宋体"/>
          <w:bCs/>
          <w:color w:val="auto"/>
          <w:sz w:val="24"/>
          <w:highlight w:val="none"/>
        </w:rPr>
        <w:t>附：法定代表人、供应商代表（被授权人）身份证正面和反面</w:t>
      </w:r>
      <w:bookmarkEnd w:id="349"/>
      <w:bookmarkEnd w:id="350"/>
      <w:bookmarkEnd w:id="351"/>
      <w:r>
        <w:rPr>
          <w:rFonts w:hint="eastAsia" w:ascii="宋体" w:hAnsi="宋体"/>
          <w:bCs/>
          <w:color w:val="auto"/>
          <w:sz w:val="24"/>
          <w:highlight w:val="none"/>
        </w:rPr>
        <w:t>复印件或扫描件。</w:t>
      </w:r>
    </w:p>
    <w:p w14:paraId="00D70D31">
      <w:pPr>
        <w:pStyle w:val="22"/>
        <w:ind w:firstLine="240"/>
        <w:rPr>
          <w:color w:val="auto"/>
          <w:highlight w:val="none"/>
        </w:rPr>
      </w:pPr>
    </w:p>
    <w:p w14:paraId="5C4572F9">
      <w:pPr>
        <w:pStyle w:val="22"/>
        <w:ind w:firstLine="240"/>
        <w:rPr>
          <w:color w:val="auto"/>
          <w:highlight w:val="none"/>
        </w:rPr>
      </w:pPr>
    </w:p>
    <w:p w14:paraId="26A608FA">
      <w:pPr>
        <w:pStyle w:val="22"/>
        <w:ind w:firstLine="240"/>
        <w:rPr>
          <w:color w:val="auto"/>
          <w:highlight w:val="none"/>
        </w:rPr>
      </w:pPr>
    </w:p>
    <w:p w14:paraId="4A25A740">
      <w:pPr>
        <w:pStyle w:val="22"/>
        <w:ind w:firstLine="240"/>
        <w:rPr>
          <w:color w:val="auto"/>
          <w:highlight w:val="none"/>
        </w:rPr>
      </w:pPr>
    </w:p>
    <w:p w14:paraId="600E7179">
      <w:pPr>
        <w:pStyle w:val="22"/>
        <w:ind w:firstLine="240"/>
        <w:rPr>
          <w:color w:val="auto"/>
          <w:highlight w:val="none"/>
        </w:rPr>
      </w:pPr>
    </w:p>
    <w:p w14:paraId="251FEFFA">
      <w:pPr>
        <w:pStyle w:val="23"/>
        <w:ind w:left="420" w:firstLine="420"/>
        <w:rPr>
          <w:color w:val="auto"/>
          <w:highlight w:val="none"/>
        </w:rPr>
      </w:pPr>
    </w:p>
    <w:p w14:paraId="146254C5">
      <w:pPr>
        <w:pStyle w:val="23"/>
        <w:ind w:left="420" w:firstLine="420"/>
        <w:rPr>
          <w:color w:val="auto"/>
          <w:highlight w:val="none"/>
        </w:rPr>
      </w:pPr>
    </w:p>
    <w:p w14:paraId="45D30882">
      <w:pPr>
        <w:pStyle w:val="23"/>
        <w:ind w:left="420" w:firstLine="420"/>
        <w:rPr>
          <w:color w:val="auto"/>
          <w:highlight w:val="none"/>
        </w:rPr>
      </w:pPr>
    </w:p>
    <w:p w14:paraId="07F03A7F">
      <w:pPr>
        <w:pStyle w:val="23"/>
        <w:ind w:left="420" w:firstLine="420"/>
        <w:rPr>
          <w:color w:val="auto"/>
          <w:highlight w:val="none"/>
        </w:rPr>
      </w:pPr>
    </w:p>
    <w:p w14:paraId="7C647B6D">
      <w:pPr>
        <w:pStyle w:val="23"/>
        <w:ind w:left="420" w:firstLine="420"/>
        <w:rPr>
          <w:color w:val="auto"/>
          <w:highlight w:val="none"/>
        </w:rPr>
      </w:pPr>
    </w:p>
    <w:p w14:paraId="7839E07F">
      <w:pPr>
        <w:pStyle w:val="23"/>
        <w:ind w:left="420" w:firstLine="420"/>
        <w:rPr>
          <w:color w:val="auto"/>
          <w:highlight w:val="none"/>
        </w:rPr>
      </w:pPr>
    </w:p>
    <w:p w14:paraId="080CCF67">
      <w:pPr>
        <w:pStyle w:val="23"/>
        <w:ind w:left="420" w:firstLine="420"/>
        <w:rPr>
          <w:color w:val="auto"/>
          <w:highlight w:val="none"/>
        </w:rPr>
      </w:pPr>
    </w:p>
    <w:p w14:paraId="4F0164A8">
      <w:pPr>
        <w:pStyle w:val="23"/>
        <w:ind w:left="420" w:firstLine="420"/>
        <w:rPr>
          <w:color w:val="auto"/>
          <w:highlight w:val="none"/>
        </w:rPr>
      </w:pPr>
    </w:p>
    <w:p w14:paraId="0082F041">
      <w:pPr>
        <w:pStyle w:val="23"/>
        <w:ind w:left="420" w:firstLine="420"/>
        <w:rPr>
          <w:color w:val="auto"/>
          <w:highlight w:val="none"/>
        </w:rPr>
      </w:pPr>
    </w:p>
    <w:p w14:paraId="66BFF25F">
      <w:pPr>
        <w:pStyle w:val="23"/>
        <w:ind w:left="420" w:firstLine="420"/>
        <w:rPr>
          <w:color w:val="auto"/>
          <w:highlight w:val="none"/>
        </w:rPr>
      </w:pPr>
    </w:p>
    <w:p w14:paraId="0B164C29">
      <w:pPr>
        <w:pStyle w:val="23"/>
        <w:ind w:left="420" w:firstLine="420"/>
        <w:rPr>
          <w:color w:val="auto"/>
          <w:highlight w:val="none"/>
        </w:rPr>
      </w:pPr>
    </w:p>
    <w:p w14:paraId="57D8E864">
      <w:pPr>
        <w:pStyle w:val="23"/>
        <w:ind w:left="420" w:firstLine="420"/>
        <w:rPr>
          <w:color w:val="auto"/>
          <w:highlight w:val="none"/>
        </w:rPr>
      </w:pPr>
    </w:p>
    <w:p w14:paraId="7E3F5695">
      <w:pPr>
        <w:pStyle w:val="23"/>
        <w:ind w:left="420" w:firstLine="420"/>
        <w:rPr>
          <w:color w:val="auto"/>
          <w:highlight w:val="none"/>
        </w:rPr>
      </w:pPr>
    </w:p>
    <w:p w14:paraId="074A3F69">
      <w:pPr>
        <w:rPr>
          <w:rFonts w:ascii="宋体" w:hAnsi="宋体"/>
          <w:color w:val="auto"/>
          <w:sz w:val="24"/>
          <w:highlight w:val="none"/>
        </w:rPr>
      </w:pPr>
    </w:p>
    <w:p w14:paraId="0D8170DA">
      <w:pPr>
        <w:rPr>
          <w:rFonts w:ascii="宋体" w:hAnsi="宋体"/>
          <w:bCs/>
          <w:color w:val="auto"/>
          <w:highlight w:val="none"/>
        </w:rPr>
      </w:pPr>
    </w:p>
    <w:p w14:paraId="7099E6A1">
      <w:pPr>
        <w:jc w:val="center"/>
        <w:rPr>
          <w:rFonts w:ascii="宋体" w:hAnsi="宋体"/>
          <w:color w:val="auto"/>
          <w:sz w:val="28"/>
          <w:szCs w:val="28"/>
          <w:highlight w:val="none"/>
        </w:rPr>
      </w:pPr>
      <w:bookmarkStart w:id="352" w:name="_Toc1871"/>
      <w:bookmarkStart w:id="353" w:name="_Toc22410"/>
      <w:bookmarkStart w:id="354" w:name="_Toc1947"/>
      <w:bookmarkStart w:id="355" w:name="_Toc14997"/>
      <w:bookmarkStart w:id="356" w:name="_Toc15023"/>
      <w:bookmarkStart w:id="357" w:name="_Toc20561"/>
      <w:bookmarkStart w:id="358" w:name="_Toc12980"/>
      <w:bookmarkStart w:id="359" w:name="_Toc16147"/>
      <w:bookmarkStart w:id="360" w:name="_Toc9467"/>
      <w:bookmarkStart w:id="361" w:name="_Toc647"/>
      <w:bookmarkStart w:id="362" w:name="_Toc5424"/>
      <w:r>
        <w:rPr>
          <w:rFonts w:hint="eastAsia" w:ascii="宋体" w:hAnsi="宋体"/>
          <w:bCs/>
          <w:color w:val="auto"/>
          <w:sz w:val="28"/>
          <w:szCs w:val="28"/>
          <w:highlight w:val="none"/>
        </w:rPr>
        <w:t>9、供应商基本情况</w:t>
      </w:r>
      <w:bookmarkEnd w:id="352"/>
      <w:bookmarkEnd w:id="353"/>
      <w:bookmarkEnd w:id="354"/>
      <w:bookmarkEnd w:id="355"/>
      <w:bookmarkEnd w:id="356"/>
      <w:bookmarkEnd w:id="357"/>
      <w:bookmarkEnd w:id="358"/>
      <w:bookmarkEnd w:id="359"/>
      <w:bookmarkEnd w:id="360"/>
      <w:bookmarkEnd w:id="361"/>
      <w:bookmarkEnd w:id="362"/>
    </w:p>
    <w:p w14:paraId="3478521A">
      <w:pPr>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36C2B94D">
      <w:pPr>
        <w:rPr>
          <w:rFonts w:ascii="宋体" w:hAnsi="宋体"/>
          <w:color w:val="auto"/>
          <w:highlight w:val="none"/>
        </w:rPr>
      </w:pPr>
    </w:p>
    <w:p w14:paraId="28B32D9B">
      <w:pPr>
        <w:rPr>
          <w:rFonts w:ascii="宋体" w:hAnsi="宋体"/>
          <w:color w:val="auto"/>
          <w:highlight w:val="none"/>
        </w:rPr>
      </w:pPr>
    </w:p>
    <w:p w14:paraId="674DDED2">
      <w:pPr>
        <w:rPr>
          <w:rFonts w:ascii="宋体" w:hAnsi="宋体"/>
          <w:color w:val="auto"/>
          <w:highlight w:val="none"/>
        </w:rPr>
      </w:pPr>
    </w:p>
    <w:p w14:paraId="400CA9DB">
      <w:pPr>
        <w:rPr>
          <w:rFonts w:ascii="宋体" w:hAnsi="宋体"/>
          <w:color w:val="auto"/>
          <w:highlight w:val="none"/>
        </w:rPr>
      </w:pPr>
    </w:p>
    <w:p w14:paraId="34AC3073">
      <w:pPr>
        <w:rPr>
          <w:rFonts w:ascii="宋体" w:hAnsi="宋体"/>
          <w:color w:val="auto"/>
          <w:highlight w:val="none"/>
        </w:rPr>
      </w:pPr>
    </w:p>
    <w:p w14:paraId="001AC209">
      <w:pPr>
        <w:rPr>
          <w:rFonts w:ascii="宋体" w:hAnsi="宋体"/>
          <w:color w:val="auto"/>
          <w:highlight w:val="none"/>
        </w:rPr>
      </w:pPr>
    </w:p>
    <w:p w14:paraId="0BB98B81">
      <w:pPr>
        <w:rPr>
          <w:rFonts w:ascii="宋体" w:hAnsi="宋体"/>
          <w:color w:val="auto"/>
          <w:highlight w:val="none"/>
        </w:rPr>
      </w:pPr>
    </w:p>
    <w:p w14:paraId="4E19DC9C">
      <w:pPr>
        <w:rPr>
          <w:rFonts w:ascii="宋体" w:hAnsi="宋体"/>
          <w:color w:val="auto"/>
          <w:highlight w:val="none"/>
        </w:rPr>
      </w:pPr>
    </w:p>
    <w:p w14:paraId="715C0599">
      <w:pPr>
        <w:rPr>
          <w:rFonts w:ascii="宋体" w:hAnsi="宋体"/>
          <w:color w:val="auto"/>
          <w:highlight w:val="none"/>
        </w:rPr>
      </w:pPr>
    </w:p>
    <w:p w14:paraId="0E99097E">
      <w:pPr>
        <w:rPr>
          <w:rFonts w:ascii="宋体" w:hAnsi="宋体"/>
          <w:color w:val="auto"/>
          <w:highlight w:val="none"/>
        </w:rPr>
      </w:pPr>
    </w:p>
    <w:p w14:paraId="7B8369C8">
      <w:pPr>
        <w:pStyle w:val="22"/>
        <w:ind w:firstLine="240"/>
        <w:rPr>
          <w:color w:val="auto"/>
          <w:highlight w:val="none"/>
        </w:rPr>
      </w:pPr>
    </w:p>
    <w:p w14:paraId="18D60265">
      <w:pPr>
        <w:pStyle w:val="22"/>
        <w:ind w:firstLine="240"/>
        <w:rPr>
          <w:color w:val="auto"/>
          <w:highlight w:val="none"/>
        </w:rPr>
      </w:pPr>
    </w:p>
    <w:p w14:paraId="446BD9F1">
      <w:pPr>
        <w:pStyle w:val="22"/>
        <w:ind w:firstLine="240"/>
        <w:rPr>
          <w:color w:val="auto"/>
          <w:highlight w:val="none"/>
        </w:rPr>
      </w:pPr>
    </w:p>
    <w:p w14:paraId="61BC1355">
      <w:pPr>
        <w:pStyle w:val="22"/>
        <w:ind w:firstLine="240"/>
        <w:rPr>
          <w:color w:val="auto"/>
          <w:highlight w:val="none"/>
        </w:rPr>
      </w:pPr>
    </w:p>
    <w:p w14:paraId="3402B335">
      <w:pPr>
        <w:pStyle w:val="22"/>
        <w:ind w:firstLine="240"/>
        <w:rPr>
          <w:color w:val="auto"/>
          <w:highlight w:val="none"/>
        </w:rPr>
      </w:pPr>
    </w:p>
    <w:p w14:paraId="0BE71717">
      <w:pPr>
        <w:pStyle w:val="22"/>
        <w:ind w:firstLine="240"/>
        <w:rPr>
          <w:color w:val="auto"/>
          <w:highlight w:val="none"/>
        </w:rPr>
      </w:pPr>
    </w:p>
    <w:p w14:paraId="3343B2C9">
      <w:pPr>
        <w:pStyle w:val="22"/>
        <w:ind w:firstLine="240"/>
        <w:rPr>
          <w:color w:val="auto"/>
          <w:highlight w:val="none"/>
        </w:rPr>
      </w:pPr>
    </w:p>
    <w:p w14:paraId="75874473">
      <w:pPr>
        <w:pStyle w:val="22"/>
        <w:ind w:firstLine="240"/>
        <w:rPr>
          <w:color w:val="auto"/>
          <w:highlight w:val="none"/>
        </w:rPr>
      </w:pPr>
    </w:p>
    <w:p w14:paraId="1A256D5B">
      <w:pPr>
        <w:rPr>
          <w:rFonts w:ascii="宋体" w:hAnsi="宋体"/>
          <w:color w:val="auto"/>
          <w:highlight w:val="none"/>
        </w:rPr>
      </w:pPr>
    </w:p>
    <w:p w14:paraId="6BC23B29">
      <w:pPr>
        <w:pStyle w:val="22"/>
        <w:ind w:firstLine="240"/>
        <w:rPr>
          <w:color w:val="auto"/>
          <w:highlight w:val="none"/>
        </w:rPr>
      </w:pPr>
    </w:p>
    <w:p w14:paraId="684BB419">
      <w:pPr>
        <w:pStyle w:val="23"/>
        <w:ind w:left="420" w:firstLine="420"/>
        <w:rPr>
          <w:color w:val="auto"/>
          <w:highlight w:val="none"/>
        </w:rPr>
      </w:pPr>
    </w:p>
    <w:p w14:paraId="33356469">
      <w:pPr>
        <w:pStyle w:val="23"/>
        <w:ind w:left="420" w:firstLine="420"/>
        <w:rPr>
          <w:color w:val="auto"/>
          <w:highlight w:val="none"/>
        </w:rPr>
      </w:pPr>
    </w:p>
    <w:p w14:paraId="631EBEE4">
      <w:pPr>
        <w:pStyle w:val="23"/>
        <w:ind w:left="420" w:firstLine="420"/>
        <w:rPr>
          <w:color w:val="auto"/>
          <w:highlight w:val="none"/>
        </w:rPr>
      </w:pPr>
    </w:p>
    <w:p w14:paraId="60529151">
      <w:pPr>
        <w:pStyle w:val="23"/>
        <w:ind w:left="420" w:firstLine="420"/>
        <w:rPr>
          <w:color w:val="auto"/>
          <w:highlight w:val="none"/>
        </w:rPr>
      </w:pPr>
    </w:p>
    <w:p w14:paraId="6D64086B">
      <w:pPr>
        <w:pStyle w:val="23"/>
        <w:ind w:left="420" w:firstLine="420"/>
        <w:rPr>
          <w:color w:val="auto"/>
          <w:highlight w:val="none"/>
        </w:rPr>
      </w:pPr>
    </w:p>
    <w:p w14:paraId="3E2194C9">
      <w:pPr>
        <w:pStyle w:val="23"/>
        <w:ind w:left="420" w:firstLine="420"/>
        <w:rPr>
          <w:color w:val="auto"/>
          <w:highlight w:val="none"/>
        </w:rPr>
      </w:pPr>
    </w:p>
    <w:p w14:paraId="76162A00">
      <w:pPr>
        <w:pStyle w:val="23"/>
        <w:ind w:left="420" w:firstLine="420"/>
        <w:rPr>
          <w:color w:val="auto"/>
          <w:highlight w:val="none"/>
        </w:rPr>
      </w:pPr>
    </w:p>
    <w:p w14:paraId="41A98D5A">
      <w:pPr>
        <w:pStyle w:val="23"/>
        <w:ind w:left="420" w:firstLine="420"/>
        <w:rPr>
          <w:color w:val="auto"/>
          <w:highlight w:val="none"/>
        </w:rPr>
      </w:pPr>
    </w:p>
    <w:p w14:paraId="4D653425">
      <w:pPr>
        <w:pStyle w:val="23"/>
        <w:ind w:left="420" w:firstLine="420"/>
        <w:rPr>
          <w:color w:val="auto"/>
          <w:highlight w:val="none"/>
        </w:rPr>
      </w:pPr>
    </w:p>
    <w:p w14:paraId="5FDA400D">
      <w:pPr>
        <w:pStyle w:val="23"/>
        <w:ind w:left="420" w:firstLine="420"/>
        <w:rPr>
          <w:color w:val="auto"/>
          <w:highlight w:val="none"/>
        </w:rPr>
      </w:pPr>
    </w:p>
    <w:p w14:paraId="0FE0F3FF">
      <w:pPr>
        <w:pStyle w:val="23"/>
        <w:ind w:left="420" w:firstLine="420"/>
        <w:rPr>
          <w:color w:val="auto"/>
          <w:highlight w:val="none"/>
        </w:rPr>
      </w:pPr>
    </w:p>
    <w:p w14:paraId="43CD19A0">
      <w:pPr>
        <w:pStyle w:val="23"/>
        <w:ind w:left="420" w:firstLine="420"/>
        <w:rPr>
          <w:color w:val="auto"/>
          <w:highlight w:val="none"/>
        </w:rPr>
      </w:pPr>
    </w:p>
    <w:p w14:paraId="43335A63">
      <w:pPr>
        <w:pStyle w:val="23"/>
        <w:ind w:left="420" w:firstLine="420"/>
        <w:rPr>
          <w:color w:val="auto"/>
          <w:highlight w:val="none"/>
        </w:rPr>
      </w:pPr>
    </w:p>
    <w:p w14:paraId="386A125E">
      <w:pPr>
        <w:pStyle w:val="23"/>
        <w:ind w:left="420" w:firstLine="420"/>
        <w:rPr>
          <w:color w:val="auto"/>
          <w:highlight w:val="none"/>
        </w:rPr>
      </w:pPr>
    </w:p>
    <w:p w14:paraId="2FE16D19">
      <w:pPr>
        <w:pStyle w:val="23"/>
        <w:ind w:left="420" w:firstLine="420"/>
        <w:rPr>
          <w:color w:val="auto"/>
          <w:highlight w:val="none"/>
        </w:rPr>
      </w:pPr>
    </w:p>
    <w:p w14:paraId="7D9D91CB">
      <w:pPr>
        <w:rPr>
          <w:rFonts w:ascii="宋体" w:hAnsi="宋体"/>
          <w:color w:val="auto"/>
          <w:highlight w:val="none"/>
        </w:rPr>
      </w:pPr>
    </w:p>
    <w:p w14:paraId="7A720F76">
      <w:pPr>
        <w:rPr>
          <w:rFonts w:ascii="宋体" w:hAnsi="宋体"/>
          <w:color w:val="auto"/>
          <w:highlight w:val="none"/>
        </w:rPr>
      </w:pPr>
    </w:p>
    <w:p w14:paraId="43DE6CD5">
      <w:pPr>
        <w:rPr>
          <w:rFonts w:ascii="宋体" w:hAnsi="宋体"/>
          <w:color w:val="auto"/>
          <w:highlight w:val="none"/>
        </w:rPr>
      </w:pPr>
    </w:p>
    <w:p w14:paraId="4D3051CD">
      <w:pPr>
        <w:jc w:val="center"/>
        <w:rPr>
          <w:rFonts w:ascii="宋体" w:hAnsi="宋体"/>
          <w:color w:val="auto"/>
          <w:sz w:val="28"/>
          <w:szCs w:val="28"/>
          <w:highlight w:val="none"/>
        </w:rPr>
      </w:pPr>
      <w:bookmarkStart w:id="363" w:name="_Toc14349"/>
      <w:bookmarkStart w:id="364" w:name="_Toc2559"/>
      <w:bookmarkStart w:id="365" w:name="_Toc19378"/>
      <w:bookmarkStart w:id="366" w:name="_Toc26997"/>
      <w:bookmarkStart w:id="367" w:name="_Toc24476"/>
      <w:bookmarkStart w:id="368" w:name="_Toc24441"/>
      <w:bookmarkStart w:id="369" w:name="_Toc28025"/>
      <w:bookmarkStart w:id="370" w:name="_Toc3508"/>
      <w:bookmarkStart w:id="371" w:name="_Toc4166"/>
      <w:bookmarkStart w:id="372" w:name="_Toc29287"/>
      <w:bookmarkStart w:id="373" w:name="_Toc1995"/>
      <w:r>
        <w:rPr>
          <w:rFonts w:hint="eastAsia" w:ascii="宋体" w:hAnsi="宋体"/>
          <w:bCs/>
          <w:color w:val="auto"/>
          <w:sz w:val="28"/>
          <w:szCs w:val="28"/>
          <w:highlight w:val="none"/>
        </w:rPr>
        <w:t>10、类似项目业绩情况表</w:t>
      </w:r>
      <w:bookmarkEnd w:id="363"/>
      <w:bookmarkEnd w:id="364"/>
      <w:bookmarkEnd w:id="365"/>
      <w:bookmarkEnd w:id="366"/>
      <w:bookmarkEnd w:id="367"/>
      <w:bookmarkEnd w:id="368"/>
      <w:bookmarkEnd w:id="369"/>
      <w:bookmarkEnd w:id="370"/>
      <w:bookmarkEnd w:id="371"/>
      <w:bookmarkEnd w:id="372"/>
      <w:bookmarkEnd w:id="373"/>
    </w:p>
    <w:p w14:paraId="6FAED620">
      <w:pPr>
        <w:rPr>
          <w:rFonts w:ascii="宋体" w:hAnsi="宋体"/>
          <w:b/>
          <w:color w:val="auto"/>
          <w:spacing w:val="10"/>
          <w:sz w:val="24"/>
          <w:highlight w:val="none"/>
        </w:rPr>
      </w:pPr>
      <w:bookmarkStart w:id="374" w:name="_Toc31590"/>
      <w:bookmarkStart w:id="375" w:name="_Toc32395"/>
      <w:bookmarkStart w:id="376" w:name="_Toc509411892"/>
      <w:r>
        <w:rPr>
          <w:rFonts w:hint="eastAsia" w:ascii="宋体" w:hAnsi="宋体"/>
          <w:color w:val="auto"/>
          <w:sz w:val="24"/>
          <w:highlight w:val="none"/>
        </w:rPr>
        <w:t>供应商名称：</w:t>
      </w:r>
      <w:bookmarkEnd w:id="374"/>
      <w:bookmarkEnd w:id="375"/>
      <w:bookmarkEnd w:id="376"/>
      <w:r>
        <w:rPr>
          <w:rFonts w:hint="eastAsia" w:ascii="宋体" w:hAnsi="宋体"/>
          <w:color w:val="auto"/>
          <w:sz w:val="24"/>
          <w:highlight w:val="none"/>
        </w:rPr>
        <w:t xml:space="preserve">                                </w:t>
      </w:r>
    </w:p>
    <w:tbl>
      <w:tblPr>
        <w:tblStyle w:val="2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7F1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47396935">
            <w:pPr>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49788FCF">
            <w:pPr>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1E2ABECF">
            <w:pPr>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548E766E">
            <w:pPr>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4358DCFD">
            <w:pPr>
              <w:rPr>
                <w:rFonts w:ascii="宋体" w:hAnsi="宋体"/>
                <w:bCs/>
                <w:color w:val="auto"/>
                <w:sz w:val="24"/>
                <w:highlight w:val="none"/>
              </w:rPr>
            </w:pPr>
            <w:r>
              <w:rPr>
                <w:rFonts w:hint="eastAsia" w:ascii="宋体" w:hAnsi="宋体"/>
                <w:bCs/>
                <w:color w:val="auto"/>
                <w:sz w:val="24"/>
                <w:highlight w:val="none"/>
              </w:rPr>
              <w:t>采购单位（甲方）名称</w:t>
            </w:r>
          </w:p>
        </w:tc>
        <w:tc>
          <w:tcPr>
            <w:tcW w:w="1219" w:type="dxa"/>
            <w:vAlign w:val="center"/>
          </w:tcPr>
          <w:p w14:paraId="01659114">
            <w:pPr>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70B4807A">
            <w:pPr>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5134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92212B8">
            <w:pPr>
              <w:rPr>
                <w:rFonts w:ascii="宋体" w:hAnsi="宋体"/>
                <w:bCs/>
                <w:color w:val="auto"/>
                <w:w w:val="90"/>
                <w:sz w:val="24"/>
                <w:highlight w:val="none"/>
              </w:rPr>
            </w:pPr>
          </w:p>
        </w:tc>
        <w:tc>
          <w:tcPr>
            <w:tcW w:w="1732" w:type="dxa"/>
            <w:vAlign w:val="center"/>
          </w:tcPr>
          <w:p w14:paraId="4512F4DC">
            <w:pPr>
              <w:rPr>
                <w:rFonts w:ascii="宋体" w:hAnsi="宋体"/>
                <w:bCs/>
                <w:color w:val="auto"/>
                <w:w w:val="90"/>
                <w:sz w:val="24"/>
                <w:highlight w:val="none"/>
              </w:rPr>
            </w:pPr>
          </w:p>
        </w:tc>
        <w:tc>
          <w:tcPr>
            <w:tcW w:w="1487" w:type="dxa"/>
            <w:vAlign w:val="center"/>
          </w:tcPr>
          <w:p w14:paraId="462BBC2A">
            <w:pPr>
              <w:rPr>
                <w:rFonts w:ascii="宋体" w:hAnsi="宋体"/>
                <w:bCs/>
                <w:color w:val="auto"/>
                <w:w w:val="90"/>
                <w:sz w:val="24"/>
                <w:highlight w:val="none"/>
              </w:rPr>
            </w:pPr>
          </w:p>
        </w:tc>
        <w:tc>
          <w:tcPr>
            <w:tcW w:w="1262" w:type="dxa"/>
            <w:vAlign w:val="center"/>
          </w:tcPr>
          <w:p w14:paraId="66845B77">
            <w:pPr>
              <w:rPr>
                <w:rFonts w:ascii="宋体" w:hAnsi="宋体"/>
                <w:bCs/>
                <w:color w:val="auto"/>
                <w:w w:val="90"/>
                <w:sz w:val="24"/>
                <w:highlight w:val="none"/>
              </w:rPr>
            </w:pPr>
          </w:p>
        </w:tc>
        <w:tc>
          <w:tcPr>
            <w:tcW w:w="1219" w:type="dxa"/>
            <w:vAlign w:val="center"/>
          </w:tcPr>
          <w:p w14:paraId="4214DFD1">
            <w:pPr>
              <w:rPr>
                <w:rFonts w:ascii="宋体" w:hAnsi="宋体"/>
                <w:bCs/>
                <w:color w:val="auto"/>
                <w:w w:val="90"/>
                <w:sz w:val="24"/>
                <w:highlight w:val="none"/>
              </w:rPr>
            </w:pPr>
          </w:p>
        </w:tc>
        <w:tc>
          <w:tcPr>
            <w:tcW w:w="1219" w:type="dxa"/>
            <w:vAlign w:val="center"/>
          </w:tcPr>
          <w:p w14:paraId="53CDFCC2">
            <w:pPr>
              <w:rPr>
                <w:rFonts w:ascii="宋体" w:hAnsi="宋体"/>
                <w:bCs/>
                <w:color w:val="auto"/>
                <w:w w:val="90"/>
                <w:sz w:val="24"/>
                <w:highlight w:val="none"/>
              </w:rPr>
            </w:pPr>
          </w:p>
        </w:tc>
        <w:tc>
          <w:tcPr>
            <w:tcW w:w="1310" w:type="dxa"/>
            <w:vAlign w:val="center"/>
          </w:tcPr>
          <w:p w14:paraId="1F285184">
            <w:pPr>
              <w:rPr>
                <w:rFonts w:ascii="宋体" w:hAnsi="宋体"/>
                <w:bCs/>
                <w:color w:val="auto"/>
                <w:w w:val="90"/>
                <w:sz w:val="24"/>
                <w:highlight w:val="none"/>
              </w:rPr>
            </w:pPr>
          </w:p>
        </w:tc>
      </w:tr>
      <w:tr w14:paraId="0806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933CEDD">
            <w:pPr>
              <w:rPr>
                <w:rFonts w:ascii="宋体" w:hAnsi="宋体"/>
                <w:bCs/>
                <w:color w:val="auto"/>
                <w:w w:val="90"/>
                <w:sz w:val="24"/>
                <w:highlight w:val="none"/>
              </w:rPr>
            </w:pPr>
          </w:p>
        </w:tc>
        <w:tc>
          <w:tcPr>
            <w:tcW w:w="1732" w:type="dxa"/>
            <w:vAlign w:val="center"/>
          </w:tcPr>
          <w:p w14:paraId="1CB81EA8">
            <w:pPr>
              <w:rPr>
                <w:rFonts w:ascii="宋体" w:hAnsi="宋体"/>
                <w:bCs/>
                <w:color w:val="auto"/>
                <w:w w:val="90"/>
                <w:sz w:val="24"/>
                <w:highlight w:val="none"/>
              </w:rPr>
            </w:pPr>
          </w:p>
        </w:tc>
        <w:tc>
          <w:tcPr>
            <w:tcW w:w="1487" w:type="dxa"/>
            <w:vAlign w:val="center"/>
          </w:tcPr>
          <w:p w14:paraId="6B3629EE">
            <w:pPr>
              <w:rPr>
                <w:rFonts w:ascii="宋体" w:hAnsi="宋体"/>
                <w:bCs/>
                <w:color w:val="auto"/>
                <w:w w:val="90"/>
                <w:sz w:val="24"/>
                <w:highlight w:val="none"/>
              </w:rPr>
            </w:pPr>
          </w:p>
        </w:tc>
        <w:tc>
          <w:tcPr>
            <w:tcW w:w="1262" w:type="dxa"/>
            <w:vAlign w:val="center"/>
          </w:tcPr>
          <w:p w14:paraId="5EF0C983">
            <w:pPr>
              <w:rPr>
                <w:rFonts w:ascii="宋体" w:hAnsi="宋体"/>
                <w:bCs/>
                <w:color w:val="auto"/>
                <w:w w:val="90"/>
                <w:sz w:val="24"/>
                <w:highlight w:val="none"/>
              </w:rPr>
            </w:pPr>
          </w:p>
        </w:tc>
        <w:tc>
          <w:tcPr>
            <w:tcW w:w="1219" w:type="dxa"/>
            <w:vAlign w:val="center"/>
          </w:tcPr>
          <w:p w14:paraId="6252785D">
            <w:pPr>
              <w:rPr>
                <w:rFonts w:ascii="宋体" w:hAnsi="宋体"/>
                <w:bCs/>
                <w:color w:val="auto"/>
                <w:w w:val="90"/>
                <w:sz w:val="24"/>
                <w:highlight w:val="none"/>
              </w:rPr>
            </w:pPr>
          </w:p>
        </w:tc>
        <w:tc>
          <w:tcPr>
            <w:tcW w:w="1219" w:type="dxa"/>
            <w:vAlign w:val="center"/>
          </w:tcPr>
          <w:p w14:paraId="6FA75182">
            <w:pPr>
              <w:rPr>
                <w:rFonts w:ascii="宋体" w:hAnsi="宋体"/>
                <w:bCs/>
                <w:color w:val="auto"/>
                <w:w w:val="90"/>
                <w:sz w:val="24"/>
                <w:highlight w:val="none"/>
              </w:rPr>
            </w:pPr>
          </w:p>
        </w:tc>
        <w:tc>
          <w:tcPr>
            <w:tcW w:w="1310" w:type="dxa"/>
            <w:vAlign w:val="center"/>
          </w:tcPr>
          <w:p w14:paraId="0394AABF">
            <w:pPr>
              <w:rPr>
                <w:rFonts w:ascii="宋体" w:hAnsi="宋体"/>
                <w:bCs/>
                <w:color w:val="auto"/>
                <w:w w:val="90"/>
                <w:sz w:val="24"/>
                <w:highlight w:val="none"/>
              </w:rPr>
            </w:pPr>
          </w:p>
        </w:tc>
      </w:tr>
      <w:tr w14:paraId="2D12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965D316">
            <w:pPr>
              <w:rPr>
                <w:rFonts w:ascii="宋体" w:hAnsi="宋体"/>
                <w:bCs/>
                <w:color w:val="auto"/>
                <w:w w:val="90"/>
                <w:sz w:val="24"/>
                <w:highlight w:val="none"/>
              </w:rPr>
            </w:pPr>
          </w:p>
        </w:tc>
        <w:tc>
          <w:tcPr>
            <w:tcW w:w="1732" w:type="dxa"/>
            <w:vAlign w:val="center"/>
          </w:tcPr>
          <w:p w14:paraId="3B262FA7">
            <w:pPr>
              <w:rPr>
                <w:rFonts w:ascii="宋体" w:hAnsi="宋体"/>
                <w:bCs/>
                <w:color w:val="auto"/>
                <w:w w:val="90"/>
                <w:sz w:val="24"/>
                <w:highlight w:val="none"/>
              </w:rPr>
            </w:pPr>
          </w:p>
        </w:tc>
        <w:tc>
          <w:tcPr>
            <w:tcW w:w="1487" w:type="dxa"/>
            <w:vAlign w:val="center"/>
          </w:tcPr>
          <w:p w14:paraId="3BD3B1C7">
            <w:pPr>
              <w:rPr>
                <w:rFonts w:ascii="宋体" w:hAnsi="宋体"/>
                <w:bCs/>
                <w:color w:val="auto"/>
                <w:w w:val="90"/>
                <w:sz w:val="24"/>
                <w:highlight w:val="none"/>
              </w:rPr>
            </w:pPr>
          </w:p>
        </w:tc>
        <w:tc>
          <w:tcPr>
            <w:tcW w:w="1262" w:type="dxa"/>
            <w:vAlign w:val="center"/>
          </w:tcPr>
          <w:p w14:paraId="7BC3FFCB">
            <w:pPr>
              <w:rPr>
                <w:rFonts w:ascii="宋体" w:hAnsi="宋体"/>
                <w:bCs/>
                <w:color w:val="auto"/>
                <w:w w:val="90"/>
                <w:sz w:val="24"/>
                <w:highlight w:val="none"/>
              </w:rPr>
            </w:pPr>
          </w:p>
        </w:tc>
        <w:tc>
          <w:tcPr>
            <w:tcW w:w="1219" w:type="dxa"/>
            <w:vAlign w:val="center"/>
          </w:tcPr>
          <w:p w14:paraId="1CCD5DAE">
            <w:pPr>
              <w:rPr>
                <w:rFonts w:ascii="宋体" w:hAnsi="宋体"/>
                <w:bCs/>
                <w:color w:val="auto"/>
                <w:w w:val="90"/>
                <w:sz w:val="24"/>
                <w:highlight w:val="none"/>
              </w:rPr>
            </w:pPr>
          </w:p>
        </w:tc>
        <w:tc>
          <w:tcPr>
            <w:tcW w:w="1219" w:type="dxa"/>
            <w:vAlign w:val="center"/>
          </w:tcPr>
          <w:p w14:paraId="146CA3BA">
            <w:pPr>
              <w:rPr>
                <w:rFonts w:ascii="宋体" w:hAnsi="宋体"/>
                <w:bCs/>
                <w:color w:val="auto"/>
                <w:w w:val="90"/>
                <w:sz w:val="24"/>
                <w:highlight w:val="none"/>
              </w:rPr>
            </w:pPr>
          </w:p>
        </w:tc>
        <w:tc>
          <w:tcPr>
            <w:tcW w:w="1310" w:type="dxa"/>
            <w:vAlign w:val="center"/>
          </w:tcPr>
          <w:p w14:paraId="2D1BEAEC">
            <w:pPr>
              <w:rPr>
                <w:rFonts w:ascii="宋体" w:hAnsi="宋体"/>
                <w:bCs/>
                <w:color w:val="auto"/>
                <w:w w:val="90"/>
                <w:sz w:val="24"/>
                <w:highlight w:val="none"/>
              </w:rPr>
            </w:pPr>
          </w:p>
        </w:tc>
      </w:tr>
      <w:tr w14:paraId="0E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BF7E41A">
            <w:pPr>
              <w:rPr>
                <w:rFonts w:ascii="宋体" w:hAnsi="宋体"/>
                <w:bCs/>
                <w:color w:val="auto"/>
                <w:w w:val="90"/>
                <w:sz w:val="24"/>
                <w:highlight w:val="none"/>
              </w:rPr>
            </w:pPr>
          </w:p>
        </w:tc>
        <w:tc>
          <w:tcPr>
            <w:tcW w:w="1732" w:type="dxa"/>
            <w:vAlign w:val="center"/>
          </w:tcPr>
          <w:p w14:paraId="7EC0B0F4">
            <w:pPr>
              <w:rPr>
                <w:rFonts w:ascii="宋体" w:hAnsi="宋体"/>
                <w:bCs/>
                <w:color w:val="auto"/>
                <w:w w:val="90"/>
                <w:sz w:val="24"/>
                <w:highlight w:val="none"/>
              </w:rPr>
            </w:pPr>
          </w:p>
        </w:tc>
        <w:tc>
          <w:tcPr>
            <w:tcW w:w="1487" w:type="dxa"/>
            <w:vAlign w:val="center"/>
          </w:tcPr>
          <w:p w14:paraId="5A8710DD">
            <w:pPr>
              <w:rPr>
                <w:rFonts w:ascii="宋体" w:hAnsi="宋体"/>
                <w:bCs/>
                <w:color w:val="auto"/>
                <w:w w:val="90"/>
                <w:sz w:val="24"/>
                <w:highlight w:val="none"/>
              </w:rPr>
            </w:pPr>
          </w:p>
        </w:tc>
        <w:tc>
          <w:tcPr>
            <w:tcW w:w="1262" w:type="dxa"/>
            <w:vAlign w:val="center"/>
          </w:tcPr>
          <w:p w14:paraId="1BA82405">
            <w:pPr>
              <w:rPr>
                <w:rFonts w:ascii="宋体" w:hAnsi="宋体"/>
                <w:bCs/>
                <w:color w:val="auto"/>
                <w:w w:val="90"/>
                <w:sz w:val="24"/>
                <w:highlight w:val="none"/>
              </w:rPr>
            </w:pPr>
          </w:p>
        </w:tc>
        <w:tc>
          <w:tcPr>
            <w:tcW w:w="1219" w:type="dxa"/>
            <w:vAlign w:val="center"/>
          </w:tcPr>
          <w:p w14:paraId="666D03EC">
            <w:pPr>
              <w:rPr>
                <w:rFonts w:ascii="宋体" w:hAnsi="宋体"/>
                <w:bCs/>
                <w:color w:val="auto"/>
                <w:w w:val="90"/>
                <w:sz w:val="24"/>
                <w:highlight w:val="none"/>
              </w:rPr>
            </w:pPr>
          </w:p>
        </w:tc>
        <w:tc>
          <w:tcPr>
            <w:tcW w:w="1219" w:type="dxa"/>
            <w:vAlign w:val="center"/>
          </w:tcPr>
          <w:p w14:paraId="2E9A7073">
            <w:pPr>
              <w:rPr>
                <w:rFonts w:ascii="宋体" w:hAnsi="宋体"/>
                <w:bCs/>
                <w:color w:val="auto"/>
                <w:w w:val="90"/>
                <w:sz w:val="24"/>
                <w:highlight w:val="none"/>
              </w:rPr>
            </w:pPr>
          </w:p>
        </w:tc>
        <w:tc>
          <w:tcPr>
            <w:tcW w:w="1310" w:type="dxa"/>
            <w:vAlign w:val="center"/>
          </w:tcPr>
          <w:p w14:paraId="48AF05A9">
            <w:pPr>
              <w:rPr>
                <w:rFonts w:ascii="宋体" w:hAnsi="宋体"/>
                <w:bCs/>
                <w:color w:val="auto"/>
                <w:w w:val="90"/>
                <w:sz w:val="24"/>
                <w:highlight w:val="none"/>
              </w:rPr>
            </w:pPr>
          </w:p>
        </w:tc>
      </w:tr>
      <w:tr w14:paraId="437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541971E">
            <w:pPr>
              <w:rPr>
                <w:rFonts w:ascii="宋体" w:hAnsi="宋体"/>
                <w:bCs/>
                <w:color w:val="auto"/>
                <w:w w:val="90"/>
                <w:sz w:val="24"/>
                <w:highlight w:val="none"/>
              </w:rPr>
            </w:pPr>
          </w:p>
        </w:tc>
        <w:tc>
          <w:tcPr>
            <w:tcW w:w="1732" w:type="dxa"/>
            <w:vAlign w:val="center"/>
          </w:tcPr>
          <w:p w14:paraId="1581E0DC">
            <w:pPr>
              <w:rPr>
                <w:rFonts w:ascii="宋体" w:hAnsi="宋体"/>
                <w:bCs/>
                <w:color w:val="auto"/>
                <w:w w:val="90"/>
                <w:sz w:val="24"/>
                <w:highlight w:val="none"/>
              </w:rPr>
            </w:pPr>
          </w:p>
        </w:tc>
        <w:tc>
          <w:tcPr>
            <w:tcW w:w="1487" w:type="dxa"/>
            <w:vAlign w:val="center"/>
          </w:tcPr>
          <w:p w14:paraId="1BA36289">
            <w:pPr>
              <w:rPr>
                <w:rFonts w:ascii="宋体" w:hAnsi="宋体"/>
                <w:bCs/>
                <w:color w:val="auto"/>
                <w:w w:val="90"/>
                <w:sz w:val="24"/>
                <w:highlight w:val="none"/>
              </w:rPr>
            </w:pPr>
          </w:p>
        </w:tc>
        <w:tc>
          <w:tcPr>
            <w:tcW w:w="1262" w:type="dxa"/>
            <w:vAlign w:val="center"/>
          </w:tcPr>
          <w:p w14:paraId="7C99437A">
            <w:pPr>
              <w:rPr>
                <w:rFonts w:ascii="宋体" w:hAnsi="宋体"/>
                <w:bCs/>
                <w:color w:val="auto"/>
                <w:w w:val="90"/>
                <w:sz w:val="24"/>
                <w:highlight w:val="none"/>
              </w:rPr>
            </w:pPr>
          </w:p>
        </w:tc>
        <w:tc>
          <w:tcPr>
            <w:tcW w:w="1219" w:type="dxa"/>
            <w:vAlign w:val="center"/>
          </w:tcPr>
          <w:p w14:paraId="3472CC26">
            <w:pPr>
              <w:rPr>
                <w:rFonts w:ascii="宋体" w:hAnsi="宋体"/>
                <w:bCs/>
                <w:color w:val="auto"/>
                <w:w w:val="90"/>
                <w:sz w:val="24"/>
                <w:highlight w:val="none"/>
              </w:rPr>
            </w:pPr>
          </w:p>
        </w:tc>
        <w:tc>
          <w:tcPr>
            <w:tcW w:w="1219" w:type="dxa"/>
            <w:vAlign w:val="center"/>
          </w:tcPr>
          <w:p w14:paraId="4E293078">
            <w:pPr>
              <w:rPr>
                <w:rFonts w:ascii="宋体" w:hAnsi="宋体"/>
                <w:bCs/>
                <w:color w:val="auto"/>
                <w:w w:val="90"/>
                <w:sz w:val="24"/>
                <w:highlight w:val="none"/>
              </w:rPr>
            </w:pPr>
          </w:p>
        </w:tc>
        <w:tc>
          <w:tcPr>
            <w:tcW w:w="1310" w:type="dxa"/>
            <w:vAlign w:val="center"/>
          </w:tcPr>
          <w:p w14:paraId="5FB7559C">
            <w:pPr>
              <w:rPr>
                <w:rFonts w:ascii="宋体" w:hAnsi="宋体"/>
                <w:bCs/>
                <w:color w:val="auto"/>
                <w:w w:val="90"/>
                <w:sz w:val="24"/>
                <w:highlight w:val="none"/>
              </w:rPr>
            </w:pPr>
          </w:p>
        </w:tc>
      </w:tr>
      <w:tr w14:paraId="5AF3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5F40060">
            <w:pPr>
              <w:rPr>
                <w:rFonts w:ascii="宋体" w:hAnsi="宋体"/>
                <w:bCs/>
                <w:color w:val="auto"/>
                <w:w w:val="90"/>
                <w:sz w:val="24"/>
                <w:highlight w:val="none"/>
              </w:rPr>
            </w:pPr>
          </w:p>
        </w:tc>
        <w:tc>
          <w:tcPr>
            <w:tcW w:w="1732" w:type="dxa"/>
            <w:vAlign w:val="center"/>
          </w:tcPr>
          <w:p w14:paraId="3D368412">
            <w:pPr>
              <w:rPr>
                <w:rFonts w:ascii="宋体" w:hAnsi="宋体"/>
                <w:bCs/>
                <w:color w:val="auto"/>
                <w:w w:val="90"/>
                <w:sz w:val="24"/>
                <w:highlight w:val="none"/>
              </w:rPr>
            </w:pPr>
          </w:p>
        </w:tc>
        <w:tc>
          <w:tcPr>
            <w:tcW w:w="1487" w:type="dxa"/>
            <w:vAlign w:val="center"/>
          </w:tcPr>
          <w:p w14:paraId="03F8B81C">
            <w:pPr>
              <w:rPr>
                <w:rFonts w:ascii="宋体" w:hAnsi="宋体"/>
                <w:bCs/>
                <w:color w:val="auto"/>
                <w:w w:val="90"/>
                <w:sz w:val="24"/>
                <w:highlight w:val="none"/>
              </w:rPr>
            </w:pPr>
          </w:p>
        </w:tc>
        <w:tc>
          <w:tcPr>
            <w:tcW w:w="1262" w:type="dxa"/>
            <w:vAlign w:val="center"/>
          </w:tcPr>
          <w:p w14:paraId="5D2F7481">
            <w:pPr>
              <w:rPr>
                <w:rFonts w:ascii="宋体" w:hAnsi="宋体"/>
                <w:bCs/>
                <w:color w:val="auto"/>
                <w:w w:val="90"/>
                <w:sz w:val="24"/>
                <w:highlight w:val="none"/>
              </w:rPr>
            </w:pPr>
          </w:p>
        </w:tc>
        <w:tc>
          <w:tcPr>
            <w:tcW w:w="1219" w:type="dxa"/>
            <w:vAlign w:val="center"/>
          </w:tcPr>
          <w:p w14:paraId="0DC72483">
            <w:pPr>
              <w:rPr>
                <w:rFonts w:ascii="宋体" w:hAnsi="宋体"/>
                <w:bCs/>
                <w:color w:val="auto"/>
                <w:w w:val="90"/>
                <w:sz w:val="24"/>
                <w:highlight w:val="none"/>
              </w:rPr>
            </w:pPr>
          </w:p>
        </w:tc>
        <w:tc>
          <w:tcPr>
            <w:tcW w:w="1219" w:type="dxa"/>
            <w:vAlign w:val="center"/>
          </w:tcPr>
          <w:p w14:paraId="4F776C8B">
            <w:pPr>
              <w:rPr>
                <w:rFonts w:ascii="宋体" w:hAnsi="宋体"/>
                <w:bCs/>
                <w:color w:val="auto"/>
                <w:w w:val="90"/>
                <w:sz w:val="24"/>
                <w:highlight w:val="none"/>
              </w:rPr>
            </w:pPr>
          </w:p>
        </w:tc>
        <w:tc>
          <w:tcPr>
            <w:tcW w:w="1310" w:type="dxa"/>
            <w:vAlign w:val="center"/>
          </w:tcPr>
          <w:p w14:paraId="5BDDDE01">
            <w:pPr>
              <w:rPr>
                <w:rFonts w:ascii="宋体" w:hAnsi="宋体"/>
                <w:bCs/>
                <w:color w:val="auto"/>
                <w:w w:val="90"/>
                <w:sz w:val="24"/>
                <w:highlight w:val="none"/>
              </w:rPr>
            </w:pPr>
          </w:p>
        </w:tc>
      </w:tr>
      <w:tr w14:paraId="4B01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3801B2A">
            <w:pPr>
              <w:rPr>
                <w:rFonts w:ascii="宋体" w:hAnsi="宋体"/>
                <w:bCs/>
                <w:color w:val="auto"/>
                <w:w w:val="90"/>
                <w:sz w:val="24"/>
                <w:highlight w:val="none"/>
              </w:rPr>
            </w:pPr>
          </w:p>
        </w:tc>
        <w:tc>
          <w:tcPr>
            <w:tcW w:w="1732" w:type="dxa"/>
            <w:vAlign w:val="center"/>
          </w:tcPr>
          <w:p w14:paraId="442F7F46">
            <w:pPr>
              <w:rPr>
                <w:rFonts w:ascii="宋体" w:hAnsi="宋体"/>
                <w:bCs/>
                <w:color w:val="auto"/>
                <w:w w:val="90"/>
                <w:sz w:val="24"/>
                <w:highlight w:val="none"/>
              </w:rPr>
            </w:pPr>
          </w:p>
        </w:tc>
        <w:tc>
          <w:tcPr>
            <w:tcW w:w="1487" w:type="dxa"/>
            <w:vAlign w:val="center"/>
          </w:tcPr>
          <w:p w14:paraId="5C21CBA1">
            <w:pPr>
              <w:rPr>
                <w:rFonts w:ascii="宋体" w:hAnsi="宋体"/>
                <w:bCs/>
                <w:color w:val="auto"/>
                <w:w w:val="90"/>
                <w:sz w:val="24"/>
                <w:highlight w:val="none"/>
              </w:rPr>
            </w:pPr>
          </w:p>
        </w:tc>
        <w:tc>
          <w:tcPr>
            <w:tcW w:w="1262" w:type="dxa"/>
            <w:vAlign w:val="center"/>
          </w:tcPr>
          <w:p w14:paraId="1BDEE444">
            <w:pPr>
              <w:rPr>
                <w:rFonts w:ascii="宋体" w:hAnsi="宋体"/>
                <w:bCs/>
                <w:color w:val="auto"/>
                <w:w w:val="90"/>
                <w:sz w:val="24"/>
                <w:highlight w:val="none"/>
              </w:rPr>
            </w:pPr>
          </w:p>
        </w:tc>
        <w:tc>
          <w:tcPr>
            <w:tcW w:w="1219" w:type="dxa"/>
            <w:vAlign w:val="center"/>
          </w:tcPr>
          <w:p w14:paraId="6AA6EA75">
            <w:pPr>
              <w:rPr>
                <w:rFonts w:ascii="宋体" w:hAnsi="宋体"/>
                <w:bCs/>
                <w:color w:val="auto"/>
                <w:w w:val="90"/>
                <w:sz w:val="24"/>
                <w:highlight w:val="none"/>
              </w:rPr>
            </w:pPr>
          </w:p>
        </w:tc>
        <w:tc>
          <w:tcPr>
            <w:tcW w:w="1219" w:type="dxa"/>
            <w:vAlign w:val="center"/>
          </w:tcPr>
          <w:p w14:paraId="7E85F8E0">
            <w:pPr>
              <w:rPr>
                <w:rFonts w:ascii="宋体" w:hAnsi="宋体"/>
                <w:bCs/>
                <w:color w:val="auto"/>
                <w:w w:val="90"/>
                <w:sz w:val="24"/>
                <w:highlight w:val="none"/>
              </w:rPr>
            </w:pPr>
          </w:p>
        </w:tc>
        <w:tc>
          <w:tcPr>
            <w:tcW w:w="1310" w:type="dxa"/>
            <w:vAlign w:val="center"/>
          </w:tcPr>
          <w:p w14:paraId="5EEE11F2">
            <w:pPr>
              <w:rPr>
                <w:rFonts w:ascii="宋体" w:hAnsi="宋体"/>
                <w:bCs/>
                <w:color w:val="auto"/>
                <w:w w:val="90"/>
                <w:sz w:val="24"/>
                <w:highlight w:val="none"/>
              </w:rPr>
            </w:pPr>
          </w:p>
        </w:tc>
      </w:tr>
    </w:tbl>
    <w:p w14:paraId="6372B543">
      <w:pPr>
        <w:rPr>
          <w:rFonts w:ascii="宋体" w:hAnsi="宋体"/>
          <w:bCs/>
          <w:color w:val="auto"/>
          <w:sz w:val="24"/>
          <w:highlight w:val="none"/>
        </w:rPr>
      </w:pPr>
      <w:bookmarkStart w:id="377" w:name="_Toc509411893"/>
      <w:bookmarkStart w:id="378" w:name="_Toc7888"/>
      <w:bookmarkStart w:id="379"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77"/>
      <w:bookmarkEnd w:id="378"/>
      <w:bookmarkEnd w:id="379"/>
    </w:p>
    <w:p w14:paraId="6A6895FD">
      <w:pPr>
        <w:rPr>
          <w:rFonts w:ascii="宋体" w:hAnsi="宋体"/>
          <w:color w:val="auto"/>
          <w:sz w:val="24"/>
          <w:highlight w:val="none"/>
        </w:rPr>
      </w:pPr>
    </w:p>
    <w:p w14:paraId="3BAD419C">
      <w:pPr>
        <w:rPr>
          <w:rFonts w:ascii="宋体" w:hAnsi="宋体"/>
          <w:bCs/>
          <w:color w:val="auto"/>
          <w:spacing w:val="10"/>
          <w:sz w:val="24"/>
          <w:highlight w:val="none"/>
        </w:rPr>
      </w:pPr>
    </w:p>
    <w:p w14:paraId="74E5CAF6">
      <w:pPr>
        <w:pStyle w:val="22"/>
        <w:ind w:firstLine="240"/>
        <w:rPr>
          <w:color w:val="auto"/>
          <w:highlight w:val="none"/>
        </w:rPr>
      </w:pPr>
    </w:p>
    <w:p w14:paraId="065AEBAD">
      <w:pPr>
        <w:pStyle w:val="22"/>
        <w:ind w:firstLine="240"/>
        <w:rPr>
          <w:color w:val="auto"/>
          <w:highlight w:val="none"/>
        </w:rPr>
      </w:pPr>
    </w:p>
    <w:p w14:paraId="7C091E3F">
      <w:pPr>
        <w:pStyle w:val="22"/>
        <w:ind w:firstLine="240"/>
        <w:rPr>
          <w:color w:val="auto"/>
          <w:highlight w:val="none"/>
        </w:rPr>
      </w:pPr>
    </w:p>
    <w:p w14:paraId="57C8AD4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4C9E8ECC">
      <w:pPr>
        <w:pStyle w:val="9"/>
        <w:rPr>
          <w:rFonts w:ascii="宋体" w:eastAsia="宋体"/>
          <w:color w:val="auto"/>
          <w:szCs w:val="24"/>
          <w:highlight w:val="none"/>
        </w:rPr>
      </w:pPr>
    </w:p>
    <w:p w14:paraId="14221205">
      <w:pPr>
        <w:pStyle w:val="18"/>
        <w:rPr>
          <w:rFonts w:ascii="宋体" w:eastAsia="宋体"/>
          <w:color w:val="auto"/>
          <w:highlight w:val="none"/>
        </w:rPr>
      </w:pPr>
    </w:p>
    <w:p w14:paraId="4FD14B40">
      <w:pPr>
        <w:pStyle w:val="18"/>
        <w:rPr>
          <w:rFonts w:ascii="宋体" w:eastAsia="宋体"/>
          <w:color w:val="auto"/>
          <w:highlight w:val="none"/>
        </w:rPr>
      </w:pPr>
    </w:p>
    <w:p w14:paraId="53DAD068">
      <w:pPr>
        <w:pStyle w:val="18"/>
        <w:rPr>
          <w:rFonts w:ascii="宋体" w:eastAsia="宋体"/>
          <w:color w:val="auto"/>
          <w:highlight w:val="none"/>
        </w:rPr>
      </w:pPr>
    </w:p>
    <w:p w14:paraId="74F107A9">
      <w:pPr>
        <w:pStyle w:val="18"/>
        <w:rPr>
          <w:rFonts w:ascii="宋体" w:eastAsia="宋体"/>
          <w:color w:val="auto"/>
          <w:highlight w:val="none"/>
        </w:rPr>
      </w:pPr>
    </w:p>
    <w:p w14:paraId="5AD9B0B3">
      <w:pPr>
        <w:pStyle w:val="18"/>
        <w:rPr>
          <w:rFonts w:ascii="宋体" w:eastAsia="宋体"/>
          <w:color w:val="auto"/>
          <w:highlight w:val="none"/>
        </w:rPr>
      </w:pPr>
    </w:p>
    <w:p w14:paraId="2CEBD58D">
      <w:pPr>
        <w:pStyle w:val="18"/>
        <w:rPr>
          <w:rFonts w:ascii="宋体" w:eastAsia="宋体"/>
          <w:color w:val="auto"/>
          <w:highlight w:val="none"/>
        </w:rPr>
      </w:pPr>
    </w:p>
    <w:p w14:paraId="66CB2695">
      <w:pPr>
        <w:pStyle w:val="18"/>
        <w:rPr>
          <w:rFonts w:ascii="宋体" w:eastAsia="宋体"/>
          <w:color w:val="auto"/>
          <w:highlight w:val="none"/>
        </w:rPr>
      </w:pPr>
    </w:p>
    <w:p w14:paraId="5043B0B1">
      <w:pPr>
        <w:pStyle w:val="18"/>
        <w:ind w:firstLine="560"/>
        <w:jc w:val="center"/>
        <w:rPr>
          <w:rFonts w:ascii="宋体" w:eastAsia="宋体"/>
          <w:color w:val="auto"/>
          <w:sz w:val="28"/>
          <w:szCs w:val="28"/>
          <w:highlight w:val="none"/>
        </w:rPr>
      </w:pPr>
      <w:r>
        <w:rPr>
          <w:rFonts w:hint="eastAsia" w:ascii="宋体" w:eastAsia="宋体"/>
          <w:color w:val="auto"/>
          <w:sz w:val="28"/>
          <w:szCs w:val="28"/>
          <w:highlight w:val="none"/>
        </w:rPr>
        <w:t>11、服务方案</w:t>
      </w:r>
    </w:p>
    <w:p w14:paraId="0215BEFA">
      <w:pPr>
        <w:pStyle w:val="18"/>
        <w:rPr>
          <w:rFonts w:ascii="宋体" w:eastAsia="宋体"/>
          <w:color w:val="auto"/>
          <w:highlight w:val="none"/>
        </w:rPr>
      </w:pPr>
    </w:p>
    <w:p w14:paraId="5B273EED">
      <w:pPr>
        <w:pStyle w:val="18"/>
        <w:rPr>
          <w:rFonts w:ascii="宋体" w:eastAsia="宋体"/>
          <w:color w:val="auto"/>
          <w:highlight w:val="none"/>
        </w:rPr>
      </w:pPr>
    </w:p>
    <w:p w14:paraId="18D619E6">
      <w:pPr>
        <w:pStyle w:val="18"/>
        <w:rPr>
          <w:rFonts w:ascii="宋体" w:eastAsia="宋体"/>
          <w:color w:val="auto"/>
          <w:highlight w:val="none"/>
        </w:rPr>
      </w:pPr>
    </w:p>
    <w:p w14:paraId="138794D0">
      <w:pPr>
        <w:pStyle w:val="22"/>
        <w:ind w:firstLine="240"/>
        <w:rPr>
          <w:color w:val="auto"/>
          <w:highlight w:val="none"/>
        </w:rPr>
      </w:pPr>
    </w:p>
    <w:p w14:paraId="1BB0CDDF">
      <w:pPr>
        <w:pStyle w:val="22"/>
        <w:ind w:firstLine="240"/>
        <w:rPr>
          <w:color w:val="auto"/>
          <w:highlight w:val="none"/>
        </w:rPr>
      </w:pPr>
    </w:p>
    <w:p w14:paraId="567B197B">
      <w:pPr>
        <w:pStyle w:val="22"/>
        <w:ind w:firstLine="240"/>
        <w:rPr>
          <w:color w:val="auto"/>
          <w:highlight w:val="none"/>
        </w:rPr>
      </w:pPr>
    </w:p>
    <w:p w14:paraId="2333D609">
      <w:pPr>
        <w:pStyle w:val="23"/>
        <w:ind w:left="420" w:firstLine="420"/>
        <w:rPr>
          <w:color w:val="auto"/>
          <w:highlight w:val="none"/>
        </w:rPr>
      </w:pPr>
    </w:p>
    <w:p w14:paraId="2429A270">
      <w:pPr>
        <w:pStyle w:val="23"/>
        <w:ind w:left="420" w:firstLine="420"/>
        <w:rPr>
          <w:color w:val="auto"/>
          <w:highlight w:val="none"/>
        </w:rPr>
      </w:pPr>
    </w:p>
    <w:p w14:paraId="2DEC45BA">
      <w:pPr>
        <w:pStyle w:val="23"/>
        <w:ind w:left="420" w:firstLine="420"/>
        <w:rPr>
          <w:color w:val="auto"/>
          <w:highlight w:val="none"/>
        </w:rPr>
      </w:pPr>
    </w:p>
    <w:p w14:paraId="4CE9682F">
      <w:pPr>
        <w:pStyle w:val="23"/>
        <w:ind w:left="420" w:firstLine="420"/>
        <w:rPr>
          <w:color w:val="auto"/>
          <w:highlight w:val="none"/>
        </w:rPr>
      </w:pPr>
    </w:p>
    <w:p w14:paraId="1A3D96F4">
      <w:pPr>
        <w:pStyle w:val="23"/>
        <w:ind w:left="420" w:firstLine="420"/>
        <w:rPr>
          <w:color w:val="auto"/>
          <w:highlight w:val="none"/>
        </w:rPr>
      </w:pPr>
    </w:p>
    <w:p w14:paraId="492E4B9C">
      <w:pPr>
        <w:pStyle w:val="23"/>
        <w:ind w:left="420" w:firstLine="420"/>
        <w:rPr>
          <w:color w:val="auto"/>
          <w:highlight w:val="none"/>
        </w:rPr>
      </w:pPr>
    </w:p>
    <w:p w14:paraId="23168271">
      <w:pPr>
        <w:pStyle w:val="23"/>
        <w:ind w:left="420" w:firstLine="420"/>
        <w:rPr>
          <w:color w:val="auto"/>
          <w:highlight w:val="none"/>
        </w:rPr>
      </w:pPr>
    </w:p>
    <w:p w14:paraId="0E8C08D4">
      <w:pPr>
        <w:pStyle w:val="23"/>
        <w:ind w:left="420" w:firstLine="420"/>
        <w:rPr>
          <w:color w:val="auto"/>
          <w:highlight w:val="none"/>
        </w:rPr>
      </w:pPr>
    </w:p>
    <w:p w14:paraId="4413E26C">
      <w:pPr>
        <w:pStyle w:val="23"/>
        <w:ind w:left="420" w:firstLine="420"/>
        <w:rPr>
          <w:color w:val="auto"/>
          <w:highlight w:val="none"/>
        </w:rPr>
      </w:pPr>
    </w:p>
    <w:p w14:paraId="1D8880BE">
      <w:pPr>
        <w:pStyle w:val="23"/>
        <w:ind w:left="420" w:firstLine="420"/>
        <w:rPr>
          <w:color w:val="auto"/>
          <w:highlight w:val="none"/>
        </w:rPr>
      </w:pPr>
    </w:p>
    <w:p w14:paraId="5EDF854A">
      <w:pPr>
        <w:pStyle w:val="23"/>
        <w:ind w:left="420" w:firstLine="420"/>
        <w:rPr>
          <w:color w:val="auto"/>
          <w:highlight w:val="none"/>
        </w:rPr>
      </w:pPr>
    </w:p>
    <w:p w14:paraId="1125798A">
      <w:pPr>
        <w:pStyle w:val="23"/>
        <w:ind w:left="420" w:firstLine="420"/>
        <w:rPr>
          <w:color w:val="auto"/>
          <w:highlight w:val="none"/>
        </w:rPr>
      </w:pPr>
    </w:p>
    <w:p w14:paraId="23AEA93B">
      <w:pPr>
        <w:pStyle w:val="23"/>
        <w:ind w:left="420" w:firstLine="420"/>
        <w:rPr>
          <w:color w:val="auto"/>
          <w:highlight w:val="none"/>
        </w:rPr>
      </w:pPr>
    </w:p>
    <w:p w14:paraId="7D04DDE9">
      <w:pPr>
        <w:pStyle w:val="23"/>
        <w:ind w:left="420" w:firstLine="420"/>
        <w:rPr>
          <w:color w:val="auto"/>
          <w:highlight w:val="none"/>
        </w:rPr>
      </w:pPr>
    </w:p>
    <w:p w14:paraId="33CDDFB1">
      <w:pPr>
        <w:pStyle w:val="23"/>
        <w:ind w:left="420" w:firstLine="420"/>
        <w:rPr>
          <w:color w:val="auto"/>
          <w:highlight w:val="none"/>
        </w:rPr>
      </w:pPr>
    </w:p>
    <w:p w14:paraId="7CA7646F">
      <w:pPr>
        <w:pStyle w:val="23"/>
        <w:ind w:left="420" w:firstLine="420"/>
        <w:rPr>
          <w:color w:val="auto"/>
          <w:highlight w:val="none"/>
        </w:rPr>
      </w:pPr>
    </w:p>
    <w:p w14:paraId="240B1289">
      <w:pPr>
        <w:pStyle w:val="23"/>
        <w:ind w:left="420" w:firstLine="420"/>
        <w:rPr>
          <w:color w:val="auto"/>
          <w:highlight w:val="none"/>
        </w:rPr>
      </w:pPr>
    </w:p>
    <w:p w14:paraId="310A5899">
      <w:pPr>
        <w:pStyle w:val="23"/>
        <w:ind w:left="420" w:firstLine="420"/>
        <w:rPr>
          <w:color w:val="auto"/>
          <w:highlight w:val="none"/>
        </w:rPr>
      </w:pPr>
    </w:p>
    <w:p w14:paraId="34D5A761">
      <w:pPr>
        <w:pStyle w:val="23"/>
        <w:ind w:left="420" w:firstLine="420"/>
        <w:rPr>
          <w:color w:val="auto"/>
          <w:highlight w:val="none"/>
        </w:rPr>
      </w:pPr>
    </w:p>
    <w:p w14:paraId="2E15D22F">
      <w:pPr>
        <w:pStyle w:val="23"/>
        <w:ind w:left="420" w:firstLine="420"/>
        <w:rPr>
          <w:color w:val="auto"/>
          <w:highlight w:val="none"/>
        </w:rPr>
      </w:pPr>
    </w:p>
    <w:p w14:paraId="5C936F68">
      <w:pPr>
        <w:pStyle w:val="23"/>
        <w:ind w:left="420" w:firstLine="420"/>
        <w:rPr>
          <w:color w:val="auto"/>
          <w:highlight w:val="none"/>
        </w:rPr>
      </w:pPr>
    </w:p>
    <w:p w14:paraId="5CFC7296">
      <w:pPr>
        <w:pStyle w:val="23"/>
        <w:ind w:left="420" w:firstLine="420"/>
        <w:rPr>
          <w:color w:val="auto"/>
          <w:highlight w:val="none"/>
        </w:rPr>
      </w:pPr>
    </w:p>
    <w:p w14:paraId="0DB8949F">
      <w:pPr>
        <w:pStyle w:val="23"/>
        <w:ind w:left="420" w:firstLine="420"/>
        <w:rPr>
          <w:color w:val="auto"/>
          <w:highlight w:val="none"/>
        </w:rPr>
      </w:pPr>
    </w:p>
    <w:p w14:paraId="2AFB7DB1">
      <w:pPr>
        <w:pStyle w:val="23"/>
        <w:ind w:left="420" w:firstLine="420"/>
        <w:rPr>
          <w:color w:val="auto"/>
          <w:highlight w:val="none"/>
        </w:rPr>
      </w:pPr>
    </w:p>
    <w:p w14:paraId="3C74AFF1">
      <w:pPr>
        <w:pStyle w:val="23"/>
        <w:ind w:left="420" w:firstLine="420"/>
        <w:rPr>
          <w:color w:val="auto"/>
          <w:highlight w:val="none"/>
        </w:rPr>
      </w:pPr>
    </w:p>
    <w:p w14:paraId="139FC2C0">
      <w:pPr>
        <w:pStyle w:val="23"/>
        <w:ind w:left="420" w:firstLine="420"/>
        <w:rPr>
          <w:color w:val="auto"/>
          <w:highlight w:val="none"/>
        </w:rPr>
      </w:pPr>
    </w:p>
    <w:p w14:paraId="27313693">
      <w:pPr>
        <w:pStyle w:val="23"/>
        <w:ind w:left="420" w:firstLine="420"/>
        <w:rPr>
          <w:color w:val="auto"/>
          <w:highlight w:val="none"/>
        </w:rPr>
      </w:pPr>
    </w:p>
    <w:p w14:paraId="6E7D9125">
      <w:pPr>
        <w:pStyle w:val="23"/>
        <w:ind w:left="420" w:firstLine="420"/>
        <w:rPr>
          <w:color w:val="auto"/>
          <w:highlight w:val="none"/>
        </w:rPr>
      </w:pPr>
    </w:p>
    <w:p w14:paraId="32EAAC60">
      <w:pPr>
        <w:pStyle w:val="22"/>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12、供应商认为必要的其它材料</w:t>
      </w:r>
    </w:p>
    <w:p w14:paraId="5CE1E5D0">
      <w:pPr>
        <w:pStyle w:val="23"/>
        <w:ind w:left="840" w:leftChars="400" w:firstLine="0" w:firstLineChars="0"/>
        <w:rPr>
          <w:color w:val="auto"/>
          <w:highlight w:val="none"/>
        </w:rPr>
      </w:pPr>
    </w:p>
    <w:p w14:paraId="664FCFF7">
      <w:pPr>
        <w:pStyle w:val="23"/>
        <w:ind w:left="0" w:leftChars="0" w:firstLine="0" w:firstLineChars="0"/>
        <w:rPr>
          <w:color w:val="auto"/>
          <w:highlight w:val="none"/>
        </w:rPr>
      </w:pPr>
    </w:p>
    <w:p w14:paraId="3CA296AC">
      <w:pPr>
        <w:pStyle w:val="23"/>
        <w:ind w:left="0" w:leftChars="0" w:firstLine="0" w:firstLineChars="0"/>
        <w:rPr>
          <w:color w:val="auto"/>
          <w:highlight w:val="none"/>
        </w:rPr>
      </w:pPr>
    </w:p>
    <w:p w14:paraId="5371AC1C">
      <w:pPr>
        <w:pStyle w:val="23"/>
        <w:ind w:left="0" w:leftChars="0" w:firstLine="0" w:firstLineChars="0"/>
        <w:rPr>
          <w:color w:val="auto"/>
          <w:highlight w:val="none"/>
        </w:rPr>
      </w:pPr>
    </w:p>
    <w:p w14:paraId="4ED4227A">
      <w:pPr>
        <w:pStyle w:val="23"/>
        <w:ind w:left="0" w:leftChars="0" w:firstLine="0" w:firstLineChars="0"/>
        <w:rPr>
          <w:color w:val="auto"/>
          <w:highlight w:val="none"/>
        </w:rPr>
      </w:pPr>
    </w:p>
    <w:p w14:paraId="63D6D9E6">
      <w:pPr>
        <w:pStyle w:val="23"/>
        <w:ind w:left="0" w:leftChars="0" w:firstLine="0" w:firstLineChars="0"/>
        <w:rPr>
          <w:color w:val="auto"/>
          <w:highlight w:val="none"/>
        </w:rPr>
      </w:pPr>
    </w:p>
    <w:p w14:paraId="164AE890">
      <w:pPr>
        <w:pStyle w:val="23"/>
        <w:ind w:left="0" w:leftChars="0" w:firstLine="0" w:firstLineChars="0"/>
        <w:rPr>
          <w:color w:val="auto"/>
          <w:highlight w:val="none"/>
        </w:rPr>
      </w:pPr>
    </w:p>
    <w:p w14:paraId="61506F24">
      <w:pPr>
        <w:pStyle w:val="23"/>
        <w:ind w:left="0" w:leftChars="0" w:firstLine="0" w:firstLineChars="0"/>
        <w:rPr>
          <w:color w:val="auto"/>
          <w:highlight w:val="none"/>
        </w:rPr>
      </w:pPr>
    </w:p>
    <w:p w14:paraId="4558880D">
      <w:pPr>
        <w:pStyle w:val="23"/>
        <w:ind w:left="0" w:leftChars="0" w:firstLine="0" w:firstLineChars="0"/>
        <w:rPr>
          <w:color w:val="auto"/>
          <w:highlight w:val="none"/>
        </w:rPr>
      </w:pPr>
    </w:p>
    <w:p w14:paraId="613DFB1E">
      <w:pPr>
        <w:pStyle w:val="23"/>
        <w:ind w:left="0" w:leftChars="0" w:firstLine="0" w:firstLineChars="0"/>
        <w:rPr>
          <w:color w:val="auto"/>
          <w:highlight w:val="none"/>
        </w:rPr>
      </w:pPr>
    </w:p>
    <w:p w14:paraId="06BBC725">
      <w:pPr>
        <w:pStyle w:val="23"/>
        <w:ind w:left="0" w:leftChars="0" w:firstLine="0" w:firstLineChars="0"/>
        <w:rPr>
          <w:color w:val="auto"/>
          <w:highlight w:val="none"/>
        </w:rPr>
      </w:pPr>
    </w:p>
    <w:p w14:paraId="314FDC3D">
      <w:pPr>
        <w:pStyle w:val="23"/>
        <w:ind w:left="0" w:leftChars="0" w:firstLine="0" w:firstLineChars="0"/>
        <w:rPr>
          <w:color w:val="auto"/>
          <w:highlight w:val="none"/>
        </w:rPr>
      </w:pPr>
    </w:p>
    <w:p w14:paraId="36456A4B">
      <w:pPr>
        <w:pStyle w:val="23"/>
        <w:ind w:left="0" w:leftChars="0" w:firstLine="0" w:firstLineChars="0"/>
        <w:rPr>
          <w:color w:val="auto"/>
          <w:highlight w:val="none"/>
        </w:rPr>
      </w:pPr>
    </w:p>
    <w:p w14:paraId="4265B692">
      <w:pPr>
        <w:pStyle w:val="23"/>
        <w:ind w:left="0" w:leftChars="0" w:firstLine="0" w:firstLineChars="0"/>
        <w:rPr>
          <w:color w:val="auto"/>
          <w:highlight w:val="none"/>
        </w:rPr>
      </w:pPr>
    </w:p>
    <w:p w14:paraId="5D84E458">
      <w:pPr>
        <w:pStyle w:val="23"/>
        <w:ind w:left="0" w:leftChars="0" w:firstLine="0" w:firstLineChars="0"/>
        <w:rPr>
          <w:color w:val="auto"/>
          <w:highlight w:val="none"/>
        </w:rPr>
      </w:pPr>
    </w:p>
    <w:p w14:paraId="72B4FA7D">
      <w:pPr>
        <w:pStyle w:val="23"/>
        <w:ind w:left="0" w:leftChars="0" w:firstLine="0" w:firstLineChars="0"/>
        <w:rPr>
          <w:color w:val="auto"/>
          <w:highlight w:val="none"/>
        </w:rPr>
      </w:pPr>
    </w:p>
    <w:p w14:paraId="14B63D18">
      <w:pPr>
        <w:pStyle w:val="23"/>
        <w:ind w:left="0" w:leftChars="0" w:firstLine="0" w:firstLineChars="0"/>
        <w:rPr>
          <w:color w:val="auto"/>
          <w:highlight w:val="none"/>
        </w:rPr>
      </w:pPr>
    </w:p>
    <w:p w14:paraId="112EFC36">
      <w:pPr>
        <w:pStyle w:val="23"/>
        <w:ind w:left="0" w:leftChars="0" w:firstLine="0" w:firstLineChars="0"/>
        <w:rPr>
          <w:color w:val="auto"/>
          <w:highlight w:val="none"/>
        </w:rPr>
      </w:pPr>
    </w:p>
    <w:p w14:paraId="4FB6A4BA">
      <w:pPr>
        <w:pStyle w:val="23"/>
        <w:ind w:left="0" w:leftChars="0" w:firstLine="0" w:firstLineChars="0"/>
        <w:rPr>
          <w:color w:val="auto"/>
          <w:highlight w:val="none"/>
        </w:rPr>
      </w:pPr>
    </w:p>
    <w:p w14:paraId="1E48B066">
      <w:pPr>
        <w:pStyle w:val="23"/>
        <w:ind w:left="0" w:leftChars="0" w:firstLine="0" w:firstLineChars="0"/>
        <w:rPr>
          <w:color w:val="auto"/>
          <w:highlight w:val="none"/>
        </w:rPr>
      </w:pPr>
    </w:p>
    <w:p w14:paraId="34B89617">
      <w:pPr>
        <w:pStyle w:val="23"/>
        <w:ind w:left="0" w:leftChars="0" w:firstLine="0" w:firstLineChars="0"/>
        <w:rPr>
          <w:color w:val="auto"/>
          <w:highlight w:val="none"/>
        </w:rPr>
      </w:pPr>
    </w:p>
    <w:p w14:paraId="30C50639">
      <w:pPr>
        <w:pStyle w:val="23"/>
        <w:ind w:left="0" w:leftChars="0" w:firstLine="0" w:firstLineChars="0"/>
        <w:rPr>
          <w:color w:val="auto"/>
          <w:highlight w:val="none"/>
        </w:rPr>
      </w:pPr>
    </w:p>
    <w:p w14:paraId="1D2775A9">
      <w:pPr>
        <w:pStyle w:val="23"/>
        <w:ind w:left="0" w:leftChars="0" w:firstLine="0" w:firstLineChars="0"/>
        <w:rPr>
          <w:color w:val="auto"/>
          <w:highlight w:val="none"/>
        </w:rPr>
      </w:pPr>
    </w:p>
    <w:p w14:paraId="13EFF842">
      <w:pPr>
        <w:pStyle w:val="23"/>
        <w:ind w:left="0" w:leftChars="0" w:firstLine="0" w:firstLineChars="0"/>
        <w:rPr>
          <w:color w:val="auto"/>
          <w:highlight w:val="none"/>
        </w:rPr>
      </w:pPr>
    </w:p>
    <w:p w14:paraId="5FFB325A">
      <w:pPr>
        <w:pStyle w:val="23"/>
        <w:ind w:left="0" w:leftChars="0" w:firstLine="0" w:firstLineChars="0"/>
        <w:rPr>
          <w:color w:val="auto"/>
          <w:highlight w:val="none"/>
        </w:rPr>
      </w:pPr>
    </w:p>
    <w:p w14:paraId="150D0233">
      <w:pPr>
        <w:pStyle w:val="23"/>
        <w:ind w:left="0" w:leftChars="0" w:firstLine="0" w:firstLineChars="0"/>
        <w:rPr>
          <w:color w:val="auto"/>
          <w:highlight w:val="none"/>
        </w:rPr>
      </w:pPr>
    </w:p>
    <w:p w14:paraId="13F9729C">
      <w:pPr>
        <w:pStyle w:val="23"/>
        <w:ind w:left="0" w:leftChars="0" w:firstLine="0" w:firstLineChars="0"/>
        <w:rPr>
          <w:color w:val="auto"/>
          <w:highlight w:val="none"/>
        </w:rPr>
      </w:pPr>
    </w:p>
    <w:p w14:paraId="01BD9C1F">
      <w:pPr>
        <w:pStyle w:val="23"/>
        <w:ind w:left="0" w:leftChars="0" w:firstLine="0" w:firstLineChars="0"/>
        <w:rPr>
          <w:color w:val="auto"/>
          <w:highlight w:val="none"/>
        </w:rPr>
      </w:pPr>
    </w:p>
    <w:p w14:paraId="22BDABF0">
      <w:pPr>
        <w:pStyle w:val="23"/>
        <w:ind w:left="0" w:leftChars="0" w:firstLine="0" w:firstLineChars="0"/>
        <w:rPr>
          <w:color w:val="auto"/>
          <w:highlight w:val="none"/>
        </w:rPr>
      </w:pPr>
    </w:p>
    <w:p w14:paraId="368A121D">
      <w:pPr>
        <w:pStyle w:val="23"/>
        <w:ind w:left="0" w:leftChars="0" w:firstLine="0" w:firstLineChars="0"/>
        <w:rPr>
          <w:color w:val="auto"/>
          <w:highlight w:val="none"/>
        </w:rPr>
      </w:pPr>
    </w:p>
    <w:p w14:paraId="73FD8188">
      <w:pPr>
        <w:pStyle w:val="23"/>
        <w:ind w:left="0" w:leftChars="0" w:firstLine="0" w:firstLineChars="0"/>
        <w:rPr>
          <w:color w:val="auto"/>
          <w:highlight w:val="none"/>
        </w:rPr>
      </w:pPr>
    </w:p>
    <w:p w14:paraId="55FEDDC2">
      <w:pPr>
        <w:pStyle w:val="23"/>
        <w:ind w:left="0" w:leftChars="0" w:firstLine="0" w:firstLineChars="0"/>
        <w:rPr>
          <w:color w:val="auto"/>
          <w:highlight w:val="none"/>
        </w:rPr>
      </w:pPr>
    </w:p>
    <w:p w14:paraId="09F3150C">
      <w:pPr>
        <w:pStyle w:val="23"/>
        <w:ind w:left="0" w:leftChars="0" w:firstLine="0" w:firstLineChars="0"/>
        <w:rPr>
          <w:color w:val="auto"/>
          <w:highlight w:val="none"/>
        </w:rPr>
      </w:pPr>
    </w:p>
    <w:p w14:paraId="5FF7E4BA">
      <w:pPr>
        <w:pStyle w:val="23"/>
        <w:ind w:left="0" w:leftChars="0" w:firstLine="0" w:firstLineChars="0"/>
        <w:rPr>
          <w:color w:val="auto"/>
          <w:highlight w:val="none"/>
        </w:rPr>
      </w:pPr>
    </w:p>
    <w:p w14:paraId="27FAE60F">
      <w:pPr>
        <w:pStyle w:val="6"/>
        <w:rPr>
          <w:color w:val="auto"/>
          <w:highlight w:val="none"/>
        </w:rPr>
      </w:pPr>
    </w:p>
    <w:p w14:paraId="6CCDB33E">
      <w:pPr>
        <w:pStyle w:val="23"/>
        <w:ind w:left="0" w:leftChars="0" w:firstLine="0" w:firstLineChars="0"/>
        <w:jc w:val="center"/>
        <w:rPr>
          <w:color w:val="auto"/>
          <w:sz w:val="28"/>
          <w:szCs w:val="28"/>
          <w:highlight w:val="none"/>
        </w:rPr>
      </w:pPr>
      <w:r>
        <w:rPr>
          <w:rFonts w:hint="eastAsia"/>
          <w:color w:val="auto"/>
          <w:sz w:val="28"/>
          <w:szCs w:val="28"/>
          <w:highlight w:val="none"/>
        </w:rPr>
        <w:t>13、磋商报价（第二轮）</w:t>
      </w:r>
    </w:p>
    <w:p w14:paraId="2FB9555F">
      <w:pPr>
        <w:pStyle w:val="23"/>
        <w:ind w:left="0" w:leftChars="0" w:firstLine="0" w:firstLineChars="0"/>
        <w:jc w:val="center"/>
        <w:rPr>
          <w:color w:val="auto"/>
          <w:sz w:val="28"/>
          <w:szCs w:val="28"/>
          <w:highlight w:val="none"/>
        </w:rPr>
      </w:pPr>
    </w:p>
    <w:p w14:paraId="2D7443EA">
      <w:pPr>
        <w:pStyle w:val="23"/>
        <w:ind w:left="0" w:leftChars="0" w:firstLine="0" w:firstLineChars="0"/>
        <w:jc w:val="center"/>
        <w:rPr>
          <w:color w:val="auto"/>
          <w:sz w:val="28"/>
          <w:szCs w:val="28"/>
          <w:highlight w:val="none"/>
        </w:rPr>
      </w:pPr>
    </w:p>
    <w:p w14:paraId="3CCB0A31">
      <w:pPr>
        <w:pStyle w:val="23"/>
        <w:ind w:left="0" w:leftChars="0" w:firstLine="0" w:firstLineChars="0"/>
        <w:jc w:val="center"/>
        <w:rPr>
          <w:color w:val="auto"/>
          <w:sz w:val="28"/>
          <w:szCs w:val="28"/>
          <w:highlight w:val="none"/>
        </w:rPr>
      </w:pPr>
    </w:p>
    <w:p w14:paraId="0B85C31B">
      <w:pPr>
        <w:pStyle w:val="23"/>
        <w:ind w:left="0" w:leftChars="0" w:firstLine="0" w:firstLineChars="0"/>
        <w:jc w:val="center"/>
        <w:rPr>
          <w:color w:val="auto"/>
          <w:sz w:val="28"/>
          <w:szCs w:val="28"/>
          <w:highlight w:val="none"/>
        </w:rPr>
      </w:pPr>
    </w:p>
    <w:p w14:paraId="0CB167EE">
      <w:pPr>
        <w:pStyle w:val="23"/>
        <w:ind w:left="0" w:leftChars="0" w:firstLine="0" w:firstLineChars="0"/>
        <w:jc w:val="center"/>
        <w:rPr>
          <w:color w:val="auto"/>
          <w:sz w:val="28"/>
          <w:szCs w:val="28"/>
          <w:highlight w:val="none"/>
        </w:rPr>
      </w:pPr>
    </w:p>
    <w:p w14:paraId="5BCF718F">
      <w:pPr>
        <w:pStyle w:val="23"/>
        <w:ind w:left="0" w:leftChars="0" w:firstLine="0" w:firstLineChars="0"/>
        <w:jc w:val="center"/>
        <w:rPr>
          <w:color w:val="auto"/>
          <w:sz w:val="28"/>
          <w:szCs w:val="28"/>
          <w:highlight w:val="none"/>
        </w:rPr>
      </w:pPr>
    </w:p>
    <w:p w14:paraId="5DE8D1DF">
      <w:pPr>
        <w:pStyle w:val="23"/>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7F933C1C">
      <w:pPr>
        <w:rPr>
          <w:color w:val="auto"/>
          <w:highlight w:val="none"/>
        </w:rPr>
      </w:pPr>
    </w:p>
    <w:sectPr>
      <w:headerReference r:id="rId12" w:type="default"/>
      <w:footerReference r:id="rId13"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5AF594-E6F3-4FBE-AAF0-BCE3DF86BA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11E20F9-2658-4F23-A573-64A9989173D5}"/>
  </w:font>
  <w:font w:name="汉鼎简楷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8DB1DDB-61C6-4C33-9114-4F91E21E126B}"/>
  </w:font>
  <w:font w:name="Arial Unicode MS">
    <w:altName w:val="宋体"/>
    <w:panose1 w:val="020B0604020202020204"/>
    <w:charset w:val="86"/>
    <w:family w:val="roman"/>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4" w:fontKey="{FDC69B1B-6F9C-417F-B118-91F25F84C02C}"/>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22951D5F-432F-4697-BB04-87B7DF416C3D}"/>
  </w:font>
  <w:font w:name="仿宋">
    <w:panose1 w:val="02010609060101010101"/>
    <w:charset w:val="86"/>
    <w:family w:val="modern"/>
    <w:pitch w:val="default"/>
    <w:sig w:usb0="800002BF" w:usb1="38CF7CFA" w:usb2="00000016" w:usb3="00000000" w:csb0="00040001" w:csb1="00000000"/>
    <w:embedRegular r:id="rId6" w:fontKey="{4600D173-8F58-49E0-81D7-E8012A220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F3BD">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815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1379">
    <w:pPr>
      <w:pStyle w:val="14"/>
      <w:jc w:val="both"/>
    </w:pPr>
    <w:r>
      <w:pict>
        <v:rect id="文本框 4" o:spid="_x0000_s3079" o:spt="1"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v:textbox inset="0mm,0mm,0mm,0mm" style="mso-fit-shape-to-text:t;">
            <w:txbxContent>
              <w:p w14:paraId="7A10B936">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AF4CC">
    <w:pPr>
      <w:pStyle w:val="14"/>
    </w:pPr>
    <w:r>
      <w:pict>
        <v:rect id="文本框 2" o:spid="_x0000_s3074"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D592A49">
                <w:pPr>
                  <w:pStyle w:val="1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698B">
    <w:pPr>
      <w:pStyle w:val="14"/>
      <w:jc w:val="center"/>
      <w:rPr>
        <w:sz w:val="24"/>
        <w:szCs w:val="24"/>
      </w:rPr>
    </w:pPr>
    <w:r>
      <w:rPr>
        <w:sz w:val="24"/>
      </w:rP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9065739">
                <w:pPr>
                  <w:pStyle w:val="14"/>
                  <w:jc w:val="cente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69E7">
    <w:pPr>
      <w:pStyle w:val="14"/>
    </w:pPr>
    <w:r>
      <w:pict>
        <v:rect id="文本框 3" o:spid="_x0000_s3075"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610C4244">
                <w:pPr>
                  <w:pStyle w:val="14"/>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493E">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02C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FA14">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9EE2">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056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F073B305"/>
    <w:multiLevelType w:val="singleLevel"/>
    <w:tmpl w:val="F073B305"/>
    <w:lvl w:ilvl="0" w:tentative="0">
      <w:start w:val="2"/>
      <w:numFmt w:val="decimal"/>
      <w:suff w:val="nothing"/>
      <w:lvlText w:val="%1、"/>
      <w:lvlJc w:val="left"/>
    </w:lvl>
  </w:abstractNum>
  <w:abstractNum w:abstractNumId="2">
    <w:nsid w:val="F582B28B"/>
    <w:multiLevelType w:val="singleLevel"/>
    <w:tmpl w:val="F582B28B"/>
    <w:lvl w:ilvl="0" w:tentative="0">
      <w:start w:val="2"/>
      <w:numFmt w:val="decimal"/>
      <w:lvlText w:val="%1."/>
      <w:lvlJc w:val="left"/>
      <w:pPr>
        <w:tabs>
          <w:tab w:val="left" w:pos="312"/>
        </w:tabs>
      </w:pPr>
    </w:lvl>
  </w:abstractNum>
  <w:abstractNum w:abstractNumId="3">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6">
    <w:nsid w:val="05A62D44"/>
    <w:multiLevelType w:val="singleLevel"/>
    <w:tmpl w:val="05A62D44"/>
    <w:lvl w:ilvl="0" w:tentative="0">
      <w:start w:val="3"/>
      <w:numFmt w:val="decimal"/>
      <w:lvlText w:val="%1."/>
      <w:lvlJc w:val="left"/>
      <w:pPr>
        <w:tabs>
          <w:tab w:val="left" w:pos="312"/>
        </w:tabs>
      </w:pPr>
    </w:lvl>
  </w:abstractNum>
  <w:abstractNum w:abstractNumId="7">
    <w:nsid w:val="270180AA"/>
    <w:multiLevelType w:val="singleLevel"/>
    <w:tmpl w:val="270180AA"/>
    <w:lvl w:ilvl="0" w:tentative="0">
      <w:start w:val="2"/>
      <w:numFmt w:val="decimal"/>
      <w:suff w:val="nothing"/>
      <w:lvlText w:val="%1、"/>
      <w:lvlJc w:val="left"/>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GFjYzNiYTBhYzk2YmY2OWU2NzZjMWE1NmUxZGMifQ=="/>
  </w:docVars>
  <w:rsids>
    <w:rsidRoot w:val="00A55041"/>
    <w:rsid w:val="000E53AE"/>
    <w:rsid w:val="00203498"/>
    <w:rsid w:val="0026230C"/>
    <w:rsid w:val="0028016D"/>
    <w:rsid w:val="002E1F6F"/>
    <w:rsid w:val="00314D84"/>
    <w:rsid w:val="00316269"/>
    <w:rsid w:val="003F6EE1"/>
    <w:rsid w:val="00416450"/>
    <w:rsid w:val="0057257B"/>
    <w:rsid w:val="005F4163"/>
    <w:rsid w:val="006E3F98"/>
    <w:rsid w:val="006E680D"/>
    <w:rsid w:val="0075194C"/>
    <w:rsid w:val="007A3406"/>
    <w:rsid w:val="007B2523"/>
    <w:rsid w:val="008A4EAD"/>
    <w:rsid w:val="009009B7"/>
    <w:rsid w:val="00956C5B"/>
    <w:rsid w:val="009C7964"/>
    <w:rsid w:val="009E70F5"/>
    <w:rsid w:val="00A03C4C"/>
    <w:rsid w:val="00A55041"/>
    <w:rsid w:val="00B47A81"/>
    <w:rsid w:val="00BD28F7"/>
    <w:rsid w:val="00C66630"/>
    <w:rsid w:val="00C762FA"/>
    <w:rsid w:val="00D220B7"/>
    <w:rsid w:val="00DE7077"/>
    <w:rsid w:val="00E012CB"/>
    <w:rsid w:val="00F431B9"/>
    <w:rsid w:val="00F65EC9"/>
    <w:rsid w:val="01097E6E"/>
    <w:rsid w:val="01137943"/>
    <w:rsid w:val="011B0745"/>
    <w:rsid w:val="012E39BC"/>
    <w:rsid w:val="017E34AF"/>
    <w:rsid w:val="01944B1E"/>
    <w:rsid w:val="0196601E"/>
    <w:rsid w:val="01D15AEA"/>
    <w:rsid w:val="01DF5ECB"/>
    <w:rsid w:val="01E70C3F"/>
    <w:rsid w:val="020B07BA"/>
    <w:rsid w:val="021138F7"/>
    <w:rsid w:val="02281B92"/>
    <w:rsid w:val="02290945"/>
    <w:rsid w:val="022C3D0F"/>
    <w:rsid w:val="024A56FE"/>
    <w:rsid w:val="026143C7"/>
    <w:rsid w:val="02666832"/>
    <w:rsid w:val="026B3007"/>
    <w:rsid w:val="02824222"/>
    <w:rsid w:val="028A768A"/>
    <w:rsid w:val="029007B5"/>
    <w:rsid w:val="029E2FA2"/>
    <w:rsid w:val="029F53A6"/>
    <w:rsid w:val="02A1111E"/>
    <w:rsid w:val="02AD1871"/>
    <w:rsid w:val="02B56978"/>
    <w:rsid w:val="02B768ED"/>
    <w:rsid w:val="02D64744"/>
    <w:rsid w:val="02DA4630"/>
    <w:rsid w:val="02E00616"/>
    <w:rsid w:val="02E35293"/>
    <w:rsid w:val="02EB4148"/>
    <w:rsid w:val="02EB5262"/>
    <w:rsid w:val="02FF66D3"/>
    <w:rsid w:val="0301396B"/>
    <w:rsid w:val="03015901"/>
    <w:rsid w:val="03166657"/>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3D21"/>
    <w:rsid w:val="04CE6DB8"/>
    <w:rsid w:val="04D60F61"/>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84572"/>
    <w:rsid w:val="05BB24F7"/>
    <w:rsid w:val="05D62E8D"/>
    <w:rsid w:val="05E80E12"/>
    <w:rsid w:val="05EC0902"/>
    <w:rsid w:val="05ED115B"/>
    <w:rsid w:val="05FF7391"/>
    <w:rsid w:val="060043AE"/>
    <w:rsid w:val="06085010"/>
    <w:rsid w:val="060A0966"/>
    <w:rsid w:val="06264FD6"/>
    <w:rsid w:val="063B53E6"/>
    <w:rsid w:val="065169B7"/>
    <w:rsid w:val="06784ADD"/>
    <w:rsid w:val="06825337"/>
    <w:rsid w:val="06997200"/>
    <w:rsid w:val="069D39AB"/>
    <w:rsid w:val="069F5975"/>
    <w:rsid w:val="06B97E60"/>
    <w:rsid w:val="06CC603E"/>
    <w:rsid w:val="06E23AB3"/>
    <w:rsid w:val="06ED1BD3"/>
    <w:rsid w:val="07093564"/>
    <w:rsid w:val="07260519"/>
    <w:rsid w:val="072C6C75"/>
    <w:rsid w:val="073A2995"/>
    <w:rsid w:val="073A569E"/>
    <w:rsid w:val="073E6F3C"/>
    <w:rsid w:val="07461592"/>
    <w:rsid w:val="07462BA8"/>
    <w:rsid w:val="075345D3"/>
    <w:rsid w:val="0756645B"/>
    <w:rsid w:val="076C2BA4"/>
    <w:rsid w:val="078D4321"/>
    <w:rsid w:val="07A73A79"/>
    <w:rsid w:val="07B40FAC"/>
    <w:rsid w:val="07B7297B"/>
    <w:rsid w:val="07CD206E"/>
    <w:rsid w:val="07FB307F"/>
    <w:rsid w:val="080A4FF4"/>
    <w:rsid w:val="08145EEF"/>
    <w:rsid w:val="08183C31"/>
    <w:rsid w:val="081D1247"/>
    <w:rsid w:val="082A5712"/>
    <w:rsid w:val="08387E2F"/>
    <w:rsid w:val="08457F80"/>
    <w:rsid w:val="085E7BEF"/>
    <w:rsid w:val="086C262D"/>
    <w:rsid w:val="087D1CE6"/>
    <w:rsid w:val="08850B9A"/>
    <w:rsid w:val="08990393"/>
    <w:rsid w:val="089C6F9F"/>
    <w:rsid w:val="08B35707"/>
    <w:rsid w:val="08B54035"/>
    <w:rsid w:val="08B9367A"/>
    <w:rsid w:val="08CD4B4E"/>
    <w:rsid w:val="08E5064E"/>
    <w:rsid w:val="090E0CED"/>
    <w:rsid w:val="09164210"/>
    <w:rsid w:val="094B3FAB"/>
    <w:rsid w:val="094E3682"/>
    <w:rsid w:val="09727863"/>
    <w:rsid w:val="09880942"/>
    <w:rsid w:val="098D50D2"/>
    <w:rsid w:val="098E3A7F"/>
    <w:rsid w:val="098F1CD1"/>
    <w:rsid w:val="09A8358A"/>
    <w:rsid w:val="09B305E8"/>
    <w:rsid w:val="09B842BA"/>
    <w:rsid w:val="09BE2D78"/>
    <w:rsid w:val="09C2104E"/>
    <w:rsid w:val="09CA0F24"/>
    <w:rsid w:val="09E2527B"/>
    <w:rsid w:val="0A073F5D"/>
    <w:rsid w:val="0A165F4E"/>
    <w:rsid w:val="0A1A1ABD"/>
    <w:rsid w:val="0A2A6F5C"/>
    <w:rsid w:val="0A387B64"/>
    <w:rsid w:val="0A446064"/>
    <w:rsid w:val="0A466107"/>
    <w:rsid w:val="0A5B7E05"/>
    <w:rsid w:val="0A6F1448"/>
    <w:rsid w:val="0A726EFC"/>
    <w:rsid w:val="0A930B1E"/>
    <w:rsid w:val="0A9E1902"/>
    <w:rsid w:val="0AA90C24"/>
    <w:rsid w:val="0AB551BF"/>
    <w:rsid w:val="0AB75CD0"/>
    <w:rsid w:val="0ABD0ABF"/>
    <w:rsid w:val="0ABF2205"/>
    <w:rsid w:val="0AC3411D"/>
    <w:rsid w:val="0AD025A1"/>
    <w:rsid w:val="0AD41965"/>
    <w:rsid w:val="0AD77D20"/>
    <w:rsid w:val="0ADF4592"/>
    <w:rsid w:val="0AE4604C"/>
    <w:rsid w:val="0AE917BE"/>
    <w:rsid w:val="0AED6323"/>
    <w:rsid w:val="0AF26211"/>
    <w:rsid w:val="0AF81AF7"/>
    <w:rsid w:val="0B091922"/>
    <w:rsid w:val="0B240511"/>
    <w:rsid w:val="0B2428ED"/>
    <w:rsid w:val="0B293A5F"/>
    <w:rsid w:val="0B2E7143"/>
    <w:rsid w:val="0B334FD6"/>
    <w:rsid w:val="0B3D6181"/>
    <w:rsid w:val="0B4214C2"/>
    <w:rsid w:val="0B500328"/>
    <w:rsid w:val="0B550CF2"/>
    <w:rsid w:val="0B720CBA"/>
    <w:rsid w:val="0B7423F7"/>
    <w:rsid w:val="0B883A47"/>
    <w:rsid w:val="0B907F82"/>
    <w:rsid w:val="0B9F01C5"/>
    <w:rsid w:val="0BAA53CD"/>
    <w:rsid w:val="0BAA7BE9"/>
    <w:rsid w:val="0BB91287"/>
    <w:rsid w:val="0BBE689D"/>
    <w:rsid w:val="0BC34CFF"/>
    <w:rsid w:val="0BDE0283"/>
    <w:rsid w:val="0BED187B"/>
    <w:rsid w:val="0BED37EB"/>
    <w:rsid w:val="0C0B4328"/>
    <w:rsid w:val="0C201306"/>
    <w:rsid w:val="0C25691C"/>
    <w:rsid w:val="0C2B30D4"/>
    <w:rsid w:val="0C3D1E1D"/>
    <w:rsid w:val="0C4274CE"/>
    <w:rsid w:val="0C4C20FB"/>
    <w:rsid w:val="0C4E0B8C"/>
    <w:rsid w:val="0C5B233E"/>
    <w:rsid w:val="0C760F26"/>
    <w:rsid w:val="0C9D4705"/>
    <w:rsid w:val="0CA914B5"/>
    <w:rsid w:val="0CAD6813"/>
    <w:rsid w:val="0CB72DB9"/>
    <w:rsid w:val="0CCA1272"/>
    <w:rsid w:val="0CDE6ACB"/>
    <w:rsid w:val="0CF4009D"/>
    <w:rsid w:val="0D0D2EA7"/>
    <w:rsid w:val="0D0F3C61"/>
    <w:rsid w:val="0D1869C8"/>
    <w:rsid w:val="0D2B67C6"/>
    <w:rsid w:val="0D3A63F7"/>
    <w:rsid w:val="0D3C216F"/>
    <w:rsid w:val="0D5A73E2"/>
    <w:rsid w:val="0D6276FC"/>
    <w:rsid w:val="0D6B7625"/>
    <w:rsid w:val="0D800983"/>
    <w:rsid w:val="0D86621B"/>
    <w:rsid w:val="0DA85E31"/>
    <w:rsid w:val="0DB711B7"/>
    <w:rsid w:val="0DE65386"/>
    <w:rsid w:val="0DFC36AD"/>
    <w:rsid w:val="0E214497"/>
    <w:rsid w:val="0E3A53C5"/>
    <w:rsid w:val="0E4F1A2E"/>
    <w:rsid w:val="0E677E76"/>
    <w:rsid w:val="0E6A4ABA"/>
    <w:rsid w:val="0E6B4F19"/>
    <w:rsid w:val="0E6F20D1"/>
    <w:rsid w:val="0E9C279A"/>
    <w:rsid w:val="0E9F33DC"/>
    <w:rsid w:val="0ED465C4"/>
    <w:rsid w:val="0EDA2CB7"/>
    <w:rsid w:val="0EE17B92"/>
    <w:rsid w:val="0EF7212F"/>
    <w:rsid w:val="0EF900CD"/>
    <w:rsid w:val="0F0A004B"/>
    <w:rsid w:val="0F1923E5"/>
    <w:rsid w:val="0F1D67DE"/>
    <w:rsid w:val="0F281645"/>
    <w:rsid w:val="0F5E00D3"/>
    <w:rsid w:val="0F661726"/>
    <w:rsid w:val="0F707EAE"/>
    <w:rsid w:val="0F713C26"/>
    <w:rsid w:val="0F714EA5"/>
    <w:rsid w:val="0F733186"/>
    <w:rsid w:val="0F7C2CF7"/>
    <w:rsid w:val="0F824086"/>
    <w:rsid w:val="0FA4224E"/>
    <w:rsid w:val="0FB0474F"/>
    <w:rsid w:val="0FB76D43"/>
    <w:rsid w:val="0FC1695C"/>
    <w:rsid w:val="0FCF5D19"/>
    <w:rsid w:val="0FD146C5"/>
    <w:rsid w:val="0FDE3F3E"/>
    <w:rsid w:val="0FE45463"/>
    <w:rsid w:val="0FE70FC2"/>
    <w:rsid w:val="0FF2480F"/>
    <w:rsid w:val="0FF752A0"/>
    <w:rsid w:val="0FFA00C0"/>
    <w:rsid w:val="10162EAC"/>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D920A3"/>
    <w:rsid w:val="10E1516D"/>
    <w:rsid w:val="10E2019C"/>
    <w:rsid w:val="10E34306"/>
    <w:rsid w:val="10E7474E"/>
    <w:rsid w:val="10F25EEC"/>
    <w:rsid w:val="10FB5E9E"/>
    <w:rsid w:val="11072D2D"/>
    <w:rsid w:val="111451B1"/>
    <w:rsid w:val="11194576"/>
    <w:rsid w:val="112C16E0"/>
    <w:rsid w:val="113A3267"/>
    <w:rsid w:val="114535BD"/>
    <w:rsid w:val="115870E1"/>
    <w:rsid w:val="11751D7F"/>
    <w:rsid w:val="11762FD6"/>
    <w:rsid w:val="11911867"/>
    <w:rsid w:val="119A7465"/>
    <w:rsid w:val="11AE1162"/>
    <w:rsid w:val="11B637C7"/>
    <w:rsid w:val="11CA5292"/>
    <w:rsid w:val="11CD1E0A"/>
    <w:rsid w:val="11D83032"/>
    <w:rsid w:val="11D860B5"/>
    <w:rsid w:val="11EA5181"/>
    <w:rsid w:val="11ED132D"/>
    <w:rsid w:val="11F50B3F"/>
    <w:rsid w:val="11FA6155"/>
    <w:rsid w:val="11FF27F2"/>
    <w:rsid w:val="12104D94"/>
    <w:rsid w:val="121D1E4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C0739F"/>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F84732"/>
    <w:rsid w:val="13FE0C28"/>
    <w:rsid w:val="13FF3EF7"/>
    <w:rsid w:val="142C45C0"/>
    <w:rsid w:val="142E20E6"/>
    <w:rsid w:val="14352DEE"/>
    <w:rsid w:val="14432035"/>
    <w:rsid w:val="14491B38"/>
    <w:rsid w:val="144B5E57"/>
    <w:rsid w:val="14593F31"/>
    <w:rsid w:val="147B3CDD"/>
    <w:rsid w:val="1485540F"/>
    <w:rsid w:val="14883EEC"/>
    <w:rsid w:val="148F6BEE"/>
    <w:rsid w:val="14945A9A"/>
    <w:rsid w:val="14E20B1F"/>
    <w:rsid w:val="14E25071"/>
    <w:rsid w:val="14E30102"/>
    <w:rsid w:val="14E4000E"/>
    <w:rsid w:val="14E76F2B"/>
    <w:rsid w:val="15107A3E"/>
    <w:rsid w:val="1514752E"/>
    <w:rsid w:val="151D4DB4"/>
    <w:rsid w:val="15231D6C"/>
    <w:rsid w:val="152857F0"/>
    <w:rsid w:val="152B4D84"/>
    <w:rsid w:val="15305766"/>
    <w:rsid w:val="154C4DBC"/>
    <w:rsid w:val="154D6EEE"/>
    <w:rsid w:val="15657010"/>
    <w:rsid w:val="1575571D"/>
    <w:rsid w:val="157C2E91"/>
    <w:rsid w:val="158817FA"/>
    <w:rsid w:val="158D458D"/>
    <w:rsid w:val="15916DD0"/>
    <w:rsid w:val="15CC605B"/>
    <w:rsid w:val="15D93750"/>
    <w:rsid w:val="15E40A1B"/>
    <w:rsid w:val="15EC19CC"/>
    <w:rsid w:val="15F27940"/>
    <w:rsid w:val="15F5110D"/>
    <w:rsid w:val="16260CA4"/>
    <w:rsid w:val="163E221F"/>
    <w:rsid w:val="16473933"/>
    <w:rsid w:val="16481B85"/>
    <w:rsid w:val="165178F6"/>
    <w:rsid w:val="166D339A"/>
    <w:rsid w:val="1674246A"/>
    <w:rsid w:val="16835940"/>
    <w:rsid w:val="16976668"/>
    <w:rsid w:val="16A359F0"/>
    <w:rsid w:val="16A96E78"/>
    <w:rsid w:val="16B9038D"/>
    <w:rsid w:val="16C15493"/>
    <w:rsid w:val="16D1099B"/>
    <w:rsid w:val="16E00A6F"/>
    <w:rsid w:val="16F9030A"/>
    <w:rsid w:val="16FE2244"/>
    <w:rsid w:val="17013AE2"/>
    <w:rsid w:val="170B670F"/>
    <w:rsid w:val="17164FDE"/>
    <w:rsid w:val="1719707D"/>
    <w:rsid w:val="17226BB5"/>
    <w:rsid w:val="17234F87"/>
    <w:rsid w:val="172664C8"/>
    <w:rsid w:val="17343EB7"/>
    <w:rsid w:val="173D6022"/>
    <w:rsid w:val="173E3493"/>
    <w:rsid w:val="17453F05"/>
    <w:rsid w:val="174B2FAF"/>
    <w:rsid w:val="177514DA"/>
    <w:rsid w:val="178D1819"/>
    <w:rsid w:val="17AA13D1"/>
    <w:rsid w:val="17AA19AB"/>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E75B7"/>
    <w:rsid w:val="185145F5"/>
    <w:rsid w:val="185C1918"/>
    <w:rsid w:val="185F2058"/>
    <w:rsid w:val="18786026"/>
    <w:rsid w:val="18907B3A"/>
    <w:rsid w:val="18985549"/>
    <w:rsid w:val="189B14E0"/>
    <w:rsid w:val="189C59F4"/>
    <w:rsid w:val="189E3CDE"/>
    <w:rsid w:val="18B079B3"/>
    <w:rsid w:val="18B828C6"/>
    <w:rsid w:val="18C132E8"/>
    <w:rsid w:val="18C272A1"/>
    <w:rsid w:val="18C94AD3"/>
    <w:rsid w:val="18E9119D"/>
    <w:rsid w:val="18F91581"/>
    <w:rsid w:val="18FD62E9"/>
    <w:rsid w:val="190F3EDE"/>
    <w:rsid w:val="19124EB2"/>
    <w:rsid w:val="1917583F"/>
    <w:rsid w:val="19230842"/>
    <w:rsid w:val="19232435"/>
    <w:rsid w:val="19521C7D"/>
    <w:rsid w:val="195A572B"/>
    <w:rsid w:val="195A71CD"/>
    <w:rsid w:val="19702705"/>
    <w:rsid w:val="198C1D89"/>
    <w:rsid w:val="199B0743"/>
    <w:rsid w:val="19C332D1"/>
    <w:rsid w:val="19CC7A23"/>
    <w:rsid w:val="19DD2724"/>
    <w:rsid w:val="19F53DD2"/>
    <w:rsid w:val="1A0628E6"/>
    <w:rsid w:val="1A0631F7"/>
    <w:rsid w:val="1A0758B3"/>
    <w:rsid w:val="1A0E13B9"/>
    <w:rsid w:val="1A2B2B8F"/>
    <w:rsid w:val="1A4C5010"/>
    <w:rsid w:val="1A5535EC"/>
    <w:rsid w:val="1A6D5B7F"/>
    <w:rsid w:val="1A715EAB"/>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D1195"/>
    <w:rsid w:val="1BE843DA"/>
    <w:rsid w:val="1BE84C62"/>
    <w:rsid w:val="1BEC6B0F"/>
    <w:rsid w:val="1BF9126A"/>
    <w:rsid w:val="1C0C4D12"/>
    <w:rsid w:val="1C165112"/>
    <w:rsid w:val="1C18312C"/>
    <w:rsid w:val="1C1A3FB4"/>
    <w:rsid w:val="1C2344FA"/>
    <w:rsid w:val="1C2C7C63"/>
    <w:rsid w:val="1C2E64F2"/>
    <w:rsid w:val="1C314E69"/>
    <w:rsid w:val="1C387FA6"/>
    <w:rsid w:val="1C5C744C"/>
    <w:rsid w:val="1C6223ED"/>
    <w:rsid w:val="1C7B131D"/>
    <w:rsid w:val="1C7B6F6E"/>
    <w:rsid w:val="1C835945"/>
    <w:rsid w:val="1C872CDB"/>
    <w:rsid w:val="1C915908"/>
    <w:rsid w:val="1C940DEA"/>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E023E27"/>
    <w:rsid w:val="1E066FB4"/>
    <w:rsid w:val="1E0845C3"/>
    <w:rsid w:val="1E3B7FF0"/>
    <w:rsid w:val="1E5842F0"/>
    <w:rsid w:val="1E791845"/>
    <w:rsid w:val="1E7D6144"/>
    <w:rsid w:val="1E804B26"/>
    <w:rsid w:val="1E8A5DE0"/>
    <w:rsid w:val="1E9445B9"/>
    <w:rsid w:val="1E9F65F4"/>
    <w:rsid w:val="1EBF050A"/>
    <w:rsid w:val="1EE10DD4"/>
    <w:rsid w:val="1EF62763"/>
    <w:rsid w:val="1EFA1543"/>
    <w:rsid w:val="1EFB0E1B"/>
    <w:rsid w:val="1F071EB1"/>
    <w:rsid w:val="1F2C6FAB"/>
    <w:rsid w:val="1F3E06FB"/>
    <w:rsid w:val="1F44570F"/>
    <w:rsid w:val="1F576995"/>
    <w:rsid w:val="1F7638D9"/>
    <w:rsid w:val="1F7E5ABE"/>
    <w:rsid w:val="1F895EF1"/>
    <w:rsid w:val="1F8A5D35"/>
    <w:rsid w:val="1F9225B2"/>
    <w:rsid w:val="1F930159"/>
    <w:rsid w:val="1FB275B6"/>
    <w:rsid w:val="1FC27D49"/>
    <w:rsid w:val="1FC81641"/>
    <w:rsid w:val="1FE741BD"/>
    <w:rsid w:val="1FED3AB8"/>
    <w:rsid w:val="1FF42436"/>
    <w:rsid w:val="1FF77D97"/>
    <w:rsid w:val="20245EDC"/>
    <w:rsid w:val="202D3B9A"/>
    <w:rsid w:val="203B62B7"/>
    <w:rsid w:val="20467814"/>
    <w:rsid w:val="208714FC"/>
    <w:rsid w:val="20C808AA"/>
    <w:rsid w:val="20D02EA3"/>
    <w:rsid w:val="20E424AA"/>
    <w:rsid w:val="20FD356C"/>
    <w:rsid w:val="20FF5536"/>
    <w:rsid w:val="211C7E96"/>
    <w:rsid w:val="211F34E2"/>
    <w:rsid w:val="21264F9C"/>
    <w:rsid w:val="212C3511"/>
    <w:rsid w:val="212C3707"/>
    <w:rsid w:val="21326B42"/>
    <w:rsid w:val="214271D1"/>
    <w:rsid w:val="21477B86"/>
    <w:rsid w:val="214E6EE9"/>
    <w:rsid w:val="214F6F82"/>
    <w:rsid w:val="215313DE"/>
    <w:rsid w:val="215F3735"/>
    <w:rsid w:val="21654860"/>
    <w:rsid w:val="216D719B"/>
    <w:rsid w:val="217063B1"/>
    <w:rsid w:val="21760810"/>
    <w:rsid w:val="218D48F0"/>
    <w:rsid w:val="218D490E"/>
    <w:rsid w:val="21920158"/>
    <w:rsid w:val="21A17576"/>
    <w:rsid w:val="21A80E04"/>
    <w:rsid w:val="21B04A82"/>
    <w:rsid w:val="21B22ECE"/>
    <w:rsid w:val="21C1459A"/>
    <w:rsid w:val="21D806A5"/>
    <w:rsid w:val="21E97519"/>
    <w:rsid w:val="21EB1616"/>
    <w:rsid w:val="22121AB8"/>
    <w:rsid w:val="221E19EC"/>
    <w:rsid w:val="22266AF2"/>
    <w:rsid w:val="2227082E"/>
    <w:rsid w:val="222E0813"/>
    <w:rsid w:val="222F3BF9"/>
    <w:rsid w:val="223824C3"/>
    <w:rsid w:val="223B2384"/>
    <w:rsid w:val="224A3A92"/>
    <w:rsid w:val="22657EF6"/>
    <w:rsid w:val="226B56FC"/>
    <w:rsid w:val="2274785E"/>
    <w:rsid w:val="228C2DF9"/>
    <w:rsid w:val="228D1A3A"/>
    <w:rsid w:val="229456B1"/>
    <w:rsid w:val="229A3466"/>
    <w:rsid w:val="22A27A63"/>
    <w:rsid w:val="22AA3280"/>
    <w:rsid w:val="22B8599C"/>
    <w:rsid w:val="22BF0094"/>
    <w:rsid w:val="22C24A6D"/>
    <w:rsid w:val="22DB4D7D"/>
    <w:rsid w:val="22FA5A07"/>
    <w:rsid w:val="22FF5791"/>
    <w:rsid w:val="23045086"/>
    <w:rsid w:val="232B0FB7"/>
    <w:rsid w:val="233314C7"/>
    <w:rsid w:val="23622D89"/>
    <w:rsid w:val="236E6F60"/>
    <w:rsid w:val="23852AE7"/>
    <w:rsid w:val="238B5A7F"/>
    <w:rsid w:val="23910CB7"/>
    <w:rsid w:val="23A979DB"/>
    <w:rsid w:val="23BF2D5B"/>
    <w:rsid w:val="23E17175"/>
    <w:rsid w:val="23E37741"/>
    <w:rsid w:val="23EA1637"/>
    <w:rsid w:val="24013373"/>
    <w:rsid w:val="240449E0"/>
    <w:rsid w:val="240653E4"/>
    <w:rsid w:val="242D4BD3"/>
    <w:rsid w:val="24313A1D"/>
    <w:rsid w:val="2435301D"/>
    <w:rsid w:val="243C2451"/>
    <w:rsid w:val="244020ED"/>
    <w:rsid w:val="24457704"/>
    <w:rsid w:val="244B21C1"/>
    <w:rsid w:val="2459651E"/>
    <w:rsid w:val="245C20B0"/>
    <w:rsid w:val="246A597E"/>
    <w:rsid w:val="246E2002"/>
    <w:rsid w:val="24731A3C"/>
    <w:rsid w:val="24977834"/>
    <w:rsid w:val="249F7694"/>
    <w:rsid w:val="24AB719D"/>
    <w:rsid w:val="24CA67E5"/>
    <w:rsid w:val="24F8118B"/>
    <w:rsid w:val="25137802"/>
    <w:rsid w:val="25302162"/>
    <w:rsid w:val="2536649D"/>
    <w:rsid w:val="253A65CA"/>
    <w:rsid w:val="253D662D"/>
    <w:rsid w:val="2555311F"/>
    <w:rsid w:val="256619E3"/>
    <w:rsid w:val="256C5840"/>
    <w:rsid w:val="25712A79"/>
    <w:rsid w:val="25787B45"/>
    <w:rsid w:val="258E0C37"/>
    <w:rsid w:val="259A75DB"/>
    <w:rsid w:val="25A12B6D"/>
    <w:rsid w:val="25A37345"/>
    <w:rsid w:val="25AE707A"/>
    <w:rsid w:val="25BD5D24"/>
    <w:rsid w:val="25C66622"/>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F8268D"/>
    <w:rsid w:val="27072222"/>
    <w:rsid w:val="270D202F"/>
    <w:rsid w:val="27105E1E"/>
    <w:rsid w:val="27111B1F"/>
    <w:rsid w:val="271867D0"/>
    <w:rsid w:val="271E423C"/>
    <w:rsid w:val="27473793"/>
    <w:rsid w:val="27483F30"/>
    <w:rsid w:val="27484DBC"/>
    <w:rsid w:val="2749286A"/>
    <w:rsid w:val="275B6273"/>
    <w:rsid w:val="2775510D"/>
    <w:rsid w:val="27785025"/>
    <w:rsid w:val="27A91B9E"/>
    <w:rsid w:val="27AA34E1"/>
    <w:rsid w:val="27E1164E"/>
    <w:rsid w:val="27F22E1F"/>
    <w:rsid w:val="27F455D3"/>
    <w:rsid w:val="27FB2984"/>
    <w:rsid w:val="280E7144"/>
    <w:rsid w:val="282467E2"/>
    <w:rsid w:val="282708E5"/>
    <w:rsid w:val="283934ED"/>
    <w:rsid w:val="28620159"/>
    <w:rsid w:val="28704CFE"/>
    <w:rsid w:val="287D4ABE"/>
    <w:rsid w:val="288051AE"/>
    <w:rsid w:val="28861297"/>
    <w:rsid w:val="288A6D6B"/>
    <w:rsid w:val="288E0F4E"/>
    <w:rsid w:val="289742A6"/>
    <w:rsid w:val="289B3793"/>
    <w:rsid w:val="28B871A9"/>
    <w:rsid w:val="28BF6807"/>
    <w:rsid w:val="28C01A4F"/>
    <w:rsid w:val="28CA3A06"/>
    <w:rsid w:val="28CD3B03"/>
    <w:rsid w:val="28EE0705"/>
    <w:rsid w:val="28EE1250"/>
    <w:rsid w:val="28F24C9B"/>
    <w:rsid w:val="28FB4835"/>
    <w:rsid w:val="28FC235B"/>
    <w:rsid w:val="292657AF"/>
    <w:rsid w:val="293E0BC6"/>
    <w:rsid w:val="29411321"/>
    <w:rsid w:val="294F692F"/>
    <w:rsid w:val="29512D29"/>
    <w:rsid w:val="295746E4"/>
    <w:rsid w:val="295D0737"/>
    <w:rsid w:val="29813AF5"/>
    <w:rsid w:val="298D11CC"/>
    <w:rsid w:val="29976F68"/>
    <w:rsid w:val="299F1664"/>
    <w:rsid w:val="29B45500"/>
    <w:rsid w:val="29C73216"/>
    <w:rsid w:val="29EE6148"/>
    <w:rsid w:val="29FB6421"/>
    <w:rsid w:val="2A041FD0"/>
    <w:rsid w:val="2A0E012F"/>
    <w:rsid w:val="2A1C2CB5"/>
    <w:rsid w:val="2A275A1A"/>
    <w:rsid w:val="2A2D406D"/>
    <w:rsid w:val="2A2E29E8"/>
    <w:rsid w:val="2A481CFC"/>
    <w:rsid w:val="2A5A1A2F"/>
    <w:rsid w:val="2AB63109"/>
    <w:rsid w:val="2AC572BD"/>
    <w:rsid w:val="2ACC4CC4"/>
    <w:rsid w:val="2ACF4907"/>
    <w:rsid w:val="2ADF7BA5"/>
    <w:rsid w:val="2AE124BC"/>
    <w:rsid w:val="2AE60862"/>
    <w:rsid w:val="2AE94AEA"/>
    <w:rsid w:val="2AFC55F8"/>
    <w:rsid w:val="2B0902B5"/>
    <w:rsid w:val="2B5B6F05"/>
    <w:rsid w:val="2B8366C8"/>
    <w:rsid w:val="2BA47406"/>
    <w:rsid w:val="2BA50A88"/>
    <w:rsid w:val="2BBE1B4A"/>
    <w:rsid w:val="2C0656F3"/>
    <w:rsid w:val="2C1125C1"/>
    <w:rsid w:val="2C1D4DCC"/>
    <w:rsid w:val="2C2570F6"/>
    <w:rsid w:val="2C3D3520"/>
    <w:rsid w:val="2C4464F3"/>
    <w:rsid w:val="2C55425C"/>
    <w:rsid w:val="2C734C03"/>
    <w:rsid w:val="2C780592"/>
    <w:rsid w:val="2C923702"/>
    <w:rsid w:val="2CA225B2"/>
    <w:rsid w:val="2CAB4A5B"/>
    <w:rsid w:val="2CAD5E46"/>
    <w:rsid w:val="2CAF6281"/>
    <w:rsid w:val="2CB05936"/>
    <w:rsid w:val="2CB2345D"/>
    <w:rsid w:val="2CC57707"/>
    <w:rsid w:val="2CC6515A"/>
    <w:rsid w:val="2CCB3F95"/>
    <w:rsid w:val="2CD60AC5"/>
    <w:rsid w:val="2CD75F02"/>
    <w:rsid w:val="2CE008B4"/>
    <w:rsid w:val="2CEC5A2B"/>
    <w:rsid w:val="2D0C6EE2"/>
    <w:rsid w:val="2D186881"/>
    <w:rsid w:val="2D265BF9"/>
    <w:rsid w:val="2D280EB9"/>
    <w:rsid w:val="2D377E06"/>
    <w:rsid w:val="2D39592C"/>
    <w:rsid w:val="2D3B4B5C"/>
    <w:rsid w:val="2D513B5D"/>
    <w:rsid w:val="2D545784"/>
    <w:rsid w:val="2D693441"/>
    <w:rsid w:val="2D731129"/>
    <w:rsid w:val="2D8B296A"/>
    <w:rsid w:val="2D8D442A"/>
    <w:rsid w:val="2D93624A"/>
    <w:rsid w:val="2D981334"/>
    <w:rsid w:val="2D9E60D7"/>
    <w:rsid w:val="2DA01FC8"/>
    <w:rsid w:val="2DA15F86"/>
    <w:rsid w:val="2DAB178E"/>
    <w:rsid w:val="2DAC25A2"/>
    <w:rsid w:val="2DB80F46"/>
    <w:rsid w:val="2DC0604D"/>
    <w:rsid w:val="2DCC7A10"/>
    <w:rsid w:val="2DEE10FE"/>
    <w:rsid w:val="2DF367BA"/>
    <w:rsid w:val="2E087CC1"/>
    <w:rsid w:val="2E105A61"/>
    <w:rsid w:val="2E172C43"/>
    <w:rsid w:val="2E1E30FD"/>
    <w:rsid w:val="2E1F2D74"/>
    <w:rsid w:val="2E24038A"/>
    <w:rsid w:val="2E2B796A"/>
    <w:rsid w:val="2E2D4CFC"/>
    <w:rsid w:val="2E680966"/>
    <w:rsid w:val="2E6A779E"/>
    <w:rsid w:val="2E821554"/>
    <w:rsid w:val="2E864BA1"/>
    <w:rsid w:val="2E94639A"/>
    <w:rsid w:val="2E9574DA"/>
    <w:rsid w:val="2EA3668F"/>
    <w:rsid w:val="2EA80FBB"/>
    <w:rsid w:val="2EAB3BE5"/>
    <w:rsid w:val="2EB44A81"/>
    <w:rsid w:val="2EEE2746"/>
    <w:rsid w:val="2EFC519F"/>
    <w:rsid w:val="2F057782"/>
    <w:rsid w:val="2F0B779C"/>
    <w:rsid w:val="2F191CD3"/>
    <w:rsid w:val="2F214357"/>
    <w:rsid w:val="2F280ABE"/>
    <w:rsid w:val="2F285C58"/>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F284F"/>
    <w:rsid w:val="30087837"/>
    <w:rsid w:val="301A32E8"/>
    <w:rsid w:val="302909F7"/>
    <w:rsid w:val="30394541"/>
    <w:rsid w:val="3039569D"/>
    <w:rsid w:val="305F38FB"/>
    <w:rsid w:val="3068478D"/>
    <w:rsid w:val="307B4D1C"/>
    <w:rsid w:val="3081343B"/>
    <w:rsid w:val="3083077D"/>
    <w:rsid w:val="309E3EA8"/>
    <w:rsid w:val="30A158EA"/>
    <w:rsid w:val="30A21A3A"/>
    <w:rsid w:val="30AB4D93"/>
    <w:rsid w:val="30B622A4"/>
    <w:rsid w:val="30D50061"/>
    <w:rsid w:val="30D836AE"/>
    <w:rsid w:val="30E958BB"/>
    <w:rsid w:val="30F04CE7"/>
    <w:rsid w:val="30FA066E"/>
    <w:rsid w:val="30FF50DE"/>
    <w:rsid w:val="3121731A"/>
    <w:rsid w:val="312560D9"/>
    <w:rsid w:val="31260743"/>
    <w:rsid w:val="3126182E"/>
    <w:rsid w:val="312945FA"/>
    <w:rsid w:val="312B7C81"/>
    <w:rsid w:val="31322DBE"/>
    <w:rsid w:val="314B0FFF"/>
    <w:rsid w:val="315A2C98"/>
    <w:rsid w:val="315C608D"/>
    <w:rsid w:val="316867E0"/>
    <w:rsid w:val="316D029A"/>
    <w:rsid w:val="316E7A4B"/>
    <w:rsid w:val="31886E82"/>
    <w:rsid w:val="319B5AF3"/>
    <w:rsid w:val="31C11945"/>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580F24"/>
    <w:rsid w:val="32611FAF"/>
    <w:rsid w:val="32780CA4"/>
    <w:rsid w:val="328474F6"/>
    <w:rsid w:val="328C4750"/>
    <w:rsid w:val="32C22B92"/>
    <w:rsid w:val="32C97752"/>
    <w:rsid w:val="32D06D32"/>
    <w:rsid w:val="32D344CA"/>
    <w:rsid w:val="32F13042"/>
    <w:rsid w:val="32F63ADD"/>
    <w:rsid w:val="3301564D"/>
    <w:rsid w:val="330615EA"/>
    <w:rsid w:val="33127DF9"/>
    <w:rsid w:val="331E617E"/>
    <w:rsid w:val="332826CA"/>
    <w:rsid w:val="333170A5"/>
    <w:rsid w:val="33335C3E"/>
    <w:rsid w:val="33526F1A"/>
    <w:rsid w:val="33581B1C"/>
    <w:rsid w:val="3359561A"/>
    <w:rsid w:val="335E6723"/>
    <w:rsid w:val="336F63C6"/>
    <w:rsid w:val="33745084"/>
    <w:rsid w:val="337F3156"/>
    <w:rsid w:val="33833DA5"/>
    <w:rsid w:val="33835B53"/>
    <w:rsid w:val="33961E92"/>
    <w:rsid w:val="33977251"/>
    <w:rsid w:val="33B73A4E"/>
    <w:rsid w:val="33C74BEC"/>
    <w:rsid w:val="33CD70D4"/>
    <w:rsid w:val="34100F32"/>
    <w:rsid w:val="34105EF7"/>
    <w:rsid w:val="34167714"/>
    <w:rsid w:val="34362BC5"/>
    <w:rsid w:val="34390DE3"/>
    <w:rsid w:val="34694CC7"/>
    <w:rsid w:val="346F5140"/>
    <w:rsid w:val="34924F08"/>
    <w:rsid w:val="34945B3E"/>
    <w:rsid w:val="34AD7A7E"/>
    <w:rsid w:val="34B5753F"/>
    <w:rsid w:val="34B87A7E"/>
    <w:rsid w:val="34D74382"/>
    <w:rsid w:val="34E64A38"/>
    <w:rsid w:val="34E846A5"/>
    <w:rsid w:val="34EC6639"/>
    <w:rsid w:val="350F47CC"/>
    <w:rsid w:val="352069FD"/>
    <w:rsid w:val="352073D1"/>
    <w:rsid w:val="352B0250"/>
    <w:rsid w:val="352E544D"/>
    <w:rsid w:val="35371508"/>
    <w:rsid w:val="353D23F7"/>
    <w:rsid w:val="35472BB0"/>
    <w:rsid w:val="3548572F"/>
    <w:rsid w:val="35622C84"/>
    <w:rsid w:val="356D4154"/>
    <w:rsid w:val="357C67B0"/>
    <w:rsid w:val="3595179C"/>
    <w:rsid w:val="35A3072E"/>
    <w:rsid w:val="35DC59EE"/>
    <w:rsid w:val="3600792F"/>
    <w:rsid w:val="360A4309"/>
    <w:rsid w:val="3615309C"/>
    <w:rsid w:val="36154A5C"/>
    <w:rsid w:val="36227F1C"/>
    <w:rsid w:val="362C24D2"/>
    <w:rsid w:val="364B1913"/>
    <w:rsid w:val="36533F02"/>
    <w:rsid w:val="366854D4"/>
    <w:rsid w:val="366F5943"/>
    <w:rsid w:val="368D2EC4"/>
    <w:rsid w:val="368F0563"/>
    <w:rsid w:val="368F2A60"/>
    <w:rsid w:val="36992F8C"/>
    <w:rsid w:val="36B1051E"/>
    <w:rsid w:val="36B81FB7"/>
    <w:rsid w:val="36BA1C6E"/>
    <w:rsid w:val="36CC15BF"/>
    <w:rsid w:val="36DD7BA6"/>
    <w:rsid w:val="36E00C6E"/>
    <w:rsid w:val="36E36908"/>
    <w:rsid w:val="370F10CC"/>
    <w:rsid w:val="37293AE2"/>
    <w:rsid w:val="373B04F2"/>
    <w:rsid w:val="374C1861"/>
    <w:rsid w:val="374D1EF4"/>
    <w:rsid w:val="376945F1"/>
    <w:rsid w:val="378A59C1"/>
    <w:rsid w:val="378D51F2"/>
    <w:rsid w:val="379522F8"/>
    <w:rsid w:val="37977E1F"/>
    <w:rsid w:val="37985945"/>
    <w:rsid w:val="37985D7C"/>
    <w:rsid w:val="37BF4E01"/>
    <w:rsid w:val="37C16C75"/>
    <w:rsid w:val="37CE39F1"/>
    <w:rsid w:val="37D270A9"/>
    <w:rsid w:val="37D41FB7"/>
    <w:rsid w:val="37D55821"/>
    <w:rsid w:val="37EA12D3"/>
    <w:rsid w:val="37EA7630"/>
    <w:rsid w:val="380157D9"/>
    <w:rsid w:val="38091BB6"/>
    <w:rsid w:val="380A7C58"/>
    <w:rsid w:val="38206066"/>
    <w:rsid w:val="382610C1"/>
    <w:rsid w:val="382C4A0B"/>
    <w:rsid w:val="38305865"/>
    <w:rsid w:val="383264BD"/>
    <w:rsid w:val="384855BD"/>
    <w:rsid w:val="384A30E3"/>
    <w:rsid w:val="38517536"/>
    <w:rsid w:val="38520411"/>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3E5ADF"/>
    <w:rsid w:val="39400042"/>
    <w:rsid w:val="39477862"/>
    <w:rsid w:val="39504114"/>
    <w:rsid w:val="395A2507"/>
    <w:rsid w:val="395A4E5E"/>
    <w:rsid w:val="396C4A31"/>
    <w:rsid w:val="396C4B5A"/>
    <w:rsid w:val="39736669"/>
    <w:rsid w:val="398B750F"/>
    <w:rsid w:val="398D2482"/>
    <w:rsid w:val="39A06131"/>
    <w:rsid w:val="39C83979"/>
    <w:rsid w:val="39D63200"/>
    <w:rsid w:val="39E6440A"/>
    <w:rsid w:val="39ED01CA"/>
    <w:rsid w:val="39F53A1D"/>
    <w:rsid w:val="3A1A7739"/>
    <w:rsid w:val="3A2754E1"/>
    <w:rsid w:val="3A325397"/>
    <w:rsid w:val="3A500759"/>
    <w:rsid w:val="3A577D17"/>
    <w:rsid w:val="3A5970F7"/>
    <w:rsid w:val="3A76582E"/>
    <w:rsid w:val="3A791A5E"/>
    <w:rsid w:val="3A7D77A0"/>
    <w:rsid w:val="3A81766A"/>
    <w:rsid w:val="3A845FD1"/>
    <w:rsid w:val="3A886669"/>
    <w:rsid w:val="3A891983"/>
    <w:rsid w:val="3AA52853"/>
    <w:rsid w:val="3AAA1C17"/>
    <w:rsid w:val="3AB47880"/>
    <w:rsid w:val="3AC151B3"/>
    <w:rsid w:val="3AC32CD9"/>
    <w:rsid w:val="3AEC222F"/>
    <w:rsid w:val="3AF5295D"/>
    <w:rsid w:val="3B0A4407"/>
    <w:rsid w:val="3B10547C"/>
    <w:rsid w:val="3B221DD2"/>
    <w:rsid w:val="3B295A3F"/>
    <w:rsid w:val="3B3C11B9"/>
    <w:rsid w:val="3B457B92"/>
    <w:rsid w:val="3B6839EC"/>
    <w:rsid w:val="3B6E32D5"/>
    <w:rsid w:val="3B8B3A2A"/>
    <w:rsid w:val="3B9D79CE"/>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90B6C"/>
    <w:rsid w:val="3C7B66FC"/>
    <w:rsid w:val="3C814BF9"/>
    <w:rsid w:val="3C8B4542"/>
    <w:rsid w:val="3C90308E"/>
    <w:rsid w:val="3CC02CF3"/>
    <w:rsid w:val="3CC91AC2"/>
    <w:rsid w:val="3CCD6091"/>
    <w:rsid w:val="3CCE4150"/>
    <w:rsid w:val="3CE533DA"/>
    <w:rsid w:val="3CFE624A"/>
    <w:rsid w:val="3D197A98"/>
    <w:rsid w:val="3D2648D3"/>
    <w:rsid w:val="3D290B19"/>
    <w:rsid w:val="3D2E4D81"/>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537F5"/>
    <w:rsid w:val="3E596376"/>
    <w:rsid w:val="3E5C270D"/>
    <w:rsid w:val="3E6C3E83"/>
    <w:rsid w:val="3E6F2431"/>
    <w:rsid w:val="3E704F26"/>
    <w:rsid w:val="3E8260FE"/>
    <w:rsid w:val="3E895FE7"/>
    <w:rsid w:val="3E907BE2"/>
    <w:rsid w:val="3E974BA8"/>
    <w:rsid w:val="3EA6303D"/>
    <w:rsid w:val="3EB5502E"/>
    <w:rsid w:val="3EB56DDC"/>
    <w:rsid w:val="3EB66E3F"/>
    <w:rsid w:val="3EC26DC0"/>
    <w:rsid w:val="3EC60FE9"/>
    <w:rsid w:val="3ED92ACB"/>
    <w:rsid w:val="3F095976"/>
    <w:rsid w:val="3F0B6385"/>
    <w:rsid w:val="3F184C9E"/>
    <w:rsid w:val="3F5B48B8"/>
    <w:rsid w:val="3F5F68C0"/>
    <w:rsid w:val="3F763A08"/>
    <w:rsid w:val="3F7A063E"/>
    <w:rsid w:val="3F7F09E5"/>
    <w:rsid w:val="3F80388E"/>
    <w:rsid w:val="3FAC6431"/>
    <w:rsid w:val="3FAF7CCF"/>
    <w:rsid w:val="3FB711FC"/>
    <w:rsid w:val="3FCE45FA"/>
    <w:rsid w:val="3FDA312B"/>
    <w:rsid w:val="3FDD483D"/>
    <w:rsid w:val="3FDE5256"/>
    <w:rsid w:val="3FF52910"/>
    <w:rsid w:val="4001414A"/>
    <w:rsid w:val="400211A6"/>
    <w:rsid w:val="40073822"/>
    <w:rsid w:val="401E4E97"/>
    <w:rsid w:val="401E5AE1"/>
    <w:rsid w:val="405D597D"/>
    <w:rsid w:val="406F1256"/>
    <w:rsid w:val="40750F19"/>
    <w:rsid w:val="407C4056"/>
    <w:rsid w:val="40A76A18"/>
    <w:rsid w:val="40AD420F"/>
    <w:rsid w:val="40B871CC"/>
    <w:rsid w:val="40CD3A38"/>
    <w:rsid w:val="40F115F5"/>
    <w:rsid w:val="40F14A51"/>
    <w:rsid w:val="41286C0B"/>
    <w:rsid w:val="412C21CF"/>
    <w:rsid w:val="413E5A1F"/>
    <w:rsid w:val="414E3ABF"/>
    <w:rsid w:val="41657329"/>
    <w:rsid w:val="41664102"/>
    <w:rsid w:val="416F5968"/>
    <w:rsid w:val="418764DD"/>
    <w:rsid w:val="41A05B22"/>
    <w:rsid w:val="41A0664C"/>
    <w:rsid w:val="41A84F13"/>
    <w:rsid w:val="41DB4DAC"/>
    <w:rsid w:val="41EB6A9E"/>
    <w:rsid w:val="41F01E86"/>
    <w:rsid w:val="42164036"/>
    <w:rsid w:val="421B164C"/>
    <w:rsid w:val="42283CB5"/>
    <w:rsid w:val="423821FE"/>
    <w:rsid w:val="423A41C8"/>
    <w:rsid w:val="42611755"/>
    <w:rsid w:val="426825A3"/>
    <w:rsid w:val="426D3E38"/>
    <w:rsid w:val="42986CA5"/>
    <w:rsid w:val="42997036"/>
    <w:rsid w:val="42A27E98"/>
    <w:rsid w:val="42BA073C"/>
    <w:rsid w:val="42D448E2"/>
    <w:rsid w:val="42DC29C8"/>
    <w:rsid w:val="42DD6902"/>
    <w:rsid w:val="42E054D6"/>
    <w:rsid w:val="42E1552A"/>
    <w:rsid w:val="42E5574C"/>
    <w:rsid w:val="42F57311"/>
    <w:rsid w:val="43010842"/>
    <w:rsid w:val="4304272C"/>
    <w:rsid w:val="430646B0"/>
    <w:rsid w:val="430A1DED"/>
    <w:rsid w:val="433E55F2"/>
    <w:rsid w:val="434C248F"/>
    <w:rsid w:val="435B2648"/>
    <w:rsid w:val="437D2441"/>
    <w:rsid w:val="43900589"/>
    <w:rsid w:val="43A0005B"/>
    <w:rsid w:val="43A80592"/>
    <w:rsid w:val="43D21F6A"/>
    <w:rsid w:val="43F041A7"/>
    <w:rsid w:val="44043B95"/>
    <w:rsid w:val="44056110"/>
    <w:rsid w:val="441449F6"/>
    <w:rsid w:val="44173C6A"/>
    <w:rsid w:val="441C329A"/>
    <w:rsid w:val="442567B2"/>
    <w:rsid w:val="4430118F"/>
    <w:rsid w:val="44333030"/>
    <w:rsid w:val="44337121"/>
    <w:rsid w:val="44474B53"/>
    <w:rsid w:val="44644CA6"/>
    <w:rsid w:val="446472DA"/>
    <w:rsid w:val="4478567E"/>
    <w:rsid w:val="447D50E6"/>
    <w:rsid w:val="44883642"/>
    <w:rsid w:val="448E4445"/>
    <w:rsid w:val="4496202F"/>
    <w:rsid w:val="44A92F3F"/>
    <w:rsid w:val="44C10289"/>
    <w:rsid w:val="44D34D39"/>
    <w:rsid w:val="44D90DD0"/>
    <w:rsid w:val="44E64193"/>
    <w:rsid w:val="45147397"/>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D466E2"/>
    <w:rsid w:val="45E22BAD"/>
    <w:rsid w:val="45F35012"/>
    <w:rsid w:val="45FA76C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7F27E8E"/>
    <w:rsid w:val="4800426E"/>
    <w:rsid w:val="48054B47"/>
    <w:rsid w:val="48092B19"/>
    <w:rsid w:val="480C16A5"/>
    <w:rsid w:val="480D334D"/>
    <w:rsid w:val="481D504E"/>
    <w:rsid w:val="481E1E96"/>
    <w:rsid w:val="48277B6C"/>
    <w:rsid w:val="482A6280"/>
    <w:rsid w:val="4832262B"/>
    <w:rsid w:val="48533B2A"/>
    <w:rsid w:val="485C5A77"/>
    <w:rsid w:val="485E2293"/>
    <w:rsid w:val="486A50DB"/>
    <w:rsid w:val="486F44A0"/>
    <w:rsid w:val="4872330D"/>
    <w:rsid w:val="48791DFD"/>
    <w:rsid w:val="488937B4"/>
    <w:rsid w:val="48972CE4"/>
    <w:rsid w:val="4898467D"/>
    <w:rsid w:val="4899619E"/>
    <w:rsid w:val="48A4239B"/>
    <w:rsid w:val="48A453A1"/>
    <w:rsid w:val="48BC6013"/>
    <w:rsid w:val="48C04CFB"/>
    <w:rsid w:val="48C6614D"/>
    <w:rsid w:val="48C77E38"/>
    <w:rsid w:val="48D0052D"/>
    <w:rsid w:val="48D80297"/>
    <w:rsid w:val="48EA7DE0"/>
    <w:rsid w:val="48EC3D42"/>
    <w:rsid w:val="48F13107"/>
    <w:rsid w:val="49024EDB"/>
    <w:rsid w:val="4907292A"/>
    <w:rsid w:val="49121450"/>
    <w:rsid w:val="49247038"/>
    <w:rsid w:val="4946664C"/>
    <w:rsid w:val="4955275C"/>
    <w:rsid w:val="4957242E"/>
    <w:rsid w:val="49702445"/>
    <w:rsid w:val="49804BB7"/>
    <w:rsid w:val="499042A4"/>
    <w:rsid w:val="499C1713"/>
    <w:rsid w:val="49A55559"/>
    <w:rsid w:val="49AD1724"/>
    <w:rsid w:val="49B12A65"/>
    <w:rsid w:val="49B537D7"/>
    <w:rsid w:val="49BE56DF"/>
    <w:rsid w:val="49D12904"/>
    <w:rsid w:val="49E05655"/>
    <w:rsid w:val="49E5489D"/>
    <w:rsid w:val="49F42EAF"/>
    <w:rsid w:val="49F81187"/>
    <w:rsid w:val="49F82CCF"/>
    <w:rsid w:val="4A024AD0"/>
    <w:rsid w:val="4A027B4B"/>
    <w:rsid w:val="4A041AC3"/>
    <w:rsid w:val="4A064990"/>
    <w:rsid w:val="4A1B043B"/>
    <w:rsid w:val="4A1D068B"/>
    <w:rsid w:val="4A37734B"/>
    <w:rsid w:val="4A3D5FAF"/>
    <w:rsid w:val="4A437992"/>
    <w:rsid w:val="4A4617EA"/>
    <w:rsid w:val="4A52208C"/>
    <w:rsid w:val="4A5E0944"/>
    <w:rsid w:val="4A6610AA"/>
    <w:rsid w:val="4A6A56E8"/>
    <w:rsid w:val="4A7047A0"/>
    <w:rsid w:val="4A82670C"/>
    <w:rsid w:val="4A8B6BD3"/>
    <w:rsid w:val="4A8D015B"/>
    <w:rsid w:val="4A8E7695"/>
    <w:rsid w:val="4AA87194"/>
    <w:rsid w:val="4AAE5599"/>
    <w:rsid w:val="4AC26B09"/>
    <w:rsid w:val="4AC33923"/>
    <w:rsid w:val="4AD650FF"/>
    <w:rsid w:val="4AF06848"/>
    <w:rsid w:val="4AFF1B0B"/>
    <w:rsid w:val="4B0F243F"/>
    <w:rsid w:val="4B1A6945"/>
    <w:rsid w:val="4B272E10"/>
    <w:rsid w:val="4B297B9D"/>
    <w:rsid w:val="4B3C629B"/>
    <w:rsid w:val="4B3F0159"/>
    <w:rsid w:val="4B4664F9"/>
    <w:rsid w:val="4B4D2A30"/>
    <w:rsid w:val="4B5647FB"/>
    <w:rsid w:val="4B5D5902"/>
    <w:rsid w:val="4B7178C7"/>
    <w:rsid w:val="4BA426B2"/>
    <w:rsid w:val="4BB06DB8"/>
    <w:rsid w:val="4BD21C8F"/>
    <w:rsid w:val="4BDD2320"/>
    <w:rsid w:val="4BE13907"/>
    <w:rsid w:val="4C082C41"/>
    <w:rsid w:val="4C1235D5"/>
    <w:rsid w:val="4C2B6874"/>
    <w:rsid w:val="4C371778"/>
    <w:rsid w:val="4C393489"/>
    <w:rsid w:val="4C395188"/>
    <w:rsid w:val="4C800A2A"/>
    <w:rsid w:val="4C8C5C16"/>
    <w:rsid w:val="4C8E75EA"/>
    <w:rsid w:val="4CA07B96"/>
    <w:rsid w:val="4CA673C8"/>
    <w:rsid w:val="4CB3047F"/>
    <w:rsid w:val="4CB6269D"/>
    <w:rsid w:val="4CB725E4"/>
    <w:rsid w:val="4CBF063E"/>
    <w:rsid w:val="4CC24B4C"/>
    <w:rsid w:val="4CC55DC1"/>
    <w:rsid w:val="4CDB43D7"/>
    <w:rsid w:val="4CEF5BAF"/>
    <w:rsid w:val="4CF552D0"/>
    <w:rsid w:val="4D0E5E48"/>
    <w:rsid w:val="4D0F1A08"/>
    <w:rsid w:val="4D1902BE"/>
    <w:rsid w:val="4D211F36"/>
    <w:rsid w:val="4D5F0F87"/>
    <w:rsid w:val="4D5F4AE3"/>
    <w:rsid w:val="4D6046FD"/>
    <w:rsid w:val="4D682977"/>
    <w:rsid w:val="4D7C38E7"/>
    <w:rsid w:val="4D80363C"/>
    <w:rsid w:val="4D814C58"/>
    <w:rsid w:val="4D93478D"/>
    <w:rsid w:val="4DA15FEB"/>
    <w:rsid w:val="4DAE0BF8"/>
    <w:rsid w:val="4DB52955"/>
    <w:rsid w:val="4DB93431"/>
    <w:rsid w:val="4DBE3A6B"/>
    <w:rsid w:val="4DBF546E"/>
    <w:rsid w:val="4DC86B2C"/>
    <w:rsid w:val="4DDC2846"/>
    <w:rsid w:val="4DE208AD"/>
    <w:rsid w:val="4DE47B18"/>
    <w:rsid w:val="4E050499"/>
    <w:rsid w:val="4E1F4272"/>
    <w:rsid w:val="4E2B1AB9"/>
    <w:rsid w:val="4E2B220B"/>
    <w:rsid w:val="4E2B2C17"/>
    <w:rsid w:val="4E541801"/>
    <w:rsid w:val="4E5647C4"/>
    <w:rsid w:val="4E7520E4"/>
    <w:rsid w:val="4E767DBA"/>
    <w:rsid w:val="4E7C1DD9"/>
    <w:rsid w:val="4E833AC8"/>
    <w:rsid w:val="4E8B4257"/>
    <w:rsid w:val="4E8D3A20"/>
    <w:rsid w:val="4EA56E6D"/>
    <w:rsid w:val="4EBE1CDD"/>
    <w:rsid w:val="4EDC4384"/>
    <w:rsid w:val="4EE80B08"/>
    <w:rsid w:val="4F0E056F"/>
    <w:rsid w:val="4F121149"/>
    <w:rsid w:val="4F1A33B7"/>
    <w:rsid w:val="4F1F62D3"/>
    <w:rsid w:val="4F280EFC"/>
    <w:rsid w:val="4F3766C0"/>
    <w:rsid w:val="4F3855EC"/>
    <w:rsid w:val="4F6A4947"/>
    <w:rsid w:val="4F762878"/>
    <w:rsid w:val="4F8545A9"/>
    <w:rsid w:val="4FAF008D"/>
    <w:rsid w:val="4FD3569C"/>
    <w:rsid w:val="4FF05EC6"/>
    <w:rsid w:val="4FF43C08"/>
    <w:rsid w:val="50074E64"/>
    <w:rsid w:val="50171910"/>
    <w:rsid w:val="501868DB"/>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415EA"/>
    <w:rsid w:val="50B82E88"/>
    <w:rsid w:val="50C61849"/>
    <w:rsid w:val="50E55AD0"/>
    <w:rsid w:val="50EE14B8"/>
    <w:rsid w:val="50FC5734"/>
    <w:rsid w:val="50FD2F03"/>
    <w:rsid w:val="510036E0"/>
    <w:rsid w:val="51114346"/>
    <w:rsid w:val="512435DF"/>
    <w:rsid w:val="51385D77"/>
    <w:rsid w:val="513B12E8"/>
    <w:rsid w:val="513B7D84"/>
    <w:rsid w:val="513E5DB7"/>
    <w:rsid w:val="514970FF"/>
    <w:rsid w:val="514C4262"/>
    <w:rsid w:val="51597A9B"/>
    <w:rsid w:val="515B3813"/>
    <w:rsid w:val="515C37AD"/>
    <w:rsid w:val="517370FA"/>
    <w:rsid w:val="517F39A6"/>
    <w:rsid w:val="519B4246"/>
    <w:rsid w:val="51A46A39"/>
    <w:rsid w:val="51A60F32"/>
    <w:rsid w:val="51A61731"/>
    <w:rsid w:val="51B478FB"/>
    <w:rsid w:val="51B80C66"/>
    <w:rsid w:val="51BC0DF9"/>
    <w:rsid w:val="51C70CD9"/>
    <w:rsid w:val="51C71567"/>
    <w:rsid w:val="51D43382"/>
    <w:rsid w:val="51F32D2F"/>
    <w:rsid w:val="520619D1"/>
    <w:rsid w:val="520F675D"/>
    <w:rsid w:val="52190392"/>
    <w:rsid w:val="521D7822"/>
    <w:rsid w:val="5221320C"/>
    <w:rsid w:val="522A4101"/>
    <w:rsid w:val="52314DA8"/>
    <w:rsid w:val="525210BA"/>
    <w:rsid w:val="52581161"/>
    <w:rsid w:val="526A75F6"/>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2A209B"/>
    <w:rsid w:val="542E7C0A"/>
    <w:rsid w:val="543919EF"/>
    <w:rsid w:val="54510FD0"/>
    <w:rsid w:val="545509EE"/>
    <w:rsid w:val="546D4523"/>
    <w:rsid w:val="548209E1"/>
    <w:rsid w:val="5484610D"/>
    <w:rsid w:val="54931516"/>
    <w:rsid w:val="5495703C"/>
    <w:rsid w:val="54996A24"/>
    <w:rsid w:val="54AA08FB"/>
    <w:rsid w:val="54AC5037"/>
    <w:rsid w:val="54B073EA"/>
    <w:rsid w:val="54C17A9E"/>
    <w:rsid w:val="54E6462A"/>
    <w:rsid w:val="55156C76"/>
    <w:rsid w:val="5516017D"/>
    <w:rsid w:val="551B6A8A"/>
    <w:rsid w:val="551F5FF9"/>
    <w:rsid w:val="55251519"/>
    <w:rsid w:val="552A7206"/>
    <w:rsid w:val="552B3A2E"/>
    <w:rsid w:val="552D3719"/>
    <w:rsid w:val="552F2E43"/>
    <w:rsid w:val="55474AC2"/>
    <w:rsid w:val="554A42CB"/>
    <w:rsid w:val="555111B5"/>
    <w:rsid w:val="55597061"/>
    <w:rsid w:val="555D47C4"/>
    <w:rsid w:val="556279A7"/>
    <w:rsid w:val="556709D9"/>
    <w:rsid w:val="556F1F83"/>
    <w:rsid w:val="558A0B6B"/>
    <w:rsid w:val="558E2409"/>
    <w:rsid w:val="55A57753"/>
    <w:rsid w:val="55A74D1E"/>
    <w:rsid w:val="55AC0AE1"/>
    <w:rsid w:val="55E71B19"/>
    <w:rsid w:val="55F34962"/>
    <w:rsid w:val="560E1BDD"/>
    <w:rsid w:val="560F79F9"/>
    <w:rsid w:val="5634617F"/>
    <w:rsid w:val="5637484F"/>
    <w:rsid w:val="564451BE"/>
    <w:rsid w:val="56567EED"/>
    <w:rsid w:val="567B1F36"/>
    <w:rsid w:val="568630E0"/>
    <w:rsid w:val="56A24C1D"/>
    <w:rsid w:val="56AE7C5A"/>
    <w:rsid w:val="56AF6ADB"/>
    <w:rsid w:val="56C7351C"/>
    <w:rsid w:val="56D1541C"/>
    <w:rsid w:val="56E725FE"/>
    <w:rsid w:val="56E9366F"/>
    <w:rsid w:val="56ED315F"/>
    <w:rsid w:val="56FE536D"/>
    <w:rsid w:val="57001308"/>
    <w:rsid w:val="570505EF"/>
    <w:rsid w:val="57122BC6"/>
    <w:rsid w:val="57156F80"/>
    <w:rsid w:val="571D1C8F"/>
    <w:rsid w:val="57282500"/>
    <w:rsid w:val="572C1210"/>
    <w:rsid w:val="573214BA"/>
    <w:rsid w:val="573945F7"/>
    <w:rsid w:val="57573528"/>
    <w:rsid w:val="577D1D40"/>
    <w:rsid w:val="57995095"/>
    <w:rsid w:val="57A853BE"/>
    <w:rsid w:val="57BD32EC"/>
    <w:rsid w:val="57CF5A16"/>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C72E85"/>
    <w:rsid w:val="58CA425E"/>
    <w:rsid w:val="58D45090"/>
    <w:rsid w:val="58ED5699"/>
    <w:rsid w:val="58EF1411"/>
    <w:rsid w:val="58EF5044"/>
    <w:rsid w:val="58FA1966"/>
    <w:rsid w:val="59072F36"/>
    <w:rsid w:val="59126D4B"/>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EA6D45"/>
    <w:rsid w:val="59F5520F"/>
    <w:rsid w:val="5A3115B5"/>
    <w:rsid w:val="5A354D3F"/>
    <w:rsid w:val="5A405530"/>
    <w:rsid w:val="5A405C9C"/>
    <w:rsid w:val="5A4237C2"/>
    <w:rsid w:val="5A504131"/>
    <w:rsid w:val="5A6C48E6"/>
    <w:rsid w:val="5A765379"/>
    <w:rsid w:val="5A7D7B9D"/>
    <w:rsid w:val="5A873458"/>
    <w:rsid w:val="5A8D6A64"/>
    <w:rsid w:val="5AB04BD0"/>
    <w:rsid w:val="5AB60511"/>
    <w:rsid w:val="5AC62645"/>
    <w:rsid w:val="5AC81DBA"/>
    <w:rsid w:val="5AD76D0F"/>
    <w:rsid w:val="5AE605F2"/>
    <w:rsid w:val="5AF91B4A"/>
    <w:rsid w:val="5B0349CD"/>
    <w:rsid w:val="5B1C3FBE"/>
    <w:rsid w:val="5B5F2152"/>
    <w:rsid w:val="5B6C1376"/>
    <w:rsid w:val="5B776821"/>
    <w:rsid w:val="5B7D530D"/>
    <w:rsid w:val="5B7E2ECD"/>
    <w:rsid w:val="5B832D06"/>
    <w:rsid w:val="5B857E0A"/>
    <w:rsid w:val="5B8A151C"/>
    <w:rsid w:val="5B923001"/>
    <w:rsid w:val="5BA1138A"/>
    <w:rsid w:val="5BA45030"/>
    <w:rsid w:val="5BAF68EB"/>
    <w:rsid w:val="5BAF6C35"/>
    <w:rsid w:val="5BB34E56"/>
    <w:rsid w:val="5BC22E0D"/>
    <w:rsid w:val="5BC621D1"/>
    <w:rsid w:val="5BD7618C"/>
    <w:rsid w:val="5BDC2291"/>
    <w:rsid w:val="5BEF4C4D"/>
    <w:rsid w:val="5C25514A"/>
    <w:rsid w:val="5C451348"/>
    <w:rsid w:val="5C4C0928"/>
    <w:rsid w:val="5C771A17"/>
    <w:rsid w:val="5C78171D"/>
    <w:rsid w:val="5C7878C3"/>
    <w:rsid w:val="5C817C33"/>
    <w:rsid w:val="5C817EC9"/>
    <w:rsid w:val="5C826C8D"/>
    <w:rsid w:val="5C871960"/>
    <w:rsid w:val="5C98591B"/>
    <w:rsid w:val="5C9C4029"/>
    <w:rsid w:val="5C9F3B0E"/>
    <w:rsid w:val="5CAE15E3"/>
    <w:rsid w:val="5CD86429"/>
    <w:rsid w:val="5CE24E21"/>
    <w:rsid w:val="5CF60C9B"/>
    <w:rsid w:val="5D0B52B9"/>
    <w:rsid w:val="5D21414C"/>
    <w:rsid w:val="5D2B2C34"/>
    <w:rsid w:val="5D3513BC"/>
    <w:rsid w:val="5D4F6A60"/>
    <w:rsid w:val="5D5D3DAC"/>
    <w:rsid w:val="5D6F7784"/>
    <w:rsid w:val="5D70252D"/>
    <w:rsid w:val="5D9E3405"/>
    <w:rsid w:val="5D9F2CDA"/>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F1D5294"/>
    <w:rsid w:val="5F203901"/>
    <w:rsid w:val="5F47472D"/>
    <w:rsid w:val="5F58231A"/>
    <w:rsid w:val="5F7433F4"/>
    <w:rsid w:val="5F881C77"/>
    <w:rsid w:val="5F933D87"/>
    <w:rsid w:val="5FA96735"/>
    <w:rsid w:val="5FAE5B6E"/>
    <w:rsid w:val="5FB23198"/>
    <w:rsid w:val="5FBC0B80"/>
    <w:rsid w:val="5FC92290"/>
    <w:rsid w:val="5FCD1D80"/>
    <w:rsid w:val="5FDB771F"/>
    <w:rsid w:val="5FDE21CA"/>
    <w:rsid w:val="5FDE7907"/>
    <w:rsid w:val="5FE32ACA"/>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27B9F"/>
    <w:rsid w:val="60DA0BF8"/>
    <w:rsid w:val="60FA753E"/>
    <w:rsid w:val="61053016"/>
    <w:rsid w:val="610743DD"/>
    <w:rsid w:val="610D4BDB"/>
    <w:rsid w:val="611F02FF"/>
    <w:rsid w:val="612805C8"/>
    <w:rsid w:val="612F0022"/>
    <w:rsid w:val="612F4895"/>
    <w:rsid w:val="613060DD"/>
    <w:rsid w:val="614E6EF1"/>
    <w:rsid w:val="614F578E"/>
    <w:rsid w:val="615A25EA"/>
    <w:rsid w:val="617A7CE6"/>
    <w:rsid w:val="61826037"/>
    <w:rsid w:val="618A2BE6"/>
    <w:rsid w:val="618A752F"/>
    <w:rsid w:val="618D7A19"/>
    <w:rsid w:val="61930DA7"/>
    <w:rsid w:val="61A42FB4"/>
    <w:rsid w:val="61A84853"/>
    <w:rsid w:val="61C827FF"/>
    <w:rsid w:val="61C86CA3"/>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26350"/>
    <w:rsid w:val="62A413EC"/>
    <w:rsid w:val="62A70AFA"/>
    <w:rsid w:val="62AC5DA2"/>
    <w:rsid w:val="62BC3D31"/>
    <w:rsid w:val="62C531E2"/>
    <w:rsid w:val="62E03F3A"/>
    <w:rsid w:val="62FB4E56"/>
    <w:rsid w:val="63051831"/>
    <w:rsid w:val="63106792"/>
    <w:rsid w:val="631D37AF"/>
    <w:rsid w:val="631F6D97"/>
    <w:rsid w:val="63310878"/>
    <w:rsid w:val="633640E0"/>
    <w:rsid w:val="635C1C28"/>
    <w:rsid w:val="636465DA"/>
    <w:rsid w:val="637810A4"/>
    <w:rsid w:val="63892462"/>
    <w:rsid w:val="639826A5"/>
    <w:rsid w:val="63C42462"/>
    <w:rsid w:val="63C9581B"/>
    <w:rsid w:val="63E36016"/>
    <w:rsid w:val="63E43B3C"/>
    <w:rsid w:val="64033FC2"/>
    <w:rsid w:val="640404F9"/>
    <w:rsid w:val="640A74EF"/>
    <w:rsid w:val="641206A9"/>
    <w:rsid w:val="64175CC0"/>
    <w:rsid w:val="64255448"/>
    <w:rsid w:val="64265F03"/>
    <w:rsid w:val="64335EAD"/>
    <w:rsid w:val="643412E7"/>
    <w:rsid w:val="643E149E"/>
    <w:rsid w:val="645111D2"/>
    <w:rsid w:val="645F5323"/>
    <w:rsid w:val="646E2CE8"/>
    <w:rsid w:val="64913E20"/>
    <w:rsid w:val="64925346"/>
    <w:rsid w:val="64994927"/>
    <w:rsid w:val="64A1271F"/>
    <w:rsid w:val="64AA6B34"/>
    <w:rsid w:val="64AC5A8E"/>
    <w:rsid w:val="64AC6408"/>
    <w:rsid w:val="64B33C3A"/>
    <w:rsid w:val="64B74DAD"/>
    <w:rsid w:val="64B90194"/>
    <w:rsid w:val="64D836A1"/>
    <w:rsid w:val="65035466"/>
    <w:rsid w:val="65144B4F"/>
    <w:rsid w:val="652B5B6A"/>
    <w:rsid w:val="653A3FD7"/>
    <w:rsid w:val="65452D0E"/>
    <w:rsid w:val="65582E79"/>
    <w:rsid w:val="657D1F2D"/>
    <w:rsid w:val="657E4F50"/>
    <w:rsid w:val="658605EC"/>
    <w:rsid w:val="659550EE"/>
    <w:rsid w:val="65B93F70"/>
    <w:rsid w:val="65BB267B"/>
    <w:rsid w:val="65BD1D4A"/>
    <w:rsid w:val="65C3753A"/>
    <w:rsid w:val="65D06126"/>
    <w:rsid w:val="65D8147F"/>
    <w:rsid w:val="65E25D5F"/>
    <w:rsid w:val="65E63E7D"/>
    <w:rsid w:val="65F6169A"/>
    <w:rsid w:val="65F65296"/>
    <w:rsid w:val="662752F0"/>
    <w:rsid w:val="662E6C0F"/>
    <w:rsid w:val="663C46DE"/>
    <w:rsid w:val="663F2D19"/>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127912"/>
    <w:rsid w:val="67401089"/>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151E7A"/>
    <w:rsid w:val="68262975"/>
    <w:rsid w:val="683A271C"/>
    <w:rsid w:val="683F4100"/>
    <w:rsid w:val="684D138C"/>
    <w:rsid w:val="685D1552"/>
    <w:rsid w:val="68647FB5"/>
    <w:rsid w:val="6866280A"/>
    <w:rsid w:val="68686AEA"/>
    <w:rsid w:val="688C24A4"/>
    <w:rsid w:val="688D47A2"/>
    <w:rsid w:val="68915AA7"/>
    <w:rsid w:val="689618A9"/>
    <w:rsid w:val="68967E6A"/>
    <w:rsid w:val="689A3865"/>
    <w:rsid w:val="68A37F48"/>
    <w:rsid w:val="68B4089F"/>
    <w:rsid w:val="68BA756F"/>
    <w:rsid w:val="68C84E8E"/>
    <w:rsid w:val="68D45F2D"/>
    <w:rsid w:val="68E57EEC"/>
    <w:rsid w:val="68F33995"/>
    <w:rsid w:val="69074555"/>
    <w:rsid w:val="69126A56"/>
    <w:rsid w:val="69240076"/>
    <w:rsid w:val="6930742F"/>
    <w:rsid w:val="693E611A"/>
    <w:rsid w:val="69434224"/>
    <w:rsid w:val="69486E37"/>
    <w:rsid w:val="694D5CE0"/>
    <w:rsid w:val="69541E76"/>
    <w:rsid w:val="695A20A8"/>
    <w:rsid w:val="695E7397"/>
    <w:rsid w:val="69A55B1C"/>
    <w:rsid w:val="69A578CA"/>
    <w:rsid w:val="69AA7B4E"/>
    <w:rsid w:val="69BB1FCB"/>
    <w:rsid w:val="69BB3877"/>
    <w:rsid w:val="69BE2B38"/>
    <w:rsid w:val="69CF2233"/>
    <w:rsid w:val="69DF079E"/>
    <w:rsid w:val="6A022F6E"/>
    <w:rsid w:val="6A0E021D"/>
    <w:rsid w:val="6A0E6EBA"/>
    <w:rsid w:val="6A136F29"/>
    <w:rsid w:val="6A1A3E8C"/>
    <w:rsid w:val="6A2627B9"/>
    <w:rsid w:val="6A3F74A5"/>
    <w:rsid w:val="6A430A61"/>
    <w:rsid w:val="6A747194"/>
    <w:rsid w:val="6A796BDA"/>
    <w:rsid w:val="6A7A2C23"/>
    <w:rsid w:val="6A7F6D26"/>
    <w:rsid w:val="6A865C33"/>
    <w:rsid w:val="6AA67245"/>
    <w:rsid w:val="6AA85E74"/>
    <w:rsid w:val="6AAD4C88"/>
    <w:rsid w:val="6AB06526"/>
    <w:rsid w:val="6ABA1153"/>
    <w:rsid w:val="6AC4570C"/>
    <w:rsid w:val="6AC73CA4"/>
    <w:rsid w:val="6AD77F57"/>
    <w:rsid w:val="6AE07337"/>
    <w:rsid w:val="6AF40C4A"/>
    <w:rsid w:val="6B07083C"/>
    <w:rsid w:val="6B10796B"/>
    <w:rsid w:val="6B1B5543"/>
    <w:rsid w:val="6B225676"/>
    <w:rsid w:val="6B2F4A8B"/>
    <w:rsid w:val="6B39476E"/>
    <w:rsid w:val="6B43088B"/>
    <w:rsid w:val="6B5670CE"/>
    <w:rsid w:val="6B591BFB"/>
    <w:rsid w:val="6B6C069F"/>
    <w:rsid w:val="6B8228CD"/>
    <w:rsid w:val="6B863F9D"/>
    <w:rsid w:val="6B8E2D0B"/>
    <w:rsid w:val="6B9B0E35"/>
    <w:rsid w:val="6BA020A4"/>
    <w:rsid w:val="6BA37791"/>
    <w:rsid w:val="6BA93DA5"/>
    <w:rsid w:val="6BBB33D4"/>
    <w:rsid w:val="6BF51F95"/>
    <w:rsid w:val="6BF74F38"/>
    <w:rsid w:val="6BFA3EFD"/>
    <w:rsid w:val="6C22295D"/>
    <w:rsid w:val="6C24541E"/>
    <w:rsid w:val="6C292A34"/>
    <w:rsid w:val="6C295050"/>
    <w:rsid w:val="6C2F0285"/>
    <w:rsid w:val="6C4E5FF7"/>
    <w:rsid w:val="6C6B22C5"/>
    <w:rsid w:val="6C727C9C"/>
    <w:rsid w:val="6C97799E"/>
    <w:rsid w:val="6CA040FB"/>
    <w:rsid w:val="6CA2021D"/>
    <w:rsid w:val="6CB54345"/>
    <w:rsid w:val="6CD26C28"/>
    <w:rsid w:val="6CD71DF8"/>
    <w:rsid w:val="6CD96ABB"/>
    <w:rsid w:val="6CD97738"/>
    <w:rsid w:val="6CE213ED"/>
    <w:rsid w:val="6CF9599E"/>
    <w:rsid w:val="6D08089B"/>
    <w:rsid w:val="6D231231"/>
    <w:rsid w:val="6D283043"/>
    <w:rsid w:val="6D3527BF"/>
    <w:rsid w:val="6D430476"/>
    <w:rsid w:val="6D491A7D"/>
    <w:rsid w:val="6D5C79A0"/>
    <w:rsid w:val="6D667370"/>
    <w:rsid w:val="6D7147AA"/>
    <w:rsid w:val="6D7A56E3"/>
    <w:rsid w:val="6D8C327A"/>
    <w:rsid w:val="6DA93E2C"/>
    <w:rsid w:val="6DB53834"/>
    <w:rsid w:val="6DB9605E"/>
    <w:rsid w:val="6DBA52B1"/>
    <w:rsid w:val="6DC820CE"/>
    <w:rsid w:val="6DC947BB"/>
    <w:rsid w:val="6DCB0626"/>
    <w:rsid w:val="6DD15131"/>
    <w:rsid w:val="6DDA0A3A"/>
    <w:rsid w:val="6DDC0050"/>
    <w:rsid w:val="6DE318DB"/>
    <w:rsid w:val="6DEB3B1C"/>
    <w:rsid w:val="6DF1132F"/>
    <w:rsid w:val="6E0C6169"/>
    <w:rsid w:val="6E273FA2"/>
    <w:rsid w:val="6E2A59E1"/>
    <w:rsid w:val="6E3A5AE7"/>
    <w:rsid w:val="6E4771A1"/>
    <w:rsid w:val="6E644582"/>
    <w:rsid w:val="6E65267E"/>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77FD4"/>
    <w:rsid w:val="6F3E6F3C"/>
    <w:rsid w:val="6F4A7B60"/>
    <w:rsid w:val="6F59718C"/>
    <w:rsid w:val="6F663D87"/>
    <w:rsid w:val="6F7C731F"/>
    <w:rsid w:val="6F834209"/>
    <w:rsid w:val="6F855772"/>
    <w:rsid w:val="6F8803AF"/>
    <w:rsid w:val="6F8867FE"/>
    <w:rsid w:val="6F963F3C"/>
    <w:rsid w:val="6F9C52CB"/>
    <w:rsid w:val="6FA4671F"/>
    <w:rsid w:val="6FAF4746"/>
    <w:rsid w:val="6FAF5C96"/>
    <w:rsid w:val="6FB468AF"/>
    <w:rsid w:val="6FC22F83"/>
    <w:rsid w:val="6FD26F3F"/>
    <w:rsid w:val="6FED3D79"/>
    <w:rsid w:val="6FF670D1"/>
    <w:rsid w:val="6FF72B21"/>
    <w:rsid w:val="6FF85AFC"/>
    <w:rsid w:val="703379DD"/>
    <w:rsid w:val="70351F79"/>
    <w:rsid w:val="70382A0B"/>
    <w:rsid w:val="70553DF8"/>
    <w:rsid w:val="705D2F74"/>
    <w:rsid w:val="70654928"/>
    <w:rsid w:val="706C61F1"/>
    <w:rsid w:val="709A3F00"/>
    <w:rsid w:val="70A1528F"/>
    <w:rsid w:val="70A511D7"/>
    <w:rsid w:val="70AC1CE5"/>
    <w:rsid w:val="70B302A9"/>
    <w:rsid w:val="70B318F8"/>
    <w:rsid w:val="70C2560E"/>
    <w:rsid w:val="70EC57B1"/>
    <w:rsid w:val="710716F5"/>
    <w:rsid w:val="71172452"/>
    <w:rsid w:val="713559D7"/>
    <w:rsid w:val="71364E98"/>
    <w:rsid w:val="71394457"/>
    <w:rsid w:val="713C6D66"/>
    <w:rsid w:val="714A76D4"/>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9624A5"/>
    <w:rsid w:val="72966949"/>
    <w:rsid w:val="7299766D"/>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66EF4"/>
    <w:rsid w:val="73A873DF"/>
    <w:rsid w:val="73D74F22"/>
    <w:rsid w:val="73DD4830"/>
    <w:rsid w:val="73E84575"/>
    <w:rsid w:val="73EA4502"/>
    <w:rsid w:val="73FB00AF"/>
    <w:rsid w:val="741151EF"/>
    <w:rsid w:val="74155264"/>
    <w:rsid w:val="74431DC2"/>
    <w:rsid w:val="744E4DC5"/>
    <w:rsid w:val="7476258E"/>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8C6450"/>
    <w:rsid w:val="75956A44"/>
    <w:rsid w:val="75A85B8F"/>
    <w:rsid w:val="75C8506C"/>
    <w:rsid w:val="75EB2B08"/>
    <w:rsid w:val="75F25C45"/>
    <w:rsid w:val="76053BCA"/>
    <w:rsid w:val="762A7B4F"/>
    <w:rsid w:val="76383A07"/>
    <w:rsid w:val="763B6D77"/>
    <w:rsid w:val="763F0D29"/>
    <w:rsid w:val="764D31FC"/>
    <w:rsid w:val="7650526E"/>
    <w:rsid w:val="76587A4C"/>
    <w:rsid w:val="76676633"/>
    <w:rsid w:val="76682700"/>
    <w:rsid w:val="767174B1"/>
    <w:rsid w:val="76760624"/>
    <w:rsid w:val="76960CC6"/>
    <w:rsid w:val="769B6F0E"/>
    <w:rsid w:val="76A20FEF"/>
    <w:rsid w:val="76A827A7"/>
    <w:rsid w:val="76B66902"/>
    <w:rsid w:val="76D868BB"/>
    <w:rsid w:val="76DD35D2"/>
    <w:rsid w:val="76DF08BF"/>
    <w:rsid w:val="76F1414E"/>
    <w:rsid w:val="76FD2AF3"/>
    <w:rsid w:val="77065FCC"/>
    <w:rsid w:val="775B21AC"/>
    <w:rsid w:val="7762504C"/>
    <w:rsid w:val="77706C17"/>
    <w:rsid w:val="7798290C"/>
    <w:rsid w:val="77A17922"/>
    <w:rsid w:val="77B27D81"/>
    <w:rsid w:val="77BA6C36"/>
    <w:rsid w:val="77C55334"/>
    <w:rsid w:val="77CB0E43"/>
    <w:rsid w:val="77D15673"/>
    <w:rsid w:val="77DC095A"/>
    <w:rsid w:val="782C1F51"/>
    <w:rsid w:val="783207F7"/>
    <w:rsid w:val="7836646A"/>
    <w:rsid w:val="783B06F9"/>
    <w:rsid w:val="784C3D32"/>
    <w:rsid w:val="78520C1D"/>
    <w:rsid w:val="785C79B0"/>
    <w:rsid w:val="787D213D"/>
    <w:rsid w:val="788631D0"/>
    <w:rsid w:val="78985615"/>
    <w:rsid w:val="78A83B30"/>
    <w:rsid w:val="78B77021"/>
    <w:rsid w:val="78C25DA2"/>
    <w:rsid w:val="78E0447A"/>
    <w:rsid w:val="78EE3958"/>
    <w:rsid w:val="792C5912"/>
    <w:rsid w:val="793A6280"/>
    <w:rsid w:val="79474796"/>
    <w:rsid w:val="795D5ACB"/>
    <w:rsid w:val="79607369"/>
    <w:rsid w:val="79733976"/>
    <w:rsid w:val="79A921AD"/>
    <w:rsid w:val="79BD0B3F"/>
    <w:rsid w:val="79BE0C60"/>
    <w:rsid w:val="79C21DD2"/>
    <w:rsid w:val="79CB0C87"/>
    <w:rsid w:val="79DC3BE6"/>
    <w:rsid w:val="79EE5BA3"/>
    <w:rsid w:val="79F3642F"/>
    <w:rsid w:val="79F52773"/>
    <w:rsid w:val="7A150154"/>
    <w:rsid w:val="7A2E6462"/>
    <w:rsid w:val="7A40591D"/>
    <w:rsid w:val="7A4137B3"/>
    <w:rsid w:val="7A556E34"/>
    <w:rsid w:val="7A5A61EF"/>
    <w:rsid w:val="7A6450DE"/>
    <w:rsid w:val="7A887E89"/>
    <w:rsid w:val="7A910122"/>
    <w:rsid w:val="7A936EE8"/>
    <w:rsid w:val="7AA57708"/>
    <w:rsid w:val="7AA7257C"/>
    <w:rsid w:val="7AB1431E"/>
    <w:rsid w:val="7ADC657A"/>
    <w:rsid w:val="7AEA338E"/>
    <w:rsid w:val="7AFC7375"/>
    <w:rsid w:val="7B0A57DF"/>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B10FB"/>
    <w:rsid w:val="7BBF0CBF"/>
    <w:rsid w:val="7BC40083"/>
    <w:rsid w:val="7BCD518A"/>
    <w:rsid w:val="7BEE3352"/>
    <w:rsid w:val="7C0861C2"/>
    <w:rsid w:val="7C211032"/>
    <w:rsid w:val="7C212547"/>
    <w:rsid w:val="7C3431DA"/>
    <w:rsid w:val="7C380832"/>
    <w:rsid w:val="7C382A78"/>
    <w:rsid w:val="7C3A564A"/>
    <w:rsid w:val="7C55517F"/>
    <w:rsid w:val="7C750D1C"/>
    <w:rsid w:val="7C89314D"/>
    <w:rsid w:val="7C907231"/>
    <w:rsid w:val="7C9C31E6"/>
    <w:rsid w:val="7CA60D68"/>
    <w:rsid w:val="7CAD2C5F"/>
    <w:rsid w:val="7CE44F24"/>
    <w:rsid w:val="7D0E5E43"/>
    <w:rsid w:val="7D1666BD"/>
    <w:rsid w:val="7D1A338E"/>
    <w:rsid w:val="7D1A70E8"/>
    <w:rsid w:val="7D1B1B29"/>
    <w:rsid w:val="7D1D3EEF"/>
    <w:rsid w:val="7D244921"/>
    <w:rsid w:val="7D272678"/>
    <w:rsid w:val="7D470FB3"/>
    <w:rsid w:val="7D4F7CEB"/>
    <w:rsid w:val="7D5C694F"/>
    <w:rsid w:val="7D5D34F3"/>
    <w:rsid w:val="7D69417B"/>
    <w:rsid w:val="7D75025F"/>
    <w:rsid w:val="7D801F48"/>
    <w:rsid w:val="7D8B0781"/>
    <w:rsid w:val="7DB83C18"/>
    <w:rsid w:val="7DC73E5B"/>
    <w:rsid w:val="7DC807C4"/>
    <w:rsid w:val="7DCC0C12"/>
    <w:rsid w:val="7DDB2583"/>
    <w:rsid w:val="7DE06CCB"/>
    <w:rsid w:val="7DF76C8E"/>
    <w:rsid w:val="7DFC3B04"/>
    <w:rsid w:val="7E0C4026"/>
    <w:rsid w:val="7E1427D4"/>
    <w:rsid w:val="7E1B3103"/>
    <w:rsid w:val="7E24305B"/>
    <w:rsid w:val="7E3643BE"/>
    <w:rsid w:val="7E3A462D"/>
    <w:rsid w:val="7E414337"/>
    <w:rsid w:val="7E520EB7"/>
    <w:rsid w:val="7E522C73"/>
    <w:rsid w:val="7E6D4A02"/>
    <w:rsid w:val="7E813A30"/>
    <w:rsid w:val="7E843AFA"/>
    <w:rsid w:val="7E8458A8"/>
    <w:rsid w:val="7E9D3FBA"/>
    <w:rsid w:val="7EA86B9B"/>
    <w:rsid w:val="7EAA7A04"/>
    <w:rsid w:val="7EAB6C79"/>
    <w:rsid w:val="7EBE3EA6"/>
    <w:rsid w:val="7EC73DC5"/>
    <w:rsid w:val="7EE5751D"/>
    <w:rsid w:val="7F00043A"/>
    <w:rsid w:val="7F365FF7"/>
    <w:rsid w:val="7F401E6B"/>
    <w:rsid w:val="7F486055"/>
    <w:rsid w:val="7F4E73B5"/>
    <w:rsid w:val="7F4F291E"/>
    <w:rsid w:val="7F50360C"/>
    <w:rsid w:val="7F533887"/>
    <w:rsid w:val="7F5A3F44"/>
    <w:rsid w:val="7F651B7D"/>
    <w:rsid w:val="7F6776A3"/>
    <w:rsid w:val="7F695428"/>
    <w:rsid w:val="7F69556E"/>
    <w:rsid w:val="7F7D6EC7"/>
    <w:rsid w:val="7F8E5465"/>
    <w:rsid w:val="7F9C3ADE"/>
    <w:rsid w:val="7FA21B54"/>
    <w:rsid w:val="7FAF1A01"/>
    <w:rsid w:val="7FB936BD"/>
    <w:rsid w:val="7FC22BC2"/>
    <w:rsid w:val="7FC25D4D"/>
    <w:rsid w:val="7FD818D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autoRedefine/>
    <w:qFormat/>
    <w:uiPriority w:val="0"/>
    <w:pPr>
      <w:spacing w:line="560" w:lineRule="exact"/>
      <w:jc w:val="center"/>
      <w:outlineLvl w:val="1"/>
    </w:pPr>
    <w:rPr>
      <w:b/>
      <w:sz w:val="32"/>
      <w:szCs w:val="32"/>
    </w:rPr>
  </w:style>
  <w:style w:type="paragraph" w:styleId="4">
    <w:name w:val="heading 3"/>
    <w:basedOn w:val="1"/>
    <w:next w:val="1"/>
    <w:link w:val="62"/>
    <w:autoRedefine/>
    <w:qFormat/>
    <w:uiPriority w:val="0"/>
    <w:pPr>
      <w:keepNext/>
      <w:keepLines/>
      <w:spacing w:line="413" w:lineRule="auto"/>
      <w:jc w:val="center"/>
      <w:outlineLvl w:val="2"/>
    </w:pPr>
    <w:rPr>
      <w:b/>
      <w:bCs/>
      <w:sz w:val="30"/>
      <w:szCs w:val="32"/>
    </w:rPr>
  </w:style>
  <w:style w:type="paragraph" w:styleId="5">
    <w:name w:val="heading 4"/>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szCs w:val="20"/>
    </w:rPr>
  </w:style>
  <w:style w:type="paragraph" w:styleId="7">
    <w:name w:val="caption"/>
    <w:basedOn w:val="1"/>
    <w:next w:val="1"/>
    <w:autoRedefine/>
    <w:qFormat/>
    <w:uiPriority w:val="0"/>
    <w:pPr>
      <w:spacing w:before="152" w:after="160"/>
    </w:pPr>
    <w:rPr>
      <w:rFonts w:ascii="Arial" w:hAnsi="Arial" w:eastAsia="黑体"/>
    </w:rPr>
  </w:style>
  <w:style w:type="paragraph" w:styleId="8">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9">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0">
    <w:name w:val="Body Text Indent"/>
    <w:basedOn w:val="1"/>
    <w:next w:val="11"/>
    <w:link w:val="64"/>
    <w:autoRedefine/>
    <w:qFormat/>
    <w:uiPriority w:val="0"/>
    <w:pPr>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link w:val="65"/>
    <w:autoRedefine/>
    <w:qFormat/>
    <w:uiPriority w:val="0"/>
    <w:rPr>
      <w:rFonts w:ascii="宋体" w:hAnsi="Courier New"/>
      <w:kern w:val="0"/>
    </w:rPr>
  </w:style>
  <w:style w:type="paragraph" w:styleId="14">
    <w:name w:val="footer"/>
    <w:basedOn w:val="1"/>
    <w:link w:val="59"/>
    <w:autoRedefine/>
    <w:unhideWhenUsed/>
    <w:qFormat/>
    <w:uiPriority w:val="0"/>
    <w:pPr>
      <w:tabs>
        <w:tab w:val="center" w:pos="4153"/>
        <w:tab w:val="right" w:pos="8306"/>
      </w:tabs>
      <w:snapToGrid w:val="0"/>
      <w:jc w:val="left"/>
    </w:pPr>
    <w:rPr>
      <w:sz w:val="18"/>
      <w:szCs w:val="18"/>
    </w:rPr>
  </w:style>
  <w:style w:type="paragraph" w:styleId="15">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9"/>
    <w:autoRedefine/>
    <w:qFormat/>
    <w:uiPriority w:val="99"/>
    <w:pPr>
      <w:spacing w:line="360" w:lineRule="auto"/>
      <w:ind w:firstLine="480" w:firstLineChars="200"/>
    </w:pPr>
    <w:rPr>
      <w:rFonts w:ascii="仿宋_GB2312" w:hAnsi="宋体" w:eastAsia="仿宋_GB2312" w:cs="仿宋_GB2312"/>
      <w:kern w:val="0"/>
      <w:sz w:val="24"/>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link w:val="66"/>
    <w:autoRedefine/>
    <w:qFormat/>
    <w:uiPriority w:val="0"/>
    <w:pPr>
      <w:spacing w:before="240" w:after="60"/>
      <w:jc w:val="center"/>
      <w:outlineLvl w:val="0"/>
    </w:pPr>
    <w:rPr>
      <w:rFonts w:ascii="Arial" w:hAnsi="Arial" w:cs="Arial"/>
      <w:b/>
      <w:bCs/>
      <w:sz w:val="32"/>
      <w:szCs w:val="32"/>
    </w:rPr>
  </w:style>
  <w:style w:type="paragraph" w:styleId="22">
    <w:name w:val="Body Text First Indent"/>
    <w:basedOn w:val="9"/>
    <w:next w:val="23"/>
    <w:link w:val="67"/>
    <w:autoRedefine/>
    <w:qFormat/>
    <w:uiPriority w:val="0"/>
    <w:pPr>
      <w:spacing w:line="360" w:lineRule="auto"/>
      <w:ind w:firstLine="420" w:firstLineChars="100"/>
    </w:pPr>
    <w:rPr>
      <w:rFonts w:ascii="Arial" w:hAnsi="Arial" w:eastAsia="宋体"/>
      <w:b w:val="0"/>
      <w:bCs w:val="0"/>
      <w:spacing w:val="0"/>
      <w:kern w:val="0"/>
    </w:rPr>
  </w:style>
  <w:style w:type="paragraph" w:styleId="23">
    <w:name w:val="Body Text First Indent 2"/>
    <w:basedOn w:val="10"/>
    <w:autoRedefine/>
    <w:qFormat/>
    <w:uiPriority w:val="0"/>
    <w:pPr>
      <w:spacing w:after="120"/>
      <w:ind w:left="200" w:firstLine="200" w:firstLineChars="20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unhideWhenUsed/>
    <w:qFormat/>
    <w:uiPriority w:val="99"/>
    <w:rPr>
      <w:color w:val="333333"/>
      <w:u w:val="none"/>
    </w:rPr>
  </w:style>
  <w:style w:type="character" w:styleId="30">
    <w:name w:val="Emphasis"/>
    <w:basedOn w:val="26"/>
    <w:autoRedefine/>
    <w:qFormat/>
    <w:uiPriority w:val="20"/>
  </w:style>
  <w:style w:type="character" w:styleId="31">
    <w:name w:val="HTML Definition"/>
    <w:basedOn w:val="26"/>
    <w:autoRedefine/>
    <w:unhideWhenUsed/>
    <w:qFormat/>
    <w:uiPriority w:val="99"/>
  </w:style>
  <w:style w:type="character" w:styleId="32">
    <w:name w:val="HTML Typewriter"/>
    <w:basedOn w:val="26"/>
    <w:autoRedefine/>
    <w:unhideWhenUsed/>
    <w:qFormat/>
    <w:uiPriority w:val="99"/>
    <w:rPr>
      <w:rFonts w:hint="default" w:ascii="monospace" w:hAnsi="monospace" w:eastAsia="monospace" w:cs="monospace"/>
      <w:sz w:val="20"/>
    </w:rPr>
  </w:style>
  <w:style w:type="character" w:styleId="33">
    <w:name w:val="HTML Acronym"/>
    <w:basedOn w:val="26"/>
    <w:autoRedefine/>
    <w:unhideWhenUsed/>
    <w:qFormat/>
    <w:uiPriority w:val="99"/>
  </w:style>
  <w:style w:type="character" w:styleId="34">
    <w:name w:val="HTML Variable"/>
    <w:basedOn w:val="26"/>
    <w:autoRedefine/>
    <w:unhideWhenUsed/>
    <w:qFormat/>
    <w:uiPriority w:val="99"/>
  </w:style>
  <w:style w:type="character" w:styleId="35">
    <w:name w:val="Hyperlink"/>
    <w:basedOn w:val="26"/>
    <w:autoRedefine/>
    <w:qFormat/>
    <w:uiPriority w:val="0"/>
    <w:rPr>
      <w:color w:val="0000FF"/>
      <w:u w:val="none"/>
    </w:rPr>
  </w:style>
  <w:style w:type="character" w:styleId="36">
    <w:name w:val="HTML Code"/>
    <w:basedOn w:val="26"/>
    <w:autoRedefine/>
    <w:unhideWhenUsed/>
    <w:qFormat/>
    <w:uiPriority w:val="99"/>
    <w:rPr>
      <w:rFonts w:hint="default" w:ascii="monospace" w:hAnsi="monospace" w:eastAsia="monospace" w:cs="monospace"/>
      <w:sz w:val="20"/>
    </w:rPr>
  </w:style>
  <w:style w:type="character" w:styleId="37">
    <w:name w:val="HTML Cite"/>
    <w:basedOn w:val="26"/>
    <w:autoRedefine/>
    <w:unhideWhenUsed/>
    <w:qFormat/>
    <w:uiPriority w:val="99"/>
  </w:style>
  <w:style w:type="character" w:styleId="38">
    <w:name w:val="HTML Keyboard"/>
    <w:basedOn w:val="26"/>
    <w:autoRedefine/>
    <w:unhideWhenUsed/>
    <w:qFormat/>
    <w:uiPriority w:val="99"/>
    <w:rPr>
      <w:rFonts w:ascii="monospace" w:hAnsi="monospace" w:eastAsia="monospace" w:cs="monospace"/>
      <w:sz w:val="20"/>
    </w:rPr>
  </w:style>
  <w:style w:type="character" w:styleId="39">
    <w:name w:val="HTML Sample"/>
    <w:basedOn w:val="26"/>
    <w:autoRedefine/>
    <w:unhideWhenUsed/>
    <w:qFormat/>
    <w:uiPriority w:val="99"/>
    <w:rPr>
      <w:rFonts w:hint="default" w:ascii="monospace" w:hAnsi="monospace" w:eastAsia="monospace" w:cs="monospace"/>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无间隔1"/>
    <w:basedOn w:val="42"/>
    <w:next w:val="43"/>
    <w:autoRedefine/>
    <w:qFormat/>
    <w:uiPriority w:val="99"/>
    <w:rPr>
      <w:szCs w:val="22"/>
    </w:rPr>
  </w:style>
  <w:style w:type="paragraph" w:customStyle="1" w:styleId="42">
    <w:name w:val="正文_0"/>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4">
    <w:name w:val="*正文"/>
    <w:basedOn w:val="1"/>
    <w:autoRedefine/>
    <w:qFormat/>
    <w:uiPriority w:val="0"/>
    <w:pPr>
      <w:keepNext/>
      <w:keepLines/>
      <w:spacing w:line="360" w:lineRule="auto"/>
      <w:ind w:firstLine="200" w:firstLineChars="200"/>
    </w:pPr>
    <w:rPr>
      <w:rFonts w:ascii="宋体" w:hAnsi="宋体"/>
    </w:rPr>
  </w:style>
  <w:style w:type="paragraph" w:customStyle="1" w:styleId="45">
    <w:name w:val="BodyText1I"/>
    <w:basedOn w:val="46"/>
    <w:autoRedefine/>
    <w:qFormat/>
    <w:uiPriority w:val="0"/>
    <w:pPr>
      <w:ind w:firstLine="420" w:firstLineChars="100"/>
    </w:pPr>
    <w:rPr>
      <w:szCs w:val="21"/>
    </w:rPr>
  </w:style>
  <w:style w:type="paragraph" w:customStyle="1" w:styleId="46">
    <w:name w:val="BodyText"/>
    <w:basedOn w:val="1"/>
    <w:next w:val="47"/>
    <w:autoRedefine/>
    <w:qFormat/>
    <w:uiPriority w:val="0"/>
    <w:pPr>
      <w:snapToGrid w:val="0"/>
      <w:spacing w:line="360" w:lineRule="auto"/>
    </w:pPr>
    <w:rPr>
      <w:rFonts w:ascii="Arial" w:hAnsi="Arial" w:eastAsia="仿宋_GB2312"/>
      <w:sz w:val="31"/>
    </w:rPr>
  </w:style>
  <w:style w:type="paragraph" w:customStyle="1" w:styleId="47">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8">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正文（首行缩进） Char"/>
    <w:basedOn w:val="1"/>
    <w:next w:val="18"/>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7"/>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字符"/>
    <w:basedOn w:val="26"/>
    <w:link w:val="15"/>
    <w:autoRedefine/>
    <w:qFormat/>
    <w:uiPriority w:val="99"/>
    <w:rPr>
      <w:sz w:val="18"/>
      <w:szCs w:val="18"/>
    </w:rPr>
  </w:style>
  <w:style w:type="character" w:customStyle="1" w:styleId="59">
    <w:name w:val="页脚 字符"/>
    <w:basedOn w:val="26"/>
    <w:link w:val="14"/>
    <w:autoRedefine/>
    <w:qFormat/>
    <w:uiPriority w:val="99"/>
    <w:rPr>
      <w:sz w:val="18"/>
      <w:szCs w:val="18"/>
    </w:rPr>
  </w:style>
  <w:style w:type="character" w:customStyle="1" w:styleId="60">
    <w:name w:val="标题 1 字符"/>
    <w:basedOn w:val="26"/>
    <w:link w:val="2"/>
    <w:autoRedefine/>
    <w:qFormat/>
    <w:uiPriority w:val="0"/>
    <w:rPr>
      <w:rFonts w:ascii="黑体" w:hAnsi="黑体" w:eastAsia="宋体" w:cs="Times New Roman"/>
      <w:sz w:val="32"/>
      <w:szCs w:val="24"/>
    </w:rPr>
  </w:style>
  <w:style w:type="character" w:customStyle="1" w:styleId="61">
    <w:name w:val="标题 2 字符"/>
    <w:basedOn w:val="26"/>
    <w:link w:val="3"/>
    <w:autoRedefine/>
    <w:qFormat/>
    <w:uiPriority w:val="0"/>
    <w:rPr>
      <w:rFonts w:ascii="Calibri" w:hAnsi="Calibri" w:eastAsia="宋体" w:cs="Times New Roman"/>
      <w:b/>
      <w:sz w:val="32"/>
      <w:szCs w:val="32"/>
    </w:rPr>
  </w:style>
  <w:style w:type="character" w:customStyle="1" w:styleId="62">
    <w:name w:val="标题 3 字符"/>
    <w:basedOn w:val="26"/>
    <w:link w:val="4"/>
    <w:autoRedefine/>
    <w:qFormat/>
    <w:uiPriority w:val="0"/>
    <w:rPr>
      <w:rFonts w:ascii="Calibri" w:hAnsi="Calibri" w:eastAsia="宋体" w:cs="Times New Roman"/>
      <w:b/>
      <w:bCs/>
      <w:sz w:val="30"/>
      <w:szCs w:val="32"/>
    </w:rPr>
  </w:style>
  <w:style w:type="character" w:customStyle="1" w:styleId="63">
    <w:name w:val="正文文本 字符"/>
    <w:basedOn w:val="26"/>
    <w:link w:val="9"/>
    <w:autoRedefine/>
    <w:qFormat/>
    <w:uiPriority w:val="0"/>
    <w:rPr>
      <w:rFonts w:ascii="汉鼎简楷体" w:hAnsi="宋体" w:eastAsia="汉鼎简楷体" w:cs="Times New Roman"/>
      <w:b/>
      <w:bCs/>
      <w:spacing w:val="4"/>
      <w:sz w:val="24"/>
      <w:szCs w:val="20"/>
    </w:rPr>
  </w:style>
  <w:style w:type="character" w:customStyle="1" w:styleId="64">
    <w:name w:val="正文文本缩进 字符"/>
    <w:basedOn w:val="26"/>
    <w:link w:val="10"/>
    <w:autoRedefine/>
    <w:qFormat/>
    <w:uiPriority w:val="0"/>
    <w:rPr>
      <w:rFonts w:ascii="Calibri" w:hAnsi="Calibri" w:eastAsia="宋体" w:cs="Times New Roman"/>
      <w:szCs w:val="24"/>
    </w:rPr>
  </w:style>
  <w:style w:type="character" w:customStyle="1" w:styleId="65">
    <w:name w:val="纯文本 字符"/>
    <w:basedOn w:val="26"/>
    <w:link w:val="13"/>
    <w:autoRedefine/>
    <w:qFormat/>
    <w:uiPriority w:val="0"/>
    <w:rPr>
      <w:rFonts w:ascii="宋体" w:hAnsi="Courier New" w:eastAsia="宋体" w:cs="Times New Roman"/>
      <w:kern w:val="0"/>
      <w:szCs w:val="24"/>
    </w:rPr>
  </w:style>
  <w:style w:type="character" w:customStyle="1" w:styleId="66">
    <w:name w:val="标题 字符"/>
    <w:basedOn w:val="26"/>
    <w:link w:val="21"/>
    <w:autoRedefine/>
    <w:qFormat/>
    <w:uiPriority w:val="0"/>
    <w:rPr>
      <w:rFonts w:ascii="Arial" w:hAnsi="Arial" w:eastAsia="宋体" w:cs="Arial"/>
      <w:b/>
      <w:bCs/>
      <w:sz w:val="32"/>
      <w:szCs w:val="32"/>
    </w:rPr>
  </w:style>
  <w:style w:type="character" w:customStyle="1" w:styleId="67">
    <w:name w:val="正文首行缩进 字符"/>
    <w:basedOn w:val="63"/>
    <w:link w:val="22"/>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6"/>
    <w:autoRedefine/>
    <w:qFormat/>
    <w:uiPriority w:val="0"/>
    <w:rPr>
      <w:rFonts w:ascii="微软雅黑" w:hAnsi="微软雅黑" w:eastAsia="微软雅黑" w:cs="微软雅黑"/>
      <w:sz w:val="21"/>
      <w:szCs w:val="21"/>
    </w:rPr>
  </w:style>
  <w:style w:type="character" w:customStyle="1" w:styleId="70">
    <w:name w:val="displayarti"/>
    <w:basedOn w:val="26"/>
    <w:autoRedefine/>
    <w:qFormat/>
    <w:uiPriority w:val="0"/>
    <w:rPr>
      <w:color w:val="FFFFFF"/>
      <w:shd w:val="clear" w:color="010000" w:fill="A00000"/>
    </w:rPr>
  </w:style>
  <w:style w:type="character" w:customStyle="1" w:styleId="71">
    <w:name w:val="qxdate"/>
    <w:basedOn w:val="26"/>
    <w:autoRedefine/>
    <w:qFormat/>
    <w:uiPriority w:val="0"/>
    <w:rPr>
      <w:color w:val="333333"/>
      <w:sz w:val="18"/>
      <w:szCs w:val="18"/>
    </w:rPr>
  </w:style>
  <w:style w:type="character" w:customStyle="1" w:styleId="72">
    <w:name w:val="gjfg"/>
    <w:basedOn w:val="26"/>
    <w:autoRedefine/>
    <w:qFormat/>
    <w:uiPriority w:val="0"/>
  </w:style>
  <w:style w:type="character" w:customStyle="1" w:styleId="73">
    <w:name w:val="redfilefwwh"/>
    <w:basedOn w:val="26"/>
    <w:autoRedefine/>
    <w:qFormat/>
    <w:uiPriority w:val="0"/>
    <w:rPr>
      <w:color w:val="BA2636"/>
      <w:sz w:val="18"/>
      <w:szCs w:val="18"/>
    </w:rPr>
  </w:style>
  <w:style w:type="character" w:customStyle="1" w:styleId="74">
    <w:name w:val="redfilenumber"/>
    <w:basedOn w:val="26"/>
    <w:autoRedefine/>
    <w:qFormat/>
    <w:uiPriority w:val="0"/>
    <w:rPr>
      <w:color w:val="BA2636"/>
      <w:sz w:val="18"/>
      <w:szCs w:val="18"/>
    </w:rPr>
  </w:style>
  <w:style w:type="character" w:customStyle="1" w:styleId="75">
    <w:name w:val="cfdate"/>
    <w:basedOn w:val="26"/>
    <w:autoRedefine/>
    <w:qFormat/>
    <w:uiPriority w:val="0"/>
    <w:rPr>
      <w:color w:val="333333"/>
      <w:sz w:val="18"/>
      <w:szCs w:val="18"/>
    </w:rPr>
  </w:style>
  <w:style w:type="character" w:customStyle="1" w:styleId="76">
    <w:name w:val="next2"/>
    <w:basedOn w:val="26"/>
    <w:autoRedefine/>
    <w:qFormat/>
    <w:uiPriority w:val="0"/>
    <w:rPr>
      <w:rFonts w:hint="eastAsia" w:ascii="微软雅黑" w:hAnsi="微软雅黑" w:eastAsia="微软雅黑" w:cs="微软雅黑"/>
      <w:sz w:val="21"/>
      <w:szCs w:val="21"/>
    </w:rPr>
  </w:style>
  <w:style w:type="character" w:customStyle="1" w:styleId="77">
    <w:name w:val="next3"/>
    <w:basedOn w:val="26"/>
    <w:autoRedefine/>
    <w:qFormat/>
    <w:uiPriority w:val="0"/>
    <w:rPr>
      <w:color w:val="888888"/>
    </w:rPr>
  </w:style>
  <w:style w:type="character" w:customStyle="1" w:styleId="78">
    <w:name w:val="font61"/>
    <w:basedOn w:val="26"/>
    <w:autoRedefine/>
    <w:qFormat/>
    <w:uiPriority w:val="0"/>
    <w:rPr>
      <w:rFonts w:hint="eastAsia" w:ascii="宋体" w:hAnsi="宋体" w:eastAsia="宋体" w:cs="宋体"/>
      <w:b/>
      <w:color w:val="000000"/>
      <w:sz w:val="36"/>
      <w:szCs w:val="36"/>
      <w:u w:val="none"/>
    </w:rPr>
  </w:style>
  <w:style w:type="character" w:customStyle="1" w:styleId="79">
    <w:name w:val="font31"/>
    <w:basedOn w:val="26"/>
    <w:autoRedefine/>
    <w:qFormat/>
    <w:uiPriority w:val="0"/>
    <w:rPr>
      <w:rFonts w:hint="eastAsia" w:ascii="宋体" w:hAnsi="宋体" w:eastAsia="宋体" w:cs="宋体"/>
      <w:b/>
      <w:color w:val="000000"/>
      <w:sz w:val="20"/>
      <w:szCs w:val="20"/>
      <w:u w:val="none"/>
    </w:rPr>
  </w:style>
  <w:style w:type="character" w:customStyle="1" w:styleId="80">
    <w:name w:val="标题 4 字符"/>
    <w:link w:val="5"/>
    <w:autoRedefine/>
    <w:qFormat/>
    <w:uiPriority w:val="0"/>
    <w:rPr>
      <w:rFonts w:ascii="Arial" w:hAnsi="Arial" w:eastAsia="黑体"/>
      <w:b/>
      <w:bCs/>
      <w:kern w:val="0"/>
      <w:sz w:val="28"/>
      <w:szCs w:val="28"/>
    </w:rPr>
  </w:style>
  <w:style w:type="character" w:customStyle="1" w:styleId="81">
    <w:name w:val="fr"/>
    <w:basedOn w:val="26"/>
    <w:qFormat/>
    <w:uiPriority w:val="0"/>
  </w:style>
  <w:style w:type="character" w:customStyle="1" w:styleId="82">
    <w:name w:val="first-child"/>
    <w:basedOn w:val="26"/>
    <w:qFormat/>
    <w:uiPriority w:val="0"/>
    <w:rPr>
      <w:color w:val="1F3149"/>
      <w:sz w:val="24"/>
      <w:szCs w:val="24"/>
    </w:rPr>
  </w:style>
  <w:style w:type="character" w:customStyle="1" w:styleId="83">
    <w:name w:val="first-child1"/>
    <w:basedOn w:val="26"/>
    <w:qFormat/>
    <w:uiPriority w:val="0"/>
    <w:rPr>
      <w:color w:val="1F3149"/>
      <w:sz w:val="24"/>
      <w:szCs w:val="24"/>
    </w:rPr>
  </w:style>
  <w:style w:type="character" w:customStyle="1" w:styleId="84">
    <w:name w:val="icon_ds"/>
    <w:basedOn w:val="26"/>
    <w:qFormat/>
    <w:uiPriority w:val="0"/>
  </w:style>
  <w:style w:type="character" w:customStyle="1" w:styleId="85">
    <w:name w:val="icon_ds1"/>
    <w:basedOn w:val="26"/>
    <w:qFormat/>
    <w:uiPriority w:val="0"/>
    <w:rPr>
      <w:sz w:val="21"/>
      <w:szCs w:val="21"/>
    </w:rPr>
  </w:style>
  <w:style w:type="character" w:customStyle="1" w:styleId="86">
    <w:name w:val="xiadan"/>
    <w:basedOn w:val="26"/>
    <w:qFormat/>
    <w:uiPriority w:val="0"/>
    <w:rPr>
      <w:shd w:val="clear" w:color="auto" w:fill="E4393C"/>
    </w:rPr>
  </w:style>
  <w:style w:type="character" w:customStyle="1" w:styleId="87">
    <w:name w:val="icon_gys"/>
    <w:basedOn w:val="26"/>
    <w:qFormat/>
    <w:uiPriority w:val="0"/>
    <w:rPr>
      <w:sz w:val="21"/>
      <w:szCs w:val="21"/>
    </w:rPr>
  </w:style>
  <w:style w:type="character" w:customStyle="1" w:styleId="88">
    <w:name w:val="font01"/>
    <w:basedOn w:val="26"/>
    <w:qFormat/>
    <w:uiPriority w:val="0"/>
    <w:rPr>
      <w:rFonts w:hint="eastAsia" w:ascii="宋体" w:hAnsi="宋体" w:eastAsia="宋体" w:cs="宋体"/>
      <w:color w:val="000000"/>
      <w:sz w:val="24"/>
      <w:szCs w:val="24"/>
      <w:u w:val="none"/>
    </w:rPr>
  </w:style>
  <w:style w:type="paragraph" w:customStyle="1" w:styleId="89">
    <w:name w:val="Body text|1"/>
    <w:basedOn w:val="1"/>
    <w:qFormat/>
    <w:uiPriority w:val="0"/>
    <w:pPr>
      <w:spacing w:line="480" w:lineRule="auto"/>
      <w:ind w:firstLine="400"/>
    </w:pPr>
    <w:rPr>
      <w:rFonts w:ascii="宋体" w:hAnsi="宋体" w:cs="宋体"/>
      <w:sz w:val="18"/>
      <w:szCs w:val="18"/>
      <w:lang w:val="zh-TW" w:eastAsia="zh-TW" w:bidi="zh-TW"/>
    </w:rPr>
  </w:style>
  <w:style w:type="paragraph" w:customStyle="1" w:styleId="9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91">
    <w:name w:val="No List1"/>
    <w:semiHidden/>
    <w:qFormat/>
    <w:uiPriority w:val="0"/>
    <w:pPr>
      <w:spacing w:after="160" w:line="259" w:lineRule="auto"/>
    </w:pPr>
    <w:rPr>
      <w:rFonts w:ascii="Calibri" w:hAnsi="Calibri" w:eastAsia="宋体" w:cs="Times New Roman"/>
      <w:sz w:val="22"/>
      <w:szCs w:val="22"/>
      <w:lang w:val="en-US" w:eastAsia="en-US" w:bidi="ar-SA"/>
    </w:rPr>
  </w:style>
  <w:style w:type="character" w:customStyle="1" w:styleId="92">
    <w:name w:val="font51"/>
    <w:basedOn w:val="2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9"/>
    <customShpInfo spid="_x0000_s3074"/>
    <customShpInfo spid="_x0000_s307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10375</Words>
  <Characters>11741</Characters>
  <Lines>168</Lines>
  <Paragraphs>47</Paragraphs>
  <TotalTime>59</TotalTime>
  <ScaleCrop>false</ScaleCrop>
  <LinksUpToDate>false</LinksUpToDate>
  <CharactersWithSpaces>11934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2025-04-15T02:22:18Z</dcterms:modified>
  <dc:title>荥阳市自然资源和规划局荥阳市园地、林地、草地分等定级项目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C1FE6E6873D644558A8B412EC6DA916F</vt:lpwstr>
  </property>
  <property fmtid="{D5CDD505-2E9C-101B-9397-08002B2CF9AE}" pid="4" name="KSOTemplateDocerSaveRecord">
    <vt:lpwstr>eyJoZGlkIjoiNDY2OGFjYzNiYTBhYzk2YmY2OWU2NzZjMWE1NmUxZGMiLCJ1c2VySWQiOiIzMTE2MDEwMTUifQ==</vt:lpwstr>
  </property>
</Properties>
</file>