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400D9">
      <w:pPr>
        <w:adjustRightInd w:val="0"/>
        <w:snapToGrid w:val="0"/>
        <w:spacing w:beforeAutospacing="0" w:after="200" w:afterAutospacing="0" w:line="360" w:lineRule="auto"/>
        <w:jc w:val="center"/>
        <w:rPr>
          <w:rFonts w:hint="eastAsia" w:ascii="仿宋" w:hAnsi="仿宋" w:eastAsia="仿宋" w:cs="仿宋"/>
          <w:b/>
          <w:bCs/>
          <w:color w:val="auto"/>
          <w:sz w:val="44"/>
          <w:szCs w:val="44"/>
          <w:highlight w:val="none"/>
          <w:lang w:eastAsia="zh-CN"/>
        </w:rPr>
      </w:pPr>
    </w:p>
    <w:p w14:paraId="61A12DD5">
      <w:pPr>
        <w:adjustRightInd w:val="0"/>
        <w:snapToGrid w:val="0"/>
        <w:spacing w:beforeAutospacing="0" w:after="200" w:afterAutospacing="0" w:line="360" w:lineRule="auto"/>
        <w:jc w:val="center"/>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荥阳市园林中心园林管护工人</w:t>
      </w:r>
    </w:p>
    <w:p w14:paraId="18E82593">
      <w:pPr>
        <w:adjustRightInd w:val="0"/>
        <w:snapToGrid w:val="0"/>
        <w:spacing w:beforeAutospacing="0" w:after="200" w:afterAutospacing="0" w:line="360" w:lineRule="auto"/>
        <w:jc w:val="center"/>
        <w:rPr>
          <w:rFonts w:hint="eastAsia" w:ascii="仿宋" w:hAnsi="仿宋" w:eastAsia="仿宋" w:cs="仿宋"/>
          <w:b/>
          <w:color w:val="auto"/>
          <w:kern w:val="0"/>
          <w:sz w:val="84"/>
          <w:szCs w:val="84"/>
          <w:highlight w:val="none"/>
          <w:lang w:val="en-US" w:eastAsia="zh-CN"/>
        </w:rPr>
      </w:pPr>
      <w:r>
        <w:rPr>
          <w:rFonts w:hint="eastAsia" w:ascii="仿宋" w:hAnsi="仿宋" w:eastAsia="仿宋" w:cs="仿宋"/>
          <w:b/>
          <w:bCs/>
          <w:color w:val="auto"/>
          <w:sz w:val="52"/>
          <w:szCs w:val="52"/>
          <w:highlight w:val="none"/>
          <w:lang w:val="en-US" w:eastAsia="zh-CN"/>
        </w:rPr>
        <w:t>雇主责任险服务项目</w:t>
      </w:r>
    </w:p>
    <w:p w14:paraId="7849B24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b/>
          <w:color w:val="auto"/>
          <w:kern w:val="0"/>
          <w:sz w:val="84"/>
          <w:szCs w:val="84"/>
          <w:highlight w:val="none"/>
          <w:lang w:val="en-US" w:eastAsia="zh-CN"/>
        </w:rPr>
      </w:pPr>
    </w:p>
    <w:p w14:paraId="62C67A4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b/>
          <w:color w:val="auto"/>
          <w:kern w:val="0"/>
          <w:sz w:val="84"/>
          <w:szCs w:val="84"/>
          <w:highlight w:val="none"/>
          <w:lang w:val="en-US" w:eastAsia="zh-CN"/>
        </w:rPr>
      </w:pPr>
    </w:p>
    <w:p w14:paraId="42A9E0A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Fonts w:hint="eastAsia" w:ascii="仿宋" w:hAnsi="仿宋" w:eastAsia="仿宋" w:cs="仿宋"/>
          <w:b/>
          <w:color w:val="auto"/>
          <w:kern w:val="0"/>
          <w:sz w:val="84"/>
          <w:szCs w:val="84"/>
          <w:highlight w:val="none"/>
        </w:rPr>
      </w:pPr>
      <w:r>
        <w:rPr>
          <w:rFonts w:hint="eastAsia" w:ascii="仿宋" w:hAnsi="仿宋" w:eastAsia="仿宋" w:cs="仿宋"/>
          <w:b/>
          <w:color w:val="auto"/>
          <w:kern w:val="0"/>
          <w:sz w:val="84"/>
          <w:szCs w:val="84"/>
          <w:highlight w:val="none"/>
          <w:lang w:val="en-US" w:eastAsia="zh-CN"/>
        </w:rPr>
        <w:t>竞争性磋商</w:t>
      </w:r>
      <w:r>
        <w:rPr>
          <w:rFonts w:hint="eastAsia" w:ascii="仿宋" w:hAnsi="仿宋" w:eastAsia="仿宋" w:cs="仿宋"/>
          <w:b/>
          <w:color w:val="auto"/>
          <w:kern w:val="0"/>
          <w:sz w:val="84"/>
          <w:szCs w:val="84"/>
          <w:highlight w:val="none"/>
        </w:rPr>
        <w:t>文件</w:t>
      </w:r>
    </w:p>
    <w:p w14:paraId="3893792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b/>
          <w:bCs/>
          <w:color w:val="auto"/>
          <w:kern w:val="0"/>
          <w:sz w:val="30"/>
          <w:szCs w:val="30"/>
          <w:highlight w:val="none"/>
          <w:lang w:val="en-US" w:eastAsia="zh-CN"/>
        </w:rPr>
        <w:t>项目</w:t>
      </w:r>
      <w:r>
        <w:rPr>
          <w:rFonts w:hint="eastAsia" w:ascii="仿宋" w:hAnsi="仿宋" w:eastAsia="仿宋" w:cs="仿宋"/>
          <w:b/>
          <w:bCs/>
          <w:color w:val="auto"/>
          <w:kern w:val="0"/>
          <w:sz w:val="30"/>
          <w:szCs w:val="30"/>
          <w:highlight w:val="none"/>
        </w:rPr>
        <w:t>编号：</w:t>
      </w:r>
      <w:r>
        <w:rPr>
          <w:rFonts w:hint="eastAsia" w:ascii="仿宋" w:hAnsi="仿宋" w:eastAsia="仿宋" w:cs="仿宋"/>
          <w:b/>
          <w:bCs/>
          <w:color w:val="auto"/>
          <w:kern w:val="0"/>
          <w:sz w:val="30"/>
          <w:szCs w:val="30"/>
          <w:highlight w:val="none"/>
          <w:lang w:val="en-US" w:eastAsia="zh-CN"/>
        </w:rPr>
        <w:t>荥财磋商-2026-1</w:t>
      </w:r>
    </w:p>
    <w:p w14:paraId="43C0FB63">
      <w:pPr>
        <w:pStyle w:val="20"/>
        <w:rPr>
          <w:rFonts w:hint="eastAsia" w:ascii="仿宋" w:hAnsi="仿宋" w:eastAsia="仿宋" w:cs="仿宋"/>
          <w:color w:val="auto"/>
          <w:kern w:val="0"/>
          <w:sz w:val="30"/>
          <w:szCs w:val="30"/>
          <w:highlight w:val="none"/>
        </w:rPr>
      </w:pPr>
    </w:p>
    <w:p w14:paraId="05FFDA53">
      <w:pPr>
        <w:pStyle w:val="20"/>
        <w:rPr>
          <w:rFonts w:hint="eastAsia" w:ascii="仿宋" w:hAnsi="仿宋" w:eastAsia="仿宋" w:cs="仿宋"/>
          <w:color w:val="auto"/>
          <w:kern w:val="0"/>
          <w:sz w:val="30"/>
          <w:szCs w:val="30"/>
          <w:highlight w:val="none"/>
        </w:rPr>
      </w:pPr>
    </w:p>
    <w:p w14:paraId="38849A65">
      <w:pPr>
        <w:pStyle w:val="20"/>
        <w:rPr>
          <w:rFonts w:hint="eastAsia" w:ascii="仿宋" w:hAnsi="仿宋" w:eastAsia="仿宋" w:cs="仿宋"/>
          <w:color w:val="auto"/>
          <w:kern w:val="0"/>
          <w:sz w:val="30"/>
          <w:szCs w:val="30"/>
          <w:highlight w:val="none"/>
        </w:rPr>
      </w:pPr>
    </w:p>
    <w:p w14:paraId="088F2FA9">
      <w:pPr>
        <w:pStyle w:val="20"/>
        <w:rPr>
          <w:rFonts w:hint="eastAsia" w:ascii="仿宋" w:hAnsi="仿宋" w:eastAsia="仿宋" w:cs="仿宋"/>
          <w:color w:val="auto"/>
          <w:kern w:val="0"/>
          <w:sz w:val="30"/>
          <w:szCs w:val="30"/>
          <w:highlight w:val="none"/>
        </w:rPr>
      </w:pPr>
    </w:p>
    <w:p w14:paraId="0460B0E2">
      <w:pPr>
        <w:adjustRightInd w:val="0"/>
        <w:snapToGrid w:val="0"/>
        <w:spacing w:beforeAutospacing="0" w:afterAutospacing="0" w:line="360" w:lineRule="auto"/>
        <w:jc w:val="left"/>
        <w:rPr>
          <w:rFonts w:hint="eastAsia" w:ascii="仿宋" w:hAnsi="仿宋" w:eastAsia="仿宋" w:cs="仿宋"/>
          <w:color w:val="auto"/>
          <w:kern w:val="0"/>
          <w:sz w:val="44"/>
          <w:szCs w:val="44"/>
          <w:highlight w:val="none"/>
        </w:rPr>
      </w:pPr>
    </w:p>
    <w:p w14:paraId="25CD652A">
      <w:pPr>
        <w:pStyle w:val="9"/>
        <w:spacing w:before="114" w:line="316" w:lineRule="auto"/>
        <w:ind w:right="599" w:firstLine="1382" w:firstLineChars="400"/>
        <w:jc w:val="both"/>
        <w:rPr>
          <w:rFonts w:hint="eastAsia" w:ascii="仿宋" w:hAnsi="仿宋" w:eastAsia="仿宋" w:cs="仿宋"/>
          <w:b/>
          <w:bCs/>
          <w:color w:val="auto"/>
          <w:spacing w:val="-8"/>
          <w:sz w:val="36"/>
          <w:szCs w:val="32"/>
          <w:highlight w:val="none"/>
          <w:lang w:eastAsia="zh-CN"/>
        </w:rPr>
      </w:pPr>
      <w:r>
        <w:rPr>
          <w:rFonts w:hint="eastAsia" w:ascii="仿宋" w:hAnsi="仿宋" w:eastAsia="仿宋" w:cs="仿宋"/>
          <w:b/>
          <w:bCs/>
          <w:color w:val="auto"/>
          <w:spacing w:val="-8"/>
          <w:sz w:val="36"/>
          <w:szCs w:val="32"/>
          <w:highlight w:val="none"/>
        </w:rPr>
        <w:t>采</w:t>
      </w:r>
      <w:r>
        <w:rPr>
          <w:rFonts w:hint="eastAsia" w:ascii="仿宋" w:hAnsi="仿宋" w:eastAsia="仿宋" w:cs="仿宋"/>
          <w:b/>
          <w:bCs/>
          <w:color w:val="auto"/>
          <w:spacing w:val="-8"/>
          <w:sz w:val="36"/>
          <w:szCs w:val="32"/>
          <w:highlight w:val="none"/>
          <w:lang w:val="en-US" w:eastAsia="zh-CN"/>
        </w:rPr>
        <w:t xml:space="preserve">    </w:t>
      </w:r>
      <w:r>
        <w:rPr>
          <w:rFonts w:hint="eastAsia" w:ascii="仿宋" w:hAnsi="仿宋" w:eastAsia="仿宋" w:cs="仿宋"/>
          <w:b/>
          <w:bCs/>
          <w:color w:val="auto"/>
          <w:spacing w:val="-8"/>
          <w:sz w:val="36"/>
          <w:szCs w:val="32"/>
          <w:highlight w:val="none"/>
        </w:rPr>
        <w:t>购</w:t>
      </w:r>
      <w:r>
        <w:rPr>
          <w:rFonts w:hint="eastAsia" w:ascii="仿宋" w:hAnsi="仿宋" w:eastAsia="仿宋" w:cs="仿宋"/>
          <w:b/>
          <w:bCs/>
          <w:color w:val="auto"/>
          <w:spacing w:val="-8"/>
          <w:sz w:val="36"/>
          <w:szCs w:val="32"/>
          <w:highlight w:val="none"/>
          <w:lang w:val="en-US" w:eastAsia="zh-CN"/>
        </w:rPr>
        <w:t xml:space="preserve">   </w:t>
      </w:r>
      <w:r>
        <w:rPr>
          <w:rFonts w:hint="eastAsia" w:ascii="仿宋" w:hAnsi="仿宋" w:eastAsia="仿宋" w:cs="仿宋"/>
          <w:b/>
          <w:bCs/>
          <w:color w:val="auto"/>
          <w:spacing w:val="-8"/>
          <w:sz w:val="36"/>
          <w:szCs w:val="32"/>
          <w:highlight w:val="none"/>
        </w:rPr>
        <w:t>人：</w:t>
      </w:r>
      <w:r>
        <w:rPr>
          <w:rFonts w:hint="eastAsia" w:ascii="仿宋" w:hAnsi="仿宋" w:eastAsia="仿宋" w:cs="仿宋"/>
          <w:b/>
          <w:bCs/>
          <w:color w:val="auto"/>
          <w:spacing w:val="-8"/>
          <w:sz w:val="36"/>
          <w:szCs w:val="32"/>
          <w:highlight w:val="none"/>
          <w:lang w:eastAsia="zh-CN"/>
        </w:rPr>
        <w:t>荥阳市园林中心</w:t>
      </w:r>
    </w:p>
    <w:p w14:paraId="72D53AD2">
      <w:pPr>
        <w:pStyle w:val="9"/>
        <w:spacing w:before="114" w:line="316" w:lineRule="auto"/>
        <w:ind w:right="599" w:firstLine="1478" w:firstLineChars="400"/>
        <w:jc w:val="both"/>
        <w:rPr>
          <w:rFonts w:hint="eastAsia" w:ascii="仿宋" w:hAnsi="仿宋" w:eastAsia="仿宋" w:cs="仿宋"/>
          <w:color w:val="auto"/>
          <w:sz w:val="36"/>
          <w:szCs w:val="32"/>
          <w:highlight w:val="none"/>
          <w:lang w:eastAsia="zh-CN"/>
        </w:rPr>
      </w:pPr>
      <w:r>
        <w:rPr>
          <w:rFonts w:hint="eastAsia" w:ascii="仿宋" w:hAnsi="仿宋" w:eastAsia="仿宋" w:cs="仿宋"/>
          <w:b/>
          <w:bCs/>
          <w:color w:val="auto"/>
          <w:spacing w:val="4"/>
          <w:sz w:val="36"/>
          <w:szCs w:val="32"/>
          <w:highlight w:val="none"/>
        </w:rPr>
        <w:t>采购代理机构：</w:t>
      </w:r>
      <w:r>
        <w:rPr>
          <w:rFonts w:hint="eastAsia" w:ascii="仿宋" w:hAnsi="仿宋" w:eastAsia="仿宋" w:cs="仿宋"/>
          <w:b/>
          <w:bCs/>
          <w:color w:val="auto"/>
          <w:spacing w:val="4"/>
          <w:sz w:val="36"/>
          <w:szCs w:val="32"/>
          <w:highlight w:val="none"/>
          <w:lang w:eastAsia="zh-CN"/>
        </w:rPr>
        <w:t>河南达信工程管理有限公司</w:t>
      </w:r>
    </w:p>
    <w:p w14:paraId="4B33B2E8">
      <w:pPr>
        <w:pStyle w:val="49"/>
        <w:jc w:val="center"/>
        <w:rPr>
          <w:rFonts w:hint="eastAsia" w:ascii="仿宋" w:hAnsi="仿宋" w:eastAsia="仿宋" w:cs="仿宋"/>
          <w:b/>
          <w:bCs/>
          <w:color w:val="auto"/>
          <w:sz w:val="72"/>
          <w:szCs w:val="72"/>
          <w:highlight w:val="none"/>
          <w:lang w:eastAsia="zh-CN"/>
        </w:rPr>
      </w:pPr>
      <w:r>
        <w:rPr>
          <w:rFonts w:hint="eastAsia" w:ascii="仿宋" w:hAnsi="仿宋" w:eastAsia="仿宋" w:cs="仿宋"/>
          <w:b/>
          <w:bCs/>
          <w:color w:val="auto"/>
          <w:spacing w:val="4"/>
          <w:sz w:val="32"/>
          <w:szCs w:val="32"/>
          <w:highlight w:val="none"/>
        </w:rPr>
        <w:t>二〇二</w:t>
      </w:r>
      <w:r>
        <w:rPr>
          <w:rFonts w:hint="eastAsia" w:ascii="仿宋" w:hAnsi="仿宋" w:eastAsia="仿宋" w:cs="仿宋"/>
          <w:b/>
          <w:bCs/>
          <w:color w:val="auto"/>
          <w:spacing w:val="4"/>
          <w:sz w:val="32"/>
          <w:szCs w:val="32"/>
          <w:highlight w:val="none"/>
          <w:lang w:val="en-US" w:eastAsia="zh-CN"/>
        </w:rPr>
        <w:t>六</w:t>
      </w:r>
      <w:r>
        <w:rPr>
          <w:rFonts w:hint="eastAsia" w:ascii="仿宋" w:hAnsi="仿宋" w:eastAsia="仿宋" w:cs="仿宋"/>
          <w:b/>
          <w:bCs/>
          <w:color w:val="auto"/>
          <w:spacing w:val="4"/>
          <w:sz w:val="32"/>
          <w:szCs w:val="32"/>
          <w:highlight w:val="none"/>
        </w:rPr>
        <w:t>年</w:t>
      </w:r>
      <w:r>
        <w:rPr>
          <w:rFonts w:hint="eastAsia" w:ascii="仿宋" w:hAnsi="仿宋" w:eastAsia="仿宋" w:cs="仿宋"/>
          <w:b/>
          <w:bCs/>
          <w:color w:val="auto"/>
          <w:spacing w:val="4"/>
          <w:sz w:val="32"/>
          <w:szCs w:val="32"/>
          <w:highlight w:val="none"/>
          <w:lang w:val="en-US" w:eastAsia="zh-CN"/>
        </w:rPr>
        <w:t>一</w:t>
      </w:r>
      <w:r>
        <w:rPr>
          <w:rFonts w:hint="eastAsia" w:ascii="仿宋" w:hAnsi="仿宋" w:eastAsia="仿宋" w:cs="仿宋"/>
          <w:b/>
          <w:bCs/>
          <w:color w:val="auto"/>
          <w:spacing w:val="4"/>
          <w:sz w:val="32"/>
          <w:szCs w:val="32"/>
          <w:highlight w:val="none"/>
        </w:rPr>
        <w:t>月</w:t>
      </w:r>
    </w:p>
    <w:p w14:paraId="2D5BFA9A">
      <w:pPr>
        <w:spacing w:line="400" w:lineRule="exact"/>
        <w:jc w:val="center"/>
        <w:rPr>
          <w:rFonts w:hint="eastAsia" w:ascii="仿宋" w:hAnsi="仿宋" w:eastAsia="仿宋" w:cs="仿宋"/>
          <w:b/>
          <w:bCs/>
          <w:color w:val="auto"/>
          <w:sz w:val="36"/>
          <w:highlight w:val="none"/>
        </w:rPr>
      </w:pPr>
    </w:p>
    <w:p w14:paraId="44D20982">
      <w:pPr>
        <w:spacing w:line="400" w:lineRule="exact"/>
        <w:jc w:val="center"/>
        <w:rPr>
          <w:rFonts w:hint="eastAsia" w:ascii="仿宋" w:hAnsi="仿宋" w:eastAsia="仿宋" w:cs="仿宋"/>
          <w:b/>
          <w:bCs/>
          <w:color w:val="auto"/>
          <w:sz w:val="36"/>
          <w:highlight w:val="none"/>
        </w:rPr>
      </w:pPr>
    </w:p>
    <w:p w14:paraId="54C23BA2">
      <w:pPr>
        <w:spacing w:line="400" w:lineRule="exact"/>
        <w:jc w:val="center"/>
        <w:rPr>
          <w:rFonts w:hint="eastAsia" w:ascii="仿宋" w:hAnsi="仿宋" w:eastAsia="仿宋" w:cs="仿宋"/>
          <w:b/>
          <w:bCs/>
          <w:color w:val="auto"/>
          <w:sz w:val="36"/>
          <w:highlight w:val="none"/>
        </w:rPr>
      </w:pPr>
    </w:p>
    <w:sdt>
      <w:sdtPr>
        <w:rPr>
          <w:rFonts w:hint="eastAsia" w:ascii="仿宋" w:hAnsi="仿宋" w:eastAsia="仿宋" w:cs="仿宋"/>
          <w:color w:val="auto"/>
          <w:kern w:val="2"/>
          <w:sz w:val="21"/>
          <w:szCs w:val="24"/>
          <w:highlight w:val="none"/>
          <w:lang w:val="en-US" w:eastAsia="zh-CN" w:bidi="ar-SA"/>
        </w:rPr>
        <w:id w:val="147453849"/>
        <w15:color w:val="DBDBDB"/>
        <w:docPartObj>
          <w:docPartGallery w:val="Table of Contents"/>
          <w:docPartUnique/>
        </w:docPartObj>
      </w:sdtPr>
      <w:sdtEndPr>
        <w:rPr>
          <w:rFonts w:hint="eastAsia" w:ascii="仿宋" w:hAnsi="仿宋" w:eastAsia="仿宋" w:cs="仿宋"/>
          <w:bCs/>
          <w:color w:val="auto"/>
          <w:kern w:val="2"/>
          <w:sz w:val="21"/>
          <w:szCs w:val="44"/>
          <w:highlight w:val="none"/>
          <w:lang w:val="en-US" w:eastAsia="zh-CN" w:bidi="ar-SA"/>
        </w:rPr>
      </w:sdtEndPr>
      <w:sdtContent>
        <w:p w14:paraId="7705C1D8">
          <w:pPr>
            <w:spacing w:before="0" w:beforeLines="0" w:after="0" w:afterLines="0" w:line="240" w:lineRule="auto"/>
            <w:ind w:left="0" w:leftChars="0" w:right="0" w:rightChars="0" w:firstLine="0" w:firstLineChars="0"/>
            <w:jc w:val="center"/>
            <w:rPr>
              <w:rFonts w:hint="eastAsia" w:ascii="仿宋" w:hAnsi="仿宋" w:eastAsia="仿宋" w:cs="仿宋"/>
              <w:color w:val="auto"/>
              <w:highlight w:val="none"/>
            </w:rPr>
          </w:pPr>
          <w:r>
            <w:rPr>
              <w:rFonts w:hint="eastAsia" w:ascii="仿宋" w:hAnsi="仿宋" w:eastAsia="仿宋" w:cs="仿宋"/>
              <w:b/>
              <w:bCs/>
              <w:color w:val="auto"/>
              <w:sz w:val="36"/>
              <w:szCs w:val="44"/>
              <w:highlight w:val="none"/>
            </w:rPr>
            <w:t>目录</w:t>
          </w:r>
        </w:p>
        <w:p w14:paraId="17EEBA45">
          <w:pPr>
            <w:pStyle w:val="19"/>
            <w:tabs>
              <w:tab w:val="right" w:leader="dot" w:pos="8306"/>
            </w:tabs>
            <w:spacing w:line="480" w:lineRule="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TOC \o "1-1" \h \u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Cs/>
              <w:color w:val="auto"/>
              <w:sz w:val="28"/>
              <w:szCs w:val="28"/>
              <w:highlight w:val="none"/>
            </w:rPr>
            <w:fldChar w:fldCharType="begin"/>
          </w:r>
          <w:r>
            <w:rPr>
              <w:rFonts w:hint="eastAsia" w:ascii="仿宋" w:hAnsi="仿宋" w:eastAsia="仿宋" w:cs="仿宋"/>
              <w:bCs/>
              <w:color w:val="auto"/>
              <w:sz w:val="28"/>
              <w:szCs w:val="28"/>
              <w:highlight w:val="none"/>
            </w:rPr>
            <w:instrText xml:space="preserve"> HYPERLINK \l _Toc17426 </w:instrText>
          </w:r>
          <w:r>
            <w:rPr>
              <w:rFonts w:hint="eastAsia" w:ascii="仿宋" w:hAnsi="仿宋" w:eastAsia="仿宋" w:cs="仿宋"/>
              <w:bCs/>
              <w:color w:val="auto"/>
              <w:sz w:val="28"/>
              <w:szCs w:val="28"/>
              <w:highlight w:val="none"/>
            </w:rPr>
            <w:fldChar w:fldCharType="separate"/>
          </w:r>
          <w:r>
            <w:rPr>
              <w:rFonts w:hint="eastAsia" w:ascii="仿宋" w:hAnsi="仿宋" w:eastAsia="仿宋" w:cs="仿宋"/>
              <w:color w:val="auto"/>
              <w:kern w:val="0"/>
              <w:sz w:val="28"/>
              <w:szCs w:val="28"/>
              <w:highlight w:val="none"/>
            </w:rPr>
            <w:t xml:space="preserve">第一章 </w:t>
          </w:r>
          <w:r>
            <w:rPr>
              <w:rFonts w:hint="eastAsia" w:ascii="仿宋" w:hAnsi="仿宋" w:eastAsia="仿宋" w:cs="仿宋"/>
              <w:color w:val="auto"/>
              <w:kern w:val="0"/>
              <w:sz w:val="28"/>
              <w:szCs w:val="28"/>
              <w:highlight w:val="none"/>
              <w:lang w:eastAsia="zh-CN"/>
            </w:rPr>
            <w:t>竞争性磋商</w:t>
          </w:r>
          <w:r>
            <w:rPr>
              <w:rFonts w:hint="eastAsia" w:ascii="仿宋" w:hAnsi="仿宋" w:eastAsia="仿宋" w:cs="仿宋"/>
              <w:color w:val="auto"/>
              <w:kern w:val="0"/>
              <w:sz w:val="28"/>
              <w:szCs w:val="28"/>
              <w:highlight w:val="none"/>
            </w:rPr>
            <w:t>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_Toc17426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bCs/>
              <w:color w:val="auto"/>
              <w:sz w:val="28"/>
              <w:szCs w:val="28"/>
              <w:highlight w:val="none"/>
            </w:rPr>
            <w:fldChar w:fldCharType="end"/>
          </w:r>
        </w:p>
        <w:p w14:paraId="260842F0">
          <w:pPr>
            <w:pStyle w:val="19"/>
            <w:tabs>
              <w:tab w:val="right" w:leader="dot" w:pos="8306"/>
            </w:tabs>
            <w:spacing w:line="480" w:lineRule="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color w:val="auto"/>
              <w:sz w:val="28"/>
              <w:szCs w:val="28"/>
              <w:highlight w:val="none"/>
            </w:rPr>
            <w:instrText xml:space="preserve"> HYPERLINK \l _Toc3681 </w:instrText>
          </w:r>
          <w:r>
            <w:rPr>
              <w:rFonts w:hint="eastAsia" w:ascii="仿宋" w:hAnsi="仿宋" w:eastAsia="仿宋" w:cs="仿宋"/>
              <w:bCs/>
              <w:color w:val="auto"/>
              <w:sz w:val="28"/>
              <w:szCs w:val="28"/>
              <w:highlight w:val="none"/>
            </w:rPr>
            <w:fldChar w:fldCharType="separate"/>
          </w:r>
          <w:r>
            <w:rPr>
              <w:rFonts w:hint="eastAsia" w:ascii="仿宋" w:hAnsi="仿宋" w:eastAsia="仿宋" w:cs="仿宋"/>
              <w:color w:val="auto"/>
              <w:sz w:val="28"/>
              <w:szCs w:val="28"/>
              <w:highlight w:val="none"/>
            </w:rPr>
            <w:t>第二章 供应商须知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_Toc3681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rPr>
            <w:fldChar w:fldCharType="end"/>
          </w:r>
          <w:r>
            <w:rPr>
              <w:rFonts w:hint="eastAsia" w:ascii="仿宋" w:hAnsi="仿宋" w:eastAsia="仿宋" w:cs="仿宋"/>
              <w:bCs/>
              <w:color w:val="auto"/>
              <w:sz w:val="28"/>
              <w:szCs w:val="28"/>
              <w:highlight w:val="none"/>
            </w:rPr>
            <w:fldChar w:fldCharType="end"/>
          </w:r>
        </w:p>
        <w:p w14:paraId="3C357E64">
          <w:pPr>
            <w:pStyle w:val="19"/>
            <w:tabs>
              <w:tab w:val="right" w:leader="dot" w:pos="8306"/>
            </w:tabs>
            <w:spacing w:line="480" w:lineRule="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color w:val="auto"/>
              <w:sz w:val="28"/>
              <w:szCs w:val="28"/>
              <w:highlight w:val="none"/>
            </w:rPr>
            <w:instrText xml:space="preserve"> HYPERLINK \l _Toc8610 </w:instrText>
          </w:r>
          <w:r>
            <w:rPr>
              <w:rFonts w:hint="eastAsia" w:ascii="仿宋" w:hAnsi="仿宋" w:eastAsia="仿宋" w:cs="仿宋"/>
              <w:bCs/>
              <w:color w:val="auto"/>
              <w:sz w:val="28"/>
              <w:szCs w:val="28"/>
              <w:highlight w:val="none"/>
            </w:rPr>
            <w:fldChar w:fldCharType="separate"/>
          </w:r>
          <w:r>
            <w:rPr>
              <w:rFonts w:hint="eastAsia" w:ascii="仿宋" w:hAnsi="仿宋" w:eastAsia="仿宋" w:cs="仿宋"/>
              <w:color w:val="auto"/>
              <w:sz w:val="28"/>
              <w:szCs w:val="28"/>
              <w:highlight w:val="none"/>
            </w:rPr>
            <w:t xml:space="preserve">第三章 </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办法（综合评分法）</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_Toc8610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24</w:t>
          </w:r>
          <w:r>
            <w:rPr>
              <w:rFonts w:hint="eastAsia" w:ascii="仿宋" w:hAnsi="仿宋" w:eastAsia="仿宋" w:cs="仿宋"/>
              <w:color w:val="auto"/>
              <w:sz w:val="28"/>
              <w:szCs w:val="28"/>
              <w:highlight w:val="none"/>
            </w:rPr>
            <w:fldChar w:fldCharType="end"/>
          </w:r>
          <w:r>
            <w:rPr>
              <w:rFonts w:hint="eastAsia" w:ascii="仿宋" w:hAnsi="仿宋" w:eastAsia="仿宋" w:cs="仿宋"/>
              <w:bCs/>
              <w:color w:val="auto"/>
              <w:sz w:val="28"/>
              <w:szCs w:val="28"/>
              <w:highlight w:val="none"/>
            </w:rPr>
            <w:fldChar w:fldCharType="end"/>
          </w:r>
        </w:p>
        <w:p w14:paraId="3FF6339E">
          <w:pPr>
            <w:pStyle w:val="19"/>
            <w:tabs>
              <w:tab w:val="right" w:leader="dot" w:pos="8306"/>
            </w:tabs>
            <w:spacing w:line="480" w:lineRule="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color w:val="auto"/>
              <w:sz w:val="28"/>
              <w:szCs w:val="28"/>
              <w:highlight w:val="none"/>
            </w:rPr>
            <w:instrText xml:space="preserve"> HYPERLINK \l _Toc1408 </w:instrText>
          </w:r>
          <w:r>
            <w:rPr>
              <w:rFonts w:hint="eastAsia" w:ascii="仿宋" w:hAnsi="仿宋" w:eastAsia="仿宋" w:cs="仿宋"/>
              <w:bCs/>
              <w:color w:val="auto"/>
              <w:sz w:val="28"/>
              <w:szCs w:val="28"/>
              <w:highlight w:val="none"/>
            </w:rPr>
            <w:fldChar w:fldCharType="separate"/>
          </w:r>
          <w:r>
            <w:rPr>
              <w:rFonts w:hint="eastAsia" w:ascii="仿宋" w:hAnsi="仿宋" w:eastAsia="仿宋" w:cs="仿宋"/>
              <w:color w:val="auto"/>
              <w:sz w:val="28"/>
              <w:szCs w:val="28"/>
              <w:highlight w:val="none"/>
            </w:rPr>
            <w:t>第四章 合同条款及格式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_Toc1408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32</w:t>
          </w:r>
          <w:r>
            <w:rPr>
              <w:rFonts w:hint="eastAsia" w:ascii="仿宋" w:hAnsi="仿宋" w:eastAsia="仿宋" w:cs="仿宋"/>
              <w:color w:val="auto"/>
              <w:sz w:val="28"/>
              <w:szCs w:val="28"/>
              <w:highlight w:val="none"/>
            </w:rPr>
            <w:fldChar w:fldCharType="end"/>
          </w:r>
          <w:r>
            <w:rPr>
              <w:rFonts w:hint="eastAsia" w:ascii="仿宋" w:hAnsi="仿宋" w:eastAsia="仿宋" w:cs="仿宋"/>
              <w:bCs/>
              <w:color w:val="auto"/>
              <w:sz w:val="28"/>
              <w:szCs w:val="28"/>
              <w:highlight w:val="none"/>
            </w:rPr>
            <w:fldChar w:fldCharType="end"/>
          </w:r>
        </w:p>
        <w:p w14:paraId="4D072837">
          <w:pPr>
            <w:pStyle w:val="19"/>
            <w:tabs>
              <w:tab w:val="right" w:leader="dot" w:pos="8306"/>
            </w:tabs>
            <w:spacing w:line="480" w:lineRule="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color w:val="auto"/>
              <w:sz w:val="28"/>
              <w:szCs w:val="28"/>
              <w:highlight w:val="none"/>
            </w:rPr>
            <w:instrText xml:space="preserve"> HYPERLINK \l _Toc25712 </w:instrText>
          </w:r>
          <w:r>
            <w:rPr>
              <w:rFonts w:hint="eastAsia" w:ascii="仿宋" w:hAnsi="仿宋" w:eastAsia="仿宋" w:cs="仿宋"/>
              <w:bCs/>
              <w:color w:val="auto"/>
              <w:sz w:val="28"/>
              <w:szCs w:val="28"/>
              <w:highlight w:val="none"/>
            </w:rPr>
            <w:fldChar w:fldCharType="separate"/>
          </w:r>
          <w:r>
            <w:rPr>
              <w:rFonts w:hint="eastAsia" w:ascii="仿宋" w:hAnsi="仿宋" w:eastAsia="仿宋" w:cs="仿宋"/>
              <w:bCs/>
              <w:color w:val="auto"/>
              <w:kern w:val="2"/>
              <w:sz w:val="28"/>
              <w:szCs w:val="28"/>
              <w:highlight w:val="none"/>
              <w:lang w:val="en-US" w:eastAsia="zh-CN" w:bidi="ar-SA"/>
            </w:rPr>
            <w:t>第五章</w:t>
          </w:r>
          <w:r>
            <w:rPr>
              <w:rFonts w:hint="eastAsia" w:ascii="仿宋" w:hAnsi="仿宋" w:eastAsia="仿宋" w:cs="仿宋"/>
              <w:bCs/>
              <w:color w:val="auto"/>
              <w:sz w:val="28"/>
              <w:szCs w:val="28"/>
              <w:highlight w:val="none"/>
            </w:rPr>
            <w:t xml:space="preserve"> </w:t>
          </w:r>
          <w:r>
            <w:rPr>
              <w:rFonts w:hint="eastAsia" w:ascii="仿宋" w:hAnsi="仿宋" w:eastAsia="仿宋" w:cs="仿宋"/>
              <w:b w:val="0"/>
              <w:bCs/>
              <w:color w:val="auto"/>
              <w:sz w:val="28"/>
              <w:szCs w:val="28"/>
              <w:highlight w:val="none"/>
              <w:lang w:val="en-US" w:eastAsia="zh-CN"/>
            </w:rPr>
            <w:t>采购</w:t>
          </w:r>
          <w:r>
            <w:rPr>
              <w:rFonts w:hint="eastAsia" w:ascii="仿宋" w:hAnsi="仿宋" w:eastAsia="仿宋" w:cs="仿宋"/>
              <w:bCs/>
              <w:color w:val="auto"/>
              <w:sz w:val="28"/>
              <w:szCs w:val="28"/>
              <w:highlight w:val="none"/>
              <w:lang w:val="en-US" w:eastAsia="zh-CN"/>
            </w:rPr>
            <w:t>需求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_Toc25712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46</w:t>
          </w:r>
          <w:r>
            <w:rPr>
              <w:rFonts w:hint="eastAsia" w:ascii="仿宋" w:hAnsi="仿宋" w:eastAsia="仿宋" w:cs="仿宋"/>
              <w:color w:val="auto"/>
              <w:sz w:val="28"/>
              <w:szCs w:val="28"/>
              <w:highlight w:val="none"/>
            </w:rPr>
            <w:fldChar w:fldCharType="end"/>
          </w:r>
          <w:r>
            <w:rPr>
              <w:rFonts w:hint="eastAsia" w:ascii="仿宋" w:hAnsi="仿宋" w:eastAsia="仿宋" w:cs="仿宋"/>
              <w:bCs/>
              <w:color w:val="auto"/>
              <w:sz w:val="28"/>
              <w:szCs w:val="28"/>
              <w:highlight w:val="none"/>
            </w:rPr>
            <w:fldChar w:fldCharType="end"/>
          </w:r>
        </w:p>
        <w:p w14:paraId="3E956244">
          <w:pPr>
            <w:pStyle w:val="19"/>
            <w:tabs>
              <w:tab w:val="right" w:leader="dot" w:pos="8306"/>
            </w:tabs>
            <w:spacing w:line="480" w:lineRule="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color w:val="auto"/>
              <w:sz w:val="28"/>
              <w:szCs w:val="28"/>
              <w:highlight w:val="none"/>
            </w:rPr>
            <w:instrText xml:space="preserve"> HYPERLINK \l _Toc15795 </w:instrText>
          </w:r>
          <w:r>
            <w:rPr>
              <w:rFonts w:hint="eastAsia" w:ascii="仿宋" w:hAnsi="仿宋" w:eastAsia="仿宋" w:cs="仿宋"/>
              <w:bCs/>
              <w:color w:val="auto"/>
              <w:sz w:val="28"/>
              <w:szCs w:val="28"/>
              <w:highlight w:val="none"/>
            </w:rPr>
            <w:fldChar w:fldCharType="separate"/>
          </w:r>
          <w:r>
            <w:rPr>
              <w:rFonts w:hint="eastAsia" w:ascii="仿宋" w:hAnsi="仿宋" w:eastAsia="仿宋" w:cs="仿宋"/>
              <w:bCs/>
              <w:color w:val="auto"/>
              <w:sz w:val="28"/>
              <w:szCs w:val="28"/>
              <w:highlight w:val="none"/>
            </w:rPr>
            <w:t>第</w:t>
          </w:r>
          <w:r>
            <w:rPr>
              <w:rFonts w:hint="eastAsia" w:ascii="仿宋" w:hAnsi="仿宋" w:eastAsia="仿宋" w:cs="仿宋"/>
              <w:bCs/>
              <w:color w:val="auto"/>
              <w:sz w:val="28"/>
              <w:szCs w:val="28"/>
              <w:highlight w:val="none"/>
              <w:lang w:val="en-US" w:eastAsia="zh-CN"/>
            </w:rPr>
            <w:t>六</w:t>
          </w:r>
          <w:r>
            <w:rPr>
              <w:rFonts w:hint="eastAsia" w:ascii="仿宋" w:hAnsi="仿宋" w:eastAsia="仿宋" w:cs="仿宋"/>
              <w:bCs/>
              <w:color w:val="auto"/>
              <w:sz w:val="28"/>
              <w:szCs w:val="28"/>
              <w:highlight w:val="none"/>
            </w:rPr>
            <w:t xml:space="preserve">章 </w:t>
          </w:r>
          <w:r>
            <w:rPr>
              <w:rFonts w:hint="eastAsia" w:ascii="仿宋" w:hAnsi="仿宋" w:eastAsia="仿宋" w:cs="仿宋"/>
              <w:bCs/>
              <w:color w:val="auto"/>
              <w:sz w:val="28"/>
              <w:szCs w:val="28"/>
              <w:highlight w:val="none"/>
              <w:lang w:eastAsia="zh-CN"/>
            </w:rPr>
            <w:t>响应文件</w:t>
          </w:r>
          <w:r>
            <w:rPr>
              <w:rFonts w:hint="eastAsia" w:ascii="仿宋" w:hAnsi="仿宋" w:eastAsia="仿宋" w:cs="仿宋"/>
              <w:bCs/>
              <w:color w:val="auto"/>
              <w:sz w:val="28"/>
              <w:szCs w:val="28"/>
              <w:highlight w:val="none"/>
            </w:rPr>
            <w:t>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_Toc15795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48</w:t>
          </w:r>
          <w:r>
            <w:rPr>
              <w:rFonts w:hint="eastAsia" w:ascii="仿宋" w:hAnsi="仿宋" w:eastAsia="仿宋" w:cs="仿宋"/>
              <w:color w:val="auto"/>
              <w:sz w:val="28"/>
              <w:szCs w:val="28"/>
              <w:highlight w:val="none"/>
            </w:rPr>
            <w:fldChar w:fldCharType="end"/>
          </w:r>
          <w:r>
            <w:rPr>
              <w:rFonts w:hint="eastAsia" w:ascii="仿宋" w:hAnsi="仿宋" w:eastAsia="仿宋" w:cs="仿宋"/>
              <w:bCs/>
              <w:color w:val="auto"/>
              <w:sz w:val="28"/>
              <w:szCs w:val="28"/>
              <w:highlight w:val="none"/>
            </w:rPr>
            <w:fldChar w:fldCharType="end"/>
          </w:r>
        </w:p>
        <w:p w14:paraId="4A9524EC">
          <w:pPr>
            <w:spacing w:line="480" w:lineRule="auto"/>
            <w:jc w:val="center"/>
            <w:rPr>
              <w:rFonts w:hint="eastAsia" w:ascii="仿宋" w:hAnsi="仿宋" w:eastAsia="仿宋" w:cs="仿宋"/>
              <w:bCs/>
              <w:color w:val="auto"/>
              <w:kern w:val="2"/>
              <w:sz w:val="21"/>
              <w:szCs w:val="44"/>
              <w:highlight w:val="none"/>
              <w:lang w:val="en-US" w:eastAsia="zh-CN" w:bidi="ar-SA"/>
            </w:rPr>
          </w:pPr>
          <w:r>
            <w:rPr>
              <w:rFonts w:hint="eastAsia" w:ascii="仿宋" w:hAnsi="仿宋" w:eastAsia="仿宋" w:cs="仿宋"/>
              <w:bCs/>
              <w:color w:val="auto"/>
              <w:sz w:val="28"/>
              <w:szCs w:val="28"/>
              <w:highlight w:val="none"/>
            </w:rPr>
            <w:fldChar w:fldCharType="end"/>
          </w:r>
        </w:p>
      </w:sdtContent>
    </w:sdt>
    <w:p w14:paraId="2544912A">
      <w:pPr>
        <w:pStyle w:val="49"/>
        <w:rPr>
          <w:rFonts w:hint="eastAsia" w:ascii="仿宋" w:hAnsi="仿宋" w:eastAsia="仿宋" w:cs="仿宋"/>
          <w:color w:val="auto"/>
          <w:highlight w:val="none"/>
        </w:rPr>
      </w:pPr>
    </w:p>
    <w:p w14:paraId="7C9573D2">
      <w:pPr>
        <w:pStyle w:val="19"/>
        <w:tabs>
          <w:tab w:val="right" w:leader="dot" w:pos="9736"/>
        </w:tabs>
        <w:spacing w:line="360" w:lineRule="auto"/>
        <w:jc w:val="center"/>
        <w:rPr>
          <w:rFonts w:hint="eastAsia" w:ascii="仿宋" w:hAnsi="仿宋" w:eastAsia="仿宋" w:cs="仿宋"/>
          <w:color w:val="auto"/>
          <w:szCs w:val="21"/>
          <w:highlight w:val="none"/>
        </w:rPr>
      </w:pPr>
    </w:p>
    <w:p w14:paraId="32427912">
      <w:pPr>
        <w:pStyle w:val="49"/>
        <w:spacing w:line="480" w:lineRule="auto"/>
        <w:jc w:val="center"/>
        <w:rPr>
          <w:rFonts w:hint="eastAsia" w:ascii="仿宋" w:hAnsi="仿宋" w:eastAsia="仿宋" w:cs="仿宋"/>
          <w:color w:val="auto"/>
          <w:highlight w:val="none"/>
          <w:lang w:val="zh-CN"/>
        </w:rPr>
        <w:sectPr>
          <w:headerReference r:id="rId3" w:type="first"/>
          <w:footerReference r:id="rId5" w:type="first"/>
          <w:footerReference r:id="rId4" w:type="default"/>
          <w:pgSz w:w="11906" w:h="16838"/>
          <w:pgMar w:top="1440" w:right="1080" w:bottom="1440" w:left="1080" w:header="851" w:footer="907" w:gutter="0"/>
          <w:pgNumType w:fmt="decimal" w:start="1"/>
          <w:cols w:space="720" w:num="1"/>
          <w:titlePg/>
          <w:docGrid w:linePitch="312" w:charSpace="0"/>
        </w:sectPr>
      </w:pPr>
      <w:r>
        <w:rPr>
          <w:rFonts w:hint="eastAsia" w:ascii="仿宋" w:hAnsi="仿宋" w:eastAsia="仿宋" w:cs="仿宋"/>
          <w:color w:val="auto"/>
          <w:highlight w:val="none"/>
          <w:lang w:val="zh-CN"/>
        </w:rPr>
        <w:tab/>
      </w:r>
    </w:p>
    <w:p w14:paraId="1E7FE5F0">
      <w:pPr>
        <w:pStyle w:val="3"/>
        <w:numPr>
          <w:ilvl w:val="0"/>
          <w:numId w:val="2"/>
        </w:numPr>
        <w:snapToGrid w:val="0"/>
        <w:spacing w:before="0" w:after="0" w:line="360" w:lineRule="auto"/>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 </w:t>
      </w:r>
      <w:bookmarkStart w:id="0" w:name="_Toc20306"/>
      <w:bookmarkStart w:id="1" w:name="_Toc10576"/>
      <w:bookmarkStart w:id="2" w:name="_Toc9300"/>
      <w:bookmarkStart w:id="3" w:name="_Toc5288"/>
      <w:bookmarkStart w:id="4" w:name="_Toc17426"/>
      <w:bookmarkStart w:id="5" w:name="_Toc16186"/>
      <w:bookmarkStart w:id="6" w:name="_Toc11585"/>
      <w:r>
        <w:rPr>
          <w:rFonts w:hint="eastAsia" w:ascii="仿宋" w:hAnsi="仿宋" w:eastAsia="仿宋" w:cs="仿宋"/>
          <w:color w:val="auto"/>
          <w:kern w:val="0"/>
          <w:sz w:val="32"/>
          <w:szCs w:val="32"/>
          <w:highlight w:val="none"/>
          <w:lang w:eastAsia="zh-CN"/>
        </w:rPr>
        <w:t>竞争性磋商</w:t>
      </w:r>
      <w:r>
        <w:rPr>
          <w:rFonts w:hint="eastAsia" w:ascii="仿宋" w:hAnsi="仿宋" w:eastAsia="仿宋" w:cs="仿宋"/>
          <w:color w:val="auto"/>
          <w:kern w:val="0"/>
          <w:sz w:val="32"/>
          <w:szCs w:val="32"/>
          <w:highlight w:val="none"/>
        </w:rPr>
        <w:t>公告</w:t>
      </w:r>
      <w:bookmarkEnd w:id="0"/>
      <w:bookmarkEnd w:id="1"/>
      <w:bookmarkEnd w:id="2"/>
      <w:bookmarkEnd w:id="3"/>
      <w:bookmarkEnd w:id="4"/>
      <w:bookmarkEnd w:id="5"/>
      <w:bookmarkEnd w:id="6"/>
    </w:p>
    <w:p w14:paraId="58024827">
      <w:pPr>
        <w:pStyle w:val="26"/>
        <w:keepNext w:val="0"/>
        <w:keepLines w:val="0"/>
        <w:pageBreakBefore w:val="0"/>
        <w:kinsoku/>
        <w:wordWrap/>
        <w:overflowPunct/>
        <w:topLinePunct w:val="0"/>
        <w:autoSpaceDE/>
        <w:autoSpaceDN/>
        <w:bidi w:val="0"/>
        <w:spacing w:after="0" w:afterLines="0" w:line="360" w:lineRule="auto"/>
        <w:ind w:firstLine="241"/>
        <w:jc w:val="center"/>
        <w:textAlignment w:val="auto"/>
        <w:rPr>
          <w:rFonts w:hint="eastAsia" w:ascii="仿宋" w:hAnsi="仿宋" w:eastAsia="仿宋" w:cs="仿宋"/>
          <w:b/>
          <w:bCs/>
          <w:color w:val="auto"/>
          <w:sz w:val="24"/>
          <w:szCs w:val="24"/>
          <w:highlight w:val="none"/>
        </w:rPr>
      </w:pPr>
      <w:bookmarkStart w:id="7" w:name="_Toc152045527"/>
      <w:bookmarkStart w:id="8" w:name="_Toc152042303"/>
      <w:bookmarkStart w:id="9" w:name="_Toc144974495"/>
      <w:r>
        <w:rPr>
          <w:rFonts w:hint="eastAsia" w:ascii="仿宋" w:hAnsi="仿宋" w:eastAsia="仿宋" w:cs="仿宋"/>
          <w:b/>
          <w:bCs/>
          <w:color w:val="auto"/>
          <w:sz w:val="28"/>
          <w:szCs w:val="28"/>
          <w:highlight w:val="none"/>
          <w:lang w:val="en-US" w:eastAsia="zh-CN"/>
        </w:rPr>
        <w:t>荥阳市园林中心园林管护工人雇主责任险服务项目-</w:t>
      </w:r>
      <w:r>
        <w:rPr>
          <w:rFonts w:hint="eastAsia" w:ascii="仿宋" w:hAnsi="仿宋" w:eastAsia="仿宋" w:cs="仿宋"/>
          <w:b/>
          <w:bCs/>
          <w:color w:val="auto"/>
          <w:sz w:val="28"/>
          <w:szCs w:val="28"/>
          <w:highlight w:val="none"/>
        </w:rPr>
        <w:t>竞争性磋商公告</w:t>
      </w:r>
    </w:p>
    <w:p w14:paraId="17CC66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bookmarkStart w:id="10" w:name="_Toc6586678"/>
      <w:bookmarkStart w:id="11" w:name="_Toc21970"/>
      <w:r>
        <w:rPr>
          <w:rFonts w:hint="eastAsia" w:ascii="仿宋" w:hAnsi="仿宋" w:eastAsia="仿宋" w:cs="仿宋"/>
          <w:b/>
          <w:bCs/>
          <w:color w:val="auto"/>
          <w:sz w:val="24"/>
          <w:szCs w:val="24"/>
          <w:highlight w:val="none"/>
          <w:lang w:val="en-US" w:eastAsia="zh-CN"/>
        </w:rPr>
        <w:t>项目概况</w:t>
      </w:r>
    </w:p>
    <w:p w14:paraId="382C14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u w:val="none"/>
          <w:lang w:val="en-US" w:eastAsia="zh-CN"/>
        </w:rPr>
      </w:pPr>
      <w:bookmarkStart w:id="12" w:name="_Toc7697"/>
      <w:bookmarkStart w:id="13" w:name="_Toc23437"/>
      <w:bookmarkStart w:id="14" w:name="_Toc21667"/>
      <w:r>
        <w:rPr>
          <w:rFonts w:hint="eastAsia" w:ascii="仿宋" w:hAnsi="仿宋" w:eastAsia="仿宋" w:cs="仿宋"/>
          <w:b/>
          <w:bCs/>
          <w:color w:val="auto"/>
          <w:sz w:val="24"/>
          <w:szCs w:val="24"/>
          <w:highlight w:val="none"/>
          <w:u w:val="single"/>
          <w:lang w:val="en-US" w:eastAsia="zh-CN"/>
        </w:rPr>
        <w:t>荥阳市园林中心园林管护工人雇主责任险服务项目</w:t>
      </w:r>
      <w:r>
        <w:rPr>
          <w:rFonts w:hint="eastAsia" w:ascii="仿宋" w:hAnsi="仿宋" w:eastAsia="仿宋" w:cs="仿宋"/>
          <w:b w:val="0"/>
          <w:bCs w:val="0"/>
          <w:color w:val="auto"/>
          <w:sz w:val="24"/>
          <w:szCs w:val="24"/>
          <w:highlight w:val="none"/>
          <w:u w:val="none"/>
          <w:lang w:val="en-US" w:eastAsia="zh-CN"/>
        </w:rPr>
        <w:t>招标项目</w:t>
      </w:r>
      <w:r>
        <w:rPr>
          <w:rFonts w:hint="eastAsia" w:ascii="仿宋" w:hAnsi="仿宋" w:eastAsia="仿宋" w:cs="仿宋"/>
          <w:color w:val="auto"/>
          <w:sz w:val="24"/>
          <w:szCs w:val="24"/>
          <w:highlight w:val="none"/>
          <w:u w:val="none"/>
          <w:lang w:val="en-US" w:eastAsia="zh-CN"/>
        </w:rPr>
        <w:t>的潜在投标人应在</w:t>
      </w:r>
      <w:r>
        <w:rPr>
          <w:rFonts w:hint="eastAsia" w:ascii="仿宋" w:hAnsi="仿宋" w:eastAsia="仿宋" w:cs="仿宋"/>
          <w:b/>
          <w:bCs/>
          <w:color w:val="auto"/>
          <w:sz w:val="24"/>
          <w:szCs w:val="24"/>
          <w:highlight w:val="none"/>
          <w:u w:val="single"/>
          <w:lang w:val="en-US" w:eastAsia="zh-CN"/>
        </w:rPr>
        <w:t>荥阳市公共资源交易中心网站。</w:t>
      </w:r>
      <w:r>
        <w:rPr>
          <w:rFonts w:hint="eastAsia" w:ascii="仿宋" w:hAnsi="仿宋" w:eastAsia="仿宋" w:cs="仿宋"/>
          <w:color w:val="auto"/>
          <w:sz w:val="24"/>
          <w:szCs w:val="24"/>
          <w:highlight w:val="none"/>
          <w:u w:val="none"/>
          <w:lang w:val="en-US" w:eastAsia="zh-CN"/>
        </w:rPr>
        <w:t>获取招标文件，并于</w:t>
      </w:r>
      <w:r>
        <w:rPr>
          <w:rFonts w:hint="eastAsia" w:ascii="仿宋" w:hAnsi="仿宋" w:eastAsia="仿宋" w:cs="仿宋"/>
          <w:b/>
          <w:bCs/>
          <w:color w:val="auto"/>
          <w:sz w:val="24"/>
          <w:szCs w:val="24"/>
          <w:highlight w:val="none"/>
          <w:u w:val="single"/>
          <w:lang w:val="en-US" w:eastAsia="zh-CN"/>
        </w:rPr>
        <w:t>2026年01月20日09时00分</w:t>
      </w:r>
      <w:r>
        <w:rPr>
          <w:rFonts w:hint="eastAsia" w:ascii="仿宋" w:hAnsi="仿宋" w:eastAsia="仿宋" w:cs="仿宋"/>
          <w:color w:val="auto"/>
          <w:sz w:val="24"/>
          <w:szCs w:val="24"/>
          <w:highlight w:val="none"/>
          <w:u w:val="none"/>
          <w:lang w:val="en-US" w:eastAsia="zh-CN"/>
        </w:rPr>
        <w:t>（北京时间）前递交响应文件。</w:t>
      </w:r>
      <w:bookmarkEnd w:id="12"/>
    </w:p>
    <w:p w14:paraId="55D38C8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lang w:val="en-US" w:eastAsia="zh-CN"/>
        </w:rPr>
      </w:pPr>
      <w:bookmarkStart w:id="15" w:name="_Toc32525"/>
      <w:r>
        <w:rPr>
          <w:rFonts w:hint="eastAsia" w:ascii="仿宋" w:hAnsi="仿宋" w:eastAsia="仿宋" w:cs="仿宋"/>
          <w:b/>
          <w:bCs/>
          <w:color w:val="auto"/>
          <w:sz w:val="24"/>
          <w:szCs w:val="24"/>
          <w:highlight w:val="none"/>
          <w:lang w:val="en-US" w:eastAsia="zh-CN"/>
        </w:rPr>
        <w:t>一、项目基本情况</w:t>
      </w:r>
      <w:bookmarkEnd w:id="13"/>
      <w:bookmarkEnd w:id="14"/>
      <w:bookmarkEnd w:id="15"/>
    </w:p>
    <w:p w14:paraId="0A9168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1、项目编号：荥财磋商-2026-1</w:t>
      </w:r>
    </w:p>
    <w:p w14:paraId="7B189E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2、项目名称：荥阳市园林中心园林管护工人雇主责任险服务项目</w:t>
      </w:r>
    </w:p>
    <w:p w14:paraId="3E1212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3、采购方式：竞争性磋商</w:t>
      </w:r>
    </w:p>
    <w:p w14:paraId="619D94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4、预算金额：794400.00</w:t>
      </w:r>
      <w:r>
        <w:rPr>
          <w:rFonts w:hint="eastAsia" w:ascii="仿宋" w:hAnsi="仿宋" w:eastAsia="仿宋" w:cs="仿宋"/>
          <w:color w:val="auto"/>
          <w:sz w:val="24"/>
          <w:szCs w:val="24"/>
          <w:highlight w:val="none"/>
          <w:lang w:val="zh-CN" w:eastAsia="zh-CN"/>
        </w:rPr>
        <w:t>元</w:t>
      </w:r>
    </w:p>
    <w:p w14:paraId="649A17D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最高限价：</w:t>
      </w:r>
      <w:r>
        <w:rPr>
          <w:rFonts w:hint="eastAsia" w:ascii="仿宋" w:hAnsi="仿宋" w:eastAsia="仿宋" w:cs="仿宋"/>
          <w:color w:val="auto"/>
          <w:sz w:val="24"/>
          <w:szCs w:val="24"/>
          <w:highlight w:val="none"/>
          <w:lang w:val="en-US" w:eastAsia="zh-CN"/>
        </w:rPr>
        <w:t>794400</w:t>
      </w:r>
      <w:r>
        <w:rPr>
          <w:rFonts w:hint="eastAsia" w:ascii="仿宋" w:hAnsi="仿宋" w:eastAsia="仿宋" w:cs="仿宋"/>
          <w:color w:val="auto"/>
          <w:sz w:val="24"/>
          <w:szCs w:val="24"/>
          <w:highlight w:val="none"/>
          <w:lang w:val="zh-CN" w:eastAsia="zh-CN"/>
        </w:rPr>
        <w:t>元</w:t>
      </w:r>
    </w:p>
    <w:tbl>
      <w:tblPr>
        <w:tblStyle w:val="28"/>
        <w:tblW w:w="8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352"/>
        <w:gridCol w:w="3141"/>
        <w:gridCol w:w="1887"/>
        <w:gridCol w:w="1595"/>
      </w:tblGrid>
      <w:tr w14:paraId="17DE3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80" w:type="dxa"/>
            <w:noWrap w:val="0"/>
            <w:vAlign w:val="center"/>
          </w:tcPr>
          <w:p w14:paraId="50E483B5">
            <w:pPr>
              <w:pStyle w:val="24"/>
              <w:keepNext w:val="0"/>
              <w:keepLines w:val="0"/>
              <w:pageBreakBefore w:val="0"/>
              <w:kinsoku/>
              <w:wordWrap/>
              <w:overflowPunct/>
              <w:topLinePunct w:val="0"/>
              <w:autoSpaceDE/>
              <w:autoSpaceDN/>
              <w:bidi w:val="0"/>
              <w:adjustRightInd/>
              <w:snapToGrid w:val="0"/>
              <w:spacing w:before="0" w:after="0" w:line="360" w:lineRule="auto"/>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序号</w:t>
            </w:r>
          </w:p>
        </w:tc>
        <w:tc>
          <w:tcPr>
            <w:tcW w:w="1352" w:type="dxa"/>
            <w:noWrap w:val="0"/>
            <w:vAlign w:val="center"/>
          </w:tcPr>
          <w:p w14:paraId="54946324">
            <w:pPr>
              <w:pStyle w:val="24"/>
              <w:keepNext w:val="0"/>
              <w:keepLines w:val="0"/>
              <w:pageBreakBefore w:val="0"/>
              <w:kinsoku/>
              <w:wordWrap/>
              <w:overflowPunct/>
              <w:topLinePunct w:val="0"/>
              <w:autoSpaceDE/>
              <w:autoSpaceDN/>
              <w:bidi w:val="0"/>
              <w:adjustRightInd/>
              <w:snapToGrid w:val="0"/>
              <w:spacing w:before="0" w:after="0" w:line="360" w:lineRule="auto"/>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包号</w:t>
            </w:r>
          </w:p>
        </w:tc>
        <w:tc>
          <w:tcPr>
            <w:tcW w:w="3141" w:type="dxa"/>
            <w:noWrap w:val="0"/>
            <w:vAlign w:val="center"/>
          </w:tcPr>
          <w:p w14:paraId="651C4713">
            <w:pPr>
              <w:pStyle w:val="24"/>
              <w:keepNext w:val="0"/>
              <w:keepLines w:val="0"/>
              <w:pageBreakBefore w:val="0"/>
              <w:kinsoku/>
              <w:wordWrap/>
              <w:overflowPunct/>
              <w:topLinePunct w:val="0"/>
              <w:autoSpaceDE/>
              <w:autoSpaceDN/>
              <w:bidi w:val="0"/>
              <w:adjustRightInd/>
              <w:snapToGrid w:val="0"/>
              <w:spacing w:before="0" w:after="0" w:line="360" w:lineRule="auto"/>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包名称</w:t>
            </w:r>
          </w:p>
        </w:tc>
        <w:tc>
          <w:tcPr>
            <w:tcW w:w="1887" w:type="dxa"/>
            <w:noWrap w:val="0"/>
            <w:vAlign w:val="center"/>
          </w:tcPr>
          <w:p w14:paraId="1FDCDC00">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包预算</w:t>
            </w:r>
          </w:p>
          <w:p w14:paraId="1CFC1117">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（元）</w:t>
            </w:r>
          </w:p>
        </w:tc>
        <w:tc>
          <w:tcPr>
            <w:tcW w:w="1595" w:type="dxa"/>
            <w:noWrap w:val="0"/>
            <w:vAlign w:val="center"/>
          </w:tcPr>
          <w:p w14:paraId="1C566752">
            <w:pPr>
              <w:pStyle w:val="24"/>
              <w:keepNext w:val="0"/>
              <w:keepLines w:val="0"/>
              <w:pageBreakBefore w:val="0"/>
              <w:kinsoku/>
              <w:wordWrap/>
              <w:overflowPunct/>
              <w:topLinePunct w:val="0"/>
              <w:autoSpaceDE/>
              <w:autoSpaceDN/>
              <w:bidi w:val="0"/>
              <w:adjustRightInd/>
              <w:snapToGrid w:val="0"/>
              <w:spacing w:before="0" w:after="0" w:line="360" w:lineRule="auto"/>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包最高限价（元）</w:t>
            </w:r>
          </w:p>
        </w:tc>
      </w:tr>
      <w:tr w14:paraId="73D9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480" w:type="dxa"/>
            <w:noWrap w:val="0"/>
            <w:vAlign w:val="center"/>
          </w:tcPr>
          <w:p w14:paraId="5C13647F">
            <w:pPr>
              <w:pStyle w:val="24"/>
              <w:keepNext w:val="0"/>
              <w:keepLines w:val="0"/>
              <w:pageBreakBefore w:val="0"/>
              <w:kinsoku/>
              <w:wordWrap/>
              <w:overflowPunct/>
              <w:topLinePunct w:val="0"/>
              <w:autoSpaceDE/>
              <w:autoSpaceDN/>
              <w:bidi w:val="0"/>
              <w:snapToGrid w:val="0"/>
              <w:spacing w:before="0" w:after="0" w:line="360" w:lineRule="auto"/>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w:t>
            </w:r>
          </w:p>
        </w:tc>
        <w:tc>
          <w:tcPr>
            <w:tcW w:w="1352" w:type="dxa"/>
            <w:noWrap w:val="0"/>
            <w:vAlign w:val="center"/>
          </w:tcPr>
          <w:p w14:paraId="3D64B76D">
            <w:pPr>
              <w:keepNext w:val="0"/>
              <w:keepLines w:val="0"/>
              <w:pageBreakBefore w:val="0"/>
              <w:widowControl/>
              <w:suppressLineNumbers w:val="0"/>
              <w:kinsoku/>
              <w:wordWrap/>
              <w:overflowPunct/>
              <w:topLinePunct w:val="0"/>
              <w:autoSpaceDE/>
              <w:autoSpaceDN/>
              <w:bidi w:val="0"/>
              <w:spacing w:line="360" w:lineRule="auto"/>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荥财磋商-202</w:t>
            </w:r>
            <w:r>
              <w:rPr>
                <w:rFonts w:hint="eastAsia" w:ascii="仿宋" w:hAnsi="仿宋" w:eastAsia="仿宋" w:cs="仿宋"/>
                <w:color w:val="auto"/>
                <w:sz w:val="24"/>
                <w:szCs w:val="24"/>
                <w:highlight w:val="none"/>
                <w:lang w:val="en-US" w:eastAsia="zh-CN"/>
              </w:rPr>
              <w:t>6-1-1</w:t>
            </w:r>
          </w:p>
        </w:tc>
        <w:tc>
          <w:tcPr>
            <w:tcW w:w="3141" w:type="dxa"/>
            <w:noWrap w:val="0"/>
            <w:vAlign w:val="center"/>
          </w:tcPr>
          <w:p w14:paraId="1062F6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荥阳市园林中心园林管护工人雇主责任险服务项目</w:t>
            </w:r>
          </w:p>
        </w:tc>
        <w:tc>
          <w:tcPr>
            <w:tcW w:w="1887" w:type="dxa"/>
            <w:noWrap w:val="0"/>
            <w:vAlign w:val="center"/>
          </w:tcPr>
          <w:p w14:paraId="382A0CDB">
            <w:pPr>
              <w:pStyle w:val="24"/>
              <w:keepNext w:val="0"/>
              <w:keepLines w:val="0"/>
              <w:pageBreakBefore w:val="0"/>
              <w:kinsoku/>
              <w:wordWrap/>
              <w:overflowPunct/>
              <w:topLinePunct w:val="0"/>
              <w:autoSpaceDE/>
              <w:autoSpaceDN/>
              <w:bidi w:val="0"/>
              <w:snapToGrid w:val="0"/>
              <w:spacing w:before="0" w:after="0" w:line="360" w:lineRule="auto"/>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794400</w:t>
            </w:r>
          </w:p>
        </w:tc>
        <w:tc>
          <w:tcPr>
            <w:tcW w:w="1595" w:type="dxa"/>
            <w:noWrap w:val="0"/>
            <w:vAlign w:val="center"/>
          </w:tcPr>
          <w:p w14:paraId="44D53B6D">
            <w:pPr>
              <w:pStyle w:val="24"/>
              <w:keepNext w:val="0"/>
              <w:keepLines w:val="0"/>
              <w:pageBreakBefore w:val="0"/>
              <w:kinsoku/>
              <w:wordWrap/>
              <w:overflowPunct/>
              <w:topLinePunct w:val="0"/>
              <w:autoSpaceDE/>
              <w:autoSpaceDN/>
              <w:bidi w:val="0"/>
              <w:snapToGrid w:val="0"/>
              <w:spacing w:before="0" w:after="0" w:line="360" w:lineRule="auto"/>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794400</w:t>
            </w:r>
          </w:p>
        </w:tc>
      </w:tr>
    </w:tbl>
    <w:p w14:paraId="7D5A6A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5、采购需求（包括但不限于标的的名称、数量、简要技术需求或服务要求等）</w:t>
      </w:r>
    </w:p>
    <w:p w14:paraId="1AAB7F9C">
      <w:pPr>
        <w:keepNext w:val="0"/>
        <w:keepLines w:val="0"/>
        <w:pageBreakBefore w:val="0"/>
        <w:widowControl w:val="0"/>
        <w:kinsoku/>
        <w:wordWrap/>
        <w:overflowPunct/>
        <w:topLinePunct w:val="0"/>
        <w:autoSpaceDE/>
        <w:autoSpaceDN/>
        <w:bidi w:val="0"/>
        <w:adjustRightInd/>
        <w:snapToGrid/>
        <w:spacing w:line="360" w:lineRule="auto"/>
        <w:ind w:left="478" w:leftChars="228"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5.1采购内容：荥阳市园林中心园林管护工人雇主责任险服务项目（详见第五章“采购需求”）</w:t>
      </w:r>
    </w:p>
    <w:p w14:paraId="4915FCEC">
      <w:pPr>
        <w:keepNext w:val="0"/>
        <w:keepLines w:val="0"/>
        <w:pageBreakBefore w:val="0"/>
        <w:widowControl w:val="0"/>
        <w:kinsoku/>
        <w:wordWrap/>
        <w:overflowPunct/>
        <w:topLinePunct w:val="0"/>
        <w:autoSpaceDE/>
        <w:autoSpaceDN/>
        <w:bidi w:val="0"/>
        <w:adjustRightInd/>
        <w:snapToGrid/>
        <w:spacing w:line="360" w:lineRule="auto"/>
        <w:ind w:left="478" w:leftChars="228"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5.2资金来源：财政资金。</w:t>
      </w:r>
    </w:p>
    <w:p w14:paraId="0094F676">
      <w:pPr>
        <w:keepNext w:val="0"/>
        <w:keepLines w:val="0"/>
        <w:pageBreakBefore w:val="0"/>
        <w:widowControl w:val="0"/>
        <w:kinsoku/>
        <w:wordWrap/>
        <w:overflowPunct/>
        <w:topLinePunct w:val="0"/>
        <w:autoSpaceDE/>
        <w:autoSpaceDN/>
        <w:bidi w:val="0"/>
        <w:adjustRightInd/>
        <w:snapToGrid/>
        <w:spacing w:line="360" w:lineRule="auto"/>
        <w:ind w:left="478" w:leftChars="228"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5.3服务质量：符合国家、地方现行相关标准，满足采购人要求。</w:t>
      </w:r>
    </w:p>
    <w:p w14:paraId="74BB28B7">
      <w:pPr>
        <w:keepNext w:val="0"/>
        <w:keepLines w:val="0"/>
        <w:pageBreakBefore w:val="0"/>
        <w:widowControl w:val="0"/>
        <w:kinsoku/>
        <w:wordWrap/>
        <w:overflowPunct/>
        <w:topLinePunct w:val="0"/>
        <w:autoSpaceDE/>
        <w:autoSpaceDN/>
        <w:bidi w:val="0"/>
        <w:adjustRightInd/>
        <w:snapToGrid/>
        <w:spacing w:line="360" w:lineRule="auto"/>
        <w:ind w:left="478" w:leftChars="228"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5.4服务期限：一年。</w:t>
      </w:r>
    </w:p>
    <w:p w14:paraId="324FDB2A">
      <w:pPr>
        <w:pStyle w:val="2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960" w:firstLineChars="4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5.5标包划分：本项目划分为1个标段。</w:t>
      </w:r>
    </w:p>
    <w:p w14:paraId="5B7220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6、合同履行期限：</w:t>
      </w:r>
      <w:r>
        <w:rPr>
          <w:rFonts w:hint="eastAsia" w:ascii="仿宋" w:hAnsi="仿宋" w:eastAsia="仿宋" w:cs="仿宋"/>
          <w:b w:val="0"/>
          <w:bCs w:val="0"/>
          <w:color w:val="auto"/>
          <w:sz w:val="24"/>
          <w:szCs w:val="24"/>
          <w:highlight w:val="none"/>
          <w:lang w:val="en-US" w:eastAsia="zh-CN"/>
        </w:rPr>
        <w:t>自保险购买生效之日起一年</w:t>
      </w:r>
    </w:p>
    <w:p w14:paraId="3DB3F5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7、本项目是否接受联合体投标：否</w:t>
      </w:r>
    </w:p>
    <w:p w14:paraId="06BBA8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8、是否接受进口产品：否</w:t>
      </w:r>
    </w:p>
    <w:p w14:paraId="0CD06A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9、是否专门面向中小企业：否</w:t>
      </w:r>
    </w:p>
    <w:p w14:paraId="3BE60E2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szCs w:val="24"/>
          <w:highlight w:val="none"/>
          <w:lang w:val="en-US" w:eastAsia="zh-CN"/>
        </w:rPr>
      </w:pPr>
      <w:bookmarkStart w:id="16" w:name="_Toc29835"/>
      <w:bookmarkStart w:id="17" w:name="_Toc4756"/>
      <w:bookmarkStart w:id="18" w:name="_Toc9571"/>
      <w:r>
        <w:rPr>
          <w:rFonts w:hint="eastAsia" w:ascii="仿宋" w:hAnsi="仿宋" w:eastAsia="仿宋" w:cs="仿宋"/>
          <w:b/>
          <w:bCs/>
          <w:color w:val="auto"/>
          <w:sz w:val="24"/>
          <w:szCs w:val="24"/>
          <w:highlight w:val="none"/>
          <w:lang w:val="en-US" w:eastAsia="zh-CN"/>
        </w:rPr>
        <w:t>二、申请人资格条件</w:t>
      </w:r>
      <w:r>
        <w:rPr>
          <w:rFonts w:hint="eastAsia" w:ascii="仿宋" w:hAnsi="仿宋" w:eastAsia="仿宋" w:cs="仿宋"/>
          <w:color w:val="auto"/>
          <w:sz w:val="24"/>
          <w:szCs w:val="24"/>
          <w:highlight w:val="none"/>
          <w:lang w:val="en-US" w:eastAsia="zh-CN"/>
        </w:rPr>
        <w:t>：</w:t>
      </w:r>
      <w:bookmarkEnd w:id="16"/>
      <w:bookmarkEnd w:id="17"/>
      <w:bookmarkEnd w:id="18"/>
    </w:p>
    <w:p w14:paraId="7D6A0F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b w:val="0"/>
          <w:bCs w:val="0"/>
          <w:color w:val="auto"/>
          <w:sz w:val="24"/>
          <w:szCs w:val="24"/>
          <w:highlight w:val="none"/>
        </w:rPr>
      </w:pPr>
      <w:bookmarkStart w:id="19" w:name="_Toc948"/>
      <w:bookmarkStart w:id="20" w:name="_Toc29480"/>
      <w:bookmarkStart w:id="21" w:name="_Toc32427"/>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满足《中华人民共和国政府采购法》第二十二条规定；</w:t>
      </w:r>
      <w:bookmarkEnd w:id="19"/>
      <w:bookmarkEnd w:id="20"/>
    </w:p>
    <w:p w14:paraId="7C9B8B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b w:val="0"/>
          <w:bCs w:val="0"/>
          <w:color w:val="auto"/>
          <w:sz w:val="24"/>
          <w:szCs w:val="24"/>
          <w:highlight w:val="none"/>
        </w:rPr>
      </w:pPr>
      <w:bookmarkStart w:id="22" w:name="_Toc11575"/>
      <w:bookmarkStart w:id="23" w:name="_Toc8705"/>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落实政府采购政策满足的资格要求：</w:t>
      </w:r>
      <w:bookmarkEnd w:id="22"/>
    </w:p>
    <w:p w14:paraId="55AFD4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2.1 本项目执行《政府采购促进中小企业发展管理办法》、《关于政府采购支持监狱企业发展有关问题的通知》、《关于促进残疾人就业政府采购政策的通知》、《河南省政府采购合同融资政策告知函》、社会信用体系建设等采购政策。</w:t>
      </w:r>
    </w:p>
    <w:p w14:paraId="3F99B8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 xml:space="preserve"> 2.2 若供应商为中小微企业(监狱企业、残疾人福利性企业视同小型、微型企业)，则供应商需符合国务院批准的中小企业划分标准中的其他未列明行业中小企业划分标准，需提供“中小企业声明函(工程、服务)”或“残疾人福利性单位声明函”或提供由省级以上监狱管理局、戒毒管 理局(含新疆生产建设兵团)出具的属于监狱企业的证明文件。</w:t>
      </w:r>
    </w:p>
    <w:bookmarkEnd w:id="23"/>
    <w:p w14:paraId="00ACCAE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b w:val="0"/>
          <w:bCs w:val="0"/>
          <w:color w:val="auto"/>
          <w:sz w:val="24"/>
          <w:szCs w:val="24"/>
          <w:highlight w:val="none"/>
        </w:rPr>
      </w:pPr>
      <w:bookmarkStart w:id="24" w:name="_Toc31228"/>
      <w:bookmarkStart w:id="25" w:name="_Toc1112"/>
      <w:r>
        <w:rPr>
          <w:rFonts w:hint="eastAsia" w:ascii="仿宋" w:hAnsi="仿宋" w:eastAsia="仿宋" w:cs="仿宋"/>
          <w:b w:val="0"/>
          <w:bCs w:val="0"/>
          <w:color w:val="auto"/>
          <w:sz w:val="24"/>
          <w:szCs w:val="24"/>
          <w:highlight w:val="none"/>
        </w:rPr>
        <w:t>3</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本项目的特定资格要求</w:t>
      </w:r>
      <w:bookmarkEnd w:id="24"/>
      <w:bookmarkEnd w:id="25"/>
    </w:p>
    <w:p w14:paraId="265733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bookmarkStart w:id="26" w:name="_Toc20303"/>
      <w:r>
        <w:rPr>
          <w:rFonts w:hint="eastAsia" w:ascii="仿宋" w:hAnsi="仿宋" w:eastAsia="仿宋" w:cs="仿宋"/>
          <w:b w:val="0"/>
          <w:bCs w:val="0"/>
          <w:color w:val="auto"/>
          <w:sz w:val="24"/>
          <w:szCs w:val="24"/>
          <w:highlight w:val="none"/>
          <w:lang w:val="en-US" w:eastAsia="zh-CN"/>
        </w:rPr>
        <w:t>3.1 供应商</w:t>
      </w:r>
      <w:r>
        <w:rPr>
          <w:rFonts w:hint="eastAsia" w:ascii="仿宋" w:hAnsi="仿宋" w:eastAsia="仿宋" w:cs="仿宋"/>
          <w:b w:val="0"/>
          <w:bCs w:val="0"/>
          <w:color w:val="auto"/>
          <w:sz w:val="24"/>
          <w:szCs w:val="24"/>
          <w:highlight w:val="none"/>
        </w:rPr>
        <w:t>应具有合格有效的营业执照或其他证明材料</w:t>
      </w:r>
      <w:r>
        <w:rPr>
          <w:rFonts w:hint="eastAsia" w:ascii="仿宋" w:hAnsi="仿宋" w:eastAsia="仿宋" w:cs="仿宋"/>
          <w:b w:val="0"/>
          <w:bCs w:val="0"/>
          <w:color w:val="auto"/>
          <w:sz w:val="24"/>
          <w:szCs w:val="24"/>
          <w:highlight w:val="none"/>
          <w:lang w:val="en-US" w:eastAsia="zh-CN"/>
        </w:rPr>
        <w:t>；</w:t>
      </w:r>
    </w:p>
    <w:p w14:paraId="64181D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3.2 供应商应具有银保监会或其授权的派出机构颁发的有效期内的保险许可证。</w:t>
      </w:r>
    </w:p>
    <w:p w14:paraId="00B1A4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3.3 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供应商可通过（查询渠道：“中国执行信息公开网（zxgk.court.gov.cn/shixin）”查询：失信被执行人；“信用中国”网站（www.creditchina.gov.cn）查询：重大税收违法失信主体、“中国政府采购网”www.ccgp.gov.cn）查询：政府采购严重违法失信行为记录名单）；可在响应文件中提供查询网页截图并加盖供应商电子签章（截图内容要完整清晰）。注：采购代理机构在开标当天根据需要对所有参与本项目的供应商的信用情况进行核查并以采购代理机构查询的结果为准。若在开标当天查询到供应商有相关负面信息的，则该供应商为无效供应商。</w:t>
      </w:r>
    </w:p>
    <w:p w14:paraId="03D672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bookmarkStart w:id="27" w:name="_Toc19660"/>
      <w:r>
        <w:rPr>
          <w:rFonts w:hint="eastAsia" w:ascii="仿宋" w:hAnsi="仿宋" w:eastAsia="仿宋" w:cs="仿宋"/>
          <w:b w:val="0"/>
          <w:bCs w:val="0"/>
          <w:color w:val="auto"/>
          <w:sz w:val="24"/>
          <w:szCs w:val="24"/>
          <w:highlight w:val="none"/>
          <w:lang w:val="en-US" w:eastAsia="zh-CN"/>
        </w:rPr>
        <w:t>3.4</w:t>
      </w:r>
      <w:bookmarkEnd w:id="26"/>
      <w:r>
        <w:rPr>
          <w:rFonts w:hint="eastAsia" w:ascii="仿宋" w:hAnsi="仿宋" w:eastAsia="仿宋" w:cs="仿宋"/>
          <w:b w:val="0"/>
          <w:bCs w:val="0"/>
          <w:color w:val="auto"/>
          <w:sz w:val="24"/>
          <w:szCs w:val="24"/>
          <w:highlight w:val="none"/>
          <w:lang w:val="en-US" w:eastAsia="zh-CN"/>
        </w:rPr>
        <w:t>单位负责人为同一人或者存在直接控股、管理关系的不同响应人，不得参加同一合同项下的政府采购活动。（提供“国家企业信用信息公示系统”查询结果，查询日期在本公告发布日期之后，需包含公司基本信息、股东信息及股权变更信息等内容）。</w:t>
      </w:r>
      <w:bookmarkEnd w:id="27"/>
    </w:p>
    <w:p w14:paraId="45C26AE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1.依据《荥阳市财政局关于政府采购支持稳经济促增长的通知》（荥财字〔2022〕21号）文件中第五条“合理简化证明材料”的相关要求，参与本项目的供应商无需提供相关财务状况、社保资金等证明材料，仅须如实提供书面承诺符合资格条件且无纳税、社保、重大违法等方面失信记录以及具备履行合同所必须的设备和能力的声明函，即可参与政府采购活动。</w:t>
      </w:r>
    </w:p>
    <w:p w14:paraId="67E1DA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根据《〈中华人民共和国政府采购法实施条例〉释义》，银行、保险、石油石化、电力、电信等有行业特殊情况的，在参与政府采购项目投标时，不得以分公司没有独立法人资格而将其作为资格条件排除在外。本项目取得营业执照的前述特殊行业分支机构可以分公司名义参与投标，采购文件中涉及的“法定代表人”在前述特殊行业中即对应为“分支机构负责人”。</w:t>
      </w:r>
    </w:p>
    <w:p w14:paraId="2132A905">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b/>
          <w:bCs/>
          <w:color w:val="auto"/>
          <w:sz w:val="24"/>
          <w:szCs w:val="24"/>
          <w:highlight w:val="none"/>
        </w:rPr>
      </w:pPr>
      <w:bookmarkStart w:id="28" w:name="_Toc5610"/>
      <w:bookmarkStart w:id="29" w:name="_Toc22605"/>
      <w:r>
        <w:rPr>
          <w:rFonts w:hint="eastAsia" w:ascii="仿宋" w:hAnsi="仿宋" w:eastAsia="仿宋" w:cs="仿宋"/>
          <w:b/>
          <w:bCs/>
          <w:color w:val="auto"/>
          <w:sz w:val="24"/>
          <w:szCs w:val="24"/>
          <w:highlight w:val="none"/>
        </w:rPr>
        <w:t>三、</w:t>
      </w:r>
      <w:bookmarkEnd w:id="10"/>
      <w:bookmarkEnd w:id="11"/>
      <w:r>
        <w:rPr>
          <w:rFonts w:hint="eastAsia" w:ascii="仿宋" w:hAnsi="仿宋" w:eastAsia="仿宋" w:cs="仿宋"/>
          <w:b/>
          <w:bCs/>
          <w:color w:val="auto"/>
          <w:sz w:val="24"/>
          <w:szCs w:val="24"/>
          <w:highlight w:val="none"/>
        </w:rPr>
        <w:t>获取采购文件</w:t>
      </w:r>
      <w:bookmarkEnd w:id="21"/>
      <w:bookmarkEnd w:id="28"/>
      <w:bookmarkEnd w:id="29"/>
    </w:p>
    <w:p w14:paraId="7710450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outlineLvl w:val="9"/>
        <w:rPr>
          <w:rFonts w:hint="eastAsia" w:ascii="仿宋" w:hAnsi="仿宋" w:eastAsia="仿宋" w:cs="仿宋"/>
          <w:color w:val="auto"/>
          <w:kern w:val="0"/>
          <w:sz w:val="24"/>
          <w:szCs w:val="24"/>
          <w:highlight w:val="none"/>
          <w:lang w:val="en-US" w:eastAsia="zh-CN" w:bidi="ar"/>
        </w:rPr>
      </w:pPr>
      <w:bookmarkStart w:id="30" w:name="_Toc5333"/>
      <w:bookmarkStart w:id="31" w:name="_Toc6586679"/>
      <w:bookmarkStart w:id="32" w:name="_Toc3139"/>
      <w:r>
        <w:rPr>
          <w:rFonts w:hint="eastAsia" w:ascii="仿宋" w:hAnsi="仿宋" w:eastAsia="仿宋" w:cs="仿宋"/>
          <w:color w:val="auto"/>
          <w:kern w:val="0"/>
          <w:sz w:val="24"/>
          <w:szCs w:val="24"/>
          <w:highlight w:val="none"/>
          <w:lang w:val="en-US" w:eastAsia="zh-CN" w:bidi="ar"/>
        </w:rPr>
        <w:t>1.时间：2026年01月09日至2026年01月15日，每天上午00:00至12:00，下午12:00至23:59（北京时间，法定节假日除外。）</w:t>
      </w:r>
    </w:p>
    <w:p w14:paraId="70400A0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2.地点：荥阳市公共资源交易中心网站。</w:t>
      </w:r>
    </w:p>
    <w:p w14:paraId="1AFD439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方式：凡有意参加的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招标文件（具体办理事宜请登陆交易中心网站-办事指南-《投标人操作指南》）。</w:t>
      </w:r>
    </w:p>
    <w:p w14:paraId="1C445C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4.售价：0元</w:t>
      </w:r>
    </w:p>
    <w:p w14:paraId="1CA831D8">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b/>
          <w:bCs/>
          <w:color w:val="auto"/>
          <w:sz w:val="24"/>
          <w:szCs w:val="24"/>
          <w:highlight w:val="none"/>
        </w:rPr>
      </w:pPr>
      <w:bookmarkStart w:id="33" w:name="_Toc8997"/>
      <w:bookmarkStart w:id="34" w:name="_Toc27631"/>
      <w:r>
        <w:rPr>
          <w:rFonts w:hint="eastAsia" w:ascii="仿宋" w:hAnsi="仿宋" w:eastAsia="仿宋" w:cs="仿宋"/>
          <w:b/>
          <w:bCs/>
          <w:color w:val="auto"/>
          <w:sz w:val="24"/>
          <w:szCs w:val="24"/>
          <w:highlight w:val="none"/>
        </w:rPr>
        <w:t>四、响应文件提交</w:t>
      </w:r>
      <w:bookmarkEnd w:id="30"/>
      <w:bookmarkEnd w:id="33"/>
      <w:bookmarkEnd w:id="34"/>
    </w:p>
    <w:p w14:paraId="5A01C1B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outlineLvl w:val="9"/>
        <w:rPr>
          <w:rFonts w:hint="eastAsia" w:ascii="仿宋" w:hAnsi="仿宋" w:eastAsia="仿宋" w:cs="仿宋"/>
          <w:color w:val="auto"/>
          <w:kern w:val="0"/>
          <w:sz w:val="24"/>
          <w:szCs w:val="24"/>
          <w:highlight w:val="none"/>
          <w:lang w:val="en-US" w:eastAsia="zh-CN" w:bidi="ar"/>
        </w:rPr>
      </w:pPr>
      <w:bookmarkStart w:id="35" w:name="_Toc22840"/>
      <w:r>
        <w:rPr>
          <w:rFonts w:hint="eastAsia" w:ascii="仿宋" w:hAnsi="仿宋" w:eastAsia="仿宋" w:cs="仿宋"/>
          <w:color w:val="auto"/>
          <w:kern w:val="0"/>
          <w:sz w:val="24"/>
          <w:szCs w:val="24"/>
          <w:highlight w:val="none"/>
          <w:lang w:val="en-US" w:eastAsia="zh-CN" w:bidi="ar"/>
        </w:rPr>
        <w:t>1.截止时间：</w:t>
      </w:r>
      <w:r>
        <w:rPr>
          <w:rFonts w:hint="eastAsia" w:ascii="仿宋" w:hAnsi="仿宋" w:eastAsia="仿宋" w:cs="仿宋"/>
          <w:color w:val="auto"/>
          <w:sz w:val="24"/>
          <w:szCs w:val="24"/>
          <w:highlight w:val="none"/>
          <w:u w:val="none"/>
          <w:lang w:val="en-US" w:eastAsia="zh-CN"/>
        </w:rPr>
        <w:t>2026年01月20日09时00分</w:t>
      </w:r>
      <w:r>
        <w:rPr>
          <w:rFonts w:hint="eastAsia" w:ascii="仿宋" w:hAnsi="仿宋" w:eastAsia="仿宋" w:cs="仿宋"/>
          <w:color w:val="auto"/>
          <w:kern w:val="0"/>
          <w:sz w:val="24"/>
          <w:szCs w:val="24"/>
          <w:highlight w:val="none"/>
          <w:lang w:val="en-US" w:eastAsia="zh-CN" w:bidi="ar"/>
        </w:rPr>
        <w:t xml:space="preserve">（北京时间） </w:t>
      </w:r>
    </w:p>
    <w:p w14:paraId="0A7E245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2.地点：荥阳市公共资源交易平台</w:t>
      </w:r>
    </w:p>
    <w:p w14:paraId="5CCCCF8C">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b/>
          <w:bCs/>
          <w:color w:val="auto"/>
          <w:sz w:val="24"/>
          <w:szCs w:val="24"/>
          <w:highlight w:val="none"/>
        </w:rPr>
      </w:pPr>
      <w:bookmarkStart w:id="36" w:name="_Toc20166"/>
      <w:bookmarkStart w:id="37" w:name="_Toc28565"/>
      <w:r>
        <w:rPr>
          <w:rFonts w:hint="eastAsia" w:ascii="仿宋" w:hAnsi="仿宋" w:eastAsia="仿宋" w:cs="仿宋"/>
          <w:b/>
          <w:bCs/>
          <w:color w:val="auto"/>
          <w:sz w:val="24"/>
          <w:szCs w:val="24"/>
          <w:highlight w:val="none"/>
        </w:rPr>
        <w:t>五、</w:t>
      </w:r>
      <w:r>
        <w:rPr>
          <w:rFonts w:hint="eastAsia" w:ascii="仿宋" w:hAnsi="仿宋" w:eastAsia="仿宋" w:cs="仿宋"/>
          <w:b/>
          <w:bCs/>
          <w:color w:val="auto"/>
          <w:sz w:val="24"/>
          <w:szCs w:val="24"/>
          <w:highlight w:val="none"/>
          <w:lang w:val="en-US" w:eastAsia="zh-CN"/>
        </w:rPr>
        <w:t>响应文件</w:t>
      </w:r>
      <w:r>
        <w:rPr>
          <w:rFonts w:hint="eastAsia" w:ascii="仿宋" w:hAnsi="仿宋" w:eastAsia="仿宋" w:cs="仿宋"/>
          <w:b/>
          <w:bCs/>
          <w:color w:val="auto"/>
          <w:sz w:val="24"/>
          <w:szCs w:val="24"/>
          <w:highlight w:val="none"/>
        </w:rPr>
        <w:t>开启</w:t>
      </w:r>
      <w:bookmarkEnd w:id="35"/>
      <w:bookmarkEnd w:id="36"/>
      <w:bookmarkEnd w:id="37"/>
    </w:p>
    <w:bookmarkEnd w:id="31"/>
    <w:bookmarkEnd w:id="32"/>
    <w:p w14:paraId="0DC3781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outlineLvl w:val="9"/>
        <w:rPr>
          <w:rFonts w:hint="eastAsia" w:ascii="仿宋" w:hAnsi="仿宋" w:eastAsia="仿宋" w:cs="仿宋"/>
          <w:color w:val="auto"/>
          <w:kern w:val="0"/>
          <w:sz w:val="24"/>
          <w:szCs w:val="24"/>
          <w:highlight w:val="none"/>
          <w:lang w:val="en-US" w:eastAsia="zh-CN" w:bidi="ar"/>
        </w:rPr>
      </w:pPr>
      <w:bookmarkStart w:id="38" w:name="_Toc12087"/>
      <w:r>
        <w:rPr>
          <w:rFonts w:hint="eastAsia" w:ascii="仿宋" w:hAnsi="仿宋" w:eastAsia="仿宋" w:cs="仿宋"/>
          <w:color w:val="auto"/>
          <w:kern w:val="0"/>
          <w:sz w:val="24"/>
          <w:szCs w:val="24"/>
          <w:highlight w:val="none"/>
          <w:lang w:val="en-US" w:eastAsia="zh-CN" w:bidi="ar"/>
        </w:rPr>
        <w:t>1.时间：</w:t>
      </w:r>
      <w:r>
        <w:rPr>
          <w:rFonts w:hint="eastAsia" w:ascii="仿宋" w:hAnsi="仿宋" w:eastAsia="仿宋" w:cs="仿宋"/>
          <w:color w:val="auto"/>
          <w:sz w:val="24"/>
          <w:szCs w:val="24"/>
          <w:highlight w:val="none"/>
          <w:u w:val="none"/>
          <w:lang w:val="en-US" w:eastAsia="zh-CN"/>
        </w:rPr>
        <w:t>2026年01月20日09时00分</w:t>
      </w:r>
      <w:r>
        <w:rPr>
          <w:rFonts w:hint="eastAsia" w:ascii="仿宋" w:hAnsi="仿宋" w:eastAsia="仿宋" w:cs="仿宋"/>
          <w:color w:val="auto"/>
          <w:kern w:val="0"/>
          <w:sz w:val="24"/>
          <w:szCs w:val="24"/>
          <w:highlight w:val="none"/>
          <w:lang w:val="en-US" w:eastAsia="zh-CN" w:bidi="ar"/>
        </w:rPr>
        <w:t xml:space="preserve">（北京时间） </w:t>
      </w:r>
    </w:p>
    <w:p w14:paraId="5CFAC12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2.地点：荥阳市公共资源交易中心（荥阳市中原路与飞龙路西北角政务服务中心七楼）第三开标室</w:t>
      </w:r>
    </w:p>
    <w:p w14:paraId="5D5533B3">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b/>
          <w:color w:val="auto"/>
          <w:sz w:val="24"/>
          <w:szCs w:val="24"/>
          <w:highlight w:val="none"/>
        </w:rPr>
      </w:pPr>
      <w:bookmarkStart w:id="39" w:name="_Toc23640"/>
      <w:bookmarkStart w:id="40" w:name="_Toc18483"/>
      <w:r>
        <w:rPr>
          <w:rFonts w:hint="eastAsia" w:ascii="仿宋" w:hAnsi="仿宋" w:eastAsia="仿宋" w:cs="仿宋"/>
          <w:b/>
          <w:color w:val="auto"/>
          <w:sz w:val="24"/>
          <w:szCs w:val="24"/>
          <w:highlight w:val="none"/>
        </w:rPr>
        <w:t>六、发布公告的媒介及</w:t>
      </w:r>
      <w:r>
        <w:rPr>
          <w:rFonts w:hint="eastAsia" w:ascii="仿宋" w:hAnsi="仿宋" w:eastAsia="仿宋" w:cs="仿宋"/>
          <w:b/>
          <w:color w:val="auto"/>
          <w:sz w:val="24"/>
          <w:szCs w:val="24"/>
          <w:highlight w:val="none"/>
          <w:lang w:val="en-US" w:eastAsia="zh-CN"/>
        </w:rPr>
        <w:t>招标</w:t>
      </w:r>
      <w:r>
        <w:rPr>
          <w:rFonts w:hint="eastAsia" w:ascii="仿宋" w:hAnsi="仿宋" w:eastAsia="仿宋" w:cs="仿宋"/>
          <w:b/>
          <w:color w:val="auto"/>
          <w:sz w:val="24"/>
          <w:szCs w:val="24"/>
          <w:highlight w:val="none"/>
        </w:rPr>
        <w:t>公告期限</w:t>
      </w:r>
      <w:bookmarkEnd w:id="38"/>
      <w:bookmarkEnd w:id="39"/>
      <w:bookmarkEnd w:id="40"/>
    </w:p>
    <w:p w14:paraId="068CF33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outlineLvl w:val="9"/>
        <w:rPr>
          <w:rFonts w:hint="eastAsia" w:ascii="仿宋" w:hAnsi="仿宋" w:eastAsia="仿宋" w:cs="仿宋"/>
          <w:color w:val="auto"/>
          <w:kern w:val="0"/>
          <w:sz w:val="24"/>
          <w:szCs w:val="24"/>
          <w:highlight w:val="none"/>
          <w:lang w:val="en-US" w:eastAsia="zh-CN" w:bidi="ar"/>
        </w:rPr>
      </w:pPr>
      <w:bookmarkStart w:id="41" w:name="_Toc16708"/>
      <w:r>
        <w:rPr>
          <w:rFonts w:hint="eastAsia" w:ascii="仿宋" w:hAnsi="仿宋" w:eastAsia="仿宋" w:cs="仿宋"/>
          <w:color w:val="auto"/>
          <w:kern w:val="0"/>
          <w:sz w:val="24"/>
          <w:szCs w:val="24"/>
          <w:highlight w:val="none"/>
          <w:lang w:val="en-US" w:eastAsia="zh-CN" w:bidi="ar"/>
        </w:rPr>
        <w:t>本次招标公告在《河南省政府采购网》《荥阳市公共资源交易中心网站》《中国招标投标公共服务平台》《荥阳市政府采购网》上发布，招标公告期限为三个工作日。</w:t>
      </w:r>
    </w:p>
    <w:p w14:paraId="418E5942">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b/>
          <w:color w:val="auto"/>
          <w:sz w:val="24"/>
          <w:szCs w:val="24"/>
          <w:highlight w:val="none"/>
        </w:rPr>
      </w:pPr>
      <w:bookmarkStart w:id="42" w:name="_Toc30105"/>
      <w:bookmarkStart w:id="43" w:name="_Toc9072"/>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其他补充事宜</w:t>
      </w:r>
      <w:bookmarkEnd w:id="41"/>
      <w:bookmarkEnd w:id="42"/>
      <w:bookmarkEnd w:id="43"/>
    </w:p>
    <w:p w14:paraId="79A40C9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仿宋" w:hAnsi="仿宋" w:eastAsia="仿宋" w:cs="仿宋"/>
          <w:color w:val="auto"/>
          <w:sz w:val="24"/>
          <w:szCs w:val="24"/>
          <w:highlight w:val="none"/>
          <w:lang w:val="en-US" w:eastAsia="zh-CN" w:bidi="ar"/>
        </w:rPr>
      </w:pPr>
      <w:bookmarkStart w:id="44" w:name="_Toc19696"/>
      <w:r>
        <w:rPr>
          <w:rFonts w:hint="eastAsia" w:ascii="仿宋" w:hAnsi="仿宋" w:eastAsia="仿宋" w:cs="仿宋"/>
          <w:color w:val="auto"/>
          <w:sz w:val="24"/>
          <w:szCs w:val="24"/>
          <w:highlight w:val="none"/>
          <w:lang w:val="en-US" w:eastAsia="zh-CN" w:bidi="ar"/>
        </w:rPr>
        <w:t>1.本项目执行优先采购节能环保、环境标志性产品、优先采购自主创新产品，扶持不发达地区和少数民族地区，促进中小企业、监狱企业、残疾人福利性企业发展等相关政府采购政策。</w:t>
      </w:r>
    </w:p>
    <w:p w14:paraId="0892E56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2.响应文件制作及上传：</w:t>
      </w:r>
    </w:p>
    <w:p w14:paraId="2B397FA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2.1 获取磋商文件后，供应商请登陆荥阳市公共资源交易中心网站—下载中心—下载最新版本“投标文件制作软件”制作电子投标文件（具体制作手册请查询交易中心网站-办事指南-《投标文件制作操作手册》）。</w:t>
      </w:r>
    </w:p>
    <w:p w14:paraId="1C03BC1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2.2 供应商须在投标截止时间前登陆荥阳市公共资源交易平台上传加密的电子响应文件。</w:t>
      </w:r>
    </w:p>
    <w:p w14:paraId="073B7E0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3.开标：本项目采用“远程不见面”开标方式，供应商应当在投标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w:t>
      </w:r>
    </w:p>
    <w:p w14:paraId="7318574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4.注意事项：</w:t>
      </w:r>
    </w:p>
    <w:p w14:paraId="3E7DCE0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4.1请供应商务必按照“荥阳市公共资源交易中心不见面开标大厅操作手册（投标人）”的要求设置参与不见面开标的电脑环境，否则由此可能引起的签到失败、解密失败或无法解密等问题由供应商自行承担。</w:t>
      </w:r>
    </w:p>
    <w:p w14:paraId="4AC28E6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4.2所有供应商应提30分钟，登录开标大厅进行不见面开标准备工作。所有供应商登录开标大厅后，须在投标截止时间前完成签到，其后应一直保持在线状态，保证能准时参加开标大会、投标文件的解密、现场答疑澄清等活动。</w:t>
      </w:r>
    </w:p>
    <w:p w14:paraId="520B82F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4.3供应商应在解密时间内插入CA锁，输入密码进行解密。如在解密时间内解密失败，可再次解密，供应商应在规定时间内完成解密，否则采购人不予受理。</w:t>
      </w:r>
    </w:p>
    <w:p w14:paraId="49200E1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4.4 逾期上传的或者未上传指定地点的响应文件，采购人不予受理。</w:t>
      </w:r>
    </w:p>
    <w:p w14:paraId="5B44399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4.5如遇问题，请拨打技术服务单位（国泰新点）电话：4009980000。</w:t>
      </w:r>
    </w:p>
    <w:p w14:paraId="37A91FC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注：请各供应商密切关注《荥阳市公共资源交易中心网站》，以便及时了解项目最新进展情况。</w:t>
      </w:r>
    </w:p>
    <w:p w14:paraId="638E472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5.本项目采购监督部门为：荥阳市财政局。</w:t>
      </w:r>
    </w:p>
    <w:p w14:paraId="5B41539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6.代理费收取方式及标准：按照《河南省招标代理服务收费指导意见》豫招协（2023）002号文件规定的标准计取金额的95%收取代理费，由成交供应商在领取成交通知书前向采购代理机构支付采购代理服务费。</w:t>
      </w:r>
    </w:p>
    <w:p w14:paraId="5ED70F17">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b/>
          <w:color w:val="auto"/>
          <w:sz w:val="24"/>
          <w:szCs w:val="24"/>
          <w:highlight w:val="none"/>
        </w:rPr>
      </w:pPr>
      <w:bookmarkStart w:id="45" w:name="_Toc23347"/>
      <w:bookmarkStart w:id="46" w:name="_Toc25045"/>
      <w:r>
        <w:rPr>
          <w:rFonts w:hint="eastAsia" w:ascii="仿宋" w:hAnsi="仿宋" w:eastAsia="仿宋" w:cs="仿宋"/>
          <w:b/>
          <w:color w:val="auto"/>
          <w:sz w:val="24"/>
          <w:szCs w:val="24"/>
          <w:highlight w:val="none"/>
        </w:rPr>
        <w:t>八、凡对本次</w:t>
      </w:r>
      <w:r>
        <w:rPr>
          <w:rFonts w:hint="eastAsia" w:ascii="仿宋" w:hAnsi="仿宋" w:eastAsia="仿宋" w:cs="仿宋"/>
          <w:b/>
          <w:color w:val="auto"/>
          <w:sz w:val="24"/>
          <w:szCs w:val="24"/>
          <w:highlight w:val="none"/>
          <w:lang w:val="en-US" w:eastAsia="zh-CN"/>
        </w:rPr>
        <w:t>招标</w:t>
      </w:r>
      <w:r>
        <w:rPr>
          <w:rFonts w:hint="eastAsia" w:ascii="仿宋" w:hAnsi="仿宋" w:eastAsia="仿宋" w:cs="仿宋"/>
          <w:b/>
          <w:color w:val="auto"/>
          <w:sz w:val="24"/>
          <w:szCs w:val="24"/>
          <w:highlight w:val="none"/>
        </w:rPr>
        <w:t>提出询问，请按照以下方式联系</w:t>
      </w:r>
      <w:bookmarkEnd w:id="44"/>
      <w:bookmarkEnd w:id="45"/>
      <w:bookmarkEnd w:id="46"/>
    </w:p>
    <w:p w14:paraId="49808DE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仿宋" w:hAnsi="仿宋" w:eastAsia="仿宋" w:cs="仿宋"/>
          <w:color w:val="auto"/>
          <w:sz w:val="24"/>
          <w:szCs w:val="24"/>
          <w:highlight w:val="none"/>
          <w:lang w:val="en-US" w:eastAsia="zh-CN" w:bidi="ar"/>
        </w:rPr>
      </w:pPr>
      <w:bookmarkStart w:id="47" w:name="_Toc35393637"/>
      <w:bookmarkStart w:id="48" w:name="_Toc28359019"/>
      <w:bookmarkStart w:id="49" w:name="_Toc28359096"/>
      <w:bookmarkStart w:id="50" w:name="_Toc35393806"/>
      <w:r>
        <w:rPr>
          <w:rFonts w:hint="eastAsia" w:ascii="仿宋" w:hAnsi="仿宋" w:eastAsia="仿宋" w:cs="仿宋"/>
          <w:color w:val="auto"/>
          <w:sz w:val="24"/>
          <w:szCs w:val="24"/>
          <w:highlight w:val="none"/>
          <w:lang w:val="en-US" w:eastAsia="zh-CN" w:bidi="ar"/>
        </w:rPr>
        <w:t>1.采购人信息</w:t>
      </w:r>
      <w:bookmarkEnd w:id="47"/>
      <w:bookmarkEnd w:id="48"/>
      <w:bookmarkEnd w:id="49"/>
      <w:bookmarkEnd w:id="50"/>
    </w:p>
    <w:p w14:paraId="2B82FF6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名称：</w:t>
      </w:r>
      <w:r>
        <w:rPr>
          <w:rFonts w:hint="eastAsia" w:ascii="仿宋" w:hAnsi="仿宋" w:eastAsia="仿宋" w:cs="仿宋"/>
          <w:color w:val="auto"/>
          <w:sz w:val="24"/>
          <w:szCs w:val="24"/>
          <w:highlight w:val="none"/>
          <w:u w:val="none"/>
          <w:lang w:val="en-US" w:eastAsia="zh-CN"/>
        </w:rPr>
        <w:t>荥阳市园林中心</w:t>
      </w:r>
    </w:p>
    <w:p w14:paraId="0AB8040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地址：荥阳市康泰路与惠民路口南200米</w:t>
      </w:r>
    </w:p>
    <w:p w14:paraId="590C5268">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联系人：陈永飞</w:t>
      </w:r>
    </w:p>
    <w:p w14:paraId="306A4E9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联系方式：0371-64629698</w:t>
      </w:r>
    </w:p>
    <w:p w14:paraId="2C7019A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2.采购代理机构信息</w:t>
      </w:r>
    </w:p>
    <w:p w14:paraId="6DFA533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名称：</w:t>
      </w:r>
      <w:r>
        <w:rPr>
          <w:rFonts w:hint="eastAsia" w:ascii="仿宋" w:hAnsi="仿宋" w:eastAsia="仿宋" w:cs="仿宋"/>
          <w:color w:val="auto"/>
          <w:sz w:val="24"/>
          <w:szCs w:val="24"/>
          <w:highlight w:val="none"/>
          <w:lang w:val="zh-CN" w:eastAsia="zh-CN" w:bidi="ar"/>
        </w:rPr>
        <w:t>河南达信工程管理有限公司</w:t>
      </w:r>
    </w:p>
    <w:p w14:paraId="621A446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仿宋" w:hAnsi="仿宋" w:eastAsia="仿宋" w:cs="仿宋"/>
          <w:color w:val="auto"/>
          <w:sz w:val="24"/>
          <w:szCs w:val="24"/>
          <w:highlight w:val="none"/>
          <w:lang w:val="zh-CN" w:eastAsia="zh-CN" w:bidi="ar"/>
        </w:rPr>
      </w:pPr>
      <w:r>
        <w:rPr>
          <w:rFonts w:hint="eastAsia" w:ascii="仿宋" w:hAnsi="仿宋" w:eastAsia="仿宋" w:cs="仿宋"/>
          <w:color w:val="auto"/>
          <w:sz w:val="24"/>
          <w:szCs w:val="24"/>
          <w:highlight w:val="none"/>
          <w:lang w:val="en-US" w:eastAsia="zh-CN" w:bidi="ar"/>
        </w:rPr>
        <w:t>地址：</w:t>
      </w:r>
      <w:r>
        <w:rPr>
          <w:rFonts w:hint="eastAsia" w:ascii="仿宋" w:hAnsi="仿宋" w:eastAsia="仿宋" w:cs="仿宋"/>
          <w:color w:val="auto"/>
          <w:sz w:val="24"/>
          <w:szCs w:val="24"/>
          <w:highlight w:val="none"/>
          <w:lang w:val="zh-CN" w:eastAsia="zh-CN" w:bidi="ar"/>
        </w:rPr>
        <w:t>河南省郑州市郑东新区如意湖街道商务内环路2号中油新澳大厦13楼1305室</w:t>
      </w:r>
    </w:p>
    <w:p w14:paraId="5E9EB60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联系人：张玉杰</w:t>
      </w:r>
    </w:p>
    <w:p w14:paraId="0661F34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联系方式：0371-61651888</w:t>
      </w:r>
    </w:p>
    <w:p w14:paraId="6E8F4CB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3.项目联系方式</w:t>
      </w:r>
    </w:p>
    <w:p w14:paraId="7DBEBF0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联系人：张玉杰</w:t>
      </w:r>
    </w:p>
    <w:p w14:paraId="629A3A5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联系方式：0371-61651888</w:t>
      </w:r>
    </w:p>
    <w:p w14:paraId="4152289F">
      <w:pPr>
        <w:rPr>
          <w:rFonts w:hint="eastAsia" w:ascii="仿宋" w:hAnsi="仿宋" w:eastAsia="仿宋" w:cs="仿宋"/>
          <w:color w:val="auto"/>
          <w:sz w:val="32"/>
          <w:highlight w:val="none"/>
        </w:rPr>
      </w:pPr>
      <w:r>
        <w:rPr>
          <w:rFonts w:hint="eastAsia" w:ascii="仿宋" w:hAnsi="仿宋" w:eastAsia="仿宋" w:cs="仿宋"/>
          <w:color w:val="auto"/>
          <w:sz w:val="32"/>
          <w:highlight w:val="none"/>
        </w:rPr>
        <w:br w:type="page"/>
      </w:r>
    </w:p>
    <w:p w14:paraId="14E554B5">
      <w:pPr>
        <w:pStyle w:val="3"/>
        <w:spacing w:before="120" w:after="120" w:line="500" w:lineRule="exact"/>
        <w:jc w:val="center"/>
        <w:rPr>
          <w:rFonts w:hint="eastAsia" w:ascii="仿宋" w:hAnsi="仿宋" w:eastAsia="仿宋" w:cs="仿宋"/>
          <w:color w:val="auto"/>
          <w:sz w:val="32"/>
          <w:highlight w:val="none"/>
        </w:rPr>
      </w:pPr>
      <w:bookmarkStart w:id="51" w:name="_Toc3681"/>
      <w:bookmarkStart w:id="52" w:name="_Toc12615"/>
      <w:r>
        <w:rPr>
          <w:rFonts w:hint="eastAsia" w:ascii="仿宋" w:hAnsi="仿宋" w:eastAsia="仿宋" w:cs="仿宋"/>
          <w:color w:val="auto"/>
          <w:sz w:val="32"/>
          <w:highlight w:val="none"/>
        </w:rPr>
        <w:t>第二章 供应商须知</w:t>
      </w:r>
      <w:bookmarkEnd w:id="7"/>
      <w:bookmarkEnd w:id="8"/>
      <w:bookmarkEnd w:id="9"/>
      <w:bookmarkEnd w:id="51"/>
      <w:bookmarkEnd w:id="52"/>
    </w:p>
    <w:p w14:paraId="2B3107C7">
      <w:pPr>
        <w:pStyle w:val="51"/>
        <w:jc w:val="center"/>
        <w:rPr>
          <w:rFonts w:hint="eastAsia" w:ascii="仿宋" w:hAnsi="仿宋" w:eastAsia="仿宋" w:cs="仿宋"/>
          <w:color w:val="auto"/>
          <w:sz w:val="28"/>
          <w:szCs w:val="28"/>
          <w:highlight w:val="none"/>
        </w:rPr>
      </w:pPr>
      <w:bookmarkStart w:id="53" w:name="_Toc152045528"/>
      <w:bookmarkStart w:id="54" w:name="_Toc144974496"/>
      <w:bookmarkStart w:id="55" w:name="_Toc22413"/>
      <w:bookmarkStart w:id="56" w:name="_Toc22503"/>
      <w:bookmarkStart w:id="57" w:name="_Toc7866"/>
      <w:bookmarkStart w:id="58" w:name="_Toc152042304"/>
      <w:r>
        <w:rPr>
          <w:rFonts w:hint="eastAsia" w:ascii="仿宋" w:hAnsi="仿宋" w:eastAsia="仿宋" w:cs="仿宋"/>
          <w:b/>
          <w:bCs/>
          <w:color w:val="auto"/>
          <w:sz w:val="28"/>
          <w:szCs w:val="28"/>
          <w:highlight w:val="none"/>
        </w:rPr>
        <w:t>供应商须知前附表</w:t>
      </w:r>
      <w:bookmarkEnd w:id="53"/>
      <w:bookmarkEnd w:id="54"/>
      <w:bookmarkEnd w:id="55"/>
      <w:bookmarkEnd w:id="56"/>
      <w:bookmarkEnd w:id="57"/>
      <w:bookmarkEnd w:id="58"/>
    </w:p>
    <w:tbl>
      <w:tblPr>
        <w:tblStyle w:val="28"/>
        <w:tblW w:w="9997" w:type="dxa"/>
        <w:jc w:val="center"/>
        <w:tblLayout w:type="fixed"/>
        <w:tblCellMar>
          <w:top w:w="0" w:type="dxa"/>
          <w:left w:w="108" w:type="dxa"/>
          <w:bottom w:w="0" w:type="dxa"/>
          <w:right w:w="108" w:type="dxa"/>
        </w:tblCellMar>
      </w:tblPr>
      <w:tblGrid>
        <w:gridCol w:w="967"/>
        <w:gridCol w:w="2337"/>
        <w:gridCol w:w="6693"/>
      </w:tblGrid>
      <w:tr w14:paraId="0016DE71">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09EC1E4A">
            <w:pPr>
              <w:keepNext w:val="0"/>
              <w:keepLines w:val="0"/>
              <w:pageBreakBefore w:val="0"/>
              <w:kinsoku/>
              <w:overflowPunct/>
              <w:topLinePunct w:val="0"/>
              <w:bidi w:val="0"/>
              <w:snapToGrid/>
              <w:spacing w:beforeAutospacing="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条款号</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7AE5F270">
            <w:pPr>
              <w:keepNext w:val="0"/>
              <w:keepLines w:val="0"/>
              <w:pageBreakBefore w:val="0"/>
              <w:kinsoku/>
              <w:overflowPunct/>
              <w:topLinePunct w:val="0"/>
              <w:bidi w:val="0"/>
              <w:snapToGrid/>
              <w:spacing w:beforeAutospacing="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  款  名  称</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1BB12256">
            <w:pPr>
              <w:keepNext w:val="0"/>
              <w:keepLines w:val="0"/>
              <w:pageBreakBefore w:val="0"/>
              <w:kinsoku/>
              <w:overflowPunct/>
              <w:topLinePunct w:val="0"/>
              <w:bidi w:val="0"/>
              <w:snapToGrid/>
              <w:spacing w:beforeAutospacing="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编  列  内  容</w:t>
            </w:r>
          </w:p>
        </w:tc>
      </w:tr>
      <w:tr w14:paraId="0B38BF3F">
        <w:tblPrEx>
          <w:tblCellMar>
            <w:top w:w="0" w:type="dxa"/>
            <w:left w:w="108" w:type="dxa"/>
            <w:bottom w:w="0" w:type="dxa"/>
            <w:right w:w="108" w:type="dxa"/>
          </w:tblCellMar>
        </w:tblPrEx>
        <w:trPr>
          <w:trHeight w:val="1858" w:hRule="exac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3BAA2590">
            <w:pPr>
              <w:pStyle w:val="24"/>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2498B9FD">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采购人</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1EED5C19">
            <w:pPr>
              <w:keepNext w:val="0"/>
              <w:keepLines w:val="0"/>
              <w:pageBreakBefore w:val="0"/>
              <w:kinsoku/>
              <w:wordWrap w:val="0"/>
              <w:overflowPunct/>
              <w:topLinePunct/>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名称：荥阳市园林中心</w:t>
            </w:r>
          </w:p>
          <w:p w14:paraId="239B54DB">
            <w:pPr>
              <w:keepNext w:val="0"/>
              <w:keepLines w:val="0"/>
              <w:pageBreakBefore w:val="0"/>
              <w:kinsoku/>
              <w:wordWrap w:val="0"/>
              <w:overflowPunct/>
              <w:topLinePunct/>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地址：荥阳市康泰路与惠民路口南200米</w:t>
            </w:r>
          </w:p>
          <w:p w14:paraId="0CEFAC20">
            <w:pPr>
              <w:keepNext w:val="0"/>
              <w:keepLines w:val="0"/>
              <w:pageBreakBefore w:val="0"/>
              <w:kinsoku/>
              <w:wordWrap w:val="0"/>
              <w:overflowPunct/>
              <w:topLinePunct/>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联系人：陈永飞</w:t>
            </w:r>
          </w:p>
          <w:p w14:paraId="34DCD91C">
            <w:pPr>
              <w:keepNext w:val="0"/>
              <w:keepLines w:val="0"/>
              <w:pageBreakBefore w:val="0"/>
              <w:kinsoku/>
              <w:wordWrap w:val="0"/>
              <w:overflowPunct/>
              <w:topLinePunct/>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联系方式：0371-64629698</w:t>
            </w:r>
          </w:p>
          <w:p w14:paraId="2E772433">
            <w:pPr>
              <w:keepNext w:val="0"/>
              <w:keepLines w:val="0"/>
              <w:pageBreakBefore w:val="0"/>
              <w:kinsoku/>
              <w:wordWrap w:val="0"/>
              <w:overflowPunct/>
              <w:topLinePunct/>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 </w:t>
            </w:r>
          </w:p>
          <w:p w14:paraId="063542DA">
            <w:pPr>
              <w:keepNext w:val="0"/>
              <w:keepLines w:val="0"/>
              <w:pageBreakBefore w:val="0"/>
              <w:kinsoku/>
              <w:overflowPunct/>
              <w:topLinePunct w:val="0"/>
              <w:bidi w:val="0"/>
              <w:snapToGrid/>
              <w:spacing w:beforeAutospacing="0" w:line="360" w:lineRule="auto"/>
              <w:jc w:val="both"/>
              <w:rPr>
                <w:rFonts w:hint="eastAsia" w:ascii="仿宋" w:hAnsi="仿宋" w:eastAsia="仿宋" w:cs="仿宋"/>
                <w:color w:val="auto"/>
                <w:kern w:val="0"/>
                <w:sz w:val="24"/>
                <w:szCs w:val="24"/>
                <w:highlight w:val="none"/>
                <w:lang w:val="en-US" w:eastAsia="zh-CN" w:bidi="ar"/>
              </w:rPr>
            </w:pPr>
          </w:p>
          <w:p w14:paraId="61E2F955">
            <w:pPr>
              <w:pStyle w:val="24"/>
              <w:keepNext w:val="0"/>
              <w:keepLines w:val="0"/>
              <w:pageBreakBefore w:val="0"/>
              <w:kinsoku/>
              <w:overflowPunct/>
              <w:topLinePunct w:val="0"/>
              <w:bidi w:val="0"/>
              <w:snapToGrid/>
              <w:spacing w:before="0" w:beforeAutospacing="0" w:after="0" w:afterAutospacing="0" w:line="360" w:lineRule="auto"/>
              <w:jc w:val="both"/>
              <w:rPr>
                <w:rFonts w:hint="eastAsia" w:ascii="仿宋" w:hAnsi="仿宋" w:eastAsia="仿宋" w:cs="仿宋"/>
                <w:color w:val="auto"/>
                <w:kern w:val="0"/>
                <w:sz w:val="24"/>
                <w:szCs w:val="24"/>
                <w:highlight w:val="none"/>
                <w:lang w:val="en-US" w:eastAsia="zh-CN" w:bidi="ar"/>
              </w:rPr>
            </w:pPr>
          </w:p>
        </w:tc>
      </w:tr>
      <w:tr w14:paraId="1D77C2FC">
        <w:tblPrEx>
          <w:tblCellMar>
            <w:top w:w="0" w:type="dxa"/>
            <w:left w:w="108" w:type="dxa"/>
            <w:bottom w:w="0" w:type="dxa"/>
            <w:right w:w="108" w:type="dxa"/>
          </w:tblCellMar>
        </w:tblPrEx>
        <w:trPr>
          <w:trHeight w:val="788"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02BEB1C8">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75BB6F2C">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4D304A84">
            <w:pPr>
              <w:pStyle w:val="24"/>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w:t>
            </w:r>
            <w:r>
              <w:rPr>
                <w:rFonts w:hint="eastAsia" w:ascii="仿宋" w:hAnsi="仿宋" w:eastAsia="仿宋" w:cs="仿宋"/>
                <w:color w:val="auto"/>
                <w:sz w:val="24"/>
                <w:szCs w:val="24"/>
                <w:highlight w:val="none"/>
                <w:lang w:val="zh-CN" w:eastAsia="zh-CN"/>
              </w:rPr>
              <w:t>河南达信工程管理有限公司</w:t>
            </w:r>
          </w:p>
          <w:p w14:paraId="46B91F9B">
            <w:pPr>
              <w:pStyle w:val="24"/>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地址：</w:t>
            </w:r>
            <w:r>
              <w:rPr>
                <w:rFonts w:hint="eastAsia" w:ascii="仿宋" w:hAnsi="仿宋" w:eastAsia="仿宋" w:cs="仿宋"/>
                <w:color w:val="auto"/>
                <w:sz w:val="24"/>
                <w:szCs w:val="24"/>
                <w:highlight w:val="none"/>
                <w:lang w:val="zh-CN" w:eastAsia="zh-CN"/>
              </w:rPr>
              <w:t>河南省郑州市郑东新区如意湖街道商务内环路2号中油新澳大厦13楼1305室</w:t>
            </w:r>
          </w:p>
          <w:p w14:paraId="3E2C19D8">
            <w:pPr>
              <w:pStyle w:val="24"/>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eastAsia="zh-CN"/>
              </w:rPr>
              <w:t>张玉杰</w:t>
            </w:r>
          </w:p>
          <w:p w14:paraId="36367FA7">
            <w:pPr>
              <w:pStyle w:val="24"/>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0371-61651888</w:t>
            </w:r>
          </w:p>
        </w:tc>
      </w:tr>
      <w:tr w14:paraId="448A7FF8">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303789FC">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0F15A634">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59CBF9F7">
            <w:pPr>
              <w:pStyle w:val="24"/>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荥阳市园林中心园林管护工人雇主责任险服务项目</w:t>
            </w:r>
          </w:p>
        </w:tc>
      </w:tr>
      <w:tr w14:paraId="0A89D852">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5797F80F">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4EFEA5BB">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资金来源</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6782BACC">
            <w:pPr>
              <w:pStyle w:val="24"/>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财政资金</w:t>
            </w:r>
          </w:p>
        </w:tc>
      </w:tr>
      <w:tr w14:paraId="5D2B21AC">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521CD855">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0C5411DA">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出资比例</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632A0058">
            <w:pPr>
              <w:pStyle w:val="24"/>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w:t>
            </w:r>
          </w:p>
        </w:tc>
      </w:tr>
      <w:tr w14:paraId="269CB27D">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06BF6994">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45BFA2D5">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资金落实情况</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592AF736">
            <w:pPr>
              <w:pStyle w:val="24"/>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已落实</w:t>
            </w:r>
          </w:p>
        </w:tc>
      </w:tr>
      <w:tr w14:paraId="07F3F37E">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48B819B0">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652D48C0">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rPr>
              <w:t>采购范围</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63C4D717">
            <w:pPr>
              <w:pStyle w:val="24"/>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荥阳市园林中心园林管护工人雇主责任险服务项目，被保险人数约1986人，保费：400元/人/年；保障内容：意外伤害身故、疾病身故、意外伤害致残、意外伤害医疗、误工费等。</w:t>
            </w:r>
          </w:p>
        </w:tc>
      </w:tr>
      <w:tr w14:paraId="19DE7D5C">
        <w:tblPrEx>
          <w:tblCellMar>
            <w:top w:w="0" w:type="dxa"/>
            <w:left w:w="108" w:type="dxa"/>
            <w:bottom w:w="0" w:type="dxa"/>
            <w:right w:w="108" w:type="dxa"/>
          </w:tblCellMar>
        </w:tblPrEx>
        <w:trPr>
          <w:trHeight w:val="90"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62EBB8CB">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7351E052">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服务期限</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3F42FEDF">
            <w:pPr>
              <w:keepNext w:val="0"/>
              <w:keepLines w:val="0"/>
              <w:pageBreakBefore w:val="0"/>
              <w:kinsoku/>
              <w:overflowPunct/>
              <w:topLinePunct w:val="0"/>
              <w:bidi w:val="0"/>
              <w:snapToGrid/>
              <w:spacing w:beforeAutospacing="0" w:line="360" w:lineRule="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一年</w:t>
            </w:r>
          </w:p>
        </w:tc>
      </w:tr>
      <w:tr w14:paraId="3C63F620">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0289F4FC">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736197B9">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服务质量</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7B2E2C8B">
            <w:pPr>
              <w:keepNext w:val="0"/>
              <w:keepLines w:val="0"/>
              <w:pageBreakBefore w:val="0"/>
              <w:kinsoku/>
              <w:overflowPunct/>
              <w:topLinePunct w:val="0"/>
              <w:bidi w:val="0"/>
              <w:snapToGrid/>
              <w:spacing w:beforeAutospacing="0" w:line="360" w:lineRule="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符合国家、地方现行相关标准，满足采购人要求。</w:t>
            </w:r>
          </w:p>
        </w:tc>
      </w:tr>
      <w:tr w14:paraId="6FCB7C92">
        <w:tblPrEx>
          <w:tblCellMar>
            <w:top w:w="0" w:type="dxa"/>
            <w:left w:w="108" w:type="dxa"/>
            <w:bottom w:w="0" w:type="dxa"/>
            <w:right w:w="108" w:type="dxa"/>
          </w:tblCellMar>
        </w:tblPrEx>
        <w:trPr>
          <w:trHeight w:val="1147"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2ADAAE13">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761470CB">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供应商资格要求</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68639CD7">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详见竞争性磋商公告“申请人资格条件”</w:t>
            </w:r>
          </w:p>
        </w:tc>
      </w:tr>
      <w:tr w14:paraId="5052873F">
        <w:tblPrEx>
          <w:tblCellMar>
            <w:top w:w="0" w:type="dxa"/>
            <w:left w:w="108" w:type="dxa"/>
            <w:bottom w:w="0" w:type="dxa"/>
            <w:right w:w="108" w:type="dxa"/>
          </w:tblCellMar>
        </w:tblPrEx>
        <w:trPr>
          <w:trHeight w:val="19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1F034B2C">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547059C0">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是否接受联合体</w:t>
            </w:r>
          </w:p>
          <w:p w14:paraId="7923127F">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0FCBE0A1">
            <w:pPr>
              <w:pStyle w:val="24"/>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不接受</w:t>
            </w:r>
          </w:p>
        </w:tc>
      </w:tr>
      <w:tr w14:paraId="58E65AA1">
        <w:tblPrEx>
          <w:tblCellMar>
            <w:top w:w="0" w:type="dxa"/>
            <w:left w:w="108" w:type="dxa"/>
            <w:bottom w:w="0" w:type="dxa"/>
            <w:right w:w="108" w:type="dxa"/>
          </w:tblCellMar>
        </w:tblPrEx>
        <w:trPr>
          <w:trHeight w:val="19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4573ADEE">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4A764871">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踏勘现场</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6DBC4602">
            <w:pPr>
              <w:pStyle w:val="24"/>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不组织，供应商自行踏勘</w:t>
            </w:r>
          </w:p>
        </w:tc>
      </w:tr>
      <w:tr w14:paraId="24216385">
        <w:tblPrEx>
          <w:tblCellMar>
            <w:top w:w="0" w:type="dxa"/>
            <w:left w:w="108" w:type="dxa"/>
            <w:bottom w:w="0" w:type="dxa"/>
            <w:right w:w="108" w:type="dxa"/>
          </w:tblCellMar>
        </w:tblPrEx>
        <w:trPr>
          <w:trHeight w:val="19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21E06842">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619C4B10">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投标预备会</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4D25AD44">
            <w:pPr>
              <w:pStyle w:val="24"/>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不</w:t>
            </w:r>
            <w:r>
              <w:rPr>
                <w:rFonts w:hint="eastAsia" w:ascii="仿宋" w:hAnsi="仿宋" w:eastAsia="仿宋" w:cs="仿宋"/>
                <w:color w:val="auto"/>
                <w:sz w:val="24"/>
                <w:szCs w:val="24"/>
                <w:highlight w:val="none"/>
                <w:lang w:val="en-US" w:eastAsia="zh-CN"/>
              </w:rPr>
              <w:t>召开</w:t>
            </w:r>
          </w:p>
        </w:tc>
      </w:tr>
      <w:tr w14:paraId="4085EBA1">
        <w:tblPrEx>
          <w:tblCellMar>
            <w:top w:w="0" w:type="dxa"/>
            <w:left w:w="108" w:type="dxa"/>
            <w:bottom w:w="0" w:type="dxa"/>
            <w:right w:w="108" w:type="dxa"/>
          </w:tblCellMar>
        </w:tblPrEx>
        <w:trPr>
          <w:trHeight w:val="34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557E9ED3">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7E2A2DD0">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供应商提出问题的截止时间</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37869A96">
            <w:pPr>
              <w:keepNext w:val="0"/>
              <w:keepLines w:val="0"/>
              <w:pageBreakBefore w:val="0"/>
              <w:kinsoku/>
              <w:overflowPunct/>
              <w:topLinePunct w:val="0"/>
              <w:bidi w:val="0"/>
              <w:adjustRightInd w:val="0"/>
              <w:snapToGrid/>
              <w:spacing w:beforeAutospacing="0" w:line="360" w:lineRule="auto"/>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获取磋商文件之日起</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个工作日内提出</w:t>
            </w:r>
          </w:p>
          <w:p w14:paraId="7F7FF99E">
            <w:pPr>
              <w:pStyle w:val="24"/>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形式：通过荥阳市公共资源交易中心电子平台系统内提出</w:t>
            </w:r>
          </w:p>
        </w:tc>
      </w:tr>
      <w:tr w14:paraId="2050FA29">
        <w:tblPrEx>
          <w:tblCellMar>
            <w:top w:w="0" w:type="dxa"/>
            <w:left w:w="108" w:type="dxa"/>
            <w:bottom w:w="0" w:type="dxa"/>
            <w:right w:w="108" w:type="dxa"/>
          </w:tblCellMar>
        </w:tblPrEx>
        <w:trPr>
          <w:trHeight w:val="19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6D6EB041">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1.10.3</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3DF9CA3D">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采购人书面澄清的时间</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0D037631">
            <w:pPr>
              <w:pStyle w:val="24"/>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响应文件递交</w:t>
            </w:r>
            <w:r>
              <w:rPr>
                <w:rFonts w:hint="eastAsia" w:ascii="仿宋" w:hAnsi="仿宋" w:eastAsia="仿宋" w:cs="仿宋"/>
                <w:color w:val="auto"/>
                <w:sz w:val="24"/>
                <w:szCs w:val="24"/>
                <w:highlight w:val="none"/>
              </w:rPr>
              <w:t>截止时间5天前（采购人、采购代理机构对已发出的</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进行的澄清、更正或更改，澄清、更正或更改的内容将作为</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的组成部分。采购代理机构将通过网站“变更公告”和系统内部“网上提问”或“群发消息”告知供应商。各供应商须重新下载最新的</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和答疑文件，以此编制</w:t>
            </w:r>
            <w:r>
              <w:rPr>
                <w:rFonts w:hint="eastAsia" w:ascii="仿宋" w:hAnsi="仿宋" w:eastAsia="仿宋" w:cs="仿宋"/>
                <w:color w:val="auto"/>
                <w:sz w:val="24"/>
                <w:szCs w:val="24"/>
                <w:highlight w:val="none"/>
                <w:lang w:eastAsia="zh-CN"/>
              </w:rPr>
              <w:t>响应文</w:t>
            </w:r>
            <w:r>
              <w:rPr>
                <w:rFonts w:hint="eastAsia" w:ascii="仿宋" w:hAnsi="仿宋" w:eastAsia="仿宋" w:cs="仿宋"/>
                <w:color w:val="auto"/>
                <w:sz w:val="24"/>
                <w:szCs w:val="24"/>
                <w:highlight w:val="none"/>
                <w:lang w:val="en-US" w:eastAsia="zh-CN"/>
              </w:rPr>
              <w:t>件</w:t>
            </w:r>
          </w:p>
        </w:tc>
      </w:tr>
      <w:tr w14:paraId="6CEC9C64">
        <w:tblPrEx>
          <w:tblCellMar>
            <w:top w:w="0" w:type="dxa"/>
            <w:left w:w="108" w:type="dxa"/>
            <w:bottom w:w="0" w:type="dxa"/>
            <w:right w:w="108" w:type="dxa"/>
          </w:tblCellMar>
        </w:tblPrEx>
        <w:trPr>
          <w:trHeight w:val="19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03312EC5">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0541C2A4">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分包</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28368753">
            <w:pPr>
              <w:pStyle w:val="24"/>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不允许</w:t>
            </w:r>
          </w:p>
        </w:tc>
      </w:tr>
      <w:tr w14:paraId="58FFAB11">
        <w:tblPrEx>
          <w:tblCellMar>
            <w:top w:w="0" w:type="dxa"/>
            <w:left w:w="108" w:type="dxa"/>
            <w:bottom w:w="0" w:type="dxa"/>
            <w:right w:w="108" w:type="dxa"/>
          </w:tblCellMar>
        </w:tblPrEx>
        <w:trPr>
          <w:trHeight w:val="19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634A362A">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527B5384">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55F51F38">
            <w:pPr>
              <w:pStyle w:val="24"/>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不允许</w:t>
            </w:r>
          </w:p>
        </w:tc>
      </w:tr>
      <w:tr w14:paraId="0251DF6E">
        <w:tblPrEx>
          <w:tblCellMar>
            <w:top w:w="0" w:type="dxa"/>
            <w:left w:w="108" w:type="dxa"/>
            <w:bottom w:w="0" w:type="dxa"/>
            <w:right w:w="108" w:type="dxa"/>
          </w:tblCellMar>
        </w:tblPrEx>
        <w:trPr>
          <w:trHeight w:val="565"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03EA2279">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01F0B897">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构成</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其他材料</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32BED575">
            <w:pPr>
              <w:pStyle w:val="24"/>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外，最高投标限价以及采购人在采购期间发出的澄清（如有）、修改、补充、补遗和其它有效正式函件等内容均是</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的组成部分</w:t>
            </w:r>
          </w:p>
        </w:tc>
      </w:tr>
      <w:tr w14:paraId="7B01008E">
        <w:tblPrEx>
          <w:tblCellMar>
            <w:top w:w="0" w:type="dxa"/>
            <w:left w:w="108" w:type="dxa"/>
            <w:bottom w:w="0" w:type="dxa"/>
            <w:right w:w="108" w:type="dxa"/>
          </w:tblCellMar>
        </w:tblPrEx>
        <w:trPr>
          <w:trHeight w:val="34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7A4E5FB6">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1CD882FA">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供应商要求澄清</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的截止时间</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70D05E6B">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获取磋商文件之日起</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个工作日内提出</w:t>
            </w:r>
          </w:p>
        </w:tc>
      </w:tr>
      <w:tr w14:paraId="43E1C4B4">
        <w:tblPrEx>
          <w:tblCellMar>
            <w:top w:w="0" w:type="dxa"/>
            <w:left w:w="108" w:type="dxa"/>
            <w:bottom w:w="0" w:type="dxa"/>
            <w:right w:w="108" w:type="dxa"/>
          </w:tblCellMar>
        </w:tblPrEx>
        <w:trPr>
          <w:trHeight w:val="52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13E70EEE">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1B4D30FC">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3BDC0959">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2026年01月20日09时00分</w:t>
            </w:r>
            <w:r>
              <w:rPr>
                <w:rFonts w:hint="eastAsia" w:ascii="仿宋" w:hAnsi="仿宋" w:eastAsia="仿宋" w:cs="仿宋"/>
                <w:color w:val="auto"/>
                <w:sz w:val="24"/>
                <w:szCs w:val="24"/>
                <w:highlight w:val="none"/>
              </w:rPr>
              <w:t>（北京时间）</w:t>
            </w:r>
          </w:p>
        </w:tc>
      </w:tr>
      <w:tr w14:paraId="56B3769B">
        <w:tblPrEx>
          <w:tblCellMar>
            <w:top w:w="0" w:type="dxa"/>
            <w:left w:w="108" w:type="dxa"/>
            <w:bottom w:w="0" w:type="dxa"/>
            <w:right w:w="108" w:type="dxa"/>
          </w:tblCellMar>
        </w:tblPrEx>
        <w:trPr>
          <w:trHeight w:val="378"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65F3B970">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0D39F436">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供应商确认收到</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澄清的时间</w:t>
            </w:r>
          </w:p>
        </w:tc>
        <w:tc>
          <w:tcPr>
            <w:tcW w:w="6693" w:type="dxa"/>
            <w:tcBorders>
              <w:top w:val="single" w:color="auto" w:sz="4" w:space="0"/>
              <w:left w:val="single" w:color="auto" w:sz="4" w:space="0"/>
              <w:bottom w:val="single" w:color="auto" w:sz="4" w:space="0"/>
              <w:right w:val="single" w:color="auto" w:sz="4" w:space="0"/>
            </w:tcBorders>
            <w:noWrap w:val="0"/>
            <w:vAlign w:val="top"/>
          </w:tcPr>
          <w:p w14:paraId="67C60283">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所有澄清均通过“荥阳市公共资源交易中心”电子平台发布，一经发布即视为供应商已收到并确认，请各供应商及时关注本项目系统发出的通知，如有遗漏自行负责，采购人和采购代理机构不承担任何责任。</w:t>
            </w:r>
          </w:p>
        </w:tc>
      </w:tr>
      <w:tr w14:paraId="68A978ED">
        <w:tblPrEx>
          <w:tblCellMar>
            <w:top w:w="0" w:type="dxa"/>
            <w:left w:w="108" w:type="dxa"/>
            <w:bottom w:w="0" w:type="dxa"/>
            <w:right w:w="108" w:type="dxa"/>
          </w:tblCellMar>
        </w:tblPrEx>
        <w:trPr>
          <w:trHeight w:val="378"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68DEABF2">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3B5E34C5">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供应商确认收到</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修改的时间</w:t>
            </w:r>
          </w:p>
        </w:tc>
        <w:tc>
          <w:tcPr>
            <w:tcW w:w="6693" w:type="dxa"/>
            <w:tcBorders>
              <w:top w:val="single" w:color="auto" w:sz="4" w:space="0"/>
              <w:left w:val="single" w:color="auto" w:sz="4" w:space="0"/>
              <w:bottom w:val="single" w:color="auto" w:sz="4" w:space="0"/>
              <w:right w:val="single" w:color="auto" w:sz="4" w:space="0"/>
            </w:tcBorders>
            <w:noWrap w:val="0"/>
            <w:vAlign w:val="top"/>
          </w:tcPr>
          <w:p w14:paraId="415D1B9A">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所有修改均通过“荥阳市公共资源交易中心”电子平台发布，一经发布即视为供应商已收到并确认，请各供应商及时关注本项目通过系统发出的通知，如有遗漏自行负责，采购人和采购代理机构不承担任何责任。</w:t>
            </w:r>
          </w:p>
        </w:tc>
      </w:tr>
      <w:tr w14:paraId="752C7818">
        <w:tblPrEx>
          <w:tblCellMar>
            <w:top w:w="0" w:type="dxa"/>
            <w:left w:w="108" w:type="dxa"/>
            <w:bottom w:w="0" w:type="dxa"/>
            <w:right w:w="108" w:type="dxa"/>
          </w:tblCellMar>
        </w:tblPrEx>
        <w:trPr>
          <w:trHeight w:val="378"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48235B16">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043B2322">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构成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其他材料</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3E926AD4">
            <w:pPr>
              <w:keepNext w:val="0"/>
              <w:keepLines w:val="0"/>
              <w:pageBreakBefore w:val="0"/>
              <w:kinsoku/>
              <w:overflowPunct/>
              <w:topLinePunct w:val="0"/>
              <w:bidi w:val="0"/>
              <w:snapToGrid/>
              <w:spacing w:beforeAutospacing="0"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w:t>
            </w:r>
            <w:r>
              <w:rPr>
                <w:rFonts w:hint="eastAsia" w:ascii="仿宋" w:hAnsi="仿宋" w:eastAsia="仿宋" w:cs="仿宋"/>
                <w:color w:val="auto"/>
                <w:kern w:val="0"/>
                <w:sz w:val="24"/>
                <w:szCs w:val="24"/>
                <w:highlight w:val="none"/>
                <w:lang w:val="en-US" w:eastAsia="zh-CN"/>
              </w:rPr>
              <w:t>竞争性磋商</w:t>
            </w:r>
            <w:r>
              <w:rPr>
                <w:rFonts w:hint="eastAsia" w:ascii="仿宋" w:hAnsi="仿宋" w:eastAsia="仿宋" w:cs="仿宋"/>
                <w:color w:val="auto"/>
                <w:kern w:val="0"/>
                <w:sz w:val="24"/>
                <w:szCs w:val="24"/>
                <w:highlight w:val="none"/>
              </w:rPr>
              <w:t>文件要求</w:t>
            </w:r>
          </w:p>
        </w:tc>
      </w:tr>
      <w:tr w14:paraId="4B02676D">
        <w:tblPrEx>
          <w:tblCellMar>
            <w:top w:w="0" w:type="dxa"/>
            <w:left w:w="108" w:type="dxa"/>
            <w:bottom w:w="0" w:type="dxa"/>
            <w:right w:w="108" w:type="dxa"/>
          </w:tblCellMar>
        </w:tblPrEx>
        <w:trPr>
          <w:trHeight w:val="378"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465A8E39">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3.2.4</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087152BD">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采购最高</w:t>
            </w:r>
            <w:r>
              <w:rPr>
                <w:rFonts w:hint="eastAsia" w:ascii="仿宋" w:hAnsi="仿宋" w:eastAsia="仿宋" w:cs="仿宋"/>
                <w:color w:val="auto"/>
                <w:sz w:val="24"/>
                <w:szCs w:val="24"/>
                <w:highlight w:val="none"/>
              </w:rPr>
              <w:t>限价</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456C9EDB">
            <w:pPr>
              <w:pStyle w:val="27"/>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本项目设最高投标限价，最高投标限价为：</w:t>
            </w:r>
          </w:p>
          <w:p w14:paraId="6E7BA3BE">
            <w:pPr>
              <w:pStyle w:val="2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大写：柒拾玖万肆仟肆佰元整</w:t>
            </w:r>
          </w:p>
          <w:p w14:paraId="7B951D42">
            <w:pPr>
              <w:pStyle w:val="2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小写：794400.00元</w:t>
            </w:r>
          </w:p>
          <w:p w14:paraId="276ED1E8">
            <w:pPr>
              <w:pStyle w:val="27"/>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注：保费为400 元/人/年，按1986人进行计算，按实际参保人数结算。</w:t>
            </w:r>
          </w:p>
        </w:tc>
      </w:tr>
      <w:tr w14:paraId="716BC52D">
        <w:tblPrEx>
          <w:tblCellMar>
            <w:top w:w="0" w:type="dxa"/>
            <w:left w:w="108" w:type="dxa"/>
            <w:bottom w:w="0" w:type="dxa"/>
            <w:right w:w="108" w:type="dxa"/>
          </w:tblCellMar>
        </w:tblPrEx>
        <w:trPr>
          <w:trHeight w:val="378"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62572F1B">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3.2.5</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0B340181">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报价方式</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3DD7358C">
            <w:pPr>
              <w:pStyle w:val="27"/>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1.本项目保费为400元/人/年，不作为报价竞争因素。以供应商的保额合计值为报价竞争因素；</w:t>
            </w:r>
          </w:p>
          <w:p w14:paraId="611221BA">
            <w:pPr>
              <w:pStyle w:val="27"/>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2.第一次报价及第二次报价的每项保额及保额合计值均不低于采购需求中的规定，否则按无效投标处理；</w:t>
            </w:r>
          </w:p>
          <w:p w14:paraId="00AE0D08">
            <w:pPr>
              <w:pStyle w:val="27"/>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3.本采购文件根椐国家有关规定，解释权属采购人；</w:t>
            </w:r>
          </w:p>
          <w:p w14:paraId="6696C2F7">
            <w:pPr>
              <w:pStyle w:val="27"/>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4.开标会议结束之后，请各供应商保持在线状态，等候线上二次报价通知。</w:t>
            </w:r>
          </w:p>
        </w:tc>
      </w:tr>
      <w:tr w14:paraId="5F922128">
        <w:tblPrEx>
          <w:tblCellMar>
            <w:top w:w="0" w:type="dxa"/>
            <w:left w:w="108" w:type="dxa"/>
            <w:bottom w:w="0" w:type="dxa"/>
            <w:right w:w="108" w:type="dxa"/>
          </w:tblCellMar>
        </w:tblPrEx>
        <w:trPr>
          <w:trHeight w:val="19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31F17053">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02356E3B">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磋商有效期</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6856AE52">
            <w:pPr>
              <w:pStyle w:val="24"/>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自响应文件递交截止之日起60日历天</w:t>
            </w:r>
          </w:p>
        </w:tc>
      </w:tr>
      <w:tr w14:paraId="15505751">
        <w:tblPrEx>
          <w:tblCellMar>
            <w:top w:w="0" w:type="dxa"/>
            <w:left w:w="108" w:type="dxa"/>
            <w:bottom w:w="0" w:type="dxa"/>
            <w:right w:w="108" w:type="dxa"/>
          </w:tblCellMar>
        </w:tblPrEx>
        <w:trPr>
          <w:trHeight w:val="97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2BBFE1C5">
            <w:pPr>
              <w:keepNext w:val="0"/>
              <w:keepLines w:val="0"/>
              <w:pageBreakBefore w:val="0"/>
              <w:kinsoku/>
              <w:overflowPunct/>
              <w:topLinePunct w:val="0"/>
              <w:bidi w:val="0"/>
              <w:snapToGrid/>
              <w:spacing w:beforeAutospacing="0"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3.4</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3266BE75">
            <w:pPr>
              <w:keepNext w:val="0"/>
              <w:keepLines w:val="0"/>
              <w:pageBreakBefore w:val="0"/>
              <w:kinsoku/>
              <w:overflowPunct/>
              <w:topLinePunct w:val="0"/>
              <w:bidi w:val="0"/>
              <w:snapToGrid/>
              <w:spacing w:beforeAutospacing="0" w:line="360"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磋商保证金</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555D029D">
            <w:pPr>
              <w:pStyle w:val="24"/>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按照河南省财政厅发布《关于优化政府采购营商环境有关问题的通知》，本采购项目不再收取</w:t>
            </w:r>
            <w:r>
              <w:rPr>
                <w:rFonts w:hint="eastAsia" w:ascii="仿宋" w:hAnsi="仿宋" w:eastAsia="仿宋" w:cs="仿宋"/>
                <w:color w:val="auto"/>
                <w:sz w:val="24"/>
                <w:szCs w:val="24"/>
                <w:highlight w:val="none"/>
                <w:lang w:eastAsia="zh-CN"/>
              </w:rPr>
              <w:t>磋商保证金</w:t>
            </w:r>
            <w:r>
              <w:rPr>
                <w:rFonts w:hint="eastAsia" w:ascii="仿宋" w:hAnsi="仿宋" w:eastAsia="仿宋" w:cs="仿宋"/>
                <w:color w:val="auto"/>
                <w:sz w:val="24"/>
                <w:szCs w:val="24"/>
                <w:highlight w:val="none"/>
              </w:rPr>
              <w:t>。</w:t>
            </w:r>
          </w:p>
        </w:tc>
      </w:tr>
      <w:tr w14:paraId="2FB0DE88">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60746C29">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329CA5FA">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是否允许备选投标方案</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762EC06C">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不允许</w:t>
            </w:r>
          </w:p>
        </w:tc>
      </w:tr>
      <w:tr w14:paraId="54E3BA92">
        <w:tblPrEx>
          <w:tblCellMar>
            <w:top w:w="0" w:type="dxa"/>
            <w:left w:w="108" w:type="dxa"/>
            <w:bottom w:w="0" w:type="dxa"/>
            <w:right w:w="108" w:type="dxa"/>
          </w:tblCellMar>
        </w:tblPrEx>
        <w:trPr>
          <w:trHeight w:val="699"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27129B82">
            <w:pPr>
              <w:keepNext w:val="0"/>
              <w:keepLines w:val="0"/>
              <w:pageBreakBefore w:val="0"/>
              <w:kinsoku/>
              <w:overflowPunct/>
              <w:topLinePunct w:val="0"/>
              <w:bidi w:val="0"/>
              <w:snapToGrid/>
              <w:spacing w:beforeAutospacing="0"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3.7.3</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1CD2C1FE">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签字或盖章要求</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449FE03C">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供应商在制作电子响应文件时，按采购文件和系统要求进行电子签章：</w:t>
            </w:r>
          </w:p>
          <w:p w14:paraId="12D07B8A">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1.所有要求供应商加盖公章的地方都应用供应商单位的CA电子签章。</w:t>
            </w:r>
          </w:p>
          <w:p w14:paraId="509A2135">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2.所有要求法定代表人签字的地方都应用法定代表人的CA电子签章。若有委托代理人，且委托代理人没有CA锁，则响应文件可以上传手写签名的扫描件。</w:t>
            </w:r>
          </w:p>
        </w:tc>
      </w:tr>
      <w:tr w14:paraId="36211A35">
        <w:tblPrEx>
          <w:tblCellMar>
            <w:top w:w="0" w:type="dxa"/>
            <w:left w:w="108" w:type="dxa"/>
            <w:bottom w:w="0" w:type="dxa"/>
            <w:right w:w="108" w:type="dxa"/>
          </w:tblCellMar>
        </w:tblPrEx>
        <w:trPr>
          <w:trHeight w:val="549"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55F4FF63">
            <w:pPr>
              <w:keepNext w:val="0"/>
              <w:keepLines w:val="0"/>
              <w:pageBreakBefore w:val="0"/>
              <w:kinsoku/>
              <w:overflowPunct/>
              <w:topLinePunct w:val="0"/>
              <w:bidi w:val="0"/>
              <w:snapToGrid/>
              <w:spacing w:beforeAutospacing="0"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3.7.4</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3D600B50">
            <w:pPr>
              <w:pStyle w:val="52"/>
              <w:keepNext w:val="0"/>
              <w:keepLines w:val="0"/>
              <w:pageBreakBefore w:val="0"/>
              <w:kinsoku/>
              <w:overflowPunct/>
              <w:topLinePunct w:val="0"/>
              <w:bidi w:val="0"/>
              <w:snapToGrid/>
              <w:spacing w:beforeAutospacing="0" w:line="360" w:lineRule="auto"/>
              <w:ind w:right="121" w:firstLine="240" w:firstLineChars="100"/>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的制作及要求</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386C4CA9">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加密的电子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壹份（在</w:t>
            </w:r>
            <w:r>
              <w:rPr>
                <w:rFonts w:hint="eastAsia" w:ascii="仿宋" w:hAnsi="仿宋" w:eastAsia="仿宋" w:cs="仿宋"/>
                <w:color w:val="auto"/>
                <w:sz w:val="24"/>
                <w:szCs w:val="24"/>
                <w:highlight w:val="none"/>
                <w:lang w:val="en-US" w:eastAsia="zh-CN"/>
              </w:rPr>
              <w:t>公共资源交易平台</w:t>
            </w:r>
            <w:r>
              <w:rPr>
                <w:rFonts w:hint="eastAsia" w:ascii="仿宋" w:hAnsi="仿宋" w:eastAsia="仿宋" w:cs="仿宋"/>
                <w:color w:val="auto"/>
                <w:sz w:val="24"/>
                <w:szCs w:val="24"/>
                <w:highlight w:val="none"/>
              </w:rPr>
              <w:t>系统指定位置上传）；</w:t>
            </w:r>
          </w:p>
        </w:tc>
      </w:tr>
      <w:tr w14:paraId="79F3A262">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27751AA2">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3E1AD520">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地点</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0EDEA171">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供应商须在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提交截止时间前在荥阳市公共资源交易中心交易系统中将加密电子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加密上传。</w:t>
            </w:r>
          </w:p>
        </w:tc>
      </w:tr>
      <w:tr w14:paraId="48FD3AF6">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236D0AE3">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4.2.3</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28E68E2C">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是否退还</w:t>
            </w:r>
            <w:r>
              <w:rPr>
                <w:rFonts w:hint="eastAsia" w:ascii="仿宋" w:hAnsi="仿宋" w:eastAsia="仿宋" w:cs="仿宋"/>
                <w:color w:val="auto"/>
                <w:sz w:val="24"/>
                <w:szCs w:val="24"/>
                <w:highlight w:val="none"/>
                <w:lang w:eastAsia="zh-CN"/>
              </w:rPr>
              <w:t>响应文件</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29870923">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r>
      <w:tr w14:paraId="4C3E77BB">
        <w:tblPrEx>
          <w:tblCellMar>
            <w:top w:w="0" w:type="dxa"/>
            <w:left w:w="108" w:type="dxa"/>
            <w:bottom w:w="0" w:type="dxa"/>
            <w:right w:w="108" w:type="dxa"/>
          </w:tblCellMar>
        </w:tblPrEx>
        <w:trPr>
          <w:trHeight w:val="340"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347377CD">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5D0298C2">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开标时间和地点</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1058E422">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val="en-US" w:eastAsia="zh-CN"/>
              </w:rPr>
              <w:t>2026年01月20日09时00分</w:t>
            </w:r>
            <w:r>
              <w:rPr>
                <w:rFonts w:hint="eastAsia" w:ascii="仿宋" w:hAnsi="仿宋" w:eastAsia="仿宋" w:cs="仿宋"/>
                <w:color w:val="auto"/>
                <w:sz w:val="24"/>
                <w:szCs w:val="24"/>
                <w:highlight w:val="none"/>
              </w:rPr>
              <w:t>（北京时间）</w:t>
            </w:r>
          </w:p>
          <w:p w14:paraId="07415B26">
            <w:pPr>
              <w:keepNext w:val="0"/>
              <w:keepLines w:val="0"/>
              <w:pageBreakBefore w:val="0"/>
              <w:widowControl/>
              <w:shd w:val="clear" w:color="auto"/>
              <w:tabs>
                <w:tab w:val="left" w:pos="7406"/>
              </w:tabs>
              <w:kinsoku/>
              <w:overflowPunct/>
              <w:topLinePunct w:val="0"/>
              <w:bidi w:val="0"/>
              <w:snapToGrid/>
              <w:spacing w:beforeAutospacing="0"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开标地点</w:t>
            </w:r>
            <w:r>
              <w:rPr>
                <w:rFonts w:hint="eastAsia" w:ascii="仿宋" w:hAnsi="仿宋" w:eastAsia="仿宋" w:cs="仿宋"/>
                <w:color w:val="auto"/>
                <w:kern w:val="0"/>
                <w:sz w:val="24"/>
                <w:szCs w:val="24"/>
                <w:highlight w:val="none"/>
                <w:shd w:val="clear" w:color="auto" w:fill="FFFFFF"/>
                <w:lang w:bidi="ar"/>
              </w:rPr>
              <w:t>：荥阳市公共资源交易中心（荥阳市中原路与飞龙路西北角政务服务中心七楼）远程第</w:t>
            </w:r>
            <w:r>
              <w:rPr>
                <w:rFonts w:hint="eastAsia" w:ascii="仿宋" w:hAnsi="仿宋" w:eastAsia="仿宋" w:cs="仿宋"/>
                <w:color w:val="auto"/>
                <w:kern w:val="0"/>
                <w:sz w:val="24"/>
                <w:szCs w:val="24"/>
                <w:highlight w:val="none"/>
                <w:shd w:val="clear" w:color="auto" w:fill="FFFFFF"/>
                <w:lang w:val="en-US" w:eastAsia="zh-CN" w:bidi="ar"/>
              </w:rPr>
              <w:t>三</w:t>
            </w:r>
            <w:r>
              <w:rPr>
                <w:rFonts w:hint="eastAsia" w:ascii="仿宋" w:hAnsi="仿宋" w:eastAsia="仿宋" w:cs="仿宋"/>
                <w:color w:val="auto"/>
                <w:kern w:val="0"/>
                <w:sz w:val="24"/>
                <w:szCs w:val="24"/>
                <w:highlight w:val="none"/>
                <w:shd w:val="clear" w:color="auto" w:fill="FFFFFF"/>
                <w:lang w:bidi="ar"/>
              </w:rPr>
              <w:t>开标室</w:t>
            </w:r>
            <w:r>
              <w:rPr>
                <w:rFonts w:hint="eastAsia" w:ascii="仿宋" w:hAnsi="仿宋" w:eastAsia="仿宋" w:cs="仿宋"/>
                <w:color w:val="auto"/>
                <w:sz w:val="24"/>
                <w:szCs w:val="24"/>
                <w:highlight w:val="none"/>
              </w:rPr>
              <w:t>；</w:t>
            </w:r>
          </w:p>
          <w:p w14:paraId="1C916E7C">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本项目采用“远程不见面”开标方式，供应商无需到荥阳市公共资源交易中心现场参加开标会议，无需到达现场提交原件资料。供应商应当在投标截止时间前，登录远程开标大厅，在线准时参加开标活动并进行文件解密等。未在规定截止时间前解密的，采购人不予受理。因加密电子供应商文件未能成功上传或误传而导致的解密失败，将被拒绝。</w:t>
            </w:r>
          </w:p>
        </w:tc>
      </w:tr>
      <w:tr w14:paraId="6A3F4D39">
        <w:tblPrEx>
          <w:tblCellMar>
            <w:top w:w="0" w:type="dxa"/>
            <w:left w:w="108" w:type="dxa"/>
            <w:bottom w:w="0" w:type="dxa"/>
            <w:right w:w="108" w:type="dxa"/>
          </w:tblCellMar>
        </w:tblPrEx>
        <w:trPr>
          <w:trHeight w:val="33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09ECE5AC">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3190BD97">
            <w:pPr>
              <w:pStyle w:val="52"/>
              <w:keepNext w:val="0"/>
              <w:keepLines w:val="0"/>
              <w:pageBreakBefore w:val="0"/>
              <w:kinsoku/>
              <w:overflowPunct/>
              <w:topLinePunct w:val="0"/>
              <w:bidi w:val="0"/>
              <w:snapToGrid/>
              <w:spacing w:beforeAutospacing="0" w:line="360" w:lineRule="auto"/>
              <w:ind w:left="106" w:right="97"/>
              <w:jc w:val="center"/>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开标程序</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3A13EDBD">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本项目采用电子开标。到投标截止时间止，各供应商对加密的电子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进行解密。解密完成后各供应商的电子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的实质性内容将自动显示在网页中。供应商在投标截止时间前未上传电子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的将视为放弃投标。</w:t>
            </w:r>
          </w:p>
          <w:p w14:paraId="6964491B">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对开标过程和开标记录如有疑义，以及认为采购人、采购代理机构相关工作人员有需要回避的情形的，应在不见面开标大厅“文字互动”对话框或“新增质疑”处在线提出询问或者回避申请。采购人、采购代理机构对供应商代表提出的询问或者回避申请应当及时处理。</w:t>
            </w:r>
          </w:p>
          <w:p w14:paraId="756112FB">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供应商未参加开标的，视同认可开标结果。</w:t>
            </w:r>
          </w:p>
        </w:tc>
      </w:tr>
      <w:tr w14:paraId="7C3A27E9">
        <w:tblPrEx>
          <w:tblCellMar>
            <w:top w:w="0" w:type="dxa"/>
            <w:left w:w="108" w:type="dxa"/>
            <w:bottom w:w="0" w:type="dxa"/>
            <w:right w:w="108" w:type="dxa"/>
          </w:tblCellMar>
        </w:tblPrEx>
        <w:trPr>
          <w:trHeight w:val="509"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40FE7779">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47393D23">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的组建</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530A1462">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构成：</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rPr>
              <w:t>人，其中采购人代表</w:t>
            </w:r>
            <w:r>
              <w:rPr>
                <w:rFonts w:hint="eastAsia" w:ascii="仿宋" w:hAnsi="仿宋" w:eastAsia="仿宋" w:cs="仿宋"/>
                <w:color w:val="auto"/>
                <w:sz w:val="24"/>
                <w:szCs w:val="24"/>
                <w:highlight w:val="none"/>
                <w:u w:val="single"/>
              </w:rPr>
              <w:t>1</w:t>
            </w:r>
            <w:r>
              <w:rPr>
                <w:rFonts w:hint="eastAsia" w:ascii="仿宋" w:hAnsi="仿宋" w:eastAsia="仿宋" w:cs="仿宋"/>
                <w:color w:val="auto"/>
                <w:sz w:val="24"/>
                <w:szCs w:val="24"/>
                <w:highlight w:val="none"/>
              </w:rPr>
              <w:t>人，专家</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rPr>
              <w:t>人；</w:t>
            </w:r>
          </w:p>
          <w:p w14:paraId="145404E8">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评标专家确定方式：</w:t>
            </w:r>
            <w:r>
              <w:rPr>
                <w:rFonts w:hint="eastAsia" w:ascii="仿宋" w:hAnsi="仿宋" w:eastAsia="仿宋" w:cs="仿宋"/>
                <w:color w:val="auto"/>
                <w:sz w:val="24"/>
                <w:szCs w:val="24"/>
                <w:highlight w:val="none"/>
                <w:lang w:val="en-US" w:eastAsia="zh-CN"/>
              </w:rPr>
              <w:t>在河南省财政厅政府采购评标专家库中随机抽取。</w:t>
            </w:r>
          </w:p>
        </w:tc>
      </w:tr>
      <w:tr w14:paraId="5B3489B7">
        <w:tblPrEx>
          <w:tblCellMar>
            <w:top w:w="0" w:type="dxa"/>
            <w:left w:w="108" w:type="dxa"/>
            <w:bottom w:w="0" w:type="dxa"/>
            <w:right w:w="108" w:type="dxa"/>
          </w:tblCellMar>
        </w:tblPrEx>
        <w:trPr>
          <w:trHeight w:val="341" w:hRule="atLeast"/>
          <w:jc w:val="center"/>
        </w:trPr>
        <w:tc>
          <w:tcPr>
            <w:tcW w:w="967" w:type="dxa"/>
            <w:tcBorders>
              <w:top w:val="single" w:color="auto" w:sz="4" w:space="0"/>
              <w:left w:val="single" w:color="auto" w:sz="4" w:space="0"/>
              <w:right w:val="single" w:color="auto" w:sz="4" w:space="0"/>
            </w:tcBorders>
            <w:noWrap w:val="0"/>
            <w:vAlign w:val="center"/>
          </w:tcPr>
          <w:p w14:paraId="21F3DE2E">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w:t>
            </w:r>
          </w:p>
        </w:tc>
        <w:tc>
          <w:tcPr>
            <w:tcW w:w="2337" w:type="dxa"/>
            <w:tcBorders>
              <w:top w:val="single" w:color="auto" w:sz="4" w:space="0"/>
              <w:left w:val="single" w:color="auto" w:sz="4" w:space="0"/>
              <w:right w:val="single" w:color="auto" w:sz="4" w:space="0"/>
            </w:tcBorders>
            <w:noWrap w:val="0"/>
            <w:vAlign w:val="center"/>
          </w:tcPr>
          <w:p w14:paraId="6FD41123">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是否授权</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确定</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人</w:t>
            </w:r>
          </w:p>
        </w:tc>
        <w:tc>
          <w:tcPr>
            <w:tcW w:w="6693" w:type="dxa"/>
            <w:tcBorders>
              <w:top w:val="single" w:color="auto" w:sz="4" w:space="0"/>
              <w:left w:val="single" w:color="auto" w:sz="4" w:space="0"/>
              <w:right w:val="single" w:color="auto" w:sz="4" w:space="0"/>
            </w:tcBorders>
            <w:noWrap w:val="0"/>
            <w:vAlign w:val="center"/>
          </w:tcPr>
          <w:p w14:paraId="6B92319F">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否，推荐的</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候选人数：3名</w:t>
            </w:r>
          </w:p>
        </w:tc>
      </w:tr>
      <w:tr w14:paraId="2683465F">
        <w:tblPrEx>
          <w:tblCellMar>
            <w:top w:w="0" w:type="dxa"/>
            <w:left w:w="0" w:type="dxa"/>
            <w:bottom w:w="0" w:type="dxa"/>
            <w:right w:w="0" w:type="dxa"/>
          </w:tblCellMar>
        </w:tblPrEx>
        <w:trPr>
          <w:trHeight w:val="664" w:hRule="atLeast"/>
          <w:jc w:val="center"/>
        </w:trPr>
        <w:tc>
          <w:tcPr>
            <w:tcW w:w="967" w:type="dxa"/>
            <w:tcBorders>
              <w:top w:val="single" w:color="000000" w:sz="4" w:space="0"/>
              <w:left w:val="single" w:color="000000" w:sz="4" w:space="0"/>
              <w:bottom w:val="single" w:color="000000" w:sz="4" w:space="0"/>
              <w:right w:val="single" w:color="000000" w:sz="4" w:space="0"/>
            </w:tcBorders>
            <w:noWrap w:val="0"/>
            <w:vAlign w:val="center"/>
          </w:tcPr>
          <w:p w14:paraId="1EFCDABE">
            <w:pPr>
              <w:keepNext w:val="0"/>
              <w:keepLines w:val="0"/>
              <w:pageBreakBefore w:val="0"/>
              <w:kinsoku/>
              <w:overflowPunct/>
              <w:topLinePunct w:val="0"/>
              <w:autoSpaceDE w:val="0"/>
              <w:autoSpaceDN w:val="0"/>
              <w:bidi w:val="0"/>
              <w:adjustRightInd w:val="0"/>
              <w:snapToGrid/>
              <w:spacing w:beforeAutospacing="0" w:line="360" w:lineRule="auto"/>
              <w:ind w:right="35"/>
              <w:jc w:val="center"/>
              <w:rPr>
                <w:rFonts w:hint="eastAsia" w:ascii="仿宋" w:hAnsi="仿宋" w:eastAsia="仿宋" w:cs="仿宋"/>
                <w:color w:val="auto"/>
                <w:spacing w:val="1"/>
                <w:kern w:val="0"/>
                <w:sz w:val="24"/>
                <w:szCs w:val="24"/>
                <w:highlight w:val="none"/>
              </w:rPr>
            </w:pPr>
            <w:r>
              <w:rPr>
                <w:rFonts w:hint="eastAsia" w:ascii="仿宋" w:hAnsi="仿宋" w:eastAsia="仿宋" w:cs="仿宋"/>
                <w:b/>
                <w:color w:val="auto"/>
                <w:sz w:val="24"/>
                <w:szCs w:val="24"/>
                <w:highlight w:val="none"/>
              </w:rPr>
              <w:t>10</w:t>
            </w:r>
          </w:p>
        </w:tc>
        <w:tc>
          <w:tcPr>
            <w:tcW w:w="9030" w:type="dxa"/>
            <w:gridSpan w:val="2"/>
            <w:tcBorders>
              <w:top w:val="single" w:color="000000" w:sz="4" w:space="0"/>
              <w:left w:val="single" w:color="000000" w:sz="4" w:space="0"/>
              <w:bottom w:val="single" w:color="000000" w:sz="4" w:space="0"/>
              <w:right w:val="single" w:color="000000" w:sz="4" w:space="0"/>
            </w:tcBorders>
            <w:noWrap w:val="0"/>
            <w:vAlign w:val="center"/>
          </w:tcPr>
          <w:p w14:paraId="5DC3DB3C">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需要补充的其他内容</w:t>
            </w:r>
          </w:p>
        </w:tc>
      </w:tr>
      <w:tr w14:paraId="53AE0CF6">
        <w:tblPrEx>
          <w:tblCellMar>
            <w:top w:w="0" w:type="dxa"/>
            <w:left w:w="0" w:type="dxa"/>
            <w:bottom w:w="0" w:type="dxa"/>
            <w:right w:w="0" w:type="dxa"/>
          </w:tblCellMar>
        </w:tblPrEx>
        <w:trPr>
          <w:trHeight w:val="509" w:hRule="atLeast"/>
          <w:jc w:val="center"/>
        </w:trPr>
        <w:tc>
          <w:tcPr>
            <w:tcW w:w="967" w:type="dxa"/>
            <w:tcBorders>
              <w:top w:val="single" w:color="000000" w:sz="4" w:space="0"/>
              <w:left w:val="single" w:color="000000" w:sz="4" w:space="0"/>
              <w:bottom w:val="single" w:color="000000" w:sz="4" w:space="0"/>
              <w:right w:val="single" w:color="000000" w:sz="4" w:space="0"/>
            </w:tcBorders>
            <w:noWrap w:val="0"/>
            <w:vAlign w:val="center"/>
          </w:tcPr>
          <w:p w14:paraId="2FA7721C">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lang w:val="en-US" w:eastAsia="zh-CN"/>
              </w:rPr>
              <w:t>1</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4FB9D203">
            <w:pPr>
              <w:keepNext w:val="0"/>
              <w:keepLines w:val="0"/>
              <w:pageBreakBefore w:val="0"/>
              <w:kinsoku/>
              <w:overflowPunct/>
              <w:topLinePunct w:val="0"/>
              <w:bidi w:val="0"/>
              <w:snapToGrid/>
              <w:spacing w:beforeAutospacing="0" w:line="360" w:lineRule="auto"/>
              <w:jc w:val="center"/>
              <w:rPr>
                <w:rFonts w:hint="eastAsia" w:ascii="仿宋" w:hAnsi="仿宋" w:eastAsia="仿宋" w:cs="仿宋"/>
                <w:bCs/>
                <w:color w:val="auto"/>
                <w:kern w:val="1"/>
                <w:sz w:val="24"/>
                <w:szCs w:val="24"/>
                <w:highlight w:val="none"/>
              </w:rPr>
            </w:pPr>
            <w:r>
              <w:rPr>
                <w:rFonts w:hint="eastAsia" w:ascii="仿宋" w:hAnsi="仿宋" w:eastAsia="仿宋" w:cs="仿宋"/>
                <w:bCs/>
                <w:color w:val="auto"/>
                <w:kern w:val="1"/>
                <w:sz w:val="24"/>
                <w:szCs w:val="24"/>
                <w:highlight w:val="none"/>
              </w:rPr>
              <w:t>采购代理服务费</w:t>
            </w:r>
          </w:p>
        </w:tc>
        <w:tc>
          <w:tcPr>
            <w:tcW w:w="6693" w:type="dxa"/>
            <w:tcBorders>
              <w:top w:val="single" w:color="000000" w:sz="4" w:space="0"/>
              <w:left w:val="single" w:color="000000" w:sz="4" w:space="0"/>
              <w:bottom w:val="single" w:color="000000" w:sz="4" w:space="0"/>
              <w:right w:val="single" w:color="000000" w:sz="4" w:space="0"/>
            </w:tcBorders>
            <w:noWrap w:val="0"/>
            <w:vAlign w:val="center"/>
          </w:tcPr>
          <w:p w14:paraId="2B73A47C">
            <w:pPr>
              <w:keepNext w:val="0"/>
              <w:keepLines w:val="0"/>
              <w:pageBreakBefore w:val="0"/>
              <w:numPr>
                <w:ilvl w:val="0"/>
                <w:numId w:val="0"/>
              </w:numPr>
              <w:kinsoku/>
              <w:wordWrap/>
              <w:overflowPunct/>
              <w:topLinePunct w:val="0"/>
              <w:bidi w:val="0"/>
              <w:snapToGrid/>
              <w:spacing w:line="360" w:lineRule="auto"/>
              <w:ind w:left="0" w:leftChars="0"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kern w:val="1"/>
                <w:sz w:val="24"/>
                <w:szCs w:val="24"/>
                <w:highlight w:val="none"/>
                <w:lang w:val="en-US" w:eastAsia="zh-CN"/>
              </w:rPr>
              <w:t>按照《河南省招标代理服务收费指导意见》豫招协（2023）002号文件规定的标准计取金额的95%收取代理费，由成交人在领取成交通知书前向采购代理机构一次性支付采购代理服务费。</w:t>
            </w:r>
          </w:p>
        </w:tc>
      </w:tr>
      <w:tr w14:paraId="77383383">
        <w:tblPrEx>
          <w:tblCellMar>
            <w:top w:w="0" w:type="dxa"/>
            <w:left w:w="0" w:type="dxa"/>
            <w:bottom w:w="0" w:type="dxa"/>
            <w:right w:w="0" w:type="dxa"/>
          </w:tblCellMar>
        </w:tblPrEx>
        <w:trPr>
          <w:trHeight w:val="470" w:hRule="atLeast"/>
          <w:jc w:val="center"/>
        </w:trPr>
        <w:tc>
          <w:tcPr>
            <w:tcW w:w="967" w:type="dxa"/>
            <w:tcBorders>
              <w:top w:val="single" w:color="000000" w:sz="4" w:space="0"/>
              <w:left w:val="single" w:color="000000" w:sz="4" w:space="0"/>
              <w:bottom w:val="single" w:color="000000" w:sz="4" w:space="0"/>
              <w:right w:val="single" w:color="000000" w:sz="4" w:space="0"/>
            </w:tcBorders>
            <w:noWrap w:val="0"/>
            <w:vAlign w:val="center"/>
          </w:tcPr>
          <w:p w14:paraId="5486E64E">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10.2</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5BF6F5CE">
            <w:pPr>
              <w:keepNext w:val="0"/>
              <w:keepLines w:val="0"/>
              <w:pageBreakBefore w:val="0"/>
              <w:numPr>
                <w:ilvl w:val="0"/>
                <w:numId w:val="0"/>
              </w:numPr>
              <w:kinsoku/>
              <w:wordWrap/>
              <w:overflowPunct/>
              <w:topLinePunct w:val="0"/>
              <w:bidi w:val="0"/>
              <w:snapToGrid/>
              <w:spacing w:line="360" w:lineRule="auto"/>
              <w:ind w:left="0" w:leftChars="0" w:firstLine="0" w:firstLineChars="0"/>
              <w:jc w:val="center"/>
              <w:textAlignment w:val="auto"/>
              <w:rPr>
                <w:rFonts w:hint="eastAsia" w:ascii="仿宋" w:hAnsi="仿宋" w:eastAsia="仿宋" w:cs="仿宋"/>
                <w:bCs/>
                <w:color w:val="auto"/>
                <w:kern w:val="1"/>
                <w:sz w:val="24"/>
                <w:szCs w:val="24"/>
                <w:highlight w:val="none"/>
                <w:lang w:val="en-US" w:eastAsia="zh-CN"/>
              </w:rPr>
            </w:pPr>
            <w:r>
              <w:rPr>
                <w:rFonts w:hint="eastAsia" w:ascii="仿宋" w:hAnsi="仿宋" w:eastAsia="仿宋" w:cs="仿宋"/>
                <w:bCs/>
                <w:color w:val="auto"/>
                <w:kern w:val="1"/>
                <w:sz w:val="24"/>
                <w:szCs w:val="24"/>
                <w:highlight w:val="none"/>
                <w:lang w:val="en-US" w:eastAsia="zh-CN"/>
              </w:rPr>
              <w:t>付款方式</w:t>
            </w:r>
          </w:p>
        </w:tc>
        <w:tc>
          <w:tcPr>
            <w:tcW w:w="6693" w:type="dxa"/>
            <w:tcBorders>
              <w:top w:val="single" w:color="000000" w:sz="4" w:space="0"/>
              <w:left w:val="single" w:color="000000" w:sz="4" w:space="0"/>
              <w:bottom w:val="single" w:color="000000" w:sz="4" w:space="0"/>
              <w:right w:val="single" w:color="000000" w:sz="4" w:space="0"/>
            </w:tcBorders>
            <w:noWrap w:val="0"/>
            <w:vAlign w:val="center"/>
          </w:tcPr>
          <w:p w14:paraId="14CE0E6B">
            <w:pPr>
              <w:keepNext w:val="0"/>
              <w:keepLines w:val="0"/>
              <w:pageBreakBefore w:val="0"/>
              <w:numPr>
                <w:ilvl w:val="0"/>
                <w:numId w:val="0"/>
              </w:numPr>
              <w:kinsoku/>
              <w:wordWrap/>
              <w:overflowPunct/>
              <w:topLinePunct w:val="0"/>
              <w:bidi w:val="0"/>
              <w:snapToGrid/>
              <w:spacing w:line="360" w:lineRule="auto"/>
              <w:ind w:left="0" w:leftChars="0" w:firstLine="0" w:firstLineChars="0"/>
              <w:jc w:val="left"/>
              <w:textAlignment w:val="auto"/>
              <w:rPr>
                <w:rFonts w:hint="eastAsia" w:ascii="仿宋" w:hAnsi="仿宋" w:eastAsia="仿宋" w:cs="仿宋"/>
                <w:bCs/>
                <w:color w:val="auto"/>
                <w:kern w:val="1"/>
                <w:sz w:val="24"/>
                <w:szCs w:val="24"/>
                <w:highlight w:val="none"/>
                <w:lang w:val="en-US" w:eastAsia="zh-CN"/>
              </w:rPr>
            </w:pPr>
            <w:r>
              <w:rPr>
                <w:rFonts w:hint="eastAsia" w:ascii="仿宋" w:hAnsi="仿宋" w:eastAsia="仿宋" w:cs="仿宋"/>
                <w:bCs/>
                <w:color w:val="auto"/>
                <w:kern w:val="1"/>
                <w:sz w:val="24"/>
                <w:szCs w:val="24"/>
                <w:highlight w:val="none"/>
                <w:lang w:val="en-US" w:eastAsia="zh-CN"/>
              </w:rPr>
              <w:t>保险协议签订后，甲方向乙方提供园林养护工人名单及有关信息，乙方在三个工作日内出具保单及发票，甲方在收到保单和发票后按程序支付相应保险费用。</w:t>
            </w:r>
          </w:p>
        </w:tc>
      </w:tr>
      <w:tr w14:paraId="1EB48AC3">
        <w:tblPrEx>
          <w:tblCellMar>
            <w:top w:w="0" w:type="dxa"/>
            <w:left w:w="0" w:type="dxa"/>
            <w:bottom w:w="0" w:type="dxa"/>
            <w:right w:w="0" w:type="dxa"/>
          </w:tblCellMar>
        </w:tblPrEx>
        <w:trPr>
          <w:trHeight w:val="558" w:hRule="atLeast"/>
          <w:jc w:val="center"/>
        </w:trPr>
        <w:tc>
          <w:tcPr>
            <w:tcW w:w="967" w:type="dxa"/>
            <w:tcBorders>
              <w:top w:val="single" w:color="000000" w:sz="4" w:space="0"/>
              <w:left w:val="single" w:color="000000" w:sz="4" w:space="0"/>
              <w:bottom w:val="single" w:color="000000" w:sz="4" w:space="0"/>
              <w:right w:val="single" w:color="000000" w:sz="4" w:space="0"/>
            </w:tcBorders>
            <w:noWrap w:val="0"/>
            <w:vAlign w:val="center"/>
          </w:tcPr>
          <w:p w14:paraId="68719DC5">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lang w:val="en-US" w:eastAsia="zh-CN"/>
              </w:rPr>
              <w:t>3</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26EA90BB">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本项目需要落实的政府采购政策</w:t>
            </w:r>
          </w:p>
        </w:tc>
        <w:tc>
          <w:tcPr>
            <w:tcW w:w="6693" w:type="dxa"/>
            <w:tcBorders>
              <w:top w:val="single" w:color="000000" w:sz="4" w:space="0"/>
              <w:left w:val="single" w:color="000000" w:sz="4" w:space="0"/>
              <w:bottom w:val="single" w:color="000000" w:sz="4" w:space="0"/>
              <w:right w:val="single" w:color="000000" w:sz="4" w:space="0"/>
            </w:tcBorders>
            <w:noWrap w:val="0"/>
            <w:vAlign w:val="center"/>
          </w:tcPr>
          <w:p w14:paraId="54AC05F6">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中小企业有关政策</w:t>
            </w:r>
            <w:r>
              <w:rPr>
                <w:rFonts w:hint="eastAsia" w:ascii="仿宋" w:hAnsi="仿宋" w:eastAsia="仿宋" w:cs="仿宋"/>
                <w:color w:val="auto"/>
                <w:sz w:val="24"/>
                <w:szCs w:val="24"/>
                <w:highlight w:val="none"/>
                <w:lang w:eastAsia="zh-CN"/>
              </w:rPr>
              <w:t>：</w:t>
            </w:r>
          </w:p>
          <w:p w14:paraId="6634F78F">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1、《政府采购促进中小企业发展暂行办法》 （财库 ﹝ 2020 ﹞ 46 号）执行措施：本项目对小微企业给予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 xml:space="preserve">的价格扣除（详见：中小企业声明函》 ，否则磋商报价评审时不予价格扣除优惠） 。                                           </w:t>
            </w:r>
          </w:p>
          <w:p w14:paraId="67813FDC">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2、《关于政府采购支持监狱企业发展有关问题的通知》（财库〔2014〕 68 号）执行措施： 监狱企业视同小型或微利企业，享受小微企业同等优惠措施，提供由省级以上监狱管理局、戒毒管理局（含新疆生产建设兵团） 出具的属于监狱企业的证明文件，否则评审时不予价格扣除优惠。                                               </w:t>
            </w:r>
          </w:p>
          <w:p w14:paraId="485DDA80">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3、《关于促进残疾人就业政府采购政策的通知》（财库〔2017〕 141 号）执行措施：残疾人福利性企业视同小型或微利企业，享受小微企业同等优惠措施，需提供《残疾人福利性单位声明函》 ，并对声明的真实性负责。否则评审时不予价格扣除优惠。</w:t>
            </w:r>
          </w:p>
          <w:p w14:paraId="5F6BE3E4">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4、本项目所属行业：其他未列明行业。</w:t>
            </w:r>
          </w:p>
        </w:tc>
      </w:tr>
      <w:tr w14:paraId="042D94A3">
        <w:tblPrEx>
          <w:tblCellMar>
            <w:top w:w="0" w:type="dxa"/>
            <w:left w:w="0" w:type="dxa"/>
            <w:bottom w:w="0" w:type="dxa"/>
            <w:right w:w="0" w:type="dxa"/>
          </w:tblCellMar>
        </w:tblPrEx>
        <w:trPr>
          <w:trHeight w:val="558" w:hRule="atLeast"/>
          <w:jc w:val="center"/>
        </w:trPr>
        <w:tc>
          <w:tcPr>
            <w:tcW w:w="967" w:type="dxa"/>
            <w:tcBorders>
              <w:top w:val="single" w:color="000000" w:sz="4" w:space="0"/>
              <w:left w:val="single" w:color="000000" w:sz="4" w:space="0"/>
              <w:bottom w:val="single" w:color="000000" w:sz="4" w:space="0"/>
              <w:right w:val="single" w:color="000000" w:sz="4" w:space="0"/>
            </w:tcBorders>
            <w:noWrap w:val="0"/>
            <w:vAlign w:val="center"/>
          </w:tcPr>
          <w:p w14:paraId="7D8B31A3">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10.4</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3F9AFDEC">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荥阳市政府采购合同融资政策告知函</w:t>
            </w:r>
          </w:p>
        </w:tc>
        <w:tc>
          <w:tcPr>
            <w:tcW w:w="6693" w:type="dxa"/>
            <w:tcBorders>
              <w:top w:val="single" w:color="000000" w:sz="4" w:space="0"/>
              <w:left w:val="single" w:color="000000" w:sz="4" w:space="0"/>
              <w:bottom w:val="single" w:color="000000" w:sz="4" w:space="0"/>
              <w:right w:val="single" w:color="000000" w:sz="4" w:space="0"/>
            </w:tcBorders>
            <w:noWrap w:val="0"/>
            <w:vAlign w:val="center"/>
          </w:tcPr>
          <w:p w14:paraId="676C4B7D">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荥阳市政府采购合同融资政策告知函</w:t>
            </w:r>
          </w:p>
          <w:p w14:paraId="37DCF6CC">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各供应商：</w:t>
            </w:r>
          </w:p>
          <w:p w14:paraId="2FF0AD2B">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欢迎贵公司参与荥阳市政府采购活动！</w:t>
            </w:r>
          </w:p>
          <w:p w14:paraId="4C4D1CC4">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政府采购合同融资是河南省财政厅、郑州市财政局及荥阳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号）和《郑州市财政局关于加强和推进政府采购合同融资工作的通知》（郑财购〔2018〕4号），按照双方自愿的原则提供便捷、优惠的贷款服务。</w:t>
            </w:r>
          </w:p>
          <w:p w14:paraId="3FCC2F18">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贷款渠道和提供贷款的金融机构，可在荥阳市政府采购网“荥阳市政府采购合同融资入口”或工作动态栏查询联系。</w:t>
            </w:r>
          </w:p>
        </w:tc>
      </w:tr>
      <w:tr w14:paraId="6B0B860C">
        <w:tblPrEx>
          <w:tblCellMar>
            <w:top w:w="0" w:type="dxa"/>
            <w:left w:w="0" w:type="dxa"/>
            <w:bottom w:w="0" w:type="dxa"/>
            <w:right w:w="0" w:type="dxa"/>
          </w:tblCellMar>
        </w:tblPrEx>
        <w:trPr>
          <w:trHeight w:val="528" w:hRule="atLeast"/>
          <w:jc w:val="center"/>
        </w:trPr>
        <w:tc>
          <w:tcPr>
            <w:tcW w:w="967" w:type="dxa"/>
            <w:tcBorders>
              <w:top w:val="single" w:color="000000" w:sz="4" w:space="0"/>
              <w:left w:val="single" w:color="000000" w:sz="4" w:space="0"/>
              <w:bottom w:val="single" w:color="000000" w:sz="4" w:space="0"/>
              <w:right w:val="single" w:color="000000" w:sz="4" w:space="0"/>
            </w:tcBorders>
            <w:noWrap w:val="0"/>
            <w:vAlign w:val="center"/>
          </w:tcPr>
          <w:p w14:paraId="7BF56A16">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lang w:val="en-US" w:eastAsia="zh-CN"/>
              </w:rPr>
              <w:t>5</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66B9F65C">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特别提醒</w:t>
            </w:r>
          </w:p>
        </w:tc>
        <w:tc>
          <w:tcPr>
            <w:tcW w:w="6693" w:type="dxa"/>
            <w:tcBorders>
              <w:top w:val="single" w:color="000000" w:sz="4" w:space="0"/>
              <w:left w:val="single" w:color="000000" w:sz="4" w:space="0"/>
              <w:bottom w:val="single" w:color="000000" w:sz="4" w:space="0"/>
              <w:right w:val="single" w:color="000000" w:sz="4" w:space="0"/>
            </w:tcBorders>
            <w:noWrap w:val="0"/>
            <w:vAlign w:val="center"/>
          </w:tcPr>
          <w:p w14:paraId="2CC07930">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供应商应在投标截止时间前每日关注“荥阳市公共资源交易中心网站是否刊登本项目招标文件澄清、修改文件，并自行下载，如由于供应商未看到澄清文件而带来的风险，采购人和采购代理机构不承担任何责任。</w:t>
            </w:r>
          </w:p>
          <w:p w14:paraId="3FD0BEEF">
            <w:pPr>
              <w:keepNext w:val="0"/>
              <w:keepLines w:val="0"/>
              <w:pageBreakBefore w:val="0"/>
              <w:kinsoku/>
              <w:overflowPunct/>
              <w:topLinePunct w:val="0"/>
              <w:bidi w:val="0"/>
              <w:snapToGrid/>
              <w:spacing w:beforeAutospacing="0" w:line="360" w:lineRule="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开标会议结束之后，请各供应商保持在线状态，等候线上二次报价通知。</w:t>
            </w:r>
          </w:p>
        </w:tc>
      </w:tr>
      <w:tr w14:paraId="2E8ECEAC">
        <w:tblPrEx>
          <w:tblCellMar>
            <w:top w:w="0" w:type="dxa"/>
            <w:left w:w="0" w:type="dxa"/>
            <w:bottom w:w="0" w:type="dxa"/>
            <w:right w:w="0" w:type="dxa"/>
          </w:tblCellMar>
        </w:tblPrEx>
        <w:trPr>
          <w:trHeight w:val="512" w:hRule="atLeast"/>
          <w:jc w:val="center"/>
        </w:trPr>
        <w:tc>
          <w:tcPr>
            <w:tcW w:w="967" w:type="dxa"/>
            <w:tcBorders>
              <w:top w:val="single" w:color="000000" w:sz="4" w:space="0"/>
              <w:left w:val="single" w:color="000000" w:sz="4" w:space="0"/>
              <w:bottom w:val="single" w:color="000000" w:sz="4" w:space="0"/>
              <w:right w:val="single" w:color="000000" w:sz="4" w:space="0"/>
            </w:tcBorders>
            <w:noWrap w:val="0"/>
            <w:vAlign w:val="center"/>
          </w:tcPr>
          <w:p w14:paraId="2C28C6B6">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lang w:val="en-US" w:eastAsia="zh-CN"/>
              </w:rPr>
              <w:t>6</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106F2A3D">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其他要求</w:t>
            </w:r>
          </w:p>
        </w:tc>
        <w:tc>
          <w:tcPr>
            <w:tcW w:w="6693" w:type="dxa"/>
            <w:tcBorders>
              <w:top w:val="single" w:color="000000" w:sz="4" w:space="0"/>
              <w:left w:val="single" w:color="000000" w:sz="4" w:space="0"/>
              <w:bottom w:val="single" w:color="000000" w:sz="4" w:space="0"/>
              <w:right w:val="single" w:color="000000" w:sz="4" w:space="0"/>
            </w:tcBorders>
            <w:noWrap w:val="0"/>
            <w:vAlign w:val="center"/>
          </w:tcPr>
          <w:p w14:paraId="591545E6">
            <w:pPr>
              <w:keepNext w:val="0"/>
              <w:keepLines w:val="0"/>
              <w:pageBreakBefore w:val="0"/>
              <w:numPr>
                <w:ilvl w:val="0"/>
                <w:numId w:val="0"/>
              </w:numPr>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未尽事宜，则按照《政府采购竞争性磋商采购方式管理暂行办法》等法律法规执行。</w:t>
            </w:r>
          </w:p>
          <w:p w14:paraId="0B9BCA7F">
            <w:pPr>
              <w:keepNext w:val="0"/>
              <w:keepLines w:val="0"/>
              <w:pageBreakBefore w:val="0"/>
              <w:numPr>
                <w:ilvl w:val="0"/>
                <w:numId w:val="0"/>
              </w:numPr>
              <w:kinsoku/>
              <w:overflowPunct/>
              <w:topLinePunct w:val="0"/>
              <w:bidi w:val="0"/>
              <w:snapToGrid/>
              <w:spacing w:beforeAutospacing="0"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供应商需独立制作、修改和上传</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，若因</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制作机器码与其他供应</w:t>
            </w:r>
            <w:r>
              <w:rPr>
                <w:rFonts w:hint="eastAsia" w:ascii="仿宋" w:hAnsi="仿宋" w:eastAsia="仿宋" w:cs="仿宋"/>
                <w:color w:val="auto"/>
                <w:sz w:val="24"/>
                <w:szCs w:val="24"/>
                <w:highlight w:val="none"/>
                <w:lang w:eastAsia="zh-CN"/>
              </w:rPr>
              <w:t>商一致，机器码一致的所有响应文件按无效文件处理，所造成的不良后果由供应商自行承担。</w:t>
            </w:r>
          </w:p>
          <w:p w14:paraId="3A7BBEB8">
            <w:pPr>
              <w:keepNext w:val="0"/>
              <w:keepLines w:val="0"/>
              <w:pageBreakBefore w:val="0"/>
              <w:numPr>
                <w:ilvl w:val="0"/>
                <w:numId w:val="0"/>
              </w:numPr>
              <w:kinsoku/>
              <w:overflowPunct/>
              <w:topLinePunct w:val="0"/>
              <w:bidi w:val="0"/>
              <w:snapToGrid/>
              <w:spacing w:beforeAutospacing="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3.成交公告期后，成交人在领取成交通知书时向采购人提交与加密版投标文件完全一致的叁份纸质响应文件及壹份电子版（U盘）以供存档。</w:t>
            </w:r>
          </w:p>
        </w:tc>
      </w:tr>
    </w:tbl>
    <w:p w14:paraId="2A8A4237">
      <w:pPr>
        <w:rPr>
          <w:rFonts w:hint="eastAsia" w:ascii="仿宋" w:hAnsi="仿宋" w:eastAsia="仿宋" w:cs="仿宋"/>
          <w:b/>
          <w:color w:val="auto"/>
          <w:sz w:val="24"/>
          <w:szCs w:val="24"/>
          <w:highlight w:val="none"/>
        </w:rPr>
      </w:pPr>
      <w:bookmarkStart w:id="59" w:name="_Toc152042305"/>
      <w:bookmarkStart w:id="60" w:name="_Toc152045529"/>
      <w:bookmarkStart w:id="61" w:name="_Toc144974497"/>
      <w:bookmarkStart w:id="62" w:name="_Toc5252"/>
      <w:bookmarkStart w:id="63" w:name="_Toc22280"/>
      <w:bookmarkStart w:id="64" w:name="_Toc8636"/>
      <w:bookmarkStart w:id="65" w:name="_Toc23752"/>
      <w:r>
        <w:rPr>
          <w:rFonts w:hint="eastAsia" w:ascii="仿宋" w:hAnsi="仿宋" w:eastAsia="仿宋" w:cs="仿宋"/>
          <w:b/>
          <w:color w:val="auto"/>
          <w:sz w:val="24"/>
          <w:szCs w:val="24"/>
          <w:highlight w:val="none"/>
        </w:rPr>
        <w:br w:type="page"/>
      </w:r>
    </w:p>
    <w:p w14:paraId="63847CDD">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大中小微型企业划分标准</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DCF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exact"/>
          <w:jc w:val="center"/>
        </w:trPr>
        <w:tc>
          <w:tcPr>
            <w:tcW w:w="2113" w:type="dxa"/>
            <w:vAlign w:val="center"/>
          </w:tcPr>
          <w:p w14:paraId="50F4D45F">
            <w:pPr>
              <w:widowControl/>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行业名称</w:t>
            </w:r>
          </w:p>
        </w:tc>
        <w:tc>
          <w:tcPr>
            <w:tcW w:w="1369" w:type="dxa"/>
            <w:vAlign w:val="center"/>
          </w:tcPr>
          <w:p w14:paraId="225C2EB3">
            <w:pPr>
              <w:widowControl/>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指标名称</w:t>
            </w:r>
          </w:p>
        </w:tc>
        <w:tc>
          <w:tcPr>
            <w:tcW w:w="709" w:type="dxa"/>
            <w:vAlign w:val="center"/>
          </w:tcPr>
          <w:p w14:paraId="4D68A6E3">
            <w:pPr>
              <w:widowControl/>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计量</w:t>
            </w:r>
          </w:p>
          <w:p w14:paraId="7CE00E54">
            <w:pPr>
              <w:widowControl/>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单位</w:t>
            </w:r>
          </w:p>
        </w:tc>
        <w:tc>
          <w:tcPr>
            <w:tcW w:w="1125" w:type="dxa"/>
            <w:vAlign w:val="center"/>
          </w:tcPr>
          <w:p w14:paraId="01B0609E">
            <w:pPr>
              <w:widowControl/>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大型</w:t>
            </w:r>
          </w:p>
        </w:tc>
        <w:tc>
          <w:tcPr>
            <w:tcW w:w="1701" w:type="dxa"/>
            <w:vAlign w:val="center"/>
          </w:tcPr>
          <w:p w14:paraId="44278C50">
            <w:pPr>
              <w:widowControl/>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中型</w:t>
            </w:r>
          </w:p>
        </w:tc>
        <w:tc>
          <w:tcPr>
            <w:tcW w:w="1426" w:type="dxa"/>
            <w:vAlign w:val="center"/>
          </w:tcPr>
          <w:p w14:paraId="4B50248A">
            <w:pPr>
              <w:widowControl/>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小型</w:t>
            </w:r>
          </w:p>
        </w:tc>
        <w:tc>
          <w:tcPr>
            <w:tcW w:w="992" w:type="dxa"/>
            <w:vAlign w:val="center"/>
          </w:tcPr>
          <w:p w14:paraId="3C96D409">
            <w:pPr>
              <w:widowControl/>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微型</w:t>
            </w:r>
          </w:p>
        </w:tc>
      </w:tr>
      <w:tr w14:paraId="37A6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1D2E5DA8">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农、林、牧、渔业</w:t>
            </w:r>
          </w:p>
        </w:tc>
        <w:tc>
          <w:tcPr>
            <w:tcW w:w="1369" w:type="dxa"/>
            <w:vAlign w:val="center"/>
          </w:tcPr>
          <w:p w14:paraId="58CBC224">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营业收入(Y)</w:t>
            </w:r>
          </w:p>
        </w:tc>
        <w:tc>
          <w:tcPr>
            <w:tcW w:w="709" w:type="dxa"/>
            <w:vAlign w:val="center"/>
          </w:tcPr>
          <w:p w14:paraId="19025ED0">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1125" w:type="dxa"/>
            <w:vAlign w:val="center"/>
          </w:tcPr>
          <w:p w14:paraId="46748886">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Y≥20000</w:t>
            </w:r>
          </w:p>
        </w:tc>
        <w:tc>
          <w:tcPr>
            <w:tcW w:w="1701" w:type="dxa"/>
            <w:vAlign w:val="center"/>
          </w:tcPr>
          <w:p w14:paraId="442DF16F">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500≤Y＜20000</w:t>
            </w:r>
          </w:p>
        </w:tc>
        <w:tc>
          <w:tcPr>
            <w:tcW w:w="1426" w:type="dxa"/>
            <w:vAlign w:val="center"/>
          </w:tcPr>
          <w:p w14:paraId="13E0A63D">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50≤Y＜500</w:t>
            </w:r>
          </w:p>
        </w:tc>
        <w:tc>
          <w:tcPr>
            <w:tcW w:w="992" w:type="dxa"/>
            <w:vAlign w:val="center"/>
          </w:tcPr>
          <w:p w14:paraId="2022C926">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Y＜50</w:t>
            </w:r>
          </w:p>
        </w:tc>
      </w:tr>
      <w:tr w14:paraId="076C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8FE6354">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工业 *</w:t>
            </w:r>
          </w:p>
        </w:tc>
        <w:tc>
          <w:tcPr>
            <w:tcW w:w="1369" w:type="dxa"/>
            <w:vAlign w:val="center"/>
          </w:tcPr>
          <w:p w14:paraId="752D0D30">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从业人员(X)</w:t>
            </w:r>
          </w:p>
        </w:tc>
        <w:tc>
          <w:tcPr>
            <w:tcW w:w="709" w:type="dxa"/>
            <w:vAlign w:val="center"/>
          </w:tcPr>
          <w:p w14:paraId="7768E3FA">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w:t>
            </w:r>
          </w:p>
        </w:tc>
        <w:tc>
          <w:tcPr>
            <w:tcW w:w="1125" w:type="dxa"/>
            <w:vAlign w:val="center"/>
          </w:tcPr>
          <w:p w14:paraId="21995681">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X≥1000</w:t>
            </w:r>
          </w:p>
        </w:tc>
        <w:tc>
          <w:tcPr>
            <w:tcW w:w="1701" w:type="dxa"/>
            <w:vAlign w:val="center"/>
          </w:tcPr>
          <w:p w14:paraId="6CAAD9A8">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300≤X＜1000</w:t>
            </w:r>
          </w:p>
        </w:tc>
        <w:tc>
          <w:tcPr>
            <w:tcW w:w="1426" w:type="dxa"/>
            <w:vAlign w:val="center"/>
          </w:tcPr>
          <w:p w14:paraId="74D8DFB8">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20≤X＜300</w:t>
            </w:r>
          </w:p>
        </w:tc>
        <w:tc>
          <w:tcPr>
            <w:tcW w:w="992" w:type="dxa"/>
            <w:vAlign w:val="center"/>
          </w:tcPr>
          <w:p w14:paraId="13A435FB">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X＜20</w:t>
            </w:r>
          </w:p>
        </w:tc>
      </w:tr>
      <w:tr w14:paraId="40F3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7EC88CA">
            <w:pPr>
              <w:widowControl/>
              <w:spacing w:line="360" w:lineRule="auto"/>
              <w:rPr>
                <w:rFonts w:hint="eastAsia" w:ascii="仿宋" w:hAnsi="仿宋" w:eastAsia="仿宋" w:cs="仿宋"/>
                <w:color w:val="auto"/>
                <w:sz w:val="24"/>
                <w:szCs w:val="24"/>
                <w:highlight w:val="none"/>
              </w:rPr>
            </w:pPr>
          </w:p>
        </w:tc>
        <w:tc>
          <w:tcPr>
            <w:tcW w:w="1369" w:type="dxa"/>
            <w:vAlign w:val="center"/>
          </w:tcPr>
          <w:p w14:paraId="6282A596">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营业收入(Y)</w:t>
            </w:r>
          </w:p>
        </w:tc>
        <w:tc>
          <w:tcPr>
            <w:tcW w:w="709" w:type="dxa"/>
            <w:vAlign w:val="center"/>
          </w:tcPr>
          <w:p w14:paraId="369FF6E5">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1125" w:type="dxa"/>
            <w:vAlign w:val="center"/>
          </w:tcPr>
          <w:p w14:paraId="326641CF">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Y≥40000</w:t>
            </w:r>
          </w:p>
        </w:tc>
        <w:tc>
          <w:tcPr>
            <w:tcW w:w="1701" w:type="dxa"/>
            <w:vAlign w:val="center"/>
          </w:tcPr>
          <w:p w14:paraId="45F84C13">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2000≤Y＜40000</w:t>
            </w:r>
          </w:p>
        </w:tc>
        <w:tc>
          <w:tcPr>
            <w:tcW w:w="1426" w:type="dxa"/>
            <w:vAlign w:val="center"/>
          </w:tcPr>
          <w:p w14:paraId="70E78908">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300≤Y＜2000</w:t>
            </w:r>
          </w:p>
        </w:tc>
        <w:tc>
          <w:tcPr>
            <w:tcW w:w="992" w:type="dxa"/>
            <w:vAlign w:val="center"/>
          </w:tcPr>
          <w:p w14:paraId="4D15F3F0">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Y＜300</w:t>
            </w:r>
          </w:p>
        </w:tc>
      </w:tr>
      <w:tr w14:paraId="29DE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62B84E7">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建筑业</w:t>
            </w:r>
          </w:p>
        </w:tc>
        <w:tc>
          <w:tcPr>
            <w:tcW w:w="1369" w:type="dxa"/>
            <w:vAlign w:val="center"/>
          </w:tcPr>
          <w:p w14:paraId="296FF97C">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营业收入(Y)</w:t>
            </w:r>
          </w:p>
        </w:tc>
        <w:tc>
          <w:tcPr>
            <w:tcW w:w="709" w:type="dxa"/>
            <w:vAlign w:val="center"/>
          </w:tcPr>
          <w:p w14:paraId="480C0C33">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1125" w:type="dxa"/>
            <w:vAlign w:val="center"/>
          </w:tcPr>
          <w:p w14:paraId="4CD6F84B">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Y≥80000</w:t>
            </w:r>
          </w:p>
        </w:tc>
        <w:tc>
          <w:tcPr>
            <w:tcW w:w="1701" w:type="dxa"/>
            <w:vAlign w:val="center"/>
          </w:tcPr>
          <w:p w14:paraId="61893D49">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6000≤Y＜80000</w:t>
            </w:r>
          </w:p>
        </w:tc>
        <w:tc>
          <w:tcPr>
            <w:tcW w:w="1426" w:type="dxa"/>
            <w:vAlign w:val="center"/>
          </w:tcPr>
          <w:p w14:paraId="556DB7E4">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300≤Y＜6000</w:t>
            </w:r>
          </w:p>
        </w:tc>
        <w:tc>
          <w:tcPr>
            <w:tcW w:w="992" w:type="dxa"/>
            <w:vAlign w:val="center"/>
          </w:tcPr>
          <w:p w14:paraId="17874758">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Y＜300</w:t>
            </w:r>
          </w:p>
        </w:tc>
      </w:tr>
      <w:tr w14:paraId="473C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5C1CC22">
            <w:pPr>
              <w:widowControl/>
              <w:spacing w:line="360" w:lineRule="auto"/>
              <w:rPr>
                <w:rFonts w:hint="eastAsia" w:ascii="仿宋" w:hAnsi="仿宋" w:eastAsia="仿宋" w:cs="仿宋"/>
                <w:color w:val="auto"/>
                <w:sz w:val="24"/>
                <w:szCs w:val="24"/>
                <w:highlight w:val="none"/>
              </w:rPr>
            </w:pPr>
          </w:p>
        </w:tc>
        <w:tc>
          <w:tcPr>
            <w:tcW w:w="1369" w:type="dxa"/>
            <w:vAlign w:val="center"/>
          </w:tcPr>
          <w:p w14:paraId="5AC288C5">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资产总额(Z)</w:t>
            </w:r>
          </w:p>
        </w:tc>
        <w:tc>
          <w:tcPr>
            <w:tcW w:w="709" w:type="dxa"/>
            <w:vAlign w:val="center"/>
          </w:tcPr>
          <w:p w14:paraId="6523F0B9">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1125" w:type="dxa"/>
            <w:vAlign w:val="center"/>
          </w:tcPr>
          <w:p w14:paraId="24791A04">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Z≥80000</w:t>
            </w:r>
          </w:p>
        </w:tc>
        <w:tc>
          <w:tcPr>
            <w:tcW w:w="1701" w:type="dxa"/>
            <w:vAlign w:val="center"/>
          </w:tcPr>
          <w:p w14:paraId="7961433C">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5000≤Z＜80000</w:t>
            </w:r>
          </w:p>
        </w:tc>
        <w:tc>
          <w:tcPr>
            <w:tcW w:w="1426" w:type="dxa"/>
            <w:vAlign w:val="center"/>
          </w:tcPr>
          <w:p w14:paraId="1C5B93C1">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300≤Z＜5000</w:t>
            </w:r>
          </w:p>
        </w:tc>
        <w:tc>
          <w:tcPr>
            <w:tcW w:w="992" w:type="dxa"/>
            <w:vAlign w:val="center"/>
          </w:tcPr>
          <w:p w14:paraId="20587BCA">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Z＜300</w:t>
            </w:r>
          </w:p>
        </w:tc>
      </w:tr>
      <w:tr w14:paraId="2B9D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B90D4A4">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批发业</w:t>
            </w:r>
          </w:p>
        </w:tc>
        <w:tc>
          <w:tcPr>
            <w:tcW w:w="1369" w:type="dxa"/>
            <w:vAlign w:val="center"/>
          </w:tcPr>
          <w:p w14:paraId="5E105A88">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从业人员(X)</w:t>
            </w:r>
          </w:p>
        </w:tc>
        <w:tc>
          <w:tcPr>
            <w:tcW w:w="709" w:type="dxa"/>
            <w:vAlign w:val="center"/>
          </w:tcPr>
          <w:p w14:paraId="11622C6F">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w:t>
            </w:r>
          </w:p>
        </w:tc>
        <w:tc>
          <w:tcPr>
            <w:tcW w:w="1125" w:type="dxa"/>
            <w:vAlign w:val="center"/>
          </w:tcPr>
          <w:p w14:paraId="61AFF5B3">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X≥200</w:t>
            </w:r>
          </w:p>
        </w:tc>
        <w:tc>
          <w:tcPr>
            <w:tcW w:w="1701" w:type="dxa"/>
            <w:vAlign w:val="center"/>
          </w:tcPr>
          <w:p w14:paraId="1E0BA9D6">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20≤X＜200</w:t>
            </w:r>
          </w:p>
        </w:tc>
        <w:tc>
          <w:tcPr>
            <w:tcW w:w="1426" w:type="dxa"/>
            <w:vAlign w:val="center"/>
          </w:tcPr>
          <w:p w14:paraId="73767D8E">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5≤X＜20</w:t>
            </w:r>
          </w:p>
        </w:tc>
        <w:tc>
          <w:tcPr>
            <w:tcW w:w="992" w:type="dxa"/>
            <w:vAlign w:val="center"/>
          </w:tcPr>
          <w:p w14:paraId="06E27B41">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X＜5</w:t>
            </w:r>
          </w:p>
        </w:tc>
      </w:tr>
      <w:tr w14:paraId="502B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B34D477">
            <w:pPr>
              <w:widowControl/>
              <w:spacing w:line="360" w:lineRule="auto"/>
              <w:rPr>
                <w:rFonts w:hint="eastAsia" w:ascii="仿宋" w:hAnsi="仿宋" w:eastAsia="仿宋" w:cs="仿宋"/>
                <w:color w:val="auto"/>
                <w:sz w:val="24"/>
                <w:szCs w:val="24"/>
                <w:highlight w:val="none"/>
              </w:rPr>
            </w:pPr>
          </w:p>
        </w:tc>
        <w:tc>
          <w:tcPr>
            <w:tcW w:w="1369" w:type="dxa"/>
            <w:vAlign w:val="center"/>
          </w:tcPr>
          <w:p w14:paraId="7DE6717F">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营业收入(Y)</w:t>
            </w:r>
          </w:p>
        </w:tc>
        <w:tc>
          <w:tcPr>
            <w:tcW w:w="709" w:type="dxa"/>
            <w:vAlign w:val="center"/>
          </w:tcPr>
          <w:p w14:paraId="1BC49941">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1125" w:type="dxa"/>
            <w:vAlign w:val="center"/>
          </w:tcPr>
          <w:p w14:paraId="09AB143F">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Y≥40000</w:t>
            </w:r>
          </w:p>
        </w:tc>
        <w:tc>
          <w:tcPr>
            <w:tcW w:w="1701" w:type="dxa"/>
            <w:vAlign w:val="center"/>
          </w:tcPr>
          <w:p w14:paraId="2A0E3AA9">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5000≤Y＜40000</w:t>
            </w:r>
          </w:p>
        </w:tc>
        <w:tc>
          <w:tcPr>
            <w:tcW w:w="1426" w:type="dxa"/>
            <w:vAlign w:val="center"/>
          </w:tcPr>
          <w:p w14:paraId="0056F82C">
            <w:pPr>
              <w:widowControl/>
              <w:spacing w:line="360" w:lineRule="auto"/>
              <w:ind w:left="-1" w:leftChars="-1" w:hanging="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1000≤Y＜5000</w:t>
            </w:r>
          </w:p>
        </w:tc>
        <w:tc>
          <w:tcPr>
            <w:tcW w:w="992" w:type="dxa"/>
            <w:vAlign w:val="center"/>
          </w:tcPr>
          <w:p w14:paraId="75FA7027">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Y＜1000</w:t>
            </w:r>
          </w:p>
        </w:tc>
      </w:tr>
      <w:tr w14:paraId="6DF4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CF5B257">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零售业</w:t>
            </w:r>
          </w:p>
        </w:tc>
        <w:tc>
          <w:tcPr>
            <w:tcW w:w="1369" w:type="dxa"/>
            <w:vAlign w:val="center"/>
          </w:tcPr>
          <w:p w14:paraId="38EC4D2A">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从业人员(X)</w:t>
            </w:r>
          </w:p>
        </w:tc>
        <w:tc>
          <w:tcPr>
            <w:tcW w:w="709" w:type="dxa"/>
            <w:vAlign w:val="center"/>
          </w:tcPr>
          <w:p w14:paraId="7FF91984">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w:t>
            </w:r>
          </w:p>
        </w:tc>
        <w:tc>
          <w:tcPr>
            <w:tcW w:w="1125" w:type="dxa"/>
            <w:vAlign w:val="center"/>
          </w:tcPr>
          <w:p w14:paraId="4B099289">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X≥300</w:t>
            </w:r>
          </w:p>
        </w:tc>
        <w:tc>
          <w:tcPr>
            <w:tcW w:w="1701" w:type="dxa"/>
            <w:vAlign w:val="center"/>
          </w:tcPr>
          <w:p w14:paraId="604DB96E">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50≤X＜300</w:t>
            </w:r>
          </w:p>
        </w:tc>
        <w:tc>
          <w:tcPr>
            <w:tcW w:w="1426" w:type="dxa"/>
            <w:vAlign w:val="center"/>
          </w:tcPr>
          <w:p w14:paraId="2E804D15">
            <w:pPr>
              <w:widowControl/>
              <w:spacing w:line="360" w:lineRule="auto"/>
              <w:ind w:left="-1" w:leftChars="-1" w:hanging="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10≤X＜50 </w:t>
            </w:r>
          </w:p>
        </w:tc>
        <w:tc>
          <w:tcPr>
            <w:tcW w:w="992" w:type="dxa"/>
            <w:vAlign w:val="center"/>
          </w:tcPr>
          <w:p w14:paraId="327F83EB">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X＜10</w:t>
            </w:r>
          </w:p>
        </w:tc>
      </w:tr>
      <w:tr w14:paraId="7D6A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1163668">
            <w:pPr>
              <w:widowControl/>
              <w:spacing w:line="360" w:lineRule="auto"/>
              <w:rPr>
                <w:rFonts w:hint="eastAsia" w:ascii="仿宋" w:hAnsi="仿宋" w:eastAsia="仿宋" w:cs="仿宋"/>
                <w:color w:val="auto"/>
                <w:sz w:val="24"/>
                <w:szCs w:val="24"/>
                <w:highlight w:val="none"/>
              </w:rPr>
            </w:pPr>
          </w:p>
        </w:tc>
        <w:tc>
          <w:tcPr>
            <w:tcW w:w="1369" w:type="dxa"/>
            <w:vAlign w:val="center"/>
          </w:tcPr>
          <w:p w14:paraId="51725877">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营业收入(Y)</w:t>
            </w:r>
          </w:p>
        </w:tc>
        <w:tc>
          <w:tcPr>
            <w:tcW w:w="709" w:type="dxa"/>
            <w:vAlign w:val="center"/>
          </w:tcPr>
          <w:p w14:paraId="52AEC98B">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1125" w:type="dxa"/>
            <w:vAlign w:val="center"/>
          </w:tcPr>
          <w:p w14:paraId="2CA7D6CD">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Y≥20000</w:t>
            </w:r>
          </w:p>
        </w:tc>
        <w:tc>
          <w:tcPr>
            <w:tcW w:w="1701" w:type="dxa"/>
            <w:vAlign w:val="center"/>
          </w:tcPr>
          <w:p w14:paraId="7E86FDA3">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500≤Y＜20000</w:t>
            </w:r>
          </w:p>
        </w:tc>
        <w:tc>
          <w:tcPr>
            <w:tcW w:w="1426" w:type="dxa"/>
            <w:vAlign w:val="center"/>
          </w:tcPr>
          <w:p w14:paraId="372FE52C">
            <w:pPr>
              <w:widowControl/>
              <w:spacing w:line="360" w:lineRule="auto"/>
              <w:ind w:left="-1" w:leftChars="-1" w:hanging="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100≤Y＜500 </w:t>
            </w:r>
          </w:p>
        </w:tc>
        <w:tc>
          <w:tcPr>
            <w:tcW w:w="992" w:type="dxa"/>
            <w:vAlign w:val="center"/>
          </w:tcPr>
          <w:p w14:paraId="167A1836">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Y＜100</w:t>
            </w:r>
          </w:p>
        </w:tc>
      </w:tr>
      <w:tr w14:paraId="53A9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183F5E1">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交通运输业 *</w:t>
            </w:r>
          </w:p>
        </w:tc>
        <w:tc>
          <w:tcPr>
            <w:tcW w:w="1369" w:type="dxa"/>
            <w:vAlign w:val="center"/>
          </w:tcPr>
          <w:p w14:paraId="3F2D129D">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从业人员(X)</w:t>
            </w:r>
          </w:p>
        </w:tc>
        <w:tc>
          <w:tcPr>
            <w:tcW w:w="709" w:type="dxa"/>
            <w:vAlign w:val="center"/>
          </w:tcPr>
          <w:p w14:paraId="4BB8C648">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w:t>
            </w:r>
          </w:p>
        </w:tc>
        <w:tc>
          <w:tcPr>
            <w:tcW w:w="1125" w:type="dxa"/>
            <w:vAlign w:val="center"/>
          </w:tcPr>
          <w:p w14:paraId="4AC907B1">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X≥1000</w:t>
            </w:r>
          </w:p>
        </w:tc>
        <w:tc>
          <w:tcPr>
            <w:tcW w:w="1701" w:type="dxa"/>
            <w:vAlign w:val="center"/>
          </w:tcPr>
          <w:p w14:paraId="7F3534E9">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300≤X＜1000</w:t>
            </w:r>
          </w:p>
        </w:tc>
        <w:tc>
          <w:tcPr>
            <w:tcW w:w="1426" w:type="dxa"/>
            <w:vAlign w:val="center"/>
          </w:tcPr>
          <w:p w14:paraId="797E8C86">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20≤X＜300</w:t>
            </w:r>
          </w:p>
        </w:tc>
        <w:tc>
          <w:tcPr>
            <w:tcW w:w="992" w:type="dxa"/>
            <w:vAlign w:val="center"/>
          </w:tcPr>
          <w:p w14:paraId="0D443CD3">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X＜20</w:t>
            </w:r>
          </w:p>
        </w:tc>
      </w:tr>
      <w:tr w14:paraId="4E60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78D965D">
            <w:pPr>
              <w:widowControl/>
              <w:spacing w:line="360" w:lineRule="auto"/>
              <w:rPr>
                <w:rFonts w:hint="eastAsia" w:ascii="仿宋" w:hAnsi="仿宋" w:eastAsia="仿宋" w:cs="仿宋"/>
                <w:color w:val="auto"/>
                <w:sz w:val="24"/>
                <w:szCs w:val="24"/>
                <w:highlight w:val="none"/>
              </w:rPr>
            </w:pPr>
          </w:p>
        </w:tc>
        <w:tc>
          <w:tcPr>
            <w:tcW w:w="1369" w:type="dxa"/>
            <w:vAlign w:val="center"/>
          </w:tcPr>
          <w:p w14:paraId="610C0C36">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营业收入(Y)</w:t>
            </w:r>
          </w:p>
        </w:tc>
        <w:tc>
          <w:tcPr>
            <w:tcW w:w="709" w:type="dxa"/>
            <w:vAlign w:val="center"/>
          </w:tcPr>
          <w:p w14:paraId="660FD16B">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1125" w:type="dxa"/>
            <w:vAlign w:val="center"/>
          </w:tcPr>
          <w:p w14:paraId="4E6C6A5A">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Y≥30000</w:t>
            </w:r>
          </w:p>
        </w:tc>
        <w:tc>
          <w:tcPr>
            <w:tcW w:w="1701" w:type="dxa"/>
            <w:vAlign w:val="center"/>
          </w:tcPr>
          <w:p w14:paraId="6B59D15B">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3000≤Y＜30000</w:t>
            </w:r>
          </w:p>
        </w:tc>
        <w:tc>
          <w:tcPr>
            <w:tcW w:w="1426" w:type="dxa"/>
            <w:vAlign w:val="center"/>
          </w:tcPr>
          <w:p w14:paraId="746B1EEE">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200≤Y＜3000</w:t>
            </w:r>
          </w:p>
        </w:tc>
        <w:tc>
          <w:tcPr>
            <w:tcW w:w="992" w:type="dxa"/>
            <w:vAlign w:val="center"/>
          </w:tcPr>
          <w:p w14:paraId="67BAC220">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Y＜200</w:t>
            </w:r>
          </w:p>
        </w:tc>
      </w:tr>
      <w:tr w14:paraId="6940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774E601">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仓储业*</w:t>
            </w:r>
          </w:p>
        </w:tc>
        <w:tc>
          <w:tcPr>
            <w:tcW w:w="1369" w:type="dxa"/>
            <w:vAlign w:val="center"/>
          </w:tcPr>
          <w:p w14:paraId="57EA2461">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从业人员(X)</w:t>
            </w:r>
          </w:p>
        </w:tc>
        <w:tc>
          <w:tcPr>
            <w:tcW w:w="709" w:type="dxa"/>
            <w:vAlign w:val="center"/>
          </w:tcPr>
          <w:p w14:paraId="53952DAE">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w:t>
            </w:r>
          </w:p>
        </w:tc>
        <w:tc>
          <w:tcPr>
            <w:tcW w:w="1125" w:type="dxa"/>
            <w:vAlign w:val="center"/>
          </w:tcPr>
          <w:p w14:paraId="63CE5FA7">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X≥200</w:t>
            </w:r>
          </w:p>
        </w:tc>
        <w:tc>
          <w:tcPr>
            <w:tcW w:w="1701" w:type="dxa"/>
            <w:vAlign w:val="center"/>
          </w:tcPr>
          <w:p w14:paraId="5617800B">
            <w:pPr>
              <w:widowControl/>
              <w:spacing w:line="360" w:lineRule="auto"/>
              <w:ind w:left="37" w:leftChars="-51" w:hanging="144" w:hangingChars="6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100≤X＜200</w:t>
            </w:r>
          </w:p>
        </w:tc>
        <w:tc>
          <w:tcPr>
            <w:tcW w:w="1426" w:type="dxa"/>
            <w:vAlign w:val="center"/>
          </w:tcPr>
          <w:p w14:paraId="3C69D338">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20≤X＜100</w:t>
            </w:r>
          </w:p>
        </w:tc>
        <w:tc>
          <w:tcPr>
            <w:tcW w:w="992" w:type="dxa"/>
            <w:vAlign w:val="center"/>
          </w:tcPr>
          <w:p w14:paraId="6A38B336">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X＜20</w:t>
            </w:r>
          </w:p>
        </w:tc>
      </w:tr>
      <w:tr w14:paraId="62F8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053DA7B">
            <w:pPr>
              <w:widowControl/>
              <w:spacing w:line="360" w:lineRule="auto"/>
              <w:rPr>
                <w:rFonts w:hint="eastAsia" w:ascii="仿宋" w:hAnsi="仿宋" w:eastAsia="仿宋" w:cs="仿宋"/>
                <w:color w:val="auto"/>
                <w:sz w:val="24"/>
                <w:szCs w:val="24"/>
                <w:highlight w:val="none"/>
              </w:rPr>
            </w:pPr>
          </w:p>
        </w:tc>
        <w:tc>
          <w:tcPr>
            <w:tcW w:w="1369" w:type="dxa"/>
            <w:vAlign w:val="center"/>
          </w:tcPr>
          <w:p w14:paraId="7786C691">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营业收入(Y)</w:t>
            </w:r>
          </w:p>
        </w:tc>
        <w:tc>
          <w:tcPr>
            <w:tcW w:w="709" w:type="dxa"/>
            <w:vAlign w:val="center"/>
          </w:tcPr>
          <w:p w14:paraId="346C7DA4">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1125" w:type="dxa"/>
            <w:vAlign w:val="center"/>
          </w:tcPr>
          <w:p w14:paraId="4DA7BB76">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Y≥30000</w:t>
            </w:r>
          </w:p>
        </w:tc>
        <w:tc>
          <w:tcPr>
            <w:tcW w:w="1701" w:type="dxa"/>
            <w:vAlign w:val="center"/>
          </w:tcPr>
          <w:p w14:paraId="2BA28FE2">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1000≤Y＜30000</w:t>
            </w:r>
          </w:p>
        </w:tc>
        <w:tc>
          <w:tcPr>
            <w:tcW w:w="1426" w:type="dxa"/>
            <w:vAlign w:val="center"/>
          </w:tcPr>
          <w:p w14:paraId="4D603DC0">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100≤Y＜1000</w:t>
            </w:r>
          </w:p>
        </w:tc>
        <w:tc>
          <w:tcPr>
            <w:tcW w:w="992" w:type="dxa"/>
            <w:vAlign w:val="center"/>
          </w:tcPr>
          <w:p w14:paraId="457FBC65">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Y＜100</w:t>
            </w:r>
          </w:p>
        </w:tc>
      </w:tr>
      <w:tr w14:paraId="7C5E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D4FF66A">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邮政业</w:t>
            </w:r>
          </w:p>
        </w:tc>
        <w:tc>
          <w:tcPr>
            <w:tcW w:w="1369" w:type="dxa"/>
            <w:vAlign w:val="center"/>
          </w:tcPr>
          <w:p w14:paraId="7B2A45E9">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从业人员(X)</w:t>
            </w:r>
          </w:p>
        </w:tc>
        <w:tc>
          <w:tcPr>
            <w:tcW w:w="709" w:type="dxa"/>
            <w:vAlign w:val="center"/>
          </w:tcPr>
          <w:p w14:paraId="1D9D5FA1">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w:t>
            </w:r>
          </w:p>
        </w:tc>
        <w:tc>
          <w:tcPr>
            <w:tcW w:w="1125" w:type="dxa"/>
            <w:vAlign w:val="center"/>
          </w:tcPr>
          <w:p w14:paraId="3C99CEC8">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X≥1000</w:t>
            </w:r>
          </w:p>
        </w:tc>
        <w:tc>
          <w:tcPr>
            <w:tcW w:w="1701" w:type="dxa"/>
            <w:vAlign w:val="center"/>
          </w:tcPr>
          <w:p w14:paraId="1219B914">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300≤X＜1000</w:t>
            </w:r>
          </w:p>
        </w:tc>
        <w:tc>
          <w:tcPr>
            <w:tcW w:w="1426" w:type="dxa"/>
            <w:vAlign w:val="center"/>
          </w:tcPr>
          <w:p w14:paraId="53656D77">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20≤X＜300</w:t>
            </w:r>
          </w:p>
        </w:tc>
        <w:tc>
          <w:tcPr>
            <w:tcW w:w="992" w:type="dxa"/>
            <w:vAlign w:val="center"/>
          </w:tcPr>
          <w:p w14:paraId="30EB19BC">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X＜20</w:t>
            </w:r>
          </w:p>
        </w:tc>
      </w:tr>
      <w:tr w14:paraId="05EA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82E6BBE">
            <w:pPr>
              <w:widowControl/>
              <w:spacing w:line="360" w:lineRule="auto"/>
              <w:rPr>
                <w:rFonts w:hint="eastAsia" w:ascii="仿宋" w:hAnsi="仿宋" w:eastAsia="仿宋" w:cs="仿宋"/>
                <w:color w:val="auto"/>
                <w:sz w:val="24"/>
                <w:szCs w:val="24"/>
                <w:highlight w:val="none"/>
              </w:rPr>
            </w:pPr>
          </w:p>
        </w:tc>
        <w:tc>
          <w:tcPr>
            <w:tcW w:w="1369" w:type="dxa"/>
            <w:vAlign w:val="center"/>
          </w:tcPr>
          <w:p w14:paraId="48B3FBD2">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营业收入(Y)</w:t>
            </w:r>
          </w:p>
        </w:tc>
        <w:tc>
          <w:tcPr>
            <w:tcW w:w="709" w:type="dxa"/>
            <w:vAlign w:val="center"/>
          </w:tcPr>
          <w:p w14:paraId="0A589D07">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1125" w:type="dxa"/>
            <w:vAlign w:val="center"/>
          </w:tcPr>
          <w:p w14:paraId="2EC862B1">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Y≥30000</w:t>
            </w:r>
          </w:p>
        </w:tc>
        <w:tc>
          <w:tcPr>
            <w:tcW w:w="1701" w:type="dxa"/>
            <w:vAlign w:val="center"/>
          </w:tcPr>
          <w:p w14:paraId="63FD608D">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2000≤Y＜30000</w:t>
            </w:r>
          </w:p>
        </w:tc>
        <w:tc>
          <w:tcPr>
            <w:tcW w:w="1426" w:type="dxa"/>
            <w:vAlign w:val="center"/>
          </w:tcPr>
          <w:p w14:paraId="5B21A7E1">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100≤Y＜2000</w:t>
            </w:r>
          </w:p>
        </w:tc>
        <w:tc>
          <w:tcPr>
            <w:tcW w:w="992" w:type="dxa"/>
            <w:vAlign w:val="center"/>
          </w:tcPr>
          <w:p w14:paraId="3628B0A9">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Y＜100</w:t>
            </w:r>
          </w:p>
        </w:tc>
      </w:tr>
      <w:tr w14:paraId="51AF5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68CC000">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住宿业</w:t>
            </w:r>
          </w:p>
        </w:tc>
        <w:tc>
          <w:tcPr>
            <w:tcW w:w="1369" w:type="dxa"/>
            <w:vAlign w:val="center"/>
          </w:tcPr>
          <w:p w14:paraId="47E6C278">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从业人员(X)</w:t>
            </w:r>
          </w:p>
        </w:tc>
        <w:tc>
          <w:tcPr>
            <w:tcW w:w="709" w:type="dxa"/>
            <w:vAlign w:val="center"/>
          </w:tcPr>
          <w:p w14:paraId="5BA72EFF">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w:t>
            </w:r>
          </w:p>
        </w:tc>
        <w:tc>
          <w:tcPr>
            <w:tcW w:w="1125" w:type="dxa"/>
            <w:vAlign w:val="center"/>
          </w:tcPr>
          <w:p w14:paraId="4BCA5C8E">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X≥300</w:t>
            </w:r>
          </w:p>
        </w:tc>
        <w:tc>
          <w:tcPr>
            <w:tcW w:w="1701" w:type="dxa"/>
            <w:vAlign w:val="center"/>
          </w:tcPr>
          <w:p w14:paraId="6A1042CE">
            <w:pPr>
              <w:widowControl/>
              <w:spacing w:line="360" w:lineRule="auto"/>
              <w:ind w:left="37" w:leftChars="-51" w:hanging="144" w:hangingChars="6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100≤X＜300 </w:t>
            </w:r>
          </w:p>
        </w:tc>
        <w:tc>
          <w:tcPr>
            <w:tcW w:w="1426" w:type="dxa"/>
            <w:vAlign w:val="center"/>
          </w:tcPr>
          <w:p w14:paraId="53A4340F">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10≤X＜100</w:t>
            </w:r>
          </w:p>
        </w:tc>
        <w:tc>
          <w:tcPr>
            <w:tcW w:w="992" w:type="dxa"/>
            <w:vAlign w:val="center"/>
          </w:tcPr>
          <w:p w14:paraId="5A239196">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X＜10</w:t>
            </w:r>
          </w:p>
        </w:tc>
      </w:tr>
      <w:tr w14:paraId="3999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35B0429">
            <w:pPr>
              <w:widowControl/>
              <w:spacing w:line="360" w:lineRule="auto"/>
              <w:rPr>
                <w:rFonts w:hint="eastAsia" w:ascii="仿宋" w:hAnsi="仿宋" w:eastAsia="仿宋" w:cs="仿宋"/>
                <w:color w:val="auto"/>
                <w:sz w:val="24"/>
                <w:szCs w:val="24"/>
                <w:highlight w:val="none"/>
              </w:rPr>
            </w:pPr>
          </w:p>
        </w:tc>
        <w:tc>
          <w:tcPr>
            <w:tcW w:w="1369" w:type="dxa"/>
            <w:vAlign w:val="center"/>
          </w:tcPr>
          <w:p w14:paraId="7F591755">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营业收入(Y)</w:t>
            </w:r>
          </w:p>
        </w:tc>
        <w:tc>
          <w:tcPr>
            <w:tcW w:w="709" w:type="dxa"/>
            <w:vAlign w:val="center"/>
          </w:tcPr>
          <w:p w14:paraId="4D8AD282">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1125" w:type="dxa"/>
            <w:vAlign w:val="center"/>
          </w:tcPr>
          <w:p w14:paraId="111DDE6D">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Y≥10000</w:t>
            </w:r>
          </w:p>
        </w:tc>
        <w:tc>
          <w:tcPr>
            <w:tcW w:w="1701" w:type="dxa"/>
            <w:vAlign w:val="center"/>
          </w:tcPr>
          <w:p w14:paraId="0CA8D335">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2000≤Y＜10000</w:t>
            </w:r>
          </w:p>
        </w:tc>
        <w:tc>
          <w:tcPr>
            <w:tcW w:w="1426" w:type="dxa"/>
            <w:vAlign w:val="center"/>
          </w:tcPr>
          <w:p w14:paraId="6DB00D37">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100≤Y＜2000</w:t>
            </w:r>
          </w:p>
        </w:tc>
        <w:tc>
          <w:tcPr>
            <w:tcW w:w="992" w:type="dxa"/>
            <w:vAlign w:val="center"/>
          </w:tcPr>
          <w:p w14:paraId="0DC0DFB4">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Y＜100</w:t>
            </w:r>
          </w:p>
        </w:tc>
      </w:tr>
      <w:tr w14:paraId="7809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7BF83E0">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餐饮业</w:t>
            </w:r>
          </w:p>
        </w:tc>
        <w:tc>
          <w:tcPr>
            <w:tcW w:w="1369" w:type="dxa"/>
            <w:vAlign w:val="center"/>
          </w:tcPr>
          <w:p w14:paraId="2270BF84">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从业人员(X)</w:t>
            </w:r>
          </w:p>
        </w:tc>
        <w:tc>
          <w:tcPr>
            <w:tcW w:w="709" w:type="dxa"/>
            <w:vAlign w:val="center"/>
          </w:tcPr>
          <w:p w14:paraId="334C2FF4">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w:t>
            </w:r>
          </w:p>
        </w:tc>
        <w:tc>
          <w:tcPr>
            <w:tcW w:w="1125" w:type="dxa"/>
            <w:vAlign w:val="center"/>
          </w:tcPr>
          <w:p w14:paraId="497C1B11">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X≥300</w:t>
            </w:r>
          </w:p>
        </w:tc>
        <w:tc>
          <w:tcPr>
            <w:tcW w:w="1701" w:type="dxa"/>
            <w:vAlign w:val="center"/>
          </w:tcPr>
          <w:p w14:paraId="5A83609C">
            <w:pPr>
              <w:widowControl/>
              <w:spacing w:line="360" w:lineRule="auto"/>
              <w:ind w:left="37" w:leftChars="-51" w:hanging="144" w:hangingChars="6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100≤X＜300 </w:t>
            </w:r>
          </w:p>
        </w:tc>
        <w:tc>
          <w:tcPr>
            <w:tcW w:w="1426" w:type="dxa"/>
            <w:vAlign w:val="center"/>
          </w:tcPr>
          <w:p w14:paraId="03CF8F30">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10≤X＜100</w:t>
            </w:r>
          </w:p>
        </w:tc>
        <w:tc>
          <w:tcPr>
            <w:tcW w:w="992" w:type="dxa"/>
            <w:vAlign w:val="center"/>
          </w:tcPr>
          <w:p w14:paraId="377F79DF">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X＜10</w:t>
            </w:r>
          </w:p>
        </w:tc>
      </w:tr>
      <w:tr w14:paraId="18B8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D056394">
            <w:pPr>
              <w:widowControl/>
              <w:spacing w:line="360" w:lineRule="auto"/>
              <w:rPr>
                <w:rFonts w:hint="eastAsia" w:ascii="仿宋" w:hAnsi="仿宋" w:eastAsia="仿宋" w:cs="仿宋"/>
                <w:color w:val="auto"/>
                <w:sz w:val="24"/>
                <w:szCs w:val="24"/>
                <w:highlight w:val="none"/>
              </w:rPr>
            </w:pPr>
          </w:p>
        </w:tc>
        <w:tc>
          <w:tcPr>
            <w:tcW w:w="1369" w:type="dxa"/>
            <w:vAlign w:val="center"/>
          </w:tcPr>
          <w:p w14:paraId="2AF2352C">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营业收入(Y)</w:t>
            </w:r>
          </w:p>
        </w:tc>
        <w:tc>
          <w:tcPr>
            <w:tcW w:w="709" w:type="dxa"/>
            <w:vAlign w:val="center"/>
          </w:tcPr>
          <w:p w14:paraId="049F9565">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1125" w:type="dxa"/>
            <w:vAlign w:val="center"/>
          </w:tcPr>
          <w:p w14:paraId="164286F1">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Y≥10000</w:t>
            </w:r>
          </w:p>
        </w:tc>
        <w:tc>
          <w:tcPr>
            <w:tcW w:w="1701" w:type="dxa"/>
            <w:vAlign w:val="center"/>
          </w:tcPr>
          <w:p w14:paraId="1DC33A4A">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2000≤Y＜10000</w:t>
            </w:r>
          </w:p>
        </w:tc>
        <w:tc>
          <w:tcPr>
            <w:tcW w:w="1426" w:type="dxa"/>
            <w:vAlign w:val="center"/>
          </w:tcPr>
          <w:p w14:paraId="1C01D80F">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100≤Y＜2000</w:t>
            </w:r>
          </w:p>
        </w:tc>
        <w:tc>
          <w:tcPr>
            <w:tcW w:w="992" w:type="dxa"/>
            <w:vAlign w:val="center"/>
          </w:tcPr>
          <w:p w14:paraId="3C920583">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Y＜100</w:t>
            </w:r>
          </w:p>
        </w:tc>
      </w:tr>
      <w:tr w14:paraId="7386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35E107B">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信息传输业 *</w:t>
            </w:r>
          </w:p>
        </w:tc>
        <w:tc>
          <w:tcPr>
            <w:tcW w:w="1369" w:type="dxa"/>
            <w:vAlign w:val="center"/>
          </w:tcPr>
          <w:p w14:paraId="0271EA48">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从业人员(X)</w:t>
            </w:r>
          </w:p>
        </w:tc>
        <w:tc>
          <w:tcPr>
            <w:tcW w:w="709" w:type="dxa"/>
            <w:vAlign w:val="center"/>
          </w:tcPr>
          <w:p w14:paraId="510D2145">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w:t>
            </w:r>
          </w:p>
        </w:tc>
        <w:tc>
          <w:tcPr>
            <w:tcW w:w="1125" w:type="dxa"/>
            <w:vAlign w:val="center"/>
          </w:tcPr>
          <w:p w14:paraId="7FD16A95">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X≥2000</w:t>
            </w:r>
          </w:p>
        </w:tc>
        <w:tc>
          <w:tcPr>
            <w:tcW w:w="1701" w:type="dxa"/>
            <w:vAlign w:val="center"/>
          </w:tcPr>
          <w:p w14:paraId="65D983DA">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100≤X＜2000</w:t>
            </w:r>
          </w:p>
        </w:tc>
        <w:tc>
          <w:tcPr>
            <w:tcW w:w="1426" w:type="dxa"/>
            <w:vAlign w:val="center"/>
          </w:tcPr>
          <w:p w14:paraId="5980A027">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10≤X＜100</w:t>
            </w:r>
          </w:p>
        </w:tc>
        <w:tc>
          <w:tcPr>
            <w:tcW w:w="992" w:type="dxa"/>
            <w:vAlign w:val="center"/>
          </w:tcPr>
          <w:p w14:paraId="75CEF854">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X＜10</w:t>
            </w:r>
          </w:p>
        </w:tc>
      </w:tr>
      <w:tr w14:paraId="4EAC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506F2D1">
            <w:pPr>
              <w:widowControl/>
              <w:spacing w:line="360" w:lineRule="auto"/>
              <w:rPr>
                <w:rFonts w:hint="eastAsia" w:ascii="仿宋" w:hAnsi="仿宋" w:eastAsia="仿宋" w:cs="仿宋"/>
                <w:color w:val="auto"/>
                <w:sz w:val="24"/>
                <w:szCs w:val="24"/>
                <w:highlight w:val="none"/>
              </w:rPr>
            </w:pPr>
          </w:p>
        </w:tc>
        <w:tc>
          <w:tcPr>
            <w:tcW w:w="1369" w:type="dxa"/>
            <w:vAlign w:val="center"/>
          </w:tcPr>
          <w:p w14:paraId="6DCF9209">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营业收入(Y)</w:t>
            </w:r>
          </w:p>
        </w:tc>
        <w:tc>
          <w:tcPr>
            <w:tcW w:w="709" w:type="dxa"/>
            <w:vAlign w:val="center"/>
          </w:tcPr>
          <w:p w14:paraId="45674507">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1125" w:type="dxa"/>
            <w:vAlign w:val="center"/>
          </w:tcPr>
          <w:p w14:paraId="43363B37">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Y≥100000</w:t>
            </w:r>
          </w:p>
        </w:tc>
        <w:tc>
          <w:tcPr>
            <w:tcW w:w="1701" w:type="dxa"/>
            <w:vAlign w:val="center"/>
          </w:tcPr>
          <w:p w14:paraId="441C204A">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1000≤Y＜100000</w:t>
            </w:r>
          </w:p>
        </w:tc>
        <w:tc>
          <w:tcPr>
            <w:tcW w:w="1426" w:type="dxa"/>
            <w:vAlign w:val="center"/>
          </w:tcPr>
          <w:p w14:paraId="0C1DCD36">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100≤Y＜1000</w:t>
            </w:r>
          </w:p>
        </w:tc>
        <w:tc>
          <w:tcPr>
            <w:tcW w:w="992" w:type="dxa"/>
            <w:vAlign w:val="center"/>
          </w:tcPr>
          <w:p w14:paraId="1608E34D">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Y＜100</w:t>
            </w:r>
          </w:p>
        </w:tc>
      </w:tr>
      <w:tr w14:paraId="38379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AC2336E">
            <w:pPr>
              <w:widowControl/>
              <w:spacing w:line="360" w:lineRule="auto"/>
              <w:rPr>
                <w:rFonts w:hint="eastAsia" w:ascii="仿宋" w:hAnsi="仿宋" w:eastAsia="仿宋" w:cs="仿宋"/>
                <w:color w:val="auto"/>
                <w:spacing w:val="-12"/>
                <w:sz w:val="24"/>
                <w:szCs w:val="24"/>
                <w:highlight w:val="none"/>
              </w:rPr>
            </w:pPr>
            <w:r>
              <w:rPr>
                <w:rFonts w:hint="eastAsia" w:ascii="仿宋" w:hAnsi="仿宋" w:eastAsia="仿宋" w:cs="仿宋"/>
                <w:color w:val="auto"/>
                <w:spacing w:val="-12"/>
                <w:sz w:val="24"/>
                <w:szCs w:val="24"/>
                <w:highlight w:val="none"/>
              </w:rPr>
              <w:t>软件和信息技术服</w:t>
            </w:r>
            <w:r>
              <w:rPr>
                <w:rFonts w:hint="eastAsia" w:ascii="仿宋" w:hAnsi="仿宋" w:eastAsia="仿宋" w:cs="仿宋"/>
                <w:color w:val="auto"/>
                <w:sz w:val="24"/>
                <w:szCs w:val="24"/>
                <w:highlight w:val="none"/>
              </w:rPr>
              <w:t>务业</w:t>
            </w:r>
          </w:p>
        </w:tc>
        <w:tc>
          <w:tcPr>
            <w:tcW w:w="1369" w:type="dxa"/>
            <w:vAlign w:val="center"/>
          </w:tcPr>
          <w:p w14:paraId="69E85FC7">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从业人员(X)</w:t>
            </w:r>
          </w:p>
        </w:tc>
        <w:tc>
          <w:tcPr>
            <w:tcW w:w="709" w:type="dxa"/>
            <w:vAlign w:val="center"/>
          </w:tcPr>
          <w:p w14:paraId="2B1E2F4B">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w:t>
            </w:r>
          </w:p>
        </w:tc>
        <w:tc>
          <w:tcPr>
            <w:tcW w:w="1125" w:type="dxa"/>
            <w:vAlign w:val="center"/>
          </w:tcPr>
          <w:p w14:paraId="53D1FFE1">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X≥300</w:t>
            </w:r>
          </w:p>
        </w:tc>
        <w:tc>
          <w:tcPr>
            <w:tcW w:w="1701" w:type="dxa"/>
            <w:vAlign w:val="center"/>
          </w:tcPr>
          <w:p w14:paraId="664FB291">
            <w:pPr>
              <w:widowControl/>
              <w:spacing w:line="360" w:lineRule="auto"/>
              <w:ind w:left="37" w:leftChars="-51" w:hanging="144" w:hangingChars="6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100≤X＜300 </w:t>
            </w:r>
          </w:p>
        </w:tc>
        <w:tc>
          <w:tcPr>
            <w:tcW w:w="1426" w:type="dxa"/>
            <w:vAlign w:val="center"/>
          </w:tcPr>
          <w:p w14:paraId="62A085D3">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10≤X＜100</w:t>
            </w:r>
          </w:p>
        </w:tc>
        <w:tc>
          <w:tcPr>
            <w:tcW w:w="992" w:type="dxa"/>
            <w:vAlign w:val="center"/>
          </w:tcPr>
          <w:p w14:paraId="13BD8D8A">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X＜10</w:t>
            </w:r>
          </w:p>
        </w:tc>
      </w:tr>
      <w:tr w14:paraId="35C7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2113" w:type="dxa"/>
            <w:vMerge w:val="continue"/>
            <w:vAlign w:val="center"/>
          </w:tcPr>
          <w:p w14:paraId="56DE8733">
            <w:pPr>
              <w:widowControl/>
              <w:spacing w:line="360" w:lineRule="auto"/>
              <w:rPr>
                <w:rFonts w:hint="eastAsia" w:ascii="仿宋" w:hAnsi="仿宋" w:eastAsia="仿宋" w:cs="仿宋"/>
                <w:color w:val="auto"/>
                <w:spacing w:val="-12"/>
                <w:sz w:val="24"/>
                <w:szCs w:val="24"/>
                <w:highlight w:val="none"/>
              </w:rPr>
            </w:pPr>
          </w:p>
        </w:tc>
        <w:tc>
          <w:tcPr>
            <w:tcW w:w="1369" w:type="dxa"/>
            <w:vAlign w:val="center"/>
          </w:tcPr>
          <w:p w14:paraId="2652A295">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营业收入(Y)</w:t>
            </w:r>
          </w:p>
        </w:tc>
        <w:tc>
          <w:tcPr>
            <w:tcW w:w="709" w:type="dxa"/>
            <w:vAlign w:val="center"/>
          </w:tcPr>
          <w:p w14:paraId="38757C1E">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1125" w:type="dxa"/>
            <w:vAlign w:val="center"/>
          </w:tcPr>
          <w:p w14:paraId="0FEAE222">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Y≥10000</w:t>
            </w:r>
          </w:p>
        </w:tc>
        <w:tc>
          <w:tcPr>
            <w:tcW w:w="1701" w:type="dxa"/>
            <w:vAlign w:val="center"/>
          </w:tcPr>
          <w:p w14:paraId="53C3C237">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1000≤Y＜10000</w:t>
            </w:r>
          </w:p>
        </w:tc>
        <w:tc>
          <w:tcPr>
            <w:tcW w:w="1426" w:type="dxa"/>
            <w:vAlign w:val="center"/>
          </w:tcPr>
          <w:p w14:paraId="01FB05C8">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50≤Y＜1000</w:t>
            </w:r>
          </w:p>
        </w:tc>
        <w:tc>
          <w:tcPr>
            <w:tcW w:w="992" w:type="dxa"/>
            <w:vAlign w:val="center"/>
          </w:tcPr>
          <w:p w14:paraId="07A7F3FC">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Y＜50</w:t>
            </w:r>
          </w:p>
        </w:tc>
      </w:tr>
      <w:tr w14:paraId="7B16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D188A7D">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房地产开发经营</w:t>
            </w:r>
          </w:p>
        </w:tc>
        <w:tc>
          <w:tcPr>
            <w:tcW w:w="1369" w:type="dxa"/>
            <w:vAlign w:val="center"/>
          </w:tcPr>
          <w:p w14:paraId="20F31593">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营业收入(Y)</w:t>
            </w:r>
          </w:p>
        </w:tc>
        <w:tc>
          <w:tcPr>
            <w:tcW w:w="709" w:type="dxa"/>
            <w:vAlign w:val="center"/>
          </w:tcPr>
          <w:p w14:paraId="5EC39099">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1125" w:type="dxa"/>
            <w:vAlign w:val="center"/>
          </w:tcPr>
          <w:p w14:paraId="0CA76CA0">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Y≥200000</w:t>
            </w:r>
          </w:p>
        </w:tc>
        <w:tc>
          <w:tcPr>
            <w:tcW w:w="1701" w:type="dxa"/>
            <w:vAlign w:val="center"/>
          </w:tcPr>
          <w:p w14:paraId="7237E127">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1000≤Y＜200000</w:t>
            </w:r>
          </w:p>
        </w:tc>
        <w:tc>
          <w:tcPr>
            <w:tcW w:w="1426" w:type="dxa"/>
            <w:vAlign w:val="center"/>
          </w:tcPr>
          <w:p w14:paraId="49DC509C">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100≤Y＜1000</w:t>
            </w:r>
          </w:p>
        </w:tc>
        <w:tc>
          <w:tcPr>
            <w:tcW w:w="992" w:type="dxa"/>
            <w:vAlign w:val="center"/>
          </w:tcPr>
          <w:p w14:paraId="0F9E6F43">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Y＜100</w:t>
            </w:r>
          </w:p>
        </w:tc>
      </w:tr>
      <w:tr w14:paraId="4EFDA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78C266DB">
            <w:pPr>
              <w:widowControl/>
              <w:spacing w:line="360" w:lineRule="auto"/>
              <w:rPr>
                <w:rFonts w:hint="eastAsia" w:ascii="仿宋" w:hAnsi="仿宋" w:eastAsia="仿宋" w:cs="仿宋"/>
                <w:color w:val="auto"/>
                <w:sz w:val="24"/>
                <w:szCs w:val="24"/>
                <w:highlight w:val="none"/>
              </w:rPr>
            </w:pPr>
          </w:p>
        </w:tc>
        <w:tc>
          <w:tcPr>
            <w:tcW w:w="1369" w:type="dxa"/>
            <w:vAlign w:val="center"/>
          </w:tcPr>
          <w:p w14:paraId="0714CC11">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资产总额(Z)</w:t>
            </w:r>
          </w:p>
        </w:tc>
        <w:tc>
          <w:tcPr>
            <w:tcW w:w="709" w:type="dxa"/>
            <w:vAlign w:val="center"/>
          </w:tcPr>
          <w:p w14:paraId="32090343">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1125" w:type="dxa"/>
            <w:vAlign w:val="center"/>
          </w:tcPr>
          <w:p w14:paraId="620288A5">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Z≥10000</w:t>
            </w:r>
          </w:p>
        </w:tc>
        <w:tc>
          <w:tcPr>
            <w:tcW w:w="1701" w:type="dxa"/>
            <w:vAlign w:val="center"/>
          </w:tcPr>
          <w:p w14:paraId="1DDA775F">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5000≤Z＜10000</w:t>
            </w:r>
          </w:p>
        </w:tc>
        <w:tc>
          <w:tcPr>
            <w:tcW w:w="1426" w:type="dxa"/>
            <w:vAlign w:val="center"/>
          </w:tcPr>
          <w:p w14:paraId="2B2D540C">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2000≤Z＜5000   </w:t>
            </w:r>
          </w:p>
        </w:tc>
        <w:tc>
          <w:tcPr>
            <w:tcW w:w="992" w:type="dxa"/>
            <w:vAlign w:val="center"/>
          </w:tcPr>
          <w:p w14:paraId="74BD0647">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Z＜2000</w:t>
            </w:r>
          </w:p>
        </w:tc>
      </w:tr>
      <w:tr w14:paraId="62FA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D5746C4">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物业管理</w:t>
            </w:r>
          </w:p>
        </w:tc>
        <w:tc>
          <w:tcPr>
            <w:tcW w:w="1369" w:type="dxa"/>
            <w:vAlign w:val="center"/>
          </w:tcPr>
          <w:p w14:paraId="472A92FE">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从业人员(X)</w:t>
            </w:r>
          </w:p>
        </w:tc>
        <w:tc>
          <w:tcPr>
            <w:tcW w:w="709" w:type="dxa"/>
            <w:vAlign w:val="center"/>
          </w:tcPr>
          <w:p w14:paraId="1129D595">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w:t>
            </w:r>
          </w:p>
        </w:tc>
        <w:tc>
          <w:tcPr>
            <w:tcW w:w="1125" w:type="dxa"/>
            <w:vAlign w:val="center"/>
          </w:tcPr>
          <w:p w14:paraId="2EEEC8E1">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X≥1000</w:t>
            </w:r>
          </w:p>
        </w:tc>
        <w:tc>
          <w:tcPr>
            <w:tcW w:w="1701" w:type="dxa"/>
            <w:vAlign w:val="center"/>
          </w:tcPr>
          <w:p w14:paraId="2F1D6B8F">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300≤X＜1000</w:t>
            </w:r>
          </w:p>
        </w:tc>
        <w:tc>
          <w:tcPr>
            <w:tcW w:w="1426" w:type="dxa"/>
            <w:vAlign w:val="center"/>
          </w:tcPr>
          <w:p w14:paraId="057E103E">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100≤X＜300 </w:t>
            </w:r>
          </w:p>
        </w:tc>
        <w:tc>
          <w:tcPr>
            <w:tcW w:w="992" w:type="dxa"/>
            <w:vAlign w:val="center"/>
          </w:tcPr>
          <w:p w14:paraId="1CB7ADBC">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X＜100</w:t>
            </w:r>
          </w:p>
        </w:tc>
      </w:tr>
      <w:tr w14:paraId="5E90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ED5D1DE">
            <w:pPr>
              <w:widowControl/>
              <w:spacing w:line="360" w:lineRule="auto"/>
              <w:rPr>
                <w:rFonts w:hint="eastAsia" w:ascii="仿宋" w:hAnsi="仿宋" w:eastAsia="仿宋" w:cs="仿宋"/>
                <w:color w:val="auto"/>
                <w:sz w:val="24"/>
                <w:szCs w:val="24"/>
                <w:highlight w:val="none"/>
              </w:rPr>
            </w:pPr>
          </w:p>
        </w:tc>
        <w:tc>
          <w:tcPr>
            <w:tcW w:w="1369" w:type="dxa"/>
            <w:vAlign w:val="center"/>
          </w:tcPr>
          <w:p w14:paraId="7542708F">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营业收入(Y)</w:t>
            </w:r>
          </w:p>
        </w:tc>
        <w:tc>
          <w:tcPr>
            <w:tcW w:w="709" w:type="dxa"/>
            <w:vAlign w:val="center"/>
          </w:tcPr>
          <w:p w14:paraId="190F073B">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1125" w:type="dxa"/>
            <w:vAlign w:val="center"/>
          </w:tcPr>
          <w:p w14:paraId="06D886DE">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Y≥5000</w:t>
            </w:r>
          </w:p>
        </w:tc>
        <w:tc>
          <w:tcPr>
            <w:tcW w:w="1701" w:type="dxa"/>
            <w:vAlign w:val="center"/>
          </w:tcPr>
          <w:p w14:paraId="7C78702B">
            <w:pPr>
              <w:widowControl/>
              <w:spacing w:line="360" w:lineRule="auto"/>
              <w:ind w:left="37" w:leftChars="-51" w:hanging="144" w:hangingChars="6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1000≤Y＜5000 </w:t>
            </w:r>
          </w:p>
        </w:tc>
        <w:tc>
          <w:tcPr>
            <w:tcW w:w="1426" w:type="dxa"/>
            <w:vAlign w:val="center"/>
          </w:tcPr>
          <w:p w14:paraId="44FA34DA">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500≤Y＜1000</w:t>
            </w:r>
          </w:p>
        </w:tc>
        <w:tc>
          <w:tcPr>
            <w:tcW w:w="992" w:type="dxa"/>
            <w:vAlign w:val="center"/>
          </w:tcPr>
          <w:p w14:paraId="49654C79">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Y＜500</w:t>
            </w:r>
          </w:p>
        </w:tc>
      </w:tr>
      <w:tr w14:paraId="1689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900F006">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租赁和商务服务业</w:t>
            </w:r>
          </w:p>
        </w:tc>
        <w:tc>
          <w:tcPr>
            <w:tcW w:w="1369" w:type="dxa"/>
            <w:vAlign w:val="center"/>
          </w:tcPr>
          <w:p w14:paraId="22B6490B">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从业人员(X)</w:t>
            </w:r>
          </w:p>
        </w:tc>
        <w:tc>
          <w:tcPr>
            <w:tcW w:w="709" w:type="dxa"/>
            <w:vAlign w:val="center"/>
          </w:tcPr>
          <w:p w14:paraId="2E9BBD9B">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w:t>
            </w:r>
          </w:p>
        </w:tc>
        <w:tc>
          <w:tcPr>
            <w:tcW w:w="1125" w:type="dxa"/>
            <w:vAlign w:val="center"/>
          </w:tcPr>
          <w:p w14:paraId="29B82AE2">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X≥300</w:t>
            </w:r>
          </w:p>
        </w:tc>
        <w:tc>
          <w:tcPr>
            <w:tcW w:w="1701" w:type="dxa"/>
            <w:vAlign w:val="center"/>
          </w:tcPr>
          <w:p w14:paraId="291A2A0C">
            <w:pPr>
              <w:widowControl/>
              <w:spacing w:line="360" w:lineRule="auto"/>
              <w:ind w:left="37" w:leftChars="-51" w:hanging="144" w:hangingChars="6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100≤X＜300 </w:t>
            </w:r>
          </w:p>
        </w:tc>
        <w:tc>
          <w:tcPr>
            <w:tcW w:w="1426" w:type="dxa"/>
            <w:vAlign w:val="center"/>
          </w:tcPr>
          <w:p w14:paraId="2519B086">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10≤X＜100</w:t>
            </w:r>
          </w:p>
        </w:tc>
        <w:tc>
          <w:tcPr>
            <w:tcW w:w="992" w:type="dxa"/>
            <w:vAlign w:val="center"/>
          </w:tcPr>
          <w:p w14:paraId="7DF855E5">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X＜10</w:t>
            </w:r>
          </w:p>
        </w:tc>
      </w:tr>
      <w:tr w14:paraId="01FC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jc w:val="center"/>
        </w:trPr>
        <w:tc>
          <w:tcPr>
            <w:tcW w:w="2113" w:type="dxa"/>
            <w:vMerge w:val="continue"/>
            <w:vAlign w:val="center"/>
          </w:tcPr>
          <w:p w14:paraId="3E2CAC74">
            <w:pPr>
              <w:widowControl/>
              <w:spacing w:line="360" w:lineRule="auto"/>
              <w:rPr>
                <w:rFonts w:hint="eastAsia" w:ascii="仿宋" w:hAnsi="仿宋" w:eastAsia="仿宋" w:cs="仿宋"/>
                <w:color w:val="auto"/>
                <w:sz w:val="24"/>
                <w:szCs w:val="24"/>
                <w:highlight w:val="none"/>
              </w:rPr>
            </w:pPr>
          </w:p>
        </w:tc>
        <w:tc>
          <w:tcPr>
            <w:tcW w:w="1369" w:type="dxa"/>
            <w:vAlign w:val="center"/>
          </w:tcPr>
          <w:p w14:paraId="5927AC8E">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资产总额(Z)</w:t>
            </w:r>
          </w:p>
        </w:tc>
        <w:tc>
          <w:tcPr>
            <w:tcW w:w="709" w:type="dxa"/>
            <w:vAlign w:val="center"/>
          </w:tcPr>
          <w:p w14:paraId="33F8CEB0">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1125" w:type="dxa"/>
            <w:vAlign w:val="center"/>
          </w:tcPr>
          <w:p w14:paraId="0B82BB40">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Z≥120000</w:t>
            </w:r>
          </w:p>
        </w:tc>
        <w:tc>
          <w:tcPr>
            <w:tcW w:w="1701" w:type="dxa"/>
            <w:vAlign w:val="center"/>
          </w:tcPr>
          <w:p w14:paraId="38E346E2">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8000≤Z＜120000</w:t>
            </w:r>
          </w:p>
        </w:tc>
        <w:tc>
          <w:tcPr>
            <w:tcW w:w="1426" w:type="dxa"/>
            <w:vAlign w:val="center"/>
          </w:tcPr>
          <w:p w14:paraId="5E8953A9">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100≤Z＜8000</w:t>
            </w:r>
          </w:p>
        </w:tc>
        <w:tc>
          <w:tcPr>
            <w:tcW w:w="992" w:type="dxa"/>
            <w:vAlign w:val="center"/>
          </w:tcPr>
          <w:p w14:paraId="2C6CE255">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Z＜100</w:t>
            </w:r>
          </w:p>
        </w:tc>
      </w:tr>
      <w:tr w14:paraId="145F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30CF9379">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其他未列明行业 *</w:t>
            </w:r>
          </w:p>
        </w:tc>
        <w:tc>
          <w:tcPr>
            <w:tcW w:w="1369" w:type="dxa"/>
            <w:vAlign w:val="center"/>
          </w:tcPr>
          <w:p w14:paraId="0D892BE7">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从业人员(X)</w:t>
            </w:r>
          </w:p>
        </w:tc>
        <w:tc>
          <w:tcPr>
            <w:tcW w:w="709" w:type="dxa"/>
            <w:vAlign w:val="center"/>
          </w:tcPr>
          <w:p w14:paraId="75747F0B">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w:t>
            </w:r>
          </w:p>
        </w:tc>
        <w:tc>
          <w:tcPr>
            <w:tcW w:w="1125" w:type="dxa"/>
            <w:vAlign w:val="center"/>
          </w:tcPr>
          <w:p w14:paraId="650E7A6B">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X≥300</w:t>
            </w:r>
          </w:p>
        </w:tc>
        <w:tc>
          <w:tcPr>
            <w:tcW w:w="1701" w:type="dxa"/>
            <w:vAlign w:val="center"/>
          </w:tcPr>
          <w:p w14:paraId="157694A7">
            <w:pPr>
              <w:widowControl/>
              <w:spacing w:line="360" w:lineRule="auto"/>
              <w:ind w:left="37" w:leftChars="-51" w:hanging="144" w:hangingChars="6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100≤X＜300 </w:t>
            </w:r>
          </w:p>
        </w:tc>
        <w:tc>
          <w:tcPr>
            <w:tcW w:w="1426" w:type="dxa"/>
            <w:vAlign w:val="center"/>
          </w:tcPr>
          <w:p w14:paraId="3BAB7DDE">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10≤X＜100</w:t>
            </w:r>
          </w:p>
        </w:tc>
        <w:tc>
          <w:tcPr>
            <w:tcW w:w="992" w:type="dxa"/>
            <w:vAlign w:val="center"/>
          </w:tcPr>
          <w:p w14:paraId="00E76AE7">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X＜10</w:t>
            </w:r>
          </w:p>
        </w:tc>
      </w:tr>
    </w:tbl>
    <w:p w14:paraId="2DEEFC9E">
      <w:pPr>
        <w:adjustRightInd w:val="0"/>
        <w:snapToGrid w:val="0"/>
        <w:spacing w:line="360" w:lineRule="auto"/>
        <w:ind w:right="105" w:righ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10FE2F7B">
      <w:pPr>
        <w:adjustRightInd w:val="0"/>
        <w:snapToGrid w:val="0"/>
        <w:spacing w:line="360" w:lineRule="auto"/>
        <w:ind w:right="105" w:rightChars="5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1.大型、中型和小型企业须同时满足所列指标的下限，否则下划一档；微型企业只须满足所列指标中的一项即可。</w:t>
      </w:r>
    </w:p>
    <w:p w14:paraId="529AA738">
      <w:pPr>
        <w:adjustRightInd w:val="0"/>
        <w:snapToGrid w:val="0"/>
        <w:spacing w:line="360" w:lineRule="auto"/>
        <w:ind w:right="105" w:rightChars="5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174E3A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79A883E">
      <w:pPr>
        <w:rPr>
          <w:rFonts w:hint="eastAsia" w:ascii="仿宋" w:hAnsi="仿宋" w:eastAsia="仿宋" w:cs="仿宋"/>
          <w:color w:val="auto"/>
          <w:szCs w:val="21"/>
          <w:highlight w:val="none"/>
        </w:rPr>
      </w:pPr>
    </w:p>
    <w:p w14:paraId="70DF40B8">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1BA0267B">
      <w:pPr>
        <w:pStyle w:val="51"/>
        <w:spacing w:before="0" w:line="360" w:lineRule="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 总则</w:t>
      </w:r>
      <w:bookmarkEnd w:id="59"/>
      <w:bookmarkEnd w:id="60"/>
      <w:bookmarkEnd w:id="61"/>
      <w:bookmarkEnd w:id="62"/>
      <w:bookmarkEnd w:id="63"/>
      <w:bookmarkEnd w:id="64"/>
      <w:bookmarkEnd w:id="65"/>
    </w:p>
    <w:p w14:paraId="24FAC06A">
      <w:pPr>
        <w:pStyle w:val="53"/>
        <w:spacing w:line="360" w:lineRule="auto"/>
        <w:outlineLvl w:val="9"/>
        <w:rPr>
          <w:rFonts w:hint="eastAsia" w:ascii="仿宋" w:hAnsi="仿宋" w:eastAsia="仿宋" w:cs="仿宋"/>
          <w:color w:val="auto"/>
          <w:sz w:val="24"/>
          <w:szCs w:val="24"/>
          <w:highlight w:val="none"/>
        </w:rPr>
      </w:pPr>
      <w:bookmarkStart w:id="66" w:name="_Toc18341"/>
      <w:bookmarkStart w:id="67" w:name="_Toc30682"/>
      <w:bookmarkStart w:id="68" w:name="_Toc144974498"/>
      <w:bookmarkStart w:id="69" w:name="_Toc9545"/>
      <w:bookmarkStart w:id="70" w:name="_Toc29380"/>
      <w:bookmarkStart w:id="71" w:name="_Toc152045530"/>
      <w:bookmarkStart w:id="72" w:name="_Toc152042306"/>
      <w:bookmarkStart w:id="73" w:name="_Toc532034640"/>
      <w:r>
        <w:rPr>
          <w:rFonts w:hint="eastAsia" w:ascii="仿宋" w:hAnsi="仿宋" w:eastAsia="仿宋" w:cs="仿宋"/>
          <w:color w:val="auto"/>
          <w:sz w:val="24"/>
          <w:szCs w:val="24"/>
          <w:highlight w:val="none"/>
        </w:rPr>
        <w:t>1.1 项目概况</w:t>
      </w:r>
      <w:bookmarkEnd w:id="66"/>
      <w:bookmarkEnd w:id="67"/>
      <w:bookmarkEnd w:id="68"/>
      <w:bookmarkEnd w:id="69"/>
      <w:bookmarkEnd w:id="70"/>
      <w:bookmarkEnd w:id="71"/>
      <w:bookmarkEnd w:id="72"/>
      <w:bookmarkEnd w:id="73"/>
    </w:p>
    <w:p w14:paraId="4B565306">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1.1.1根据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中华人民共和国政府采购法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《政府采购竞争性磋商采购方式管理暂行办法》等有关法律、法规和规章的规定，本采购项目已具备采购条件，现对本项目进行采购。</w:t>
      </w:r>
    </w:p>
    <w:p w14:paraId="7DF54160">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本采购项目采购人：见供应商须知前附表。</w:t>
      </w:r>
    </w:p>
    <w:p w14:paraId="68A4B3AC">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本项目采购代理机构：见供应商须知前附表。</w:t>
      </w:r>
    </w:p>
    <w:p w14:paraId="7662E6E3">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 本采购项目名称：见供应商须知前附表。</w:t>
      </w:r>
    </w:p>
    <w:p w14:paraId="04CE8E74">
      <w:pPr>
        <w:pStyle w:val="53"/>
        <w:spacing w:line="360" w:lineRule="auto"/>
        <w:outlineLvl w:val="9"/>
        <w:rPr>
          <w:rFonts w:hint="eastAsia" w:ascii="仿宋" w:hAnsi="仿宋" w:eastAsia="仿宋" w:cs="仿宋"/>
          <w:color w:val="auto"/>
          <w:sz w:val="24"/>
          <w:szCs w:val="24"/>
          <w:highlight w:val="none"/>
        </w:rPr>
      </w:pPr>
      <w:bookmarkStart w:id="74" w:name="_Toc152042307"/>
      <w:bookmarkStart w:id="75" w:name="_Toc532034641"/>
      <w:bookmarkStart w:id="76" w:name="_Toc152045531"/>
      <w:bookmarkStart w:id="77" w:name="_Toc10480"/>
      <w:bookmarkStart w:id="78" w:name="_Toc144974499"/>
      <w:bookmarkStart w:id="79" w:name="_Toc12091"/>
      <w:bookmarkStart w:id="80" w:name="_Toc23695"/>
      <w:bookmarkStart w:id="81" w:name="_Toc15477"/>
      <w:r>
        <w:rPr>
          <w:rFonts w:hint="eastAsia" w:ascii="仿宋" w:hAnsi="仿宋" w:eastAsia="仿宋" w:cs="仿宋"/>
          <w:color w:val="auto"/>
          <w:sz w:val="24"/>
          <w:szCs w:val="24"/>
          <w:highlight w:val="none"/>
        </w:rPr>
        <w:t>1.2 资金来源和落实情况</w:t>
      </w:r>
      <w:bookmarkEnd w:id="74"/>
      <w:bookmarkEnd w:id="75"/>
      <w:bookmarkEnd w:id="76"/>
      <w:bookmarkEnd w:id="77"/>
      <w:bookmarkEnd w:id="78"/>
      <w:bookmarkEnd w:id="79"/>
      <w:bookmarkEnd w:id="80"/>
      <w:bookmarkEnd w:id="81"/>
    </w:p>
    <w:p w14:paraId="6C709943">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本采购项目的资金来源：见供应商须知前附表。</w:t>
      </w:r>
    </w:p>
    <w:p w14:paraId="70ABBC45">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 本采购项目的出资比例：见供应商须知前附表。</w:t>
      </w:r>
    </w:p>
    <w:p w14:paraId="7BF8AE53">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 本采购项目的资金落实情况：见供应商须知前附表。</w:t>
      </w:r>
    </w:p>
    <w:p w14:paraId="33F1F96F">
      <w:pPr>
        <w:pStyle w:val="53"/>
        <w:spacing w:line="360" w:lineRule="auto"/>
        <w:outlineLvl w:val="9"/>
        <w:rPr>
          <w:rFonts w:hint="eastAsia" w:ascii="仿宋" w:hAnsi="仿宋" w:eastAsia="仿宋" w:cs="仿宋"/>
          <w:color w:val="auto"/>
          <w:sz w:val="24"/>
          <w:szCs w:val="24"/>
          <w:highlight w:val="none"/>
          <w:lang w:eastAsia="zh-CN"/>
        </w:rPr>
      </w:pPr>
      <w:bookmarkStart w:id="82" w:name="_Toc25747"/>
      <w:bookmarkStart w:id="83" w:name="_Toc144974500"/>
      <w:bookmarkStart w:id="84" w:name="_Toc532034642"/>
      <w:bookmarkStart w:id="85" w:name="_Toc19535"/>
      <w:bookmarkStart w:id="86" w:name="_Toc152042308"/>
      <w:bookmarkStart w:id="87" w:name="_Toc13406"/>
      <w:bookmarkStart w:id="88" w:name="_Toc152045532"/>
      <w:bookmarkStart w:id="89" w:name="_Toc3519"/>
      <w:r>
        <w:rPr>
          <w:rFonts w:hint="eastAsia" w:ascii="仿宋" w:hAnsi="仿宋" w:eastAsia="仿宋" w:cs="仿宋"/>
          <w:color w:val="auto"/>
          <w:sz w:val="24"/>
          <w:szCs w:val="24"/>
          <w:highlight w:val="none"/>
        </w:rPr>
        <w:t>1.3 采购范围、</w:t>
      </w:r>
      <w:r>
        <w:rPr>
          <w:rFonts w:hint="eastAsia" w:ascii="仿宋" w:hAnsi="仿宋" w:eastAsia="仿宋" w:cs="仿宋"/>
          <w:color w:val="auto"/>
          <w:sz w:val="24"/>
          <w:szCs w:val="24"/>
          <w:highlight w:val="none"/>
          <w:lang w:val="en-US" w:eastAsia="zh-CN"/>
        </w:rPr>
        <w:t>服务期限</w:t>
      </w:r>
      <w:r>
        <w:rPr>
          <w:rFonts w:hint="eastAsia" w:ascii="仿宋" w:hAnsi="仿宋" w:eastAsia="仿宋" w:cs="仿宋"/>
          <w:color w:val="auto"/>
          <w:sz w:val="24"/>
          <w:szCs w:val="24"/>
          <w:highlight w:val="none"/>
        </w:rPr>
        <w:t>和</w:t>
      </w:r>
      <w:bookmarkEnd w:id="82"/>
      <w:bookmarkEnd w:id="83"/>
      <w:bookmarkEnd w:id="84"/>
      <w:bookmarkEnd w:id="85"/>
      <w:bookmarkEnd w:id="86"/>
      <w:bookmarkEnd w:id="87"/>
      <w:bookmarkEnd w:id="88"/>
      <w:bookmarkEnd w:id="89"/>
      <w:r>
        <w:rPr>
          <w:rFonts w:hint="eastAsia" w:ascii="仿宋" w:hAnsi="仿宋" w:eastAsia="仿宋" w:cs="仿宋"/>
          <w:color w:val="auto"/>
          <w:sz w:val="24"/>
          <w:szCs w:val="24"/>
          <w:highlight w:val="none"/>
          <w:lang w:eastAsia="zh-CN"/>
        </w:rPr>
        <w:t>服务质量</w:t>
      </w:r>
    </w:p>
    <w:p w14:paraId="5975FDDA">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本次采购范围：见供应商须知前附表。</w:t>
      </w:r>
    </w:p>
    <w:p w14:paraId="34C051D5">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 本项目的</w:t>
      </w:r>
      <w:r>
        <w:rPr>
          <w:rFonts w:hint="eastAsia" w:ascii="仿宋" w:hAnsi="仿宋" w:eastAsia="仿宋" w:cs="仿宋"/>
          <w:color w:val="auto"/>
          <w:sz w:val="24"/>
          <w:szCs w:val="24"/>
          <w:highlight w:val="none"/>
          <w:lang w:val="en-US" w:eastAsia="zh-CN"/>
        </w:rPr>
        <w:t>服务期限</w:t>
      </w:r>
      <w:r>
        <w:rPr>
          <w:rFonts w:hint="eastAsia" w:ascii="仿宋" w:hAnsi="仿宋" w:eastAsia="仿宋" w:cs="仿宋"/>
          <w:color w:val="auto"/>
          <w:sz w:val="24"/>
          <w:szCs w:val="24"/>
          <w:highlight w:val="none"/>
        </w:rPr>
        <w:t>：见供应商前附表。</w:t>
      </w:r>
    </w:p>
    <w:p w14:paraId="692607D3">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 本项目的</w:t>
      </w:r>
      <w:r>
        <w:rPr>
          <w:rFonts w:hint="eastAsia" w:ascii="仿宋" w:hAnsi="仿宋" w:eastAsia="仿宋" w:cs="仿宋"/>
          <w:color w:val="auto"/>
          <w:sz w:val="24"/>
          <w:szCs w:val="24"/>
          <w:highlight w:val="none"/>
          <w:lang w:eastAsia="zh-CN"/>
        </w:rPr>
        <w:t>服务质量</w:t>
      </w:r>
      <w:r>
        <w:rPr>
          <w:rFonts w:hint="eastAsia" w:ascii="仿宋" w:hAnsi="仿宋" w:eastAsia="仿宋" w:cs="仿宋"/>
          <w:color w:val="auto"/>
          <w:sz w:val="24"/>
          <w:szCs w:val="24"/>
          <w:highlight w:val="none"/>
        </w:rPr>
        <w:t>：见供应商须知前附表。</w:t>
      </w:r>
    </w:p>
    <w:p w14:paraId="45F903FF">
      <w:pPr>
        <w:pStyle w:val="53"/>
        <w:spacing w:line="360" w:lineRule="auto"/>
        <w:outlineLvl w:val="9"/>
        <w:rPr>
          <w:rFonts w:hint="eastAsia" w:ascii="仿宋" w:hAnsi="仿宋" w:eastAsia="仿宋" w:cs="仿宋"/>
          <w:color w:val="auto"/>
          <w:sz w:val="24"/>
          <w:szCs w:val="24"/>
          <w:highlight w:val="none"/>
        </w:rPr>
      </w:pPr>
      <w:bookmarkStart w:id="90" w:name="_Toc6427"/>
      <w:bookmarkStart w:id="91" w:name="_Toc532034643"/>
      <w:bookmarkStart w:id="92" w:name="_Toc152042310"/>
      <w:bookmarkStart w:id="93" w:name="_Toc144974502"/>
      <w:bookmarkStart w:id="94" w:name="_Toc29494"/>
      <w:bookmarkStart w:id="95" w:name="_Toc2726"/>
      <w:bookmarkStart w:id="96" w:name="_Toc152045534"/>
      <w:bookmarkStart w:id="97" w:name="_Toc2941"/>
      <w:r>
        <w:rPr>
          <w:rFonts w:hint="eastAsia" w:ascii="仿宋" w:hAnsi="仿宋" w:eastAsia="仿宋" w:cs="仿宋"/>
          <w:color w:val="auto"/>
          <w:sz w:val="24"/>
          <w:szCs w:val="24"/>
          <w:highlight w:val="none"/>
        </w:rPr>
        <w:t>1.4 供货商资格要求</w:t>
      </w:r>
      <w:bookmarkEnd w:id="90"/>
      <w:bookmarkEnd w:id="91"/>
      <w:bookmarkEnd w:id="92"/>
      <w:bookmarkEnd w:id="93"/>
      <w:bookmarkEnd w:id="94"/>
      <w:bookmarkEnd w:id="95"/>
      <w:bookmarkEnd w:id="96"/>
      <w:bookmarkEnd w:id="97"/>
    </w:p>
    <w:p w14:paraId="1AC10348">
      <w:pPr>
        <w:autoSpaceDE w:val="0"/>
        <w:autoSpaceDN w:val="0"/>
        <w:adjustRightInd w:val="0"/>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1.4.1供货商</w:t>
      </w:r>
      <w:r>
        <w:rPr>
          <w:rFonts w:hint="eastAsia" w:ascii="仿宋" w:hAnsi="仿宋" w:eastAsia="仿宋" w:cs="仿宋"/>
          <w:color w:val="auto"/>
          <w:kern w:val="0"/>
          <w:sz w:val="24"/>
          <w:szCs w:val="24"/>
          <w:highlight w:val="none"/>
        </w:rPr>
        <w:t>应具备承担本项目的资格要求：</w:t>
      </w:r>
      <w:r>
        <w:rPr>
          <w:rFonts w:hint="eastAsia" w:ascii="仿宋" w:hAnsi="仿宋" w:eastAsia="仿宋" w:cs="仿宋"/>
          <w:color w:val="auto"/>
          <w:sz w:val="24"/>
          <w:szCs w:val="24"/>
          <w:highlight w:val="none"/>
        </w:rPr>
        <w:t>详见</w:t>
      </w:r>
      <w:r>
        <w:rPr>
          <w:rFonts w:hint="eastAsia" w:ascii="仿宋" w:hAnsi="仿宋" w:eastAsia="仿宋" w:cs="仿宋"/>
          <w:color w:val="auto"/>
          <w:spacing w:val="1"/>
          <w:kern w:val="0"/>
          <w:sz w:val="24"/>
          <w:szCs w:val="24"/>
          <w:highlight w:val="none"/>
        </w:rPr>
        <w:t>供应商</w:t>
      </w:r>
      <w:r>
        <w:rPr>
          <w:rFonts w:hint="eastAsia" w:ascii="仿宋" w:hAnsi="仿宋" w:eastAsia="仿宋" w:cs="仿宋"/>
          <w:color w:val="auto"/>
          <w:sz w:val="24"/>
          <w:szCs w:val="24"/>
          <w:highlight w:val="none"/>
        </w:rPr>
        <w:t>须知前附表；</w:t>
      </w:r>
    </w:p>
    <w:p w14:paraId="1A107CE5">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本次采购不接受联合体投标。</w:t>
      </w:r>
    </w:p>
    <w:p w14:paraId="69D4E00A">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 供应商不得存在下列情形之一：</w:t>
      </w:r>
    </w:p>
    <w:p w14:paraId="1BEFFC39">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（1）为采购人不具有独立法人资格的附属机构（单位）；</w:t>
      </w:r>
    </w:p>
    <w:p w14:paraId="45C29730">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（2）为本标段前期准备提供设计或咨询服务的，但设计施工总承包的除外；</w:t>
      </w:r>
    </w:p>
    <w:p w14:paraId="19421716">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（3）为本标段提供招标代理服务的；</w:t>
      </w:r>
    </w:p>
    <w:p w14:paraId="62CFF650">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（4）被责令停业的；</w:t>
      </w:r>
    </w:p>
    <w:p w14:paraId="63D08140">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（5）被暂停或取消投标资格的；</w:t>
      </w:r>
    </w:p>
    <w:p w14:paraId="39846931">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（6）财产被接管或冻结的；</w:t>
      </w:r>
    </w:p>
    <w:p w14:paraId="0211D738">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（7）在最近三年内有骗取中标或严重违约或重大工程质量问题的。</w:t>
      </w:r>
    </w:p>
    <w:p w14:paraId="2A62B879">
      <w:pPr>
        <w:pStyle w:val="53"/>
        <w:spacing w:line="360" w:lineRule="auto"/>
        <w:outlineLvl w:val="9"/>
        <w:rPr>
          <w:rFonts w:hint="eastAsia" w:ascii="仿宋" w:hAnsi="仿宋" w:eastAsia="仿宋" w:cs="仿宋"/>
          <w:color w:val="auto"/>
          <w:sz w:val="24"/>
          <w:szCs w:val="24"/>
          <w:highlight w:val="none"/>
        </w:rPr>
      </w:pPr>
      <w:bookmarkStart w:id="98" w:name="_Toc152045535"/>
      <w:bookmarkStart w:id="99" w:name="_Toc144974503"/>
      <w:bookmarkStart w:id="100" w:name="_Toc700"/>
      <w:bookmarkStart w:id="101" w:name="_Toc532034644"/>
      <w:bookmarkStart w:id="102" w:name="_Toc152042311"/>
      <w:bookmarkStart w:id="103" w:name="_Toc3633"/>
      <w:bookmarkStart w:id="104" w:name="_Toc8518"/>
      <w:bookmarkStart w:id="105" w:name="_Toc24631"/>
      <w:r>
        <w:rPr>
          <w:rFonts w:hint="eastAsia" w:ascii="仿宋" w:hAnsi="仿宋" w:eastAsia="仿宋" w:cs="仿宋"/>
          <w:color w:val="auto"/>
          <w:sz w:val="24"/>
          <w:szCs w:val="24"/>
          <w:highlight w:val="none"/>
        </w:rPr>
        <w:t>1.5 费用承担</w:t>
      </w:r>
      <w:bookmarkEnd w:id="98"/>
      <w:bookmarkEnd w:id="99"/>
      <w:bookmarkEnd w:id="100"/>
      <w:bookmarkEnd w:id="101"/>
      <w:bookmarkEnd w:id="102"/>
      <w:bookmarkEnd w:id="103"/>
      <w:bookmarkEnd w:id="104"/>
      <w:bookmarkEnd w:id="105"/>
    </w:p>
    <w:p w14:paraId="10B22423">
      <w:pPr>
        <w:spacing w:line="360" w:lineRule="auto"/>
        <w:ind w:firstLine="484"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kern w:val="0"/>
          <w:sz w:val="24"/>
          <w:szCs w:val="24"/>
          <w:highlight w:val="none"/>
        </w:rPr>
        <w:t>供应商</w:t>
      </w:r>
      <w:r>
        <w:rPr>
          <w:rFonts w:hint="eastAsia" w:ascii="仿宋" w:hAnsi="仿宋" w:eastAsia="仿宋" w:cs="仿宋"/>
          <w:color w:val="auto"/>
          <w:sz w:val="24"/>
          <w:szCs w:val="24"/>
          <w:highlight w:val="none"/>
        </w:rPr>
        <w:t>准备和参加投标活动发生的费用自理。</w:t>
      </w:r>
    </w:p>
    <w:p w14:paraId="434821E8">
      <w:pPr>
        <w:pStyle w:val="53"/>
        <w:spacing w:line="360" w:lineRule="auto"/>
        <w:outlineLvl w:val="9"/>
        <w:rPr>
          <w:rFonts w:hint="eastAsia" w:ascii="仿宋" w:hAnsi="仿宋" w:eastAsia="仿宋" w:cs="仿宋"/>
          <w:color w:val="auto"/>
          <w:sz w:val="24"/>
          <w:szCs w:val="24"/>
          <w:highlight w:val="none"/>
        </w:rPr>
      </w:pPr>
      <w:bookmarkStart w:id="106" w:name="_Toc532034645"/>
      <w:bookmarkStart w:id="107" w:name="_Toc144974504"/>
      <w:bookmarkStart w:id="108" w:name="_Toc152042312"/>
      <w:bookmarkStart w:id="109" w:name="_Toc24308"/>
      <w:bookmarkStart w:id="110" w:name="_Toc19869"/>
      <w:bookmarkStart w:id="111" w:name="_Toc14437"/>
      <w:bookmarkStart w:id="112" w:name="_Toc152045536"/>
      <w:bookmarkStart w:id="113" w:name="_Toc2957"/>
      <w:r>
        <w:rPr>
          <w:rFonts w:hint="eastAsia" w:ascii="仿宋" w:hAnsi="仿宋" w:eastAsia="仿宋" w:cs="仿宋"/>
          <w:color w:val="auto"/>
          <w:sz w:val="24"/>
          <w:szCs w:val="24"/>
          <w:highlight w:val="none"/>
        </w:rPr>
        <w:t>1.6 保密</w:t>
      </w:r>
      <w:bookmarkEnd w:id="106"/>
      <w:bookmarkEnd w:id="107"/>
      <w:bookmarkEnd w:id="108"/>
      <w:bookmarkEnd w:id="109"/>
      <w:bookmarkEnd w:id="110"/>
      <w:bookmarkEnd w:id="111"/>
      <w:bookmarkEnd w:id="112"/>
      <w:bookmarkEnd w:id="113"/>
    </w:p>
    <w:p w14:paraId="537BCC63">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参与采购投标活动的各方应对</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中的商业和技术等秘密保密，违者应对由此造成的后果承担法律责任。</w:t>
      </w:r>
    </w:p>
    <w:p w14:paraId="12A49129">
      <w:pPr>
        <w:pStyle w:val="53"/>
        <w:spacing w:line="360" w:lineRule="auto"/>
        <w:outlineLvl w:val="9"/>
        <w:rPr>
          <w:rFonts w:hint="eastAsia" w:ascii="仿宋" w:hAnsi="仿宋" w:eastAsia="仿宋" w:cs="仿宋"/>
          <w:color w:val="auto"/>
          <w:sz w:val="24"/>
          <w:szCs w:val="24"/>
          <w:highlight w:val="none"/>
        </w:rPr>
      </w:pPr>
      <w:bookmarkStart w:id="114" w:name="_Toc144974505"/>
      <w:bookmarkStart w:id="115" w:name="_Toc152045537"/>
      <w:bookmarkStart w:id="116" w:name="_Toc19933"/>
      <w:bookmarkStart w:id="117" w:name="_Toc532034646"/>
      <w:bookmarkStart w:id="118" w:name="_Toc2652"/>
      <w:bookmarkStart w:id="119" w:name="_Toc12872"/>
      <w:bookmarkStart w:id="120" w:name="_Toc152042313"/>
      <w:bookmarkStart w:id="121" w:name="_Toc18112"/>
      <w:r>
        <w:rPr>
          <w:rFonts w:hint="eastAsia" w:ascii="仿宋" w:hAnsi="仿宋" w:eastAsia="仿宋" w:cs="仿宋"/>
          <w:color w:val="auto"/>
          <w:sz w:val="24"/>
          <w:szCs w:val="24"/>
          <w:highlight w:val="none"/>
        </w:rPr>
        <w:t>1.7 语言</w:t>
      </w:r>
      <w:bookmarkEnd w:id="114"/>
      <w:r>
        <w:rPr>
          <w:rFonts w:hint="eastAsia" w:ascii="仿宋" w:hAnsi="仿宋" w:eastAsia="仿宋" w:cs="仿宋"/>
          <w:color w:val="auto"/>
          <w:sz w:val="24"/>
          <w:szCs w:val="24"/>
          <w:highlight w:val="none"/>
        </w:rPr>
        <w:t>文字</w:t>
      </w:r>
      <w:bookmarkEnd w:id="115"/>
      <w:bookmarkEnd w:id="116"/>
      <w:bookmarkEnd w:id="117"/>
      <w:bookmarkEnd w:id="118"/>
      <w:bookmarkEnd w:id="119"/>
      <w:bookmarkEnd w:id="120"/>
      <w:bookmarkEnd w:id="121"/>
    </w:p>
    <w:p w14:paraId="5C5F08D2">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除专用术语外，与采购投标有关的语言均使用中文。必要时专用术语应附有中文注释。</w:t>
      </w:r>
    </w:p>
    <w:p w14:paraId="2E443FE4">
      <w:pPr>
        <w:pStyle w:val="53"/>
        <w:spacing w:line="360" w:lineRule="auto"/>
        <w:outlineLvl w:val="9"/>
        <w:rPr>
          <w:rFonts w:hint="eastAsia" w:ascii="仿宋" w:hAnsi="仿宋" w:eastAsia="仿宋" w:cs="仿宋"/>
          <w:color w:val="auto"/>
          <w:sz w:val="24"/>
          <w:szCs w:val="24"/>
          <w:highlight w:val="none"/>
        </w:rPr>
      </w:pPr>
      <w:bookmarkStart w:id="122" w:name="_Toc152045538"/>
      <w:bookmarkStart w:id="123" w:name="_Toc24444"/>
      <w:bookmarkStart w:id="124" w:name="_Toc10194"/>
      <w:bookmarkStart w:id="125" w:name="_Toc152042314"/>
      <w:bookmarkStart w:id="126" w:name="_Toc532034647"/>
      <w:bookmarkStart w:id="127" w:name="_Toc15061"/>
      <w:bookmarkStart w:id="128" w:name="_Toc27851"/>
      <w:bookmarkStart w:id="129" w:name="_Toc144974506"/>
      <w:r>
        <w:rPr>
          <w:rFonts w:hint="eastAsia" w:ascii="仿宋" w:hAnsi="仿宋" w:eastAsia="仿宋" w:cs="仿宋"/>
          <w:color w:val="auto"/>
          <w:sz w:val="24"/>
          <w:szCs w:val="24"/>
          <w:highlight w:val="none"/>
        </w:rPr>
        <w:t>1.8 计量单位</w:t>
      </w:r>
      <w:bookmarkEnd w:id="122"/>
      <w:bookmarkEnd w:id="123"/>
      <w:bookmarkEnd w:id="124"/>
      <w:bookmarkEnd w:id="125"/>
      <w:bookmarkEnd w:id="126"/>
      <w:bookmarkEnd w:id="127"/>
      <w:bookmarkEnd w:id="128"/>
      <w:bookmarkEnd w:id="129"/>
    </w:p>
    <w:p w14:paraId="5252A354">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所有计量均采用中华人民共和国法定计量单位。</w:t>
      </w:r>
    </w:p>
    <w:p w14:paraId="7D1D8BF2">
      <w:pPr>
        <w:pStyle w:val="53"/>
        <w:spacing w:line="360" w:lineRule="auto"/>
        <w:outlineLvl w:val="9"/>
        <w:rPr>
          <w:rFonts w:hint="eastAsia" w:ascii="仿宋" w:hAnsi="仿宋" w:eastAsia="仿宋" w:cs="仿宋"/>
          <w:color w:val="auto"/>
          <w:sz w:val="24"/>
          <w:szCs w:val="24"/>
          <w:highlight w:val="none"/>
        </w:rPr>
      </w:pPr>
      <w:bookmarkStart w:id="130" w:name="_Toc152042315"/>
      <w:bookmarkStart w:id="131" w:name="_Toc532034648"/>
      <w:bookmarkStart w:id="132" w:name="_Toc28426"/>
      <w:bookmarkStart w:id="133" w:name="_Toc144974507"/>
      <w:bookmarkStart w:id="134" w:name="_Toc21226"/>
      <w:bookmarkStart w:id="135" w:name="_Toc20921"/>
      <w:bookmarkStart w:id="136" w:name="_Toc12166"/>
      <w:bookmarkStart w:id="137" w:name="_Toc152045539"/>
      <w:r>
        <w:rPr>
          <w:rFonts w:hint="eastAsia" w:ascii="仿宋" w:hAnsi="仿宋" w:eastAsia="仿宋" w:cs="仿宋"/>
          <w:color w:val="auto"/>
          <w:sz w:val="24"/>
          <w:szCs w:val="24"/>
          <w:highlight w:val="none"/>
        </w:rPr>
        <w:t>1.9 踏勘现场</w:t>
      </w:r>
      <w:bookmarkEnd w:id="130"/>
      <w:bookmarkEnd w:id="131"/>
      <w:bookmarkEnd w:id="132"/>
      <w:bookmarkEnd w:id="133"/>
      <w:bookmarkEnd w:id="134"/>
      <w:bookmarkEnd w:id="135"/>
      <w:bookmarkEnd w:id="136"/>
      <w:bookmarkEnd w:id="137"/>
    </w:p>
    <w:p w14:paraId="08C9754C">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不组织</w:t>
      </w:r>
      <w:bookmarkStart w:id="138" w:name="_Toc152045540"/>
      <w:bookmarkStart w:id="139" w:name="_Toc152042316"/>
      <w:bookmarkStart w:id="140" w:name="_Toc144974508"/>
      <w:bookmarkStart w:id="141" w:name="_Toc532034649"/>
    </w:p>
    <w:p w14:paraId="26704741">
      <w:pPr>
        <w:pStyle w:val="53"/>
        <w:spacing w:line="360" w:lineRule="auto"/>
        <w:outlineLvl w:val="9"/>
        <w:rPr>
          <w:rFonts w:hint="eastAsia" w:ascii="仿宋" w:hAnsi="仿宋" w:eastAsia="仿宋" w:cs="仿宋"/>
          <w:color w:val="auto"/>
          <w:sz w:val="24"/>
          <w:szCs w:val="24"/>
          <w:highlight w:val="none"/>
        </w:rPr>
      </w:pPr>
      <w:bookmarkStart w:id="142" w:name="_Toc7526"/>
      <w:bookmarkStart w:id="143" w:name="_Toc21569"/>
      <w:bookmarkStart w:id="144" w:name="_Toc4308"/>
      <w:bookmarkStart w:id="145" w:name="_Toc29962"/>
      <w:r>
        <w:rPr>
          <w:rFonts w:hint="eastAsia" w:ascii="仿宋" w:hAnsi="仿宋" w:eastAsia="仿宋" w:cs="仿宋"/>
          <w:color w:val="auto"/>
          <w:sz w:val="24"/>
          <w:szCs w:val="24"/>
          <w:highlight w:val="none"/>
        </w:rPr>
        <w:t>1.10 投标预备会</w:t>
      </w:r>
      <w:bookmarkEnd w:id="138"/>
      <w:bookmarkEnd w:id="139"/>
      <w:bookmarkEnd w:id="140"/>
      <w:bookmarkEnd w:id="141"/>
      <w:bookmarkEnd w:id="142"/>
      <w:bookmarkEnd w:id="143"/>
      <w:bookmarkEnd w:id="144"/>
      <w:bookmarkEnd w:id="145"/>
      <w:bookmarkStart w:id="146" w:name="_Toc532034650"/>
      <w:bookmarkStart w:id="147" w:name="_Toc30593"/>
      <w:bookmarkStart w:id="148" w:name="_Toc152042317"/>
      <w:bookmarkStart w:id="149" w:name="_Toc152045541"/>
      <w:bookmarkStart w:id="150" w:name="_Toc144974509"/>
    </w:p>
    <w:p w14:paraId="31968CA5">
      <w:pPr>
        <w:spacing w:line="360" w:lineRule="auto"/>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不</w:t>
      </w:r>
      <w:bookmarkEnd w:id="146"/>
      <w:bookmarkEnd w:id="147"/>
      <w:bookmarkStart w:id="151" w:name="_Toc532034651"/>
      <w:r>
        <w:rPr>
          <w:rFonts w:hint="eastAsia" w:ascii="仿宋" w:hAnsi="仿宋" w:eastAsia="仿宋" w:cs="仿宋"/>
          <w:color w:val="auto"/>
          <w:sz w:val="24"/>
          <w:szCs w:val="24"/>
          <w:highlight w:val="none"/>
          <w:lang w:val="en-US" w:eastAsia="zh-CN"/>
        </w:rPr>
        <w:t>召开</w:t>
      </w:r>
    </w:p>
    <w:p w14:paraId="18833A9A">
      <w:pPr>
        <w:pStyle w:val="53"/>
        <w:spacing w:line="360" w:lineRule="auto"/>
        <w:outlineLvl w:val="9"/>
        <w:rPr>
          <w:rFonts w:hint="eastAsia" w:ascii="仿宋" w:hAnsi="仿宋" w:eastAsia="仿宋" w:cs="仿宋"/>
          <w:color w:val="auto"/>
          <w:sz w:val="24"/>
          <w:szCs w:val="24"/>
          <w:highlight w:val="none"/>
        </w:rPr>
      </w:pPr>
      <w:bookmarkStart w:id="152" w:name="_Toc17800"/>
      <w:bookmarkStart w:id="153" w:name="_Toc31129"/>
      <w:bookmarkStart w:id="154" w:name="_Toc19494"/>
      <w:bookmarkStart w:id="155" w:name="_Toc4325"/>
      <w:r>
        <w:rPr>
          <w:rFonts w:hint="eastAsia" w:ascii="仿宋" w:hAnsi="仿宋" w:eastAsia="仿宋" w:cs="仿宋"/>
          <w:color w:val="auto"/>
          <w:sz w:val="24"/>
          <w:szCs w:val="24"/>
          <w:highlight w:val="none"/>
        </w:rPr>
        <w:t>1.11 分包</w:t>
      </w:r>
      <w:bookmarkEnd w:id="148"/>
      <w:bookmarkEnd w:id="149"/>
      <w:bookmarkEnd w:id="150"/>
      <w:bookmarkEnd w:id="151"/>
      <w:bookmarkEnd w:id="152"/>
      <w:bookmarkEnd w:id="153"/>
      <w:bookmarkEnd w:id="154"/>
      <w:bookmarkEnd w:id="155"/>
      <w:bookmarkStart w:id="156" w:name="_Toc532034652"/>
      <w:bookmarkStart w:id="157" w:name="_Toc21720"/>
    </w:p>
    <w:p w14:paraId="39E586CC">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不允许</w:t>
      </w:r>
      <w:bookmarkEnd w:id="156"/>
      <w:bookmarkEnd w:id="157"/>
      <w:bookmarkStart w:id="158" w:name="_Toc532034653"/>
    </w:p>
    <w:p w14:paraId="3DD85055">
      <w:pPr>
        <w:pStyle w:val="53"/>
        <w:spacing w:line="360" w:lineRule="auto"/>
        <w:outlineLvl w:val="9"/>
        <w:rPr>
          <w:rFonts w:hint="eastAsia" w:ascii="仿宋" w:hAnsi="仿宋" w:eastAsia="仿宋" w:cs="仿宋"/>
          <w:color w:val="auto"/>
          <w:sz w:val="24"/>
          <w:szCs w:val="24"/>
          <w:highlight w:val="none"/>
        </w:rPr>
      </w:pPr>
      <w:bookmarkStart w:id="159" w:name="_Toc22128"/>
      <w:bookmarkStart w:id="160" w:name="_Toc30608"/>
      <w:bookmarkStart w:id="161" w:name="_Toc191"/>
      <w:bookmarkStart w:id="162" w:name="_Toc23455"/>
      <w:r>
        <w:rPr>
          <w:rFonts w:hint="eastAsia" w:ascii="仿宋" w:hAnsi="仿宋" w:eastAsia="仿宋" w:cs="仿宋"/>
          <w:color w:val="auto"/>
          <w:sz w:val="24"/>
          <w:szCs w:val="24"/>
          <w:highlight w:val="none"/>
        </w:rPr>
        <w:t>1.12 偏离</w:t>
      </w:r>
      <w:bookmarkEnd w:id="158"/>
      <w:bookmarkEnd w:id="159"/>
      <w:bookmarkEnd w:id="160"/>
      <w:bookmarkEnd w:id="161"/>
      <w:bookmarkEnd w:id="162"/>
      <w:bookmarkStart w:id="163" w:name="_Toc532034654"/>
      <w:bookmarkStart w:id="164" w:name="_Toc12632"/>
      <w:bookmarkStart w:id="165" w:name="_Toc152042318"/>
      <w:bookmarkStart w:id="166" w:name="_Toc144974510"/>
      <w:bookmarkStart w:id="167" w:name="_Toc152045542"/>
    </w:p>
    <w:p w14:paraId="1F4BB9B1">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不</w:t>
      </w:r>
      <w:r>
        <w:rPr>
          <w:rFonts w:hint="eastAsia" w:ascii="仿宋" w:hAnsi="仿宋" w:eastAsia="仿宋" w:cs="仿宋"/>
          <w:color w:val="auto"/>
          <w:sz w:val="24"/>
          <w:szCs w:val="24"/>
          <w:highlight w:val="none"/>
        </w:rPr>
        <w:t>允许</w:t>
      </w:r>
      <w:bookmarkEnd w:id="163"/>
      <w:bookmarkEnd w:id="164"/>
    </w:p>
    <w:p w14:paraId="1AE74D77">
      <w:pPr>
        <w:pStyle w:val="51"/>
        <w:spacing w:before="0" w:line="360" w:lineRule="auto"/>
        <w:outlineLvl w:val="9"/>
        <w:rPr>
          <w:rFonts w:hint="eastAsia" w:ascii="仿宋" w:hAnsi="仿宋" w:eastAsia="仿宋" w:cs="仿宋"/>
          <w:b/>
          <w:color w:val="auto"/>
          <w:sz w:val="24"/>
          <w:szCs w:val="24"/>
          <w:highlight w:val="none"/>
          <w:lang w:eastAsia="zh-CN"/>
        </w:rPr>
      </w:pPr>
      <w:bookmarkStart w:id="168" w:name="_Toc742"/>
      <w:bookmarkStart w:id="169" w:name="_Toc4614"/>
      <w:bookmarkStart w:id="170" w:name="_Toc13698"/>
      <w:bookmarkStart w:id="171" w:name="_Toc32217"/>
      <w:r>
        <w:rPr>
          <w:rFonts w:hint="eastAsia" w:ascii="仿宋" w:hAnsi="仿宋" w:eastAsia="仿宋" w:cs="仿宋"/>
          <w:b/>
          <w:color w:val="auto"/>
          <w:sz w:val="24"/>
          <w:szCs w:val="24"/>
          <w:highlight w:val="none"/>
        </w:rPr>
        <w:t xml:space="preserve">2. </w:t>
      </w:r>
      <w:bookmarkEnd w:id="165"/>
      <w:bookmarkEnd w:id="166"/>
      <w:bookmarkEnd w:id="167"/>
      <w:r>
        <w:rPr>
          <w:rFonts w:hint="eastAsia" w:ascii="仿宋" w:hAnsi="仿宋" w:eastAsia="仿宋" w:cs="仿宋"/>
          <w:b/>
          <w:color w:val="auto"/>
          <w:sz w:val="24"/>
          <w:szCs w:val="24"/>
          <w:highlight w:val="none"/>
          <w:lang w:eastAsia="zh-CN"/>
        </w:rPr>
        <w:t>磋商文件</w:t>
      </w:r>
      <w:bookmarkEnd w:id="168"/>
      <w:bookmarkEnd w:id="169"/>
      <w:bookmarkEnd w:id="170"/>
      <w:bookmarkEnd w:id="171"/>
    </w:p>
    <w:p w14:paraId="6518C401">
      <w:pPr>
        <w:pStyle w:val="53"/>
        <w:spacing w:line="360" w:lineRule="auto"/>
        <w:outlineLvl w:val="9"/>
        <w:rPr>
          <w:rFonts w:hint="eastAsia" w:ascii="仿宋" w:hAnsi="仿宋" w:eastAsia="仿宋" w:cs="仿宋"/>
          <w:color w:val="auto"/>
          <w:sz w:val="24"/>
          <w:szCs w:val="24"/>
          <w:highlight w:val="none"/>
        </w:rPr>
      </w:pPr>
      <w:bookmarkStart w:id="172" w:name="_Toc1427"/>
      <w:bookmarkStart w:id="173" w:name="_Toc144974511"/>
      <w:bookmarkStart w:id="174" w:name="_Toc23944"/>
      <w:bookmarkStart w:id="175" w:name="_Toc8110"/>
      <w:bookmarkStart w:id="176" w:name="_Toc23367"/>
      <w:bookmarkStart w:id="177" w:name="_Toc152042319"/>
      <w:bookmarkStart w:id="178" w:name="_Toc152045543"/>
      <w:bookmarkStart w:id="179" w:name="_Toc532034656"/>
      <w:r>
        <w:rPr>
          <w:rFonts w:hint="eastAsia" w:ascii="仿宋" w:hAnsi="仿宋" w:eastAsia="仿宋" w:cs="仿宋"/>
          <w:color w:val="auto"/>
          <w:sz w:val="24"/>
          <w:szCs w:val="24"/>
          <w:highlight w:val="none"/>
        </w:rPr>
        <w:t xml:space="preserve">2.1 </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的组成</w:t>
      </w:r>
      <w:bookmarkEnd w:id="172"/>
      <w:bookmarkEnd w:id="173"/>
      <w:bookmarkEnd w:id="174"/>
      <w:bookmarkEnd w:id="175"/>
      <w:bookmarkEnd w:id="176"/>
      <w:bookmarkEnd w:id="177"/>
      <w:bookmarkEnd w:id="178"/>
      <w:bookmarkEnd w:id="179"/>
    </w:p>
    <w:p w14:paraId="701FEED9">
      <w:pPr>
        <w:spacing w:line="360" w:lineRule="auto"/>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包括：</w:t>
      </w:r>
    </w:p>
    <w:p w14:paraId="12D7619A">
      <w:pPr>
        <w:tabs>
          <w:tab w:val="left" w:pos="1260"/>
        </w:tabs>
        <w:autoSpaceDE w:val="0"/>
        <w:autoSpaceDN w:val="0"/>
        <w:adjustRightInd w:val="0"/>
        <w:spacing w:line="360" w:lineRule="auto"/>
        <w:ind w:firstLine="484" w:firstLineChars="202"/>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公告</w:t>
      </w:r>
    </w:p>
    <w:p w14:paraId="4B9CF825">
      <w:pPr>
        <w:tabs>
          <w:tab w:val="left" w:pos="1260"/>
        </w:tabs>
        <w:autoSpaceDE w:val="0"/>
        <w:autoSpaceDN w:val="0"/>
        <w:adjustRightInd w:val="0"/>
        <w:spacing w:line="360" w:lineRule="auto"/>
        <w:ind w:firstLine="484" w:firstLineChars="202"/>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（2）供应商须知；</w:t>
      </w:r>
    </w:p>
    <w:p w14:paraId="27D74016">
      <w:pPr>
        <w:tabs>
          <w:tab w:val="left" w:pos="1260"/>
        </w:tabs>
        <w:autoSpaceDE w:val="0"/>
        <w:autoSpaceDN w:val="0"/>
        <w:adjustRightInd w:val="0"/>
        <w:spacing w:line="360" w:lineRule="auto"/>
        <w:ind w:firstLine="484" w:firstLineChars="202"/>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办法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综合评分法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181117EE">
      <w:pPr>
        <w:tabs>
          <w:tab w:val="left" w:pos="1260"/>
        </w:tabs>
        <w:autoSpaceDE w:val="0"/>
        <w:autoSpaceDN w:val="0"/>
        <w:adjustRightInd w:val="0"/>
        <w:spacing w:line="360" w:lineRule="auto"/>
        <w:ind w:firstLine="484" w:firstLineChars="202"/>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（4）合同条款及格式；</w:t>
      </w:r>
    </w:p>
    <w:p w14:paraId="64F365D3">
      <w:pPr>
        <w:tabs>
          <w:tab w:val="left" w:pos="1260"/>
        </w:tabs>
        <w:autoSpaceDE w:val="0"/>
        <w:autoSpaceDN w:val="0"/>
        <w:adjustRightInd w:val="0"/>
        <w:spacing w:line="360" w:lineRule="auto"/>
        <w:ind w:firstLine="484" w:firstLineChars="202"/>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（5）采购需求；</w:t>
      </w:r>
    </w:p>
    <w:p w14:paraId="3B02271C">
      <w:pPr>
        <w:tabs>
          <w:tab w:val="left" w:pos="1260"/>
        </w:tabs>
        <w:autoSpaceDE w:val="0"/>
        <w:autoSpaceDN w:val="0"/>
        <w:adjustRightInd w:val="0"/>
        <w:spacing w:line="360" w:lineRule="auto"/>
        <w:ind w:firstLine="484" w:firstLineChars="202"/>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（6）响应文件格式；</w:t>
      </w:r>
    </w:p>
    <w:p w14:paraId="7614058D">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根据本章第1.10款、第2.2款和第2.3款对</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所作的澄清、修改，构成</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的组成部分。</w:t>
      </w:r>
    </w:p>
    <w:p w14:paraId="4946C761">
      <w:pPr>
        <w:pStyle w:val="53"/>
        <w:spacing w:line="360" w:lineRule="auto"/>
        <w:outlineLvl w:val="9"/>
        <w:rPr>
          <w:rFonts w:hint="eastAsia" w:ascii="仿宋" w:hAnsi="仿宋" w:eastAsia="仿宋" w:cs="仿宋"/>
          <w:color w:val="auto"/>
          <w:sz w:val="24"/>
          <w:szCs w:val="24"/>
          <w:highlight w:val="none"/>
        </w:rPr>
      </w:pPr>
      <w:bookmarkStart w:id="180" w:name="_Toc1229"/>
      <w:bookmarkStart w:id="181" w:name="_Toc532034657"/>
      <w:bookmarkStart w:id="182" w:name="_Toc152045544"/>
      <w:bookmarkStart w:id="183" w:name="_Toc9630"/>
      <w:bookmarkStart w:id="184" w:name="_Toc628"/>
      <w:bookmarkStart w:id="185" w:name="_Toc17993"/>
      <w:bookmarkStart w:id="186" w:name="_Toc144974512"/>
      <w:bookmarkStart w:id="187" w:name="_Toc152042320"/>
      <w:r>
        <w:rPr>
          <w:rFonts w:hint="eastAsia" w:ascii="仿宋" w:hAnsi="仿宋" w:eastAsia="仿宋" w:cs="仿宋"/>
          <w:color w:val="auto"/>
          <w:sz w:val="24"/>
          <w:szCs w:val="24"/>
          <w:highlight w:val="none"/>
        </w:rPr>
        <w:t xml:space="preserve">2.2 </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的澄清</w:t>
      </w:r>
      <w:bookmarkEnd w:id="180"/>
      <w:bookmarkEnd w:id="181"/>
      <w:bookmarkEnd w:id="182"/>
      <w:bookmarkEnd w:id="183"/>
      <w:bookmarkEnd w:id="184"/>
      <w:bookmarkEnd w:id="185"/>
      <w:bookmarkEnd w:id="186"/>
      <w:bookmarkEnd w:id="187"/>
    </w:p>
    <w:p w14:paraId="20EA1B0B">
      <w:pPr>
        <w:spacing w:line="360" w:lineRule="auto"/>
        <w:ind w:firstLine="480" w:firstLineChars="200"/>
        <w:outlineLvl w:val="9"/>
        <w:rPr>
          <w:rFonts w:hint="eastAsia" w:ascii="仿宋" w:hAnsi="仿宋" w:eastAsia="仿宋" w:cs="仿宋"/>
          <w:color w:val="auto"/>
          <w:sz w:val="24"/>
          <w:szCs w:val="24"/>
          <w:highlight w:val="none"/>
        </w:rPr>
      </w:pPr>
      <w:bookmarkStart w:id="188" w:name="_Toc6732"/>
      <w:bookmarkStart w:id="189" w:name="_Toc152042321"/>
      <w:bookmarkStart w:id="190" w:name="_Toc144974513"/>
      <w:bookmarkStart w:id="191" w:name="_Toc152045545"/>
      <w:bookmarkStart w:id="192" w:name="_Toc152042322"/>
      <w:bookmarkStart w:id="193" w:name="_Toc152045546"/>
      <w:bookmarkStart w:id="194" w:name="_Toc144974514"/>
      <w:r>
        <w:rPr>
          <w:rFonts w:hint="eastAsia" w:ascii="仿宋" w:hAnsi="仿宋" w:eastAsia="仿宋" w:cs="仿宋"/>
          <w:color w:val="auto"/>
          <w:sz w:val="24"/>
          <w:szCs w:val="24"/>
          <w:highlight w:val="none"/>
        </w:rPr>
        <w:t>2.2.1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应仔细阅读和检查</w:t>
      </w:r>
      <w:r>
        <w:rPr>
          <w:rFonts w:hint="eastAsia" w:ascii="仿宋" w:hAnsi="仿宋" w:eastAsia="仿宋" w:cs="仿宋"/>
          <w:color w:val="auto"/>
          <w:sz w:val="24"/>
          <w:szCs w:val="24"/>
          <w:highlight w:val="none"/>
          <w:lang w:val="en-US" w:eastAsia="zh-CN"/>
        </w:rPr>
        <w:t>竞争性</w:t>
      </w:r>
      <w:r>
        <w:rPr>
          <w:rFonts w:hint="eastAsia" w:ascii="仿宋" w:hAnsi="仿宋" w:eastAsia="仿宋" w:cs="仿宋"/>
          <w:color w:val="auto"/>
          <w:sz w:val="24"/>
          <w:szCs w:val="24"/>
          <w:highlight w:val="none"/>
        </w:rPr>
        <w:t>磋商文件的全部内容。如发现缺页或附件不全，应及时向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提出，以便补齐。如有疑问，应在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须知前附表规定的时间前以书面形式（包括信函、电报、传真等可以有形地表现所载内容的形式，下同），要求</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对磋商文件予以澄清，否则由此引起的任何后果均由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自己承担，</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与</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均不承担任何责任。</w:t>
      </w:r>
    </w:p>
    <w:p w14:paraId="13325FF8">
      <w:pPr>
        <w:spacing w:line="360" w:lineRule="auto"/>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2.2.2</w:t>
      </w:r>
      <w:r>
        <w:rPr>
          <w:rFonts w:hint="eastAsia" w:ascii="仿宋" w:hAnsi="仿宋" w:eastAsia="仿宋" w:cs="仿宋"/>
          <w:color w:val="auto"/>
          <w:sz w:val="24"/>
          <w:szCs w:val="24"/>
          <w:highlight w:val="none"/>
          <w:lang w:val="en-US" w:eastAsia="zh-CN"/>
        </w:rPr>
        <w:t>竞争性</w:t>
      </w:r>
      <w:r>
        <w:rPr>
          <w:rFonts w:hint="eastAsia" w:ascii="仿宋" w:hAnsi="仿宋" w:eastAsia="仿宋" w:cs="仿宋"/>
          <w:color w:val="auto"/>
          <w:sz w:val="24"/>
          <w:szCs w:val="24"/>
          <w:highlight w:val="none"/>
        </w:rPr>
        <w:t>磋商文件的澄清将在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须知前附表规定的提交响应文件截止时间5天前通过“荥阳市公共资源交易中心平台”发给所有</w:t>
      </w:r>
      <w:r>
        <w:rPr>
          <w:rFonts w:hint="eastAsia" w:ascii="仿宋" w:hAnsi="仿宋" w:eastAsia="仿宋" w:cs="仿宋"/>
          <w:color w:val="auto"/>
          <w:sz w:val="24"/>
          <w:szCs w:val="24"/>
          <w:highlight w:val="none"/>
          <w:lang w:val="en-US" w:eastAsia="zh-CN"/>
        </w:rPr>
        <w:t>获取</w:t>
      </w:r>
      <w:r>
        <w:rPr>
          <w:rFonts w:hint="eastAsia" w:ascii="仿宋" w:hAnsi="仿宋" w:eastAsia="仿宋" w:cs="仿宋"/>
          <w:color w:val="auto"/>
          <w:sz w:val="24"/>
          <w:szCs w:val="24"/>
          <w:highlight w:val="none"/>
        </w:rPr>
        <w:t>磋商文件的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，但不指明澄清问题的来源</w:t>
      </w:r>
      <w:r>
        <w:rPr>
          <w:rFonts w:hint="eastAsia" w:ascii="仿宋" w:hAnsi="仿宋" w:eastAsia="仿宋" w:cs="仿宋"/>
          <w:color w:val="auto"/>
          <w:sz w:val="24"/>
          <w:szCs w:val="24"/>
          <w:highlight w:val="none"/>
          <w:lang w:eastAsia="zh-CN"/>
        </w:rPr>
        <w:t>。</w:t>
      </w:r>
    </w:p>
    <w:p w14:paraId="2CC8C92A">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z w:val="24"/>
          <w:szCs w:val="24"/>
          <w:highlight w:val="none"/>
        </w:rPr>
        <w:t>请各供应商及时关注交易平台，因</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未看到或其他原因造成的后果，由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自行承担。</w:t>
      </w:r>
    </w:p>
    <w:p w14:paraId="44EA0C72">
      <w:pPr>
        <w:pStyle w:val="53"/>
        <w:spacing w:line="360" w:lineRule="auto"/>
        <w:outlineLvl w:val="9"/>
        <w:rPr>
          <w:rFonts w:hint="eastAsia" w:ascii="仿宋" w:hAnsi="仿宋" w:eastAsia="仿宋" w:cs="仿宋"/>
          <w:color w:val="auto"/>
          <w:sz w:val="24"/>
          <w:szCs w:val="24"/>
          <w:highlight w:val="none"/>
        </w:rPr>
      </w:pPr>
      <w:bookmarkStart w:id="195" w:name="_Toc22646"/>
      <w:bookmarkStart w:id="196" w:name="_Toc11514"/>
      <w:bookmarkStart w:id="197" w:name="_Toc19567"/>
      <w:bookmarkStart w:id="198" w:name="_Toc28594"/>
      <w:r>
        <w:rPr>
          <w:rFonts w:hint="eastAsia" w:ascii="仿宋" w:hAnsi="仿宋" w:eastAsia="仿宋" w:cs="仿宋"/>
          <w:color w:val="auto"/>
          <w:sz w:val="24"/>
          <w:szCs w:val="24"/>
          <w:highlight w:val="none"/>
        </w:rPr>
        <w:t xml:space="preserve">2.3 </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的修改</w:t>
      </w:r>
      <w:bookmarkEnd w:id="188"/>
      <w:bookmarkEnd w:id="189"/>
      <w:bookmarkEnd w:id="190"/>
      <w:bookmarkEnd w:id="191"/>
      <w:bookmarkEnd w:id="195"/>
      <w:bookmarkEnd w:id="196"/>
      <w:bookmarkEnd w:id="197"/>
      <w:bookmarkEnd w:id="198"/>
    </w:p>
    <w:p w14:paraId="5EC58A84">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 在提交响应文件截止5天前，</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可以书面形式修改磋商文件，并通过“荥阳市公共资源交易中心平台”通知所有已</w:t>
      </w:r>
      <w:r>
        <w:rPr>
          <w:rFonts w:hint="eastAsia" w:ascii="仿宋" w:hAnsi="仿宋" w:eastAsia="仿宋" w:cs="仿宋"/>
          <w:color w:val="auto"/>
          <w:sz w:val="24"/>
          <w:szCs w:val="24"/>
          <w:highlight w:val="none"/>
          <w:lang w:val="en-US" w:eastAsia="zh-CN"/>
        </w:rPr>
        <w:t>获取</w:t>
      </w:r>
      <w:r>
        <w:rPr>
          <w:rFonts w:hint="eastAsia" w:ascii="仿宋" w:hAnsi="仿宋" w:eastAsia="仿宋" w:cs="仿宋"/>
          <w:color w:val="auto"/>
          <w:sz w:val="24"/>
          <w:szCs w:val="24"/>
          <w:highlight w:val="none"/>
        </w:rPr>
        <w:t>磋商文件的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。如果修改磋商文件的时间距提交响应文件截止时间不足5天，相应延长提交响应文件截止时间。</w:t>
      </w:r>
    </w:p>
    <w:p w14:paraId="320847A3">
      <w:pPr>
        <w:keepNext w:val="0"/>
        <w:keepLines w:val="0"/>
        <w:pageBreakBefore w:val="0"/>
        <w:widowControl w:val="0"/>
        <w:kinsoku/>
        <w:wordWrap/>
        <w:overflowPunct/>
        <w:topLinePunct w:val="0"/>
        <w:autoSpaceDE/>
        <w:autoSpaceDN/>
        <w:bidi w:val="0"/>
        <w:adjustRightInd/>
        <w:snapToGrid/>
        <w:spacing w:line="360" w:lineRule="auto"/>
        <w:ind w:left="100" w:right="0" w:firstLine="48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2.3.2请各供应商及时关注交易平台，因</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未看到或其他原因造成的后果，由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自行承担。</w:t>
      </w:r>
      <w:bookmarkStart w:id="199" w:name="_Toc14329"/>
      <w:bookmarkStart w:id="200" w:name="_Toc31734"/>
      <w:bookmarkStart w:id="201" w:name="_Toc21595"/>
    </w:p>
    <w:bookmarkEnd w:id="192"/>
    <w:bookmarkEnd w:id="193"/>
    <w:bookmarkEnd w:id="194"/>
    <w:p w14:paraId="426685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lang w:eastAsia="zh-CN"/>
        </w:rPr>
        <w:t>响应文件</w:t>
      </w:r>
      <w:bookmarkEnd w:id="199"/>
      <w:bookmarkEnd w:id="200"/>
      <w:bookmarkEnd w:id="201"/>
      <w:bookmarkStart w:id="202" w:name="_Toc25805"/>
      <w:bookmarkStart w:id="203" w:name="_Toc16017"/>
      <w:bookmarkStart w:id="204" w:name="_Toc32008"/>
      <w:bookmarkStart w:id="205" w:name="_Toc152042323"/>
      <w:bookmarkStart w:id="206" w:name="_Toc532034660"/>
      <w:bookmarkStart w:id="207" w:name="_Toc144974515"/>
      <w:bookmarkStart w:id="208" w:name="_Toc152045547"/>
    </w:p>
    <w:p w14:paraId="6E517A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3.1 </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的组成</w:t>
      </w:r>
      <w:bookmarkEnd w:id="202"/>
      <w:bookmarkEnd w:id="203"/>
      <w:bookmarkEnd w:id="204"/>
      <w:bookmarkEnd w:id="205"/>
      <w:bookmarkEnd w:id="206"/>
      <w:bookmarkEnd w:id="207"/>
      <w:bookmarkEnd w:id="208"/>
    </w:p>
    <w:p w14:paraId="41DC2348">
      <w:pPr>
        <w:pStyle w:val="25"/>
        <w:tabs>
          <w:tab w:val="left" w:pos="1260"/>
          <w:tab w:val="left" w:pos="1455"/>
        </w:tabs>
        <w:adjustRightInd/>
        <w:spacing w:before="0" w:after="0" w:line="360" w:lineRule="auto"/>
        <w:ind w:right="-63" w:rightChars="-30" w:firstLine="480" w:firstLineChars="200"/>
        <w:jc w:val="both"/>
        <w:textAlignment w:val="auto"/>
        <w:outlineLvl w:val="9"/>
        <w:rPr>
          <w:rFonts w:hint="eastAsia" w:ascii="仿宋" w:hAnsi="仿宋" w:eastAsia="仿宋" w:cs="仿宋"/>
          <w:color w:val="auto"/>
          <w:sz w:val="24"/>
          <w:szCs w:val="24"/>
          <w:highlight w:val="none"/>
        </w:rPr>
      </w:pPr>
      <w:bookmarkStart w:id="209" w:name="_Toc4356"/>
      <w:bookmarkStart w:id="210" w:name="_Toc20961"/>
      <w:bookmarkStart w:id="211" w:name="_Toc532034661"/>
      <w:bookmarkStart w:id="212" w:name="_Toc3035"/>
      <w:bookmarkStart w:id="213" w:name="_Toc12446"/>
      <w:bookmarkStart w:id="214" w:name="_Toc256519658"/>
      <w:bookmarkStart w:id="215" w:name="_Toc144974516"/>
      <w:bookmarkStart w:id="216" w:name="_Toc152042324"/>
      <w:bookmarkStart w:id="217" w:name="_Toc152045548"/>
      <w:r>
        <w:rPr>
          <w:rFonts w:hint="eastAsia" w:ascii="仿宋" w:hAnsi="仿宋" w:eastAsia="仿宋" w:cs="仿宋"/>
          <w:b w:val="0"/>
          <w:color w:val="auto"/>
          <w:sz w:val="24"/>
          <w:szCs w:val="24"/>
          <w:highlight w:val="none"/>
        </w:rPr>
        <w:t>3.1.1</w:t>
      </w:r>
      <w:r>
        <w:rPr>
          <w:rFonts w:hint="eastAsia" w:ascii="仿宋" w:hAnsi="仿宋" w:eastAsia="仿宋" w:cs="仿宋"/>
          <w:b w:val="0"/>
          <w:color w:val="auto"/>
          <w:sz w:val="24"/>
          <w:szCs w:val="24"/>
          <w:highlight w:val="none"/>
          <w:lang w:eastAsia="zh-CN"/>
        </w:rPr>
        <w:t>响应文件</w:t>
      </w:r>
      <w:r>
        <w:rPr>
          <w:rFonts w:hint="eastAsia" w:ascii="仿宋" w:hAnsi="仿宋" w:eastAsia="仿宋" w:cs="仿宋"/>
          <w:b w:val="0"/>
          <w:color w:val="auto"/>
          <w:sz w:val="24"/>
          <w:szCs w:val="24"/>
          <w:highlight w:val="none"/>
        </w:rPr>
        <w:t>应包括</w:t>
      </w:r>
      <w:r>
        <w:rPr>
          <w:rFonts w:hint="eastAsia" w:ascii="仿宋" w:hAnsi="仿宋" w:eastAsia="仿宋" w:cs="仿宋"/>
          <w:b w:val="0"/>
          <w:color w:val="auto"/>
          <w:sz w:val="24"/>
          <w:szCs w:val="24"/>
          <w:highlight w:val="none"/>
          <w:lang w:eastAsia="zh-CN"/>
        </w:rPr>
        <w:t>但不限于</w:t>
      </w:r>
      <w:r>
        <w:rPr>
          <w:rFonts w:hint="eastAsia" w:ascii="仿宋" w:hAnsi="仿宋" w:eastAsia="仿宋" w:cs="仿宋"/>
          <w:b w:val="0"/>
          <w:color w:val="auto"/>
          <w:sz w:val="24"/>
          <w:szCs w:val="24"/>
          <w:highlight w:val="none"/>
        </w:rPr>
        <w:t>下列内容：</w:t>
      </w:r>
      <w:bookmarkEnd w:id="209"/>
      <w:bookmarkEnd w:id="210"/>
      <w:bookmarkEnd w:id="211"/>
      <w:bookmarkEnd w:id="212"/>
      <w:bookmarkEnd w:id="213"/>
      <w:bookmarkEnd w:id="214"/>
    </w:p>
    <w:p w14:paraId="6FB9DF32">
      <w:pPr>
        <w:spacing w:line="360" w:lineRule="auto"/>
        <w:ind w:firstLine="480" w:firstLineChars="200"/>
        <w:outlineLvl w:val="9"/>
        <w:rPr>
          <w:rFonts w:hint="eastAsia" w:ascii="仿宋" w:hAnsi="仿宋" w:eastAsia="仿宋" w:cs="仿宋"/>
          <w:color w:val="auto"/>
          <w:sz w:val="24"/>
          <w:szCs w:val="24"/>
          <w:highlight w:val="none"/>
        </w:rPr>
      </w:pPr>
      <w:bookmarkStart w:id="218" w:name="_Toc11833"/>
      <w:bookmarkStart w:id="219" w:name="_Toc532034662"/>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磋商响应</w:t>
      </w:r>
      <w:r>
        <w:rPr>
          <w:rFonts w:hint="eastAsia" w:ascii="仿宋" w:hAnsi="仿宋" w:eastAsia="仿宋" w:cs="仿宋"/>
          <w:color w:val="auto"/>
          <w:sz w:val="24"/>
          <w:szCs w:val="24"/>
          <w:highlight w:val="none"/>
        </w:rPr>
        <w:t>函及</w:t>
      </w:r>
      <w:r>
        <w:rPr>
          <w:rFonts w:hint="eastAsia" w:ascii="仿宋" w:hAnsi="仿宋" w:eastAsia="仿宋" w:cs="仿宋"/>
          <w:color w:val="auto"/>
          <w:sz w:val="24"/>
          <w:szCs w:val="24"/>
          <w:highlight w:val="none"/>
          <w:lang w:eastAsia="zh-CN"/>
        </w:rPr>
        <w:t>磋商响应</w:t>
      </w:r>
      <w:r>
        <w:rPr>
          <w:rFonts w:hint="eastAsia" w:ascii="仿宋" w:hAnsi="仿宋" w:eastAsia="仿宋" w:cs="仿宋"/>
          <w:color w:val="auto"/>
          <w:sz w:val="24"/>
          <w:szCs w:val="24"/>
          <w:highlight w:val="none"/>
        </w:rPr>
        <w:t>一览表</w:t>
      </w:r>
    </w:p>
    <w:p w14:paraId="74B6B1FF">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二、法定代表人身份证明及授权委托书</w:t>
      </w:r>
    </w:p>
    <w:p w14:paraId="56464CC8">
      <w:pPr>
        <w:spacing w:line="360" w:lineRule="auto"/>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响应承诺函</w:t>
      </w:r>
    </w:p>
    <w:p w14:paraId="1B30F258">
      <w:pPr>
        <w:spacing w:line="360" w:lineRule="auto"/>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服务方案</w:t>
      </w:r>
    </w:p>
    <w:p w14:paraId="59F5E5A7">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资格证明文件</w:t>
      </w:r>
    </w:p>
    <w:p w14:paraId="32A03697">
      <w:pPr>
        <w:spacing w:line="360" w:lineRule="auto"/>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近年类似项目情况表</w:t>
      </w:r>
    </w:p>
    <w:p w14:paraId="103BE030">
      <w:pPr>
        <w:spacing w:line="360" w:lineRule="auto"/>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七、服务承诺、优惠条件</w:t>
      </w:r>
    </w:p>
    <w:p w14:paraId="47B21321">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供应商认为与本次项目有关的其他材料</w:t>
      </w:r>
    </w:p>
    <w:p w14:paraId="3561327C">
      <w:pPr>
        <w:pStyle w:val="53"/>
        <w:spacing w:line="360" w:lineRule="auto"/>
        <w:outlineLvl w:val="9"/>
        <w:rPr>
          <w:rFonts w:hint="eastAsia" w:ascii="仿宋" w:hAnsi="仿宋" w:eastAsia="仿宋" w:cs="仿宋"/>
          <w:color w:val="auto"/>
          <w:sz w:val="24"/>
          <w:szCs w:val="24"/>
          <w:highlight w:val="none"/>
        </w:rPr>
      </w:pPr>
      <w:bookmarkStart w:id="220" w:name="_Toc20315"/>
      <w:bookmarkStart w:id="221" w:name="_Toc29179"/>
      <w:bookmarkStart w:id="222" w:name="_Toc1817"/>
      <w:r>
        <w:rPr>
          <w:rFonts w:hint="eastAsia" w:ascii="仿宋" w:hAnsi="仿宋" w:eastAsia="仿宋" w:cs="仿宋"/>
          <w:color w:val="auto"/>
          <w:sz w:val="24"/>
          <w:szCs w:val="24"/>
          <w:highlight w:val="none"/>
        </w:rPr>
        <w:t>3.2 投标报价</w:t>
      </w:r>
      <w:bookmarkEnd w:id="215"/>
      <w:bookmarkEnd w:id="216"/>
      <w:bookmarkEnd w:id="217"/>
      <w:bookmarkEnd w:id="218"/>
      <w:bookmarkEnd w:id="219"/>
      <w:bookmarkEnd w:id="220"/>
      <w:bookmarkEnd w:id="221"/>
      <w:bookmarkEnd w:id="222"/>
    </w:p>
    <w:p w14:paraId="3DDD88E1">
      <w:pPr>
        <w:spacing w:line="360" w:lineRule="auto"/>
        <w:ind w:firstLine="480" w:firstLineChars="200"/>
        <w:outlineLvl w:val="9"/>
        <w:rPr>
          <w:rFonts w:hint="eastAsia" w:ascii="仿宋" w:hAnsi="仿宋" w:eastAsia="仿宋" w:cs="仿宋"/>
          <w:color w:val="auto"/>
          <w:sz w:val="24"/>
          <w:szCs w:val="24"/>
          <w:highlight w:val="none"/>
          <w:lang w:val="en-US" w:eastAsia="zh-CN"/>
        </w:rPr>
      </w:pPr>
      <w:bookmarkStart w:id="223" w:name="_Toc25581"/>
      <w:bookmarkStart w:id="224" w:name="_Toc144974517"/>
      <w:bookmarkStart w:id="225" w:name="_Toc13404"/>
      <w:bookmarkStart w:id="226" w:name="_Toc686"/>
      <w:bookmarkStart w:id="227" w:name="_Toc152045549"/>
      <w:bookmarkStart w:id="228" w:name="_Toc532034663"/>
      <w:bookmarkStart w:id="229" w:name="_Toc29629"/>
      <w:bookmarkStart w:id="230" w:name="_Toc14685"/>
      <w:bookmarkStart w:id="231" w:name="_Toc152042325"/>
      <w:r>
        <w:rPr>
          <w:rFonts w:hint="eastAsia" w:ascii="仿宋" w:hAnsi="仿宋" w:eastAsia="仿宋" w:cs="仿宋"/>
          <w:color w:val="auto"/>
          <w:sz w:val="24"/>
          <w:szCs w:val="24"/>
          <w:highlight w:val="none"/>
          <w:lang w:val="en-US" w:eastAsia="zh-CN"/>
        </w:rPr>
        <w:t>3.2.1 响应报价应包括国家规定的增值税税金，除供应商须知前附表另有规定外，增值税税金按一般计税方法计算。供应商应按第六章“响应文件格式”的要求在投标函中进行报价。</w:t>
      </w:r>
      <w:bookmarkEnd w:id="223"/>
    </w:p>
    <w:p w14:paraId="2668E311">
      <w:pPr>
        <w:spacing w:line="360" w:lineRule="auto"/>
        <w:ind w:firstLine="480" w:firstLineChars="200"/>
        <w:outlineLvl w:val="9"/>
        <w:rPr>
          <w:rFonts w:hint="eastAsia" w:ascii="仿宋" w:hAnsi="仿宋" w:eastAsia="仿宋" w:cs="仿宋"/>
          <w:color w:val="auto"/>
          <w:sz w:val="24"/>
          <w:szCs w:val="24"/>
          <w:highlight w:val="none"/>
          <w:lang w:val="en-US" w:eastAsia="zh-CN"/>
        </w:rPr>
      </w:pPr>
      <w:bookmarkStart w:id="232" w:name="_Toc24363"/>
      <w:r>
        <w:rPr>
          <w:rFonts w:hint="eastAsia" w:ascii="仿宋" w:hAnsi="仿宋" w:eastAsia="仿宋" w:cs="仿宋"/>
          <w:color w:val="auto"/>
          <w:sz w:val="24"/>
          <w:szCs w:val="24"/>
          <w:highlight w:val="none"/>
          <w:lang w:val="en-US" w:eastAsia="zh-CN"/>
        </w:rPr>
        <w:t>3.2.2 供应商应充分了解该项目的总体情况以及影响投标报价的其他要素。</w:t>
      </w:r>
      <w:bookmarkEnd w:id="232"/>
    </w:p>
    <w:p w14:paraId="0C912B07">
      <w:pPr>
        <w:spacing w:line="360" w:lineRule="auto"/>
        <w:ind w:firstLine="480" w:firstLineChars="200"/>
        <w:outlineLvl w:val="9"/>
        <w:rPr>
          <w:rFonts w:hint="eastAsia" w:ascii="仿宋" w:hAnsi="仿宋" w:eastAsia="仿宋" w:cs="仿宋"/>
          <w:color w:val="auto"/>
          <w:sz w:val="24"/>
          <w:szCs w:val="24"/>
          <w:highlight w:val="none"/>
          <w:lang w:val="en-US" w:eastAsia="zh-CN"/>
        </w:rPr>
      </w:pPr>
      <w:bookmarkStart w:id="233" w:name="_Toc32358"/>
      <w:r>
        <w:rPr>
          <w:rFonts w:hint="eastAsia" w:ascii="仿宋" w:hAnsi="仿宋" w:eastAsia="仿宋" w:cs="仿宋"/>
          <w:color w:val="auto"/>
          <w:sz w:val="24"/>
          <w:szCs w:val="24"/>
          <w:highlight w:val="none"/>
          <w:lang w:val="en-US" w:eastAsia="zh-CN"/>
        </w:rPr>
        <w:t>3.2.3 投标报价为各分项报价金额之和，投标报价与分项报价的合价不一致的，应以各分项合价累计数为准，修正投标报价；如分项报价中存在缺漏项，则视为缺漏项价格已包含在其他分项报价之中。供应商在投标截止时间前修改投标函中的投标报价总额，应同时修改响应文件“分项报价表”中的相应报价。此修改须符合本章第 4.3 款的有关要求。</w:t>
      </w:r>
      <w:bookmarkEnd w:id="233"/>
    </w:p>
    <w:p w14:paraId="29735E8B">
      <w:pPr>
        <w:spacing w:line="360" w:lineRule="auto"/>
        <w:ind w:firstLine="480" w:firstLineChars="200"/>
        <w:outlineLvl w:val="9"/>
        <w:rPr>
          <w:rFonts w:hint="eastAsia" w:ascii="仿宋" w:hAnsi="仿宋" w:eastAsia="仿宋" w:cs="仿宋"/>
          <w:color w:val="auto"/>
          <w:sz w:val="24"/>
          <w:szCs w:val="24"/>
          <w:highlight w:val="none"/>
          <w:lang w:val="en-US" w:eastAsia="zh-CN"/>
        </w:rPr>
      </w:pPr>
      <w:bookmarkStart w:id="234" w:name="_Toc8513"/>
      <w:r>
        <w:rPr>
          <w:rFonts w:hint="eastAsia" w:ascii="仿宋" w:hAnsi="仿宋" w:eastAsia="仿宋" w:cs="仿宋"/>
          <w:color w:val="auto"/>
          <w:sz w:val="24"/>
          <w:szCs w:val="24"/>
          <w:highlight w:val="none"/>
          <w:lang w:val="en-US" w:eastAsia="zh-CN"/>
        </w:rPr>
        <w:t>3.2.4 采购人设有最高投标限价的，供应商的投标报价不得超过最高投标限价，最高投标限价在供应商须知前附表中载明。</w:t>
      </w:r>
      <w:bookmarkEnd w:id="234"/>
    </w:p>
    <w:p w14:paraId="0B60B9DF">
      <w:pPr>
        <w:spacing w:line="360" w:lineRule="auto"/>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3.2.5 报价方式详见供应商须知前附表。</w:t>
      </w:r>
    </w:p>
    <w:p w14:paraId="1BB772EA">
      <w:pPr>
        <w:spacing w:line="360" w:lineRule="auto"/>
        <w:outlineLvl w:val="9"/>
        <w:rPr>
          <w:rFonts w:hint="eastAsia" w:ascii="仿宋" w:hAnsi="仿宋" w:eastAsia="仿宋" w:cs="仿宋"/>
          <w:color w:val="auto"/>
          <w:sz w:val="24"/>
          <w:szCs w:val="24"/>
          <w:highlight w:val="none"/>
          <w:lang w:eastAsia="zh-CN"/>
        </w:rPr>
      </w:pPr>
      <w:bookmarkStart w:id="235" w:name="_Toc3376"/>
      <w:r>
        <w:rPr>
          <w:rFonts w:hint="eastAsia" w:ascii="仿宋" w:hAnsi="仿宋" w:eastAsia="仿宋" w:cs="仿宋"/>
          <w:color w:val="auto"/>
          <w:sz w:val="24"/>
          <w:szCs w:val="24"/>
          <w:highlight w:val="none"/>
        </w:rPr>
        <w:t xml:space="preserve">3.3 </w:t>
      </w:r>
      <w:bookmarkEnd w:id="224"/>
      <w:bookmarkEnd w:id="225"/>
      <w:bookmarkEnd w:id="226"/>
      <w:bookmarkEnd w:id="227"/>
      <w:bookmarkEnd w:id="228"/>
      <w:bookmarkEnd w:id="229"/>
      <w:bookmarkEnd w:id="230"/>
      <w:bookmarkEnd w:id="231"/>
      <w:r>
        <w:rPr>
          <w:rFonts w:hint="eastAsia" w:ascii="仿宋" w:hAnsi="仿宋" w:eastAsia="仿宋" w:cs="仿宋"/>
          <w:color w:val="auto"/>
          <w:sz w:val="24"/>
          <w:szCs w:val="24"/>
          <w:highlight w:val="none"/>
          <w:lang w:eastAsia="zh-CN"/>
        </w:rPr>
        <w:t>磋商有效期</w:t>
      </w:r>
      <w:bookmarkEnd w:id="235"/>
    </w:p>
    <w:p w14:paraId="632BF2D3">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3.3.1在供应商须知前附表规定的</w:t>
      </w:r>
      <w:r>
        <w:rPr>
          <w:rFonts w:hint="eastAsia" w:ascii="仿宋" w:hAnsi="仿宋" w:eastAsia="仿宋" w:cs="仿宋"/>
          <w:color w:val="auto"/>
          <w:sz w:val="24"/>
          <w:szCs w:val="24"/>
          <w:highlight w:val="none"/>
          <w:lang w:eastAsia="zh-CN"/>
        </w:rPr>
        <w:t>磋商有效期</w:t>
      </w:r>
      <w:r>
        <w:rPr>
          <w:rFonts w:hint="eastAsia" w:ascii="仿宋" w:hAnsi="仿宋" w:eastAsia="仿宋" w:cs="仿宋"/>
          <w:color w:val="auto"/>
          <w:sz w:val="24"/>
          <w:szCs w:val="24"/>
          <w:highlight w:val="none"/>
        </w:rPr>
        <w:t>内，供应商不得要求撤销或修改其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p>
    <w:p w14:paraId="579DF0A6">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3.3.2出现特殊情况需要延长</w:t>
      </w:r>
      <w:r>
        <w:rPr>
          <w:rFonts w:hint="eastAsia" w:ascii="仿宋" w:hAnsi="仿宋" w:eastAsia="仿宋" w:cs="仿宋"/>
          <w:color w:val="auto"/>
          <w:sz w:val="24"/>
          <w:szCs w:val="24"/>
          <w:highlight w:val="none"/>
          <w:lang w:eastAsia="zh-CN"/>
        </w:rPr>
        <w:t>磋商有效期</w:t>
      </w:r>
      <w:r>
        <w:rPr>
          <w:rFonts w:hint="eastAsia" w:ascii="仿宋" w:hAnsi="仿宋" w:eastAsia="仿宋" w:cs="仿宋"/>
          <w:color w:val="auto"/>
          <w:sz w:val="24"/>
          <w:szCs w:val="24"/>
          <w:highlight w:val="none"/>
        </w:rPr>
        <w:t>的，采购人以书面形式通知所有供应商延长</w:t>
      </w:r>
      <w:r>
        <w:rPr>
          <w:rFonts w:hint="eastAsia" w:ascii="仿宋" w:hAnsi="仿宋" w:eastAsia="仿宋" w:cs="仿宋"/>
          <w:color w:val="auto"/>
          <w:sz w:val="24"/>
          <w:szCs w:val="24"/>
          <w:highlight w:val="none"/>
          <w:lang w:eastAsia="zh-CN"/>
        </w:rPr>
        <w:t>磋商有效期</w:t>
      </w:r>
      <w:r>
        <w:rPr>
          <w:rFonts w:hint="eastAsia" w:ascii="仿宋" w:hAnsi="仿宋" w:eastAsia="仿宋" w:cs="仿宋"/>
          <w:color w:val="auto"/>
          <w:sz w:val="24"/>
          <w:szCs w:val="24"/>
          <w:highlight w:val="none"/>
        </w:rPr>
        <w:t>。供应商同意延长的，应相应延长其</w:t>
      </w:r>
      <w:r>
        <w:rPr>
          <w:rFonts w:hint="eastAsia" w:ascii="仿宋" w:hAnsi="仿宋" w:eastAsia="仿宋" w:cs="仿宋"/>
          <w:color w:val="auto"/>
          <w:sz w:val="24"/>
          <w:szCs w:val="24"/>
          <w:highlight w:val="none"/>
          <w:lang w:eastAsia="zh-CN"/>
        </w:rPr>
        <w:t>响应承诺函</w:t>
      </w:r>
      <w:r>
        <w:rPr>
          <w:rFonts w:hint="eastAsia" w:ascii="仿宋" w:hAnsi="仿宋" w:eastAsia="仿宋" w:cs="仿宋"/>
          <w:color w:val="auto"/>
          <w:sz w:val="24"/>
          <w:szCs w:val="24"/>
          <w:highlight w:val="none"/>
        </w:rPr>
        <w:t>的有效期，但不得要求或被允许修改或撤销其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；供应商拒绝延长的，其投标失效。</w:t>
      </w:r>
    </w:p>
    <w:p w14:paraId="173E4244">
      <w:pPr>
        <w:pStyle w:val="53"/>
        <w:spacing w:line="360" w:lineRule="auto"/>
        <w:outlineLvl w:val="9"/>
        <w:rPr>
          <w:rFonts w:hint="eastAsia" w:ascii="仿宋" w:hAnsi="仿宋" w:eastAsia="仿宋" w:cs="仿宋"/>
          <w:color w:val="auto"/>
          <w:sz w:val="24"/>
          <w:szCs w:val="24"/>
          <w:highlight w:val="none"/>
          <w:lang w:eastAsia="zh-CN"/>
        </w:rPr>
      </w:pPr>
      <w:bookmarkStart w:id="236" w:name="_Toc152042326"/>
      <w:bookmarkStart w:id="237" w:name="_Toc144974518"/>
      <w:bookmarkStart w:id="238" w:name="_Toc152045550"/>
      <w:bookmarkStart w:id="239" w:name="_Toc4601"/>
      <w:bookmarkStart w:id="240" w:name="_Toc5879"/>
      <w:bookmarkStart w:id="241" w:name="_Toc532034664"/>
      <w:bookmarkStart w:id="242" w:name="_Toc12143"/>
      <w:bookmarkStart w:id="243" w:name="_Toc9828"/>
      <w:bookmarkStart w:id="244" w:name="_Toc144974520"/>
      <w:bookmarkStart w:id="245" w:name="_Toc152042328"/>
      <w:bookmarkStart w:id="246" w:name="_Toc152045552"/>
      <w:r>
        <w:rPr>
          <w:rFonts w:hint="eastAsia" w:ascii="仿宋" w:hAnsi="仿宋" w:eastAsia="仿宋" w:cs="仿宋"/>
          <w:color w:val="auto"/>
          <w:sz w:val="24"/>
          <w:szCs w:val="24"/>
          <w:highlight w:val="none"/>
        </w:rPr>
        <w:t xml:space="preserve">3.4 </w:t>
      </w:r>
      <w:bookmarkEnd w:id="236"/>
      <w:bookmarkEnd w:id="237"/>
      <w:bookmarkEnd w:id="238"/>
      <w:bookmarkEnd w:id="239"/>
      <w:bookmarkEnd w:id="240"/>
      <w:bookmarkEnd w:id="241"/>
      <w:bookmarkEnd w:id="242"/>
      <w:r>
        <w:rPr>
          <w:rFonts w:hint="eastAsia" w:ascii="仿宋" w:hAnsi="仿宋" w:eastAsia="仿宋" w:cs="仿宋"/>
          <w:color w:val="auto"/>
          <w:sz w:val="24"/>
          <w:szCs w:val="24"/>
          <w:highlight w:val="none"/>
          <w:lang w:eastAsia="zh-CN"/>
        </w:rPr>
        <w:t>磋商保证金</w:t>
      </w:r>
      <w:bookmarkEnd w:id="243"/>
    </w:p>
    <w:bookmarkEnd w:id="244"/>
    <w:bookmarkEnd w:id="245"/>
    <w:bookmarkEnd w:id="246"/>
    <w:p w14:paraId="770DE27F">
      <w:pPr>
        <w:spacing w:line="360" w:lineRule="auto"/>
        <w:ind w:firstLine="480" w:firstLineChars="200"/>
        <w:outlineLvl w:val="9"/>
        <w:rPr>
          <w:rFonts w:hint="eastAsia" w:ascii="仿宋" w:hAnsi="仿宋" w:eastAsia="仿宋" w:cs="仿宋"/>
          <w:color w:val="auto"/>
          <w:sz w:val="24"/>
          <w:szCs w:val="24"/>
          <w:highlight w:val="none"/>
        </w:rPr>
      </w:pPr>
      <w:bookmarkStart w:id="247" w:name="_Toc144974521"/>
      <w:bookmarkStart w:id="248" w:name="_Toc152042329"/>
      <w:bookmarkStart w:id="249" w:name="_Toc152045553"/>
      <w:bookmarkStart w:id="250" w:name="_Toc532034665"/>
      <w:r>
        <w:rPr>
          <w:rFonts w:hint="eastAsia" w:ascii="仿宋" w:hAnsi="仿宋" w:eastAsia="仿宋" w:cs="仿宋"/>
          <w:color w:val="auto"/>
          <w:sz w:val="24"/>
          <w:szCs w:val="24"/>
          <w:highlight w:val="none"/>
        </w:rPr>
        <w:t>按照河南省财政厅发布《关于优化政府采购营商环境有关问题的通知》，本采购项目不再收取</w:t>
      </w:r>
      <w:r>
        <w:rPr>
          <w:rFonts w:hint="eastAsia" w:ascii="仿宋" w:hAnsi="仿宋" w:eastAsia="仿宋" w:cs="仿宋"/>
          <w:color w:val="auto"/>
          <w:sz w:val="24"/>
          <w:szCs w:val="24"/>
          <w:highlight w:val="none"/>
          <w:lang w:eastAsia="zh-CN"/>
        </w:rPr>
        <w:t>磋商保证金</w:t>
      </w:r>
      <w:r>
        <w:rPr>
          <w:rFonts w:hint="eastAsia" w:ascii="仿宋" w:hAnsi="仿宋" w:eastAsia="仿宋" w:cs="仿宋"/>
          <w:color w:val="auto"/>
          <w:sz w:val="24"/>
          <w:szCs w:val="24"/>
          <w:highlight w:val="none"/>
        </w:rPr>
        <w:t>。</w:t>
      </w:r>
    </w:p>
    <w:bookmarkEnd w:id="247"/>
    <w:bookmarkEnd w:id="248"/>
    <w:bookmarkEnd w:id="249"/>
    <w:bookmarkEnd w:id="250"/>
    <w:p w14:paraId="5C0DABA7">
      <w:pPr>
        <w:spacing w:line="360" w:lineRule="auto"/>
        <w:outlineLvl w:val="9"/>
        <w:rPr>
          <w:rFonts w:hint="eastAsia" w:ascii="仿宋" w:hAnsi="仿宋" w:eastAsia="仿宋" w:cs="仿宋"/>
          <w:color w:val="auto"/>
          <w:sz w:val="24"/>
          <w:szCs w:val="24"/>
          <w:highlight w:val="none"/>
        </w:rPr>
      </w:pPr>
      <w:bookmarkStart w:id="251" w:name="_Toc144974523"/>
      <w:bookmarkStart w:id="252" w:name="_Toc152045555"/>
      <w:bookmarkStart w:id="253" w:name="_Toc152042331"/>
      <w:r>
        <w:rPr>
          <w:rFonts w:hint="eastAsia" w:ascii="仿宋" w:hAnsi="仿宋" w:eastAsia="仿宋" w:cs="仿宋"/>
          <w:color w:val="auto"/>
          <w:sz w:val="24"/>
          <w:szCs w:val="24"/>
          <w:highlight w:val="none"/>
        </w:rPr>
        <w:t>3.5 资格审查资料</w:t>
      </w:r>
    </w:p>
    <w:p w14:paraId="1EA33334">
      <w:pPr>
        <w:spacing w:line="360" w:lineRule="auto"/>
        <w:ind w:firstLine="480" w:firstLineChars="200"/>
        <w:outlineLvl w:val="9"/>
        <w:rPr>
          <w:rFonts w:hint="eastAsia" w:ascii="仿宋" w:hAnsi="仿宋" w:eastAsia="仿宋" w:cs="仿宋"/>
          <w:color w:val="auto"/>
          <w:sz w:val="24"/>
          <w:szCs w:val="24"/>
          <w:highlight w:val="none"/>
        </w:rPr>
      </w:pPr>
      <w:bookmarkStart w:id="254" w:name="_Toc395081960"/>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应满足</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须知1.4.1条规定的资格条件，并按照相关规定在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中附有相关资格证明材料复印件。</w:t>
      </w:r>
      <w:bookmarkEnd w:id="254"/>
    </w:p>
    <w:p w14:paraId="5683EFA0">
      <w:pPr>
        <w:pStyle w:val="53"/>
        <w:spacing w:line="360" w:lineRule="auto"/>
        <w:outlineLvl w:val="9"/>
        <w:rPr>
          <w:rFonts w:hint="eastAsia" w:ascii="仿宋" w:hAnsi="仿宋" w:eastAsia="仿宋" w:cs="仿宋"/>
          <w:color w:val="auto"/>
          <w:sz w:val="24"/>
          <w:szCs w:val="24"/>
          <w:highlight w:val="none"/>
        </w:rPr>
      </w:pPr>
      <w:bookmarkStart w:id="255" w:name="_Toc27001"/>
      <w:bookmarkStart w:id="256" w:name="_Toc12185"/>
      <w:bookmarkStart w:id="257" w:name="_Toc19241"/>
      <w:bookmarkStart w:id="258" w:name="_Toc8540"/>
      <w:bookmarkStart w:id="259" w:name="_Toc21617"/>
      <w:r>
        <w:rPr>
          <w:rFonts w:hint="eastAsia" w:ascii="仿宋" w:hAnsi="仿宋" w:eastAsia="仿宋" w:cs="仿宋"/>
          <w:color w:val="auto"/>
          <w:sz w:val="24"/>
          <w:szCs w:val="24"/>
          <w:highlight w:val="none"/>
        </w:rPr>
        <w:t>3.6 备选投标方案</w:t>
      </w:r>
      <w:bookmarkEnd w:id="255"/>
      <w:bookmarkEnd w:id="256"/>
      <w:bookmarkEnd w:id="257"/>
      <w:bookmarkEnd w:id="258"/>
      <w:bookmarkEnd w:id="259"/>
    </w:p>
    <w:p w14:paraId="5E1E44C8">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除供应商须知前附表另有规定外，供应商不得递交备选投标方案。允许供应商递交备选投标方案的，只有</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人所递交的备选投标方案方可予以考虑。</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认为中标人的备选投标方案优于其按照</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要求编制的投标方案的，采购人可以接受该备选投标方案。</w:t>
      </w:r>
    </w:p>
    <w:p w14:paraId="42543998">
      <w:pPr>
        <w:pStyle w:val="53"/>
        <w:spacing w:line="360" w:lineRule="auto"/>
        <w:outlineLvl w:val="9"/>
        <w:rPr>
          <w:rFonts w:hint="eastAsia" w:ascii="仿宋" w:hAnsi="仿宋" w:eastAsia="仿宋" w:cs="仿宋"/>
          <w:color w:val="auto"/>
          <w:sz w:val="24"/>
          <w:szCs w:val="24"/>
          <w:highlight w:val="none"/>
        </w:rPr>
      </w:pPr>
      <w:bookmarkStart w:id="260" w:name="_Toc2304"/>
      <w:bookmarkStart w:id="261" w:name="_Toc24496"/>
      <w:bookmarkStart w:id="262" w:name="_Toc144974522"/>
      <w:bookmarkStart w:id="263" w:name="_Toc152045554"/>
      <w:bookmarkStart w:id="264" w:name="_Toc18794"/>
      <w:bookmarkStart w:id="265" w:name="_Toc9548"/>
      <w:bookmarkStart w:id="266" w:name="_Toc152042330"/>
      <w:bookmarkStart w:id="267" w:name="_Toc2797"/>
      <w:r>
        <w:rPr>
          <w:rFonts w:hint="eastAsia" w:ascii="仿宋" w:hAnsi="仿宋" w:eastAsia="仿宋" w:cs="仿宋"/>
          <w:color w:val="auto"/>
          <w:sz w:val="24"/>
          <w:szCs w:val="24"/>
          <w:highlight w:val="none"/>
        </w:rPr>
        <w:t xml:space="preserve">3.7 </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的编制</w:t>
      </w:r>
      <w:bookmarkEnd w:id="260"/>
      <w:bookmarkEnd w:id="261"/>
      <w:bookmarkEnd w:id="262"/>
      <w:bookmarkEnd w:id="263"/>
      <w:bookmarkEnd w:id="264"/>
      <w:bookmarkEnd w:id="265"/>
      <w:bookmarkEnd w:id="266"/>
      <w:bookmarkEnd w:id="267"/>
    </w:p>
    <w:p w14:paraId="6CA1B3B5">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3.7.1</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应按第</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章“</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格式”进行编写，如有必要，可以增加附页，作为</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的组成部分。其中，</w:t>
      </w:r>
      <w:r>
        <w:rPr>
          <w:rFonts w:hint="eastAsia" w:ascii="仿宋" w:hAnsi="仿宋" w:eastAsia="仿宋" w:cs="仿宋"/>
          <w:color w:val="auto"/>
          <w:sz w:val="24"/>
          <w:szCs w:val="24"/>
          <w:highlight w:val="none"/>
          <w:lang w:eastAsia="zh-CN"/>
        </w:rPr>
        <w:t>磋商响应</w:t>
      </w:r>
      <w:r>
        <w:rPr>
          <w:rFonts w:hint="eastAsia" w:ascii="仿宋" w:hAnsi="仿宋" w:eastAsia="仿宋" w:cs="仿宋"/>
          <w:color w:val="auto"/>
          <w:sz w:val="24"/>
          <w:szCs w:val="24"/>
          <w:highlight w:val="none"/>
        </w:rPr>
        <w:t>函附录在满足</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实质性要求的基础上，可以提出比</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要求更有利于采购人的承诺。</w:t>
      </w:r>
    </w:p>
    <w:p w14:paraId="7B1BFBC7">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3.7.2</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应当对</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有关</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范围、</w:t>
      </w:r>
      <w:r>
        <w:rPr>
          <w:rFonts w:hint="eastAsia" w:ascii="仿宋" w:hAnsi="仿宋" w:eastAsia="仿宋" w:cs="仿宋"/>
          <w:color w:val="auto"/>
          <w:sz w:val="24"/>
          <w:szCs w:val="24"/>
          <w:highlight w:val="none"/>
          <w:lang w:eastAsia="zh-CN"/>
        </w:rPr>
        <w:t>磋商有效期</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服务期限</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服务质量</w:t>
      </w:r>
      <w:r>
        <w:rPr>
          <w:rFonts w:hint="eastAsia" w:ascii="仿宋" w:hAnsi="仿宋" w:eastAsia="仿宋" w:cs="仿宋"/>
          <w:color w:val="auto"/>
          <w:sz w:val="24"/>
          <w:szCs w:val="24"/>
          <w:highlight w:val="none"/>
        </w:rPr>
        <w:t>等实质性内容作出响应。</w:t>
      </w:r>
    </w:p>
    <w:p w14:paraId="350BD520">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3.7.3供应商必须对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所提供的全部资料的真实性承担法律责任，并无条件接受招标单位及招标监督管理部门等对其中任何资料进行核实的要求。</w:t>
      </w:r>
    </w:p>
    <w:p w14:paraId="01DA9022">
      <w:pPr>
        <w:spacing w:line="360" w:lineRule="auto"/>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3.7.4</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的制作及要求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详见供应商须知前附表。</w:t>
      </w:r>
    </w:p>
    <w:p w14:paraId="6DE8ECC5">
      <w:pPr>
        <w:pStyle w:val="53"/>
        <w:spacing w:line="360" w:lineRule="auto"/>
        <w:outlineLvl w:val="9"/>
        <w:rPr>
          <w:rFonts w:hint="eastAsia" w:ascii="仿宋" w:hAnsi="仿宋" w:eastAsia="仿宋" w:cs="仿宋"/>
          <w:color w:val="auto"/>
          <w:sz w:val="24"/>
          <w:szCs w:val="24"/>
          <w:highlight w:val="none"/>
        </w:rPr>
      </w:pPr>
      <w:bookmarkStart w:id="268" w:name="_Toc28164"/>
      <w:bookmarkStart w:id="269" w:name="_Toc79"/>
      <w:bookmarkStart w:id="270" w:name="_Toc7868"/>
      <w:bookmarkStart w:id="271" w:name="_Toc15337"/>
      <w:bookmarkStart w:id="272" w:name="_Toc6683"/>
      <w:r>
        <w:rPr>
          <w:rFonts w:hint="eastAsia" w:ascii="仿宋" w:hAnsi="仿宋" w:eastAsia="仿宋" w:cs="仿宋"/>
          <w:color w:val="auto"/>
          <w:sz w:val="24"/>
          <w:szCs w:val="24"/>
          <w:highlight w:val="none"/>
        </w:rPr>
        <w:t>3.8</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的样式和签署</w:t>
      </w:r>
      <w:bookmarkEnd w:id="268"/>
      <w:bookmarkEnd w:id="269"/>
      <w:bookmarkEnd w:id="270"/>
      <w:bookmarkEnd w:id="271"/>
      <w:bookmarkEnd w:id="272"/>
    </w:p>
    <w:p w14:paraId="4985CAE4">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3.8.1供应商须在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递交截止时间前制作并提交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p>
    <w:p w14:paraId="3BE1F8CD">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（1）加密的电子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,应在投标截止时间前通过“荥阳市公共资源交易中心（http://ggzyjyzx.xingyang.gov.cn/）”电子交易平台内上传；</w:t>
      </w:r>
    </w:p>
    <w:p w14:paraId="5F1F23AE">
      <w:pPr>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3.8.2加密的电子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为“荥阳市公共资源交易中心（http://ggzyjyzx.xingyang.gov.cn/）”网站提供的“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制作工具”软件制作生成的加密版</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p>
    <w:p w14:paraId="1D6AFFA8">
      <w:pPr>
        <w:spacing w:line="360" w:lineRule="auto"/>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3.8.3供应商在制作电子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，按采购文件和系统要求进行电子签章：</w:t>
      </w:r>
    </w:p>
    <w:p w14:paraId="175DB634">
      <w:pPr>
        <w:spacing w:line="360" w:lineRule="auto"/>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（1）所有要求响应人加盖公章的地方都应用供应商单位的CA电子签章。</w:t>
      </w:r>
    </w:p>
    <w:p w14:paraId="1BAD333E">
      <w:pPr>
        <w:spacing w:line="360" w:lineRule="auto"/>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（2）所有要求法定代表人签字的地方都应用法定代表人的CA电子签章。若有委托代理人，且委托代理人没有 CA 锁，则响应文件可以上传手写签名的扫描件。</w:t>
      </w:r>
    </w:p>
    <w:p w14:paraId="30B0F84C">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3.8.4</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格式所要求包含的全部资料应全部制作在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内，严格按照本项目</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所有格式如实填写（不涉及的内容除外），不应存在漏项或缺项，否则将存在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被拒绝的风险。开标一览表，须严格按照格式编辑，并作为电子开评标系统上传的依据。</w:t>
      </w:r>
    </w:p>
    <w:p w14:paraId="416BF771">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3.8.5电子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以外的任何资料采购人和代理机构将拒收。</w:t>
      </w:r>
    </w:p>
    <w:p w14:paraId="12CEB715">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3.8.6供应商编辑电子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时，根据</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要求用 CA 密钥进行签章制作；最后一步生成电子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时，只能用本单位的企业 CA 密钥。</w:t>
      </w:r>
    </w:p>
    <w:p w14:paraId="1ED0B1FE">
      <w:pPr>
        <w:pStyle w:val="51"/>
        <w:spacing w:before="0" w:line="360" w:lineRule="auto"/>
        <w:outlineLvl w:val="9"/>
        <w:rPr>
          <w:rFonts w:hint="eastAsia" w:ascii="仿宋" w:hAnsi="仿宋" w:eastAsia="仿宋" w:cs="仿宋"/>
          <w:b/>
          <w:color w:val="auto"/>
          <w:sz w:val="24"/>
          <w:szCs w:val="24"/>
          <w:highlight w:val="none"/>
        </w:rPr>
      </w:pPr>
      <w:bookmarkStart w:id="273" w:name="_Toc12590"/>
      <w:bookmarkStart w:id="274" w:name="_Toc8356"/>
      <w:bookmarkStart w:id="275" w:name="_Toc10961"/>
      <w:r>
        <w:rPr>
          <w:rFonts w:hint="eastAsia" w:ascii="仿宋" w:hAnsi="仿宋" w:eastAsia="仿宋" w:cs="仿宋"/>
          <w:b/>
          <w:color w:val="auto"/>
          <w:sz w:val="24"/>
          <w:szCs w:val="24"/>
          <w:highlight w:val="none"/>
        </w:rPr>
        <w:t>4. 投标</w:t>
      </w:r>
      <w:bookmarkEnd w:id="251"/>
      <w:bookmarkEnd w:id="252"/>
      <w:bookmarkEnd w:id="253"/>
      <w:bookmarkEnd w:id="273"/>
      <w:bookmarkEnd w:id="274"/>
      <w:bookmarkEnd w:id="275"/>
    </w:p>
    <w:p w14:paraId="13098F83">
      <w:pPr>
        <w:pStyle w:val="53"/>
        <w:spacing w:line="360" w:lineRule="auto"/>
        <w:outlineLvl w:val="9"/>
        <w:rPr>
          <w:rFonts w:hint="eastAsia" w:ascii="仿宋" w:hAnsi="仿宋" w:eastAsia="仿宋" w:cs="仿宋"/>
          <w:color w:val="auto"/>
          <w:sz w:val="24"/>
          <w:szCs w:val="24"/>
          <w:highlight w:val="none"/>
        </w:rPr>
      </w:pPr>
      <w:bookmarkStart w:id="276" w:name="_Toc10945"/>
      <w:bookmarkStart w:id="277" w:name="_Toc8285"/>
      <w:bookmarkStart w:id="278" w:name="_Toc25782"/>
      <w:bookmarkStart w:id="279" w:name="_Toc20899"/>
      <w:bookmarkStart w:id="280" w:name="_Toc2329"/>
      <w:bookmarkStart w:id="281" w:name="_Toc29519"/>
      <w:bookmarkStart w:id="282" w:name="_Toc14858"/>
      <w:bookmarkStart w:id="283" w:name="_Toc25132"/>
      <w:bookmarkStart w:id="284" w:name="_Toc144974527"/>
      <w:bookmarkStart w:id="285" w:name="_Toc152045559"/>
      <w:bookmarkStart w:id="286" w:name="_Toc152042335"/>
      <w:r>
        <w:rPr>
          <w:rFonts w:hint="eastAsia" w:ascii="仿宋" w:hAnsi="仿宋" w:eastAsia="仿宋" w:cs="仿宋"/>
          <w:b/>
          <w:bCs/>
          <w:color w:val="auto"/>
          <w:sz w:val="24"/>
          <w:szCs w:val="24"/>
          <w:highlight w:val="none"/>
        </w:rPr>
        <w:t>4.1</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的密封和标记</w:t>
      </w:r>
      <w:bookmarkEnd w:id="276"/>
      <w:bookmarkEnd w:id="277"/>
      <w:bookmarkEnd w:id="278"/>
      <w:bookmarkEnd w:id="279"/>
      <w:bookmarkEnd w:id="280"/>
      <w:bookmarkEnd w:id="281"/>
      <w:bookmarkEnd w:id="282"/>
      <w:bookmarkEnd w:id="283"/>
    </w:p>
    <w:p w14:paraId="614A52CE">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交易中心系统上传的电子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应使用数字证书认证并加密。</w:t>
      </w:r>
    </w:p>
    <w:p w14:paraId="47C8C645">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4.2</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的递交</w:t>
      </w:r>
    </w:p>
    <w:p w14:paraId="5A6DE914">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4.2.1供应商应在投标截止时间前上传加密的电子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到</w:t>
      </w:r>
      <w:r>
        <w:rPr>
          <w:rFonts w:hint="eastAsia" w:ascii="仿宋" w:hAnsi="仿宋" w:eastAsia="仿宋" w:cs="仿宋"/>
          <w:color w:val="auto"/>
          <w:sz w:val="24"/>
          <w:szCs w:val="24"/>
          <w:highlight w:val="none"/>
          <w:lang w:val="en-US" w:eastAsia="zh-CN"/>
        </w:rPr>
        <w:t>荥阳市公共资源交易平台</w:t>
      </w:r>
      <w:r>
        <w:rPr>
          <w:rFonts w:hint="eastAsia" w:ascii="仿宋" w:hAnsi="仿宋" w:eastAsia="仿宋" w:cs="仿宋"/>
          <w:color w:val="auto"/>
          <w:sz w:val="24"/>
          <w:szCs w:val="24"/>
          <w:highlight w:val="none"/>
        </w:rPr>
        <w:t>系统的指定位置。上传时必须得到电脑“上传成功”的确认。请供应商在上传时认真检查上传</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是否完整、正确。</w:t>
      </w:r>
    </w:p>
    <w:p w14:paraId="034E5E49">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4.2.2供应商因交易中心投标系统问题无法上传电子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时，请在工作时间与荥阳市公共资源交易中心联系。</w:t>
      </w:r>
    </w:p>
    <w:p w14:paraId="1019C1F8">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4.2.3逾期上传的或者未上传至指定位置的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，采购人不予受理。</w:t>
      </w:r>
    </w:p>
    <w:p w14:paraId="7CCC39D5">
      <w:pPr>
        <w:spacing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4.3</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的修改与撤回</w:t>
      </w:r>
    </w:p>
    <w:p w14:paraId="683E14C8">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4.3.1供应商在递交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后，在投标截止时间之前可以修改或撤回其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，但供应商必须在投标截止时间之前。在投标截止时间后，供应商不得再要求修改或撤回其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。最终</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以投标截止时间前完成上传至荥阳市公共资源交易中心交易系统最后一份</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为准。</w:t>
      </w:r>
    </w:p>
    <w:p w14:paraId="724735E7">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4.3.2从投标截止期至供应商在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中载明的</w:t>
      </w:r>
      <w:r>
        <w:rPr>
          <w:rFonts w:hint="eastAsia" w:ascii="仿宋" w:hAnsi="仿宋" w:eastAsia="仿宋" w:cs="仿宋"/>
          <w:color w:val="auto"/>
          <w:sz w:val="24"/>
          <w:szCs w:val="24"/>
          <w:highlight w:val="none"/>
          <w:lang w:eastAsia="zh-CN"/>
        </w:rPr>
        <w:t>磋商有效期</w:t>
      </w:r>
      <w:r>
        <w:rPr>
          <w:rFonts w:hint="eastAsia" w:ascii="仿宋" w:hAnsi="仿宋" w:eastAsia="仿宋" w:cs="仿宋"/>
          <w:color w:val="auto"/>
          <w:sz w:val="24"/>
          <w:szCs w:val="24"/>
          <w:highlight w:val="none"/>
        </w:rPr>
        <w:t>满期间，供应商不得撤回其投标。</w:t>
      </w:r>
    </w:p>
    <w:p w14:paraId="2BBC40D4">
      <w:pPr>
        <w:pStyle w:val="51"/>
        <w:spacing w:before="0" w:line="360" w:lineRule="auto"/>
        <w:outlineLvl w:val="9"/>
        <w:rPr>
          <w:rFonts w:hint="eastAsia" w:ascii="仿宋" w:hAnsi="仿宋" w:eastAsia="仿宋" w:cs="仿宋"/>
          <w:b/>
          <w:color w:val="auto"/>
          <w:sz w:val="24"/>
          <w:szCs w:val="24"/>
          <w:highlight w:val="none"/>
        </w:rPr>
      </w:pPr>
      <w:bookmarkStart w:id="287" w:name="_Toc25177"/>
      <w:bookmarkStart w:id="288" w:name="_Toc11619"/>
      <w:bookmarkStart w:id="289" w:name="_Toc10356"/>
      <w:r>
        <w:rPr>
          <w:rFonts w:hint="eastAsia" w:ascii="仿宋" w:hAnsi="仿宋" w:eastAsia="仿宋" w:cs="仿宋"/>
          <w:b/>
          <w:color w:val="auto"/>
          <w:sz w:val="24"/>
          <w:szCs w:val="24"/>
          <w:highlight w:val="none"/>
        </w:rPr>
        <w:t>5. 开标</w:t>
      </w:r>
      <w:bookmarkEnd w:id="284"/>
      <w:bookmarkEnd w:id="285"/>
      <w:bookmarkEnd w:id="286"/>
      <w:bookmarkEnd w:id="287"/>
      <w:bookmarkEnd w:id="288"/>
      <w:bookmarkEnd w:id="289"/>
    </w:p>
    <w:p w14:paraId="0EFFE1BB">
      <w:pPr>
        <w:spacing w:line="360" w:lineRule="auto"/>
        <w:outlineLvl w:val="9"/>
        <w:rPr>
          <w:rFonts w:hint="eastAsia" w:ascii="仿宋" w:hAnsi="仿宋" w:eastAsia="仿宋" w:cs="仿宋"/>
          <w:color w:val="auto"/>
          <w:sz w:val="24"/>
          <w:szCs w:val="24"/>
          <w:highlight w:val="none"/>
        </w:rPr>
      </w:pPr>
      <w:bookmarkStart w:id="290" w:name="_Toc152045562"/>
      <w:bookmarkStart w:id="291" w:name="_Toc152042338"/>
      <w:bookmarkStart w:id="292" w:name="_Toc144974530"/>
      <w:r>
        <w:rPr>
          <w:rFonts w:hint="eastAsia" w:ascii="仿宋" w:hAnsi="仿宋" w:eastAsia="仿宋" w:cs="仿宋"/>
          <w:color w:val="auto"/>
          <w:sz w:val="24"/>
          <w:szCs w:val="24"/>
          <w:highlight w:val="none"/>
          <w:lang w:val="en-US" w:eastAsia="zh-CN"/>
        </w:rPr>
        <w:t xml:space="preserve">5.1 开标时间和地点 </w:t>
      </w:r>
    </w:p>
    <w:p w14:paraId="67981821">
      <w:pPr>
        <w:spacing w:line="360" w:lineRule="auto"/>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采购人在本章第 2.2.2 项规定的响应截止时间（开启时间）和供应商须知前附表规定的地点远程开标。</w:t>
      </w:r>
    </w:p>
    <w:p w14:paraId="0C357460">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5.2 </w:t>
      </w:r>
      <w:r>
        <w:rPr>
          <w:rFonts w:hint="eastAsia" w:ascii="仿宋" w:hAnsi="仿宋" w:eastAsia="仿宋" w:cs="仿宋"/>
          <w:color w:val="auto"/>
          <w:sz w:val="24"/>
          <w:szCs w:val="24"/>
          <w:highlight w:val="none"/>
        </w:rPr>
        <w:t>开标程序</w:t>
      </w:r>
    </w:p>
    <w:p w14:paraId="4CC0DB96">
      <w:pPr>
        <w:spacing w:line="360" w:lineRule="auto"/>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开标会由采购人或其委托的采购代理机构主持。主持人按“供应商须知前附表”确定的以下程序进行开标： </w:t>
      </w:r>
    </w:p>
    <w:p w14:paraId="3A530EC9">
      <w:pPr>
        <w:spacing w:line="360" w:lineRule="auto"/>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本项目采用“远程不见面”开标方式,供应商无需到荥阳市公共资源交易中心现场参加开标会议。供应商应当在招标文件确定的投标截止时间前,登录远程开标大厅,在线准时参加开标活动并在规定时间内进行文件解密、答疑澄清等。逾期解密不成功的，按无效响应处理。 </w:t>
      </w:r>
    </w:p>
    <w:p w14:paraId="763A5334">
      <w:pPr>
        <w:spacing w:line="360" w:lineRule="auto"/>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（2）开标后供应商对所上传加密的响应文件在规定时间内进行解密； </w:t>
      </w:r>
    </w:p>
    <w:p w14:paraId="2B842DB8">
      <w:pPr>
        <w:spacing w:line="360" w:lineRule="auto"/>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（3）所有供应商解密完成后，开始唱标。 </w:t>
      </w:r>
    </w:p>
    <w:p w14:paraId="73882C2A">
      <w:pPr>
        <w:spacing w:line="360" w:lineRule="auto"/>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（4）唱标完毕后，无供应商提出异议，开标结束。 </w:t>
      </w:r>
    </w:p>
    <w:p w14:paraId="21E118ED">
      <w:pPr>
        <w:spacing w:line="36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5.3 开标时出现下列情况的，采购人将拒绝其开标。 </w:t>
      </w:r>
    </w:p>
    <w:p w14:paraId="497ECA26">
      <w:pPr>
        <w:spacing w:line="360" w:lineRule="auto"/>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（1）经检查数字证书无效的响应文件； </w:t>
      </w:r>
    </w:p>
    <w:p w14:paraId="7F80BD2C">
      <w:pPr>
        <w:spacing w:line="360" w:lineRule="auto"/>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（2）供应商未在规定的时间内解密响应文件的； </w:t>
      </w:r>
    </w:p>
    <w:p w14:paraId="73D5FB94">
      <w:pPr>
        <w:spacing w:line="360" w:lineRule="auto"/>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（3）供应商未按时参加远程开标会议的。</w:t>
      </w:r>
    </w:p>
    <w:p w14:paraId="4377DA3A">
      <w:pPr>
        <w:spacing w:line="36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5.4 采购过程质疑</w:t>
      </w:r>
    </w:p>
    <w:p w14:paraId="605CAF02">
      <w:pPr>
        <w:spacing w:line="360" w:lineRule="auto"/>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（1）供应商对采购过程有质疑的，应当在开标结束起7个工作日内日提出。 </w:t>
      </w:r>
    </w:p>
    <w:p w14:paraId="0F9B7C21">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（2）供应商须在法定质疑期内一次性提出针对同一采购程序环节的质疑。</w:t>
      </w:r>
    </w:p>
    <w:p w14:paraId="111EB4F7">
      <w:pPr>
        <w:pStyle w:val="51"/>
        <w:spacing w:before="0" w:line="360" w:lineRule="auto"/>
        <w:outlineLvl w:val="9"/>
        <w:rPr>
          <w:rFonts w:hint="eastAsia" w:ascii="仿宋" w:hAnsi="仿宋" w:eastAsia="仿宋" w:cs="仿宋"/>
          <w:b/>
          <w:color w:val="auto"/>
          <w:sz w:val="24"/>
          <w:szCs w:val="24"/>
          <w:highlight w:val="none"/>
          <w:lang w:eastAsia="zh-CN"/>
        </w:rPr>
      </w:pPr>
      <w:bookmarkStart w:id="293" w:name="_Toc20982"/>
      <w:bookmarkStart w:id="294" w:name="_Toc29431"/>
      <w:bookmarkStart w:id="295" w:name="_Toc8410"/>
      <w:r>
        <w:rPr>
          <w:rFonts w:hint="eastAsia" w:ascii="仿宋" w:hAnsi="仿宋" w:eastAsia="仿宋" w:cs="仿宋"/>
          <w:b/>
          <w:color w:val="auto"/>
          <w:sz w:val="24"/>
          <w:szCs w:val="24"/>
          <w:highlight w:val="none"/>
        </w:rPr>
        <w:t xml:space="preserve">6. </w:t>
      </w:r>
      <w:bookmarkEnd w:id="290"/>
      <w:bookmarkEnd w:id="291"/>
      <w:bookmarkEnd w:id="292"/>
      <w:bookmarkEnd w:id="293"/>
      <w:bookmarkEnd w:id="294"/>
      <w:r>
        <w:rPr>
          <w:rFonts w:hint="eastAsia" w:ascii="仿宋" w:hAnsi="仿宋" w:eastAsia="仿宋" w:cs="仿宋"/>
          <w:b/>
          <w:color w:val="auto"/>
          <w:sz w:val="24"/>
          <w:szCs w:val="24"/>
          <w:highlight w:val="none"/>
          <w:lang w:val="en-US" w:eastAsia="zh-CN"/>
        </w:rPr>
        <w:t>磋商</w:t>
      </w:r>
      <w:bookmarkEnd w:id="295"/>
    </w:p>
    <w:p w14:paraId="508D31D0">
      <w:pPr>
        <w:pStyle w:val="53"/>
        <w:spacing w:line="360" w:lineRule="auto"/>
        <w:outlineLvl w:val="9"/>
        <w:rPr>
          <w:rFonts w:hint="eastAsia" w:ascii="仿宋" w:hAnsi="仿宋" w:eastAsia="仿宋" w:cs="仿宋"/>
          <w:color w:val="auto"/>
          <w:sz w:val="24"/>
          <w:szCs w:val="24"/>
          <w:highlight w:val="none"/>
          <w:lang w:eastAsia="zh-CN"/>
        </w:rPr>
      </w:pPr>
      <w:bookmarkStart w:id="296" w:name="_Toc152045563"/>
      <w:bookmarkStart w:id="297" w:name="_Toc8863"/>
      <w:bookmarkStart w:id="298" w:name="_Toc9485"/>
      <w:bookmarkStart w:id="299" w:name="_Toc144974531"/>
      <w:bookmarkStart w:id="300" w:name="_Toc532034675"/>
      <w:bookmarkStart w:id="301" w:name="_Toc25684"/>
      <w:bookmarkStart w:id="302" w:name="_Toc152042339"/>
      <w:bookmarkStart w:id="303" w:name="_Toc16443"/>
      <w:r>
        <w:rPr>
          <w:rFonts w:hint="eastAsia" w:ascii="仿宋" w:hAnsi="仿宋" w:eastAsia="仿宋" w:cs="仿宋"/>
          <w:color w:val="auto"/>
          <w:sz w:val="24"/>
          <w:szCs w:val="24"/>
          <w:highlight w:val="none"/>
        </w:rPr>
        <w:t xml:space="preserve">6.1 </w:t>
      </w:r>
      <w:bookmarkEnd w:id="296"/>
      <w:bookmarkEnd w:id="297"/>
      <w:bookmarkEnd w:id="298"/>
      <w:bookmarkEnd w:id="299"/>
      <w:bookmarkEnd w:id="300"/>
      <w:bookmarkEnd w:id="301"/>
      <w:bookmarkEnd w:id="302"/>
      <w:r>
        <w:rPr>
          <w:rFonts w:hint="eastAsia" w:ascii="仿宋" w:hAnsi="仿宋" w:eastAsia="仿宋" w:cs="仿宋"/>
          <w:color w:val="auto"/>
          <w:sz w:val="24"/>
          <w:szCs w:val="24"/>
          <w:highlight w:val="none"/>
          <w:lang w:eastAsia="zh-CN"/>
        </w:rPr>
        <w:t>磋商小组</w:t>
      </w:r>
      <w:bookmarkEnd w:id="303"/>
    </w:p>
    <w:p w14:paraId="104484BA">
      <w:pPr>
        <w:spacing w:line="360" w:lineRule="auto"/>
        <w:ind w:firstLine="480" w:firstLineChars="200"/>
        <w:outlineLvl w:val="9"/>
        <w:rPr>
          <w:rFonts w:hint="eastAsia" w:ascii="仿宋" w:hAnsi="仿宋" w:eastAsia="仿宋" w:cs="仿宋"/>
          <w:color w:val="auto"/>
          <w:sz w:val="24"/>
          <w:szCs w:val="24"/>
          <w:highlight w:val="none"/>
        </w:rPr>
      </w:pPr>
      <w:bookmarkStart w:id="304" w:name="_Toc144974534"/>
      <w:bookmarkStart w:id="305" w:name="_Toc152042342"/>
      <w:bookmarkStart w:id="306" w:name="_Toc152045566"/>
      <w:r>
        <w:rPr>
          <w:rFonts w:hint="eastAsia" w:ascii="仿宋" w:hAnsi="仿宋" w:eastAsia="仿宋" w:cs="仿宋"/>
          <w:color w:val="auto"/>
          <w:sz w:val="24"/>
          <w:szCs w:val="24"/>
          <w:highlight w:val="none"/>
        </w:rPr>
        <w:t xml:space="preserve">6.1.1 </w:t>
      </w:r>
      <w:r>
        <w:rPr>
          <w:rFonts w:hint="eastAsia" w:ascii="仿宋" w:hAnsi="仿宋" w:eastAsia="仿宋" w:cs="仿宋"/>
          <w:color w:val="auto"/>
          <w:sz w:val="24"/>
          <w:szCs w:val="24"/>
          <w:highlight w:val="none"/>
          <w:lang w:val="en-US" w:eastAsia="zh-CN"/>
        </w:rPr>
        <w:t>磋商活动</w:t>
      </w:r>
      <w:r>
        <w:rPr>
          <w:rFonts w:hint="eastAsia" w:ascii="仿宋" w:hAnsi="仿宋" w:eastAsia="仿宋" w:cs="仿宋"/>
          <w:color w:val="auto"/>
          <w:sz w:val="24"/>
          <w:szCs w:val="24"/>
          <w:highlight w:val="none"/>
        </w:rPr>
        <w:t>由采购人依法组建的</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负责。</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由采购人以及有关技术、经济等方面的专家组成。</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成员人数以及技术、经济等方面专家的确定方式见供应商须知前附表。</w:t>
      </w:r>
    </w:p>
    <w:p w14:paraId="641A56DF">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6.1.2 </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成员有下列情形之一的，应当回避：</w:t>
      </w:r>
    </w:p>
    <w:p w14:paraId="027B03CF">
      <w:pPr>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(1）采购人或供应商的主要负责人的近亲属；</w:t>
      </w:r>
    </w:p>
    <w:p w14:paraId="75584414">
      <w:pPr>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(2）项目主管部门或者行政监督部门的人员：</w:t>
      </w:r>
    </w:p>
    <w:p w14:paraId="6A39FD98">
      <w:pPr>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(3）与供应商有经济利益关系，可能影响对投标公正评审的；</w:t>
      </w:r>
    </w:p>
    <w:p w14:paraId="03000E14">
      <w:pPr>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(4）曾因在采购、评标以及其他与采购投标有关活动中从事违法行为而受过行政处罚或刑事处罚的。</w:t>
      </w:r>
    </w:p>
    <w:p w14:paraId="5B961959">
      <w:pPr>
        <w:spacing w:before="0" w:after="0" w:line="360" w:lineRule="auto"/>
        <w:outlineLvl w:val="9"/>
        <w:rPr>
          <w:rFonts w:hint="eastAsia" w:ascii="仿宋" w:hAnsi="仿宋" w:eastAsia="仿宋" w:cs="仿宋"/>
          <w:b w:val="0"/>
          <w:bCs w:val="0"/>
          <w:color w:val="auto"/>
          <w:sz w:val="24"/>
          <w:szCs w:val="24"/>
          <w:highlight w:val="none"/>
        </w:rPr>
      </w:pPr>
      <w:bookmarkStart w:id="307" w:name="_Toc31998"/>
      <w:bookmarkStart w:id="308" w:name="_Toc3548"/>
      <w:bookmarkStart w:id="309" w:name="_Toc29920"/>
      <w:bookmarkStart w:id="310" w:name="_Toc22810"/>
      <w:bookmarkStart w:id="311" w:name="_Toc532034676"/>
      <w:bookmarkStart w:id="312" w:name="_Toc8164"/>
      <w:bookmarkStart w:id="313" w:name="_Toc345139489"/>
      <w:r>
        <w:rPr>
          <w:rFonts w:hint="eastAsia" w:ascii="仿宋" w:hAnsi="仿宋" w:eastAsia="仿宋" w:cs="仿宋"/>
          <w:b w:val="0"/>
          <w:bCs w:val="0"/>
          <w:color w:val="auto"/>
          <w:sz w:val="24"/>
          <w:szCs w:val="24"/>
          <w:highlight w:val="none"/>
        </w:rPr>
        <w:t xml:space="preserve">6.2 </w:t>
      </w:r>
      <w:r>
        <w:rPr>
          <w:rFonts w:hint="eastAsia" w:ascii="仿宋" w:hAnsi="仿宋" w:eastAsia="仿宋" w:cs="仿宋"/>
          <w:b w:val="0"/>
          <w:bCs w:val="0"/>
          <w:color w:val="auto"/>
          <w:sz w:val="24"/>
          <w:szCs w:val="24"/>
          <w:highlight w:val="none"/>
          <w:lang w:eastAsia="zh-CN"/>
        </w:rPr>
        <w:t>磋商</w:t>
      </w:r>
      <w:r>
        <w:rPr>
          <w:rFonts w:hint="eastAsia" w:ascii="仿宋" w:hAnsi="仿宋" w:eastAsia="仿宋" w:cs="仿宋"/>
          <w:b w:val="0"/>
          <w:bCs w:val="0"/>
          <w:color w:val="auto"/>
          <w:sz w:val="24"/>
          <w:szCs w:val="24"/>
          <w:highlight w:val="none"/>
        </w:rPr>
        <w:t>原则</w:t>
      </w:r>
      <w:bookmarkEnd w:id="307"/>
      <w:bookmarkEnd w:id="308"/>
      <w:bookmarkEnd w:id="309"/>
      <w:bookmarkEnd w:id="310"/>
      <w:bookmarkEnd w:id="311"/>
      <w:bookmarkEnd w:id="312"/>
      <w:bookmarkEnd w:id="313"/>
    </w:p>
    <w:p w14:paraId="3B446AAB">
      <w:pPr>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b w:val="0"/>
          <w:bCs w:val="0"/>
          <w:color w:val="auto"/>
          <w:sz w:val="24"/>
          <w:szCs w:val="24"/>
          <w:highlight w:val="none"/>
          <w:lang w:eastAsia="zh-CN"/>
        </w:rPr>
        <w:t>磋商</w:t>
      </w:r>
      <w:r>
        <w:rPr>
          <w:rFonts w:hint="eastAsia" w:ascii="仿宋" w:hAnsi="仿宋" w:eastAsia="仿宋" w:cs="仿宋"/>
          <w:color w:val="auto"/>
          <w:kern w:val="0"/>
          <w:sz w:val="24"/>
          <w:szCs w:val="24"/>
          <w:highlight w:val="none"/>
        </w:rPr>
        <w:t>活动遵循公平、公正、科学和择优的原则。</w:t>
      </w:r>
    </w:p>
    <w:p w14:paraId="40A425E6">
      <w:pPr>
        <w:spacing w:before="0" w:after="0" w:line="360" w:lineRule="auto"/>
        <w:outlineLvl w:val="9"/>
        <w:rPr>
          <w:rFonts w:hint="eastAsia" w:ascii="仿宋" w:hAnsi="仿宋" w:eastAsia="仿宋" w:cs="仿宋"/>
          <w:b w:val="0"/>
          <w:bCs w:val="0"/>
          <w:color w:val="auto"/>
          <w:sz w:val="24"/>
          <w:szCs w:val="24"/>
          <w:highlight w:val="none"/>
        </w:rPr>
      </w:pPr>
      <w:bookmarkStart w:id="314" w:name="_Toc16271"/>
      <w:bookmarkStart w:id="315" w:name="_Toc345139490"/>
      <w:bookmarkStart w:id="316" w:name="_Toc13889"/>
      <w:bookmarkStart w:id="317" w:name="_Toc532034677"/>
      <w:bookmarkStart w:id="318" w:name="_Toc32016"/>
      <w:bookmarkStart w:id="319" w:name="_Toc139"/>
      <w:bookmarkStart w:id="320" w:name="_Toc11358"/>
      <w:r>
        <w:rPr>
          <w:rFonts w:hint="eastAsia" w:ascii="仿宋" w:hAnsi="仿宋" w:eastAsia="仿宋" w:cs="仿宋"/>
          <w:b w:val="0"/>
          <w:bCs w:val="0"/>
          <w:color w:val="auto"/>
          <w:sz w:val="24"/>
          <w:szCs w:val="24"/>
          <w:highlight w:val="none"/>
        </w:rPr>
        <w:t xml:space="preserve">6.3 </w:t>
      </w:r>
      <w:bookmarkEnd w:id="314"/>
      <w:bookmarkEnd w:id="315"/>
      <w:bookmarkEnd w:id="316"/>
      <w:bookmarkEnd w:id="317"/>
      <w:bookmarkEnd w:id="318"/>
      <w:bookmarkEnd w:id="319"/>
      <w:r>
        <w:rPr>
          <w:rFonts w:hint="eastAsia" w:ascii="仿宋" w:hAnsi="仿宋" w:eastAsia="仿宋" w:cs="仿宋"/>
          <w:b w:val="0"/>
          <w:bCs w:val="0"/>
          <w:color w:val="auto"/>
          <w:sz w:val="24"/>
          <w:szCs w:val="24"/>
          <w:highlight w:val="none"/>
          <w:lang w:eastAsia="zh-CN"/>
        </w:rPr>
        <w:t>磋商</w:t>
      </w:r>
      <w:bookmarkEnd w:id="320"/>
    </w:p>
    <w:p w14:paraId="36602207">
      <w:pPr>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磋商小组</w:t>
      </w:r>
      <w:r>
        <w:rPr>
          <w:rFonts w:hint="eastAsia" w:ascii="仿宋" w:hAnsi="仿宋" w:eastAsia="仿宋" w:cs="仿宋"/>
          <w:color w:val="auto"/>
          <w:kern w:val="0"/>
          <w:sz w:val="24"/>
          <w:szCs w:val="24"/>
          <w:highlight w:val="none"/>
        </w:rPr>
        <w:t>按照第三章“</w:t>
      </w:r>
      <w:r>
        <w:rPr>
          <w:rFonts w:hint="eastAsia" w:ascii="仿宋" w:hAnsi="仿宋" w:eastAsia="仿宋" w:cs="仿宋"/>
          <w:color w:val="auto"/>
          <w:kern w:val="0"/>
          <w:sz w:val="24"/>
          <w:szCs w:val="24"/>
          <w:highlight w:val="none"/>
          <w:lang w:val="en-US" w:eastAsia="zh-CN"/>
        </w:rPr>
        <w:t>磋商</w:t>
      </w:r>
      <w:r>
        <w:rPr>
          <w:rFonts w:hint="eastAsia" w:ascii="仿宋" w:hAnsi="仿宋" w:eastAsia="仿宋" w:cs="仿宋"/>
          <w:color w:val="auto"/>
          <w:kern w:val="0"/>
          <w:sz w:val="24"/>
          <w:szCs w:val="24"/>
          <w:highlight w:val="none"/>
        </w:rPr>
        <w:t>办法”规定的方法、评审因素、标准和程序对</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进行评审。通过初步评审的投标人进行最终报价，最终报价参加</w:t>
      </w:r>
      <w:r>
        <w:rPr>
          <w:rFonts w:hint="eastAsia" w:ascii="仿宋" w:hAnsi="仿宋" w:eastAsia="仿宋" w:cs="仿宋"/>
          <w:color w:val="auto"/>
          <w:kern w:val="0"/>
          <w:sz w:val="24"/>
          <w:szCs w:val="24"/>
          <w:highlight w:val="none"/>
          <w:lang w:val="en-US" w:eastAsia="zh-CN"/>
        </w:rPr>
        <w:t>二次磋商</w:t>
      </w:r>
      <w:r>
        <w:rPr>
          <w:rFonts w:hint="eastAsia" w:ascii="仿宋" w:hAnsi="仿宋" w:eastAsia="仿宋" w:cs="仿宋"/>
          <w:color w:val="auto"/>
          <w:kern w:val="0"/>
          <w:sz w:val="24"/>
          <w:szCs w:val="24"/>
          <w:highlight w:val="none"/>
        </w:rPr>
        <w:t>报价评审</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第三章“</w:t>
      </w:r>
      <w:r>
        <w:rPr>
          <w:rFonts w:hint="eastAsia" w:ascii="仿宋" w:hAnsi="仿宋" w:eastAsia="仿宋" w:cs="仿宋"/>
          <w:color w:val="auto"/>
          <w:kern w:val="0"/>
          <w:sz w:val="24"/>
          <w:szCs w:val="24"/>
          <w:highlight w:val="none"/>
          <w:lang w:val="en-US" w:eastAsia="zh-CN"/>
        </w:rPr>
        <w:t>磋商</w:t>
      </w:r>
      <w:r>
        <w:rPr>
          <w:rFonts w:hint="eastAsia" w:ascii="仿宋" w:hAnsi="仿宋" w:eastAsia="仿宋" w:cs="仿宋"/>
          <w:color w:val="auto"/>
          <w:kern w:val="0"/>
          <w:sz w:val="24"/>
          <w:szCs w:val="24"/>
          <w:highlight w:val="none"/>
        </w:rPr>
        <w:t>办法”没有规定的方法、评审因素和标准，不作为</w:t>
      </w:r>
      <w:r>
        <w:rPr>
          <w:rFonts w:hint="eastAsia" w:ascii="仿宋" w:hAnsi="仿宋" w:eastAsia="仿宋" w:cs="仿宋"/>
          <w:color w:val="auto"/>
          <w:kern w:val="0"/>
          <w:sz w:val="24"/>
          <w:szCs w:val="24"/>
          <w:highlight w:val="none"/>
          <w:lang w:val="en-US" w:eastAsia="zh-CN"/>
        </w:rPr>
        <w:t>评审</w:t>
      </w:r>
      <w:r>
        <w:rPr>
          <w:rFonts w:hint="eastAsia" w:ascii="仿宋" w:hAnsi="仿宋" w:eastAsia="仿宋" w:cs="仿宋"/>
          <w:color w:val="auto"/>
          <w:kern w:val="0"/>
          <w:sz w:val="24"/>
          <w:szCs w:val="24"/>
          <w:highlight w:val="none"/>
        </w:rPr>
        <w:t>依据。</w:t>
      </w:r>
    </w:p>
    <w:p w14:paraId="0A8A6263">
      <w:pPr>
        <w:pStyle w:val="51"/>
        <w:spacing w:before="0" w:line="360" w:lineRule="auto"/>
        <w:outlineLvl w:val="9"/>
        <w:rPr>
          <w:rFonts w:hint="eastAsia" w:ascii="仿宋" w:hAnsi="仿宋" w:eastAsia="仿宋" w:cs="仿宋"/>
          <w:b/>
          <w:color w:val="auto"/>
          <w:sz w:val="24"/>
          <w:szCs w:val="24"/>
          <w:highlight w:val="none"/>
        </w:rPr>
      </w:pPr>
      <w:bookmarkStart w:id="321" w:name="_Toc7585"/>
      <w:bookmarkStart w:id="322" w:name="_Toc17593"/>
      <w:bookmarkStart w:id="323" w:name="_Toc23187"/>
      <w:r>
        <w:rPr>
          <w:rFonts w:hint="eastAsia" w:ascii="仿宋" w:hAnsi="仿宋" w:eastAsia="仿宋" w:cs="仿宋"/>
          <w:b/>
          <w:color w:val="auto"/>
          <w:sz w:val="24"/>
          <w:szCs w:val="24"/>
          <w:highlight w:val="none"/>
        </w:rPr>
        <w:t>7. 合同授予</w:t>
      </w:r>
      <w:bookmarkEnd w:id="304"/>
      <w:bookmarkEnd w:id="305"/>
      <w:bookmarkEnd w:id="306"/>
      <w:bookmarkEnd w:id="321"/>
      <w:bookmarkEnd w:id="322"/>
      <w:bookmarkEnd w:id="323"/>
    </w:p>
    <w:p w14:paraId="428A1569">
      <w:pPr>
        <w:pStyle w:val="53"/>
        <w:spacing w:line="360" w:lineRule="auto"/>
        <w:outlineLvl w:val="9"/>
        <w:rPr>
          <w:rFonts w:hint="eastAsia" w:ascii="仿宋" w:hAnsi="仿宋" w:eastAsia="仿宋" w:cs="仿宋"/>
          <w:color w:val="auto"/>
          <w:sz w:val="24"/>
          <w:szCs w:val="24"/>
          <w:highlight w:val="none"/>
        </w:rPr>
      </w:pPr>
      <w:bookmarkStart w:id="324" w:name="_Toc28656"/>
      <w:bookmarkStart w:id="325" w:name="_Toc4853"/>
      <w:bookmarkStart w:id="326" w:name="_Toc12600"/>
      <w:bookmarkStart w:id="327" w:name="_Toc152042343"/>
      <w:bookmarkStart w:id="328" w:name="_Toc532034679"/>
      <w:bookmarkStart w:id="329" w:name="_Toc152045567"/>
      <w:bookmarkStart w:id="330" w:name="_Toc14214"/>
      <w:bookmarkStart w:id="331" w:name="_Toc144974535"/>
      <w:r>
        <w:rPr>
          <w:rFonts w:hint="eastAsia" w:ascii="仿宋" w:hAnsi="仿宋" w:eastAsia="仿宋" w:cs="仿宋"/>
          <w:color w:val="auto"/>
          <w:sz w:val="24"/>
          <w:szCs w:val="24"/>
          <w:highlight w:val="none"/>
        </w:rPr>
        <w:t>7.1 定标方式</w:t>
      </w:r>
      <w:bookmarkEnd w:id="324"/>
      <w:bookmarkEnd w:id="325"/>
      <w:bookmarkEnd w:id="326"/>
      <w:bookmarkEnd w:id="327"/>
      <w:bookmarkEnd w:id="328"/>
      <w:bookmarkEnd w:id="329"/>
      <w:bookmarkEnd w:id="330"/>
      <w:bookmarkEnd w:id="331"/>
    </w:p>
    <w:p w14:paraId="00E4717C">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除供应商须知前附表规定</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直接确定</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人外，采购人依据</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推荐的</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候选人确定</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推荐</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候选人的人数见供应商须知前附表。</w:t>
      </w:r>
    </w:p>
    <w:p w14:paraId="3DA413BA">
      <w:pPr>
        <w:pStyle w:val="53"/>
        <w:spacing w:line="360" w:lineRule="auto"/>
        <w:outlineLvl w:val="9"/>
        <w:rPr>
          <w:rFonts w:hint="eastAsia" w:ascii="仿宋" w:hAnsi="仿宋" w:eastAsia="仿宋" w:cs="仿宋"/>
          <w:color w:val="auto"/>
          <w:sz w:val="24"/>
          <w:szCs w:val="24"/>
          <w:highlight w:val="none"/>
        </w:rPr>
      </w:pPr>
      <w:bookmarkStart w:id="332" w:name="_Toc629"/>
      <w:bookmarkStart w:id="333" w:name="_Toc19004"/>
      <w:bookmarkStart w:id="334" w:name="_Toc2108"/>
      <w:bookmarkStart w:id="335" w:name="_Toc532034680"/>
      <w:bookmarkStart w:id="336" w:name="_Toc152045568"/>
      <w:bookmarkStart w:id="337" w:name="_Toc16445"/>
      <w:bookmarkStart w:id="338" w:name="_Toc144974536"/>
      <w:bookmarkStart w:id="339" w:name="_Toc152042344"/>
      <w:r>
        <w:rPr>
          <w:rFonts w:hint="eastAsia" w:ascii="仿宋" w:hAnsi="仿宋" w:eastAsia="仿宋" w:cs="仿宋"/>
          <w:color w:val="auto"/>
          <w:sz w:val="24"/>
          <w:szCs w:val="24"/>
          <w:highlight w:val="none"/>
        </w:rPr>
        <w:t xml:space="preserve">7.2 </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w:t>
      </w:r>
      <w:bookmarkEnd w:id="332"/>
      <w:bookmarkEnd w:id="333"/>
      <w:bookmarkEnd w:id="334"/>
      <w:bookmarkEnd w:id="335"/>
      <w:bookmarkEnd w:id="336"/>
      <w:bookmarkEnd w:id="337"/>
      <w:bookmarkEnd w:id="338"/>
      <w:bookmarkEnd w:id="339"/>
    </w:p>
    <w:p w14:paraId="5901BD8C">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7.2.1采购代理机构应当在评标结束后2个工作日内将评标报告送采购人。</w:t>
      </w:r>
    </w:p>
    <w:p w14:paraId="481D6F23">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7.2.2采购人应当自收到评标报告之日起5个工作日内，在评标报告确定的中标候选人名单中按顺序确定</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候选人并列的，由采购人或者采购人委托</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规定的方式确定</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未规定的，采取随机抽取的方式确定。</w:t>
      </w:r>
    </w:p>
    <w:p w14:paraId="70A858E4">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7.2.3采购人在收到评标报告5个工作日内未按评标报告推荐的</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候选人顺序确定</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人，又不能说明合法理由的，视同按评标报告推荐的顺序确定排名第一的</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w:t>
      </w:r>
    </w:p>
    <w:p w14:paraId="4A372180">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7.2.4采购人或者采购代理机构应当自</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人确定之日起2个工作日内，在省级以上财政部门指定的媒体上公告</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结果，</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应当随</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结果同时公告。</w:t>
      </w:r>
    </w:p>
    <w:p w14:paraId="07BDDE32">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w:t>
      </w:r>
      <w:r>
        <w:rPr>
          <w:rFonts w:hint="eastAsia" w:ascii="仿宋" w:hAnsi="仿宋" w:eastAsia="仿宋" w:cs="仿宋"/>
          <w:color w:val="auto"/>
          <w:sz w:val="24"/>
          <w:szCs w:val="24"/>
          <w:highlight w:val="none"/>
          <w:lang w:val="en-US" w:eastAsia="zh-CN"/>
        </w:rPr>
        <w:t>5成交</w:t>
      </w:r>
      <w:r>
        <w:rPr>
          <w:rFonts w:hint="eastAsia" w:ascii="仿宋" w:hAnsi="仿宋" w:eastAsia="仿宋" w:cs="仿宋"/>
          <w:color w:val="auto"/>
          <w:sz w:val="24"/>
          <w:szCs w:val="24"/>
          <w:highlight w:val="none"/>
        </w:rPr>
        <w:t>公告期限为1个工作日。</w:t>
      </w:r>
    </w:p>
    <w:p w14:paraId="5DB46732">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在公告</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结果的同时，采购人或者采购代理机构应当向</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人发出</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通知书。</w:t>
      </w:r>
    </w:p>
    <w:p w14:paraId="77696DCA">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w:t>
      </w:r>
      <w:r>
        <w:rPr>
          <w:rFonts w:hint="eastAsia" w:ascii="仿宋" w:hAnsi="仿宋" w:eastAsia="仿宋" w:cs="仿宋"/>
          <w:color w:val="auto"/>
          <w:sz w:val="24"/>
          <w:szCs w:val="24"/>
          <w:highlight w:val="none"/>
          <w:lang w:val="en-US" w:eastAsia="zh-CN"/>
        </w:rPr>
        <w:t>7成交</w:t>
      </w:r>
      <w:r>
        <w:rPr>
          <w:rFonts w:hint="eastAsia" w:ascii="仿宋" w:hAnsi="仿宋" w:eastAsia="仿宋" w:cs="仿宋"/>
          <w:color w:val="auto"/>
          <w:sz w:val="24"/>
          <w:szCs w:val="24"/>
          <w:highlight w:val="none"/>
        </w:rPr>
        <w:t>通知书发出后，采购人不得违法改变</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结果，</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人无正当理由不得放弃中标。</w:t>
      </w:r>
    </w:p>
    <w:p w14:paraId="4C0BBD80">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7.2.8各有关当事人对成交结果有异议的，可以在成交结果公告期限届满之日起七个工作日内，以书面形式同时向采购人和采购代理机构提出质疑(加盖单位公章且法人签字)，由法定代表人或其授权代表携带企业营业执照复印件（加盖公章）及本人身份证件（原件）一并提交（邮寄、传真件不予受理），并以质疑函接收日期作为受理时间。逾期提交或未按照要求提交的质疑函将不予受理。 </w:t>
      </w:r>
    </w:p>
    <w:p w14:paraId="5C083C3F">
      <w:pPr>
        <w:pStyle w:val="53"/>
        <w:spacing w:line="360" w:lineRule="auto"/>
        <w:outlineLvl w:val="9"/>
        <w:rPr>
          <w:rFonts w:hint="eastAsia" w:ascii="仿宋" w:hAnsi="仿宋" w:eastAsia="仿宋" w:cs="仿宋"/>
          <w:color w:val="auto"/>
          <w:sz w:val="24"/>
          <w:szCs w:val="24"/>
          <w:highlight w:val="none"/>
        </w:rPr>
      </w:pPr>
      <w:bookmarkStart w:id="340" w:name="_Toc12553"/>
      <w:bookmarkStart w:id="341" w:name="_Toc5838"/>
      <w:bookmarkStart w:id="342" w:name="_Toc30098"/>
      <w:bookmarkStart w:id="343" w:name="_Toc532034681"/>
      <w:bookmarkStart w:id="344" w:name="_Toc11740"/>
      <w:bookmarkStart w:id="345" w:name="_Toc144974538"/>
      <w:bookmarkStart w:id="346" w:name="_Toc152042346"/>
      <w:bookmarkStart w:id="347" w:name="_Toc152045570"/>
      <w:r>
        <w:rPr>
          <w:rFonts w:hint="eastAsia" w:ascii="仿宋" w:hAnsi="仿宋" w:eastAsia="仿宋" w:cs="仿宋"/>
          <w:color w:val="auto"/>
          <w:sz w:val="24"/>
          <w:szCs w:val="24"/>
          <w:highlight w:val="none"/>
        </w:rPr>
        <w:t>7.3 签订合同</w:t>
      </w:r>
      <w:bookmarkEnd w:id="340"/>
      <w:bookmarkEnd w:id="341"/>
      <w:bookmarkEnd w:id="342"/>
      <w:bookmarkEnd w:id="343"/>
      <w:bookmarkEnd w:id="344"/>
      <w:bookmarkEnd w:id="345"/>
      <w:bookmarkEnd w:id="346"/>
      <w:bookmarkEnd w:id="347"/>
    </w:p>
    <w:p w14:paraId="629B0674">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7.3.1采购人应当自中标通知书发出之日起</w:t>
      </w:r>
      <w:r>
        <w:rPr>
          <w:rFonts w:hint="eastAsia" w:ascii="仿宋" w:hAnsi="仿宋" w:eastAsia="仿宋" w:cs="仿宋"/>
          <w:color w:val="auto"/>
          <w:sz w:val="24"/>
          <w:szCs w:val="24"/>
          <w:highlight w:val="none"/>
          <w:lang w:val="en-US" w:eastAsia="zh-CN"/>
        </w:rPr>
        <w:t>2个工作</w:t>
      </w:r>
      <w:r>
        <w:rPr>
          <w:rFonts w:hint="eastAsia" w:ascii="仿宋" w:hAnsi="仿宋" w:eastAsia="仿宋" w:cs="仿宋"/>
          <w:color w:val="auto"/>
          <w:sz w:val="24"/>
          <w:szCs w:val="24"/>
          <w:highlight w:val="none"/>
        </w:rPr>
        <w:t>日内，按照</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的规定，与</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人签订书面合同。所签订的合同不得对</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确定的事项和</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作实质性修改。</w:t>
      </w:r>
    </w:p>
    <w:p w14:paraId="019781C2">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7.3.2采购人不得向</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人提出任何不合理的要求作为签订合同的条件。</w:t>
      </w:r>
    </w:p>
    <w:p w14:paraId="0F698A79">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7.3.3 发出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通知书后，采购人无正当理由拒签合同的，给</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人造成损失的，还应当赔偿损失。</w:t>
      </w:r>
    </w:p>
    <w:p w14:paraId="0D7A5B15">
      <w:pPr>
        <w:pStyle w:val="51"/>
        <w:spacing w:before="0" w:line="360" w:lineRule="auto"/>
        <w:outlineLvl w:val="9"/>
        <w:rPr>
          <w:rFonts w:hint="eastAsia" w:ascii="仿宋" w:hAnsi="仿宋" w:eastAsia="仿宋" w:cs="仿宋"/>
          <w:b/>
          <w:color w:val="auto"/>
          <w:sz w:val="24"/>
          <w:szCs w:val="24"/>
          <w:highlight w:val="none"/>
        </w:rPr>
      </w:pPr>
      <w:bookmarkStart w:id="348" w:name="_Toc152045571"/>
      <w:bookmarkStart w:id="349" w:name="_Toc144974539"/>
      <w:bookmarkStart w:id="350" w:name="_Toc152042347"/>
      <w:bookmarkStart w:id="351" w:name="_Toc9896"/>
      <w:bookmarkStart w:id="352" w:name="_Toc23777"/>
      <w:bookmarkStart w:id="353" w:name="_Toc4812"/>
      <w:r>
        <w:rPr>
          <w:rFonts w:hint="eastAsia" w:ascii="仿宋" w:hAnsi="仿宋" w:eastAsia="仿宋" w:cs="仿宋"/>
          <w:b/>
          <w:color w:val="auto"/>
          <w:sz w:val="24"/>
          <w:szCs w:val="24"/>
          <w:highlight w:val="none"/>
        </w:rPr>
        <w:t>8. 重新采购和</w:t>
      </w:r>
      <w:bookmarkEnd w:id="348"/>
      <w:bookmarkEnd w:id="349"/>
      <w:bookmarkEnd w:id="350"/>
      <w:r>
        <w:rPr>
          <w:rFonts w:hint="eastAsia" w:ascii="仿宋" w:hAnsi="仿宋" w:eastAsia="仿宋" w:cs="仿宋"/>
          <w:b/>
          <w:color w:val="auto"/>
          <w:sz w:val="24"/>
          <w:szCs w:val="24"/>
          <w:highlight w:val="none"/>
        </w:rPr>
        <w:t>采购变更</w:t>
      </w:r>
      <w:bookmarkEnd w:id="351"/>
      <w:bookmarkEnd w:id="352"/>
      <w:bookmarkEnd w:id="353"/>
    </w:p>
    <w:p w14:paraId="3B7F0704">
      <w:pPr>
        <w:spacing w:line="36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8.1 重新采购</w:t>
      </w:r>
    </w:p>
    <w:p w14:paraId="6A95BCA7">
      <w:pPr>
        <w:spacing w:line="360" w:lineRule="auto"/>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出现下列情形之一的，采购人或者采购代理机构应当终止竞争性磋商采购活动，发布项目终止公告并说明原因，重新开展采购活动：</w:t>
      </w:r>
    </w:p>
    <w:p w14:paraId="09822D79">
      <w:pPr>
        <w:spacing w:line="360" w:lineRule="auto"/>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（一）因情况变化，不再符合规定的竞争性磋商采购方式适用情形的； </w:t>
      </w:r>
    </w:p>
    <w:p w14:paraId="1E199631">
      <w:pPr>
        <w:spacing w:line="360" w:lineRule="auto"/>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（二）出现影响采购公正的违法、违规行为的； </w:t>
      </w:r>
    </w:p>
    <w:p w14:paraId="0BD9E8C2">
      <w:pPr>
        <w:spacing w:line="360" w:lineRule="auto"/>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（三）除《政府采购竞争性磋商采购方式管理暂行办法》第二十一条第三款规定的情形外，在采购过程中符合要求的供应商或者报价未超过采购预算的供应商不足3家的。</w:t>
      </w:r>
    </w:p>
    <w:p w14:paraId="38A2BF34">
      <w:pPr>
        <w:spacing w:line="36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8.2 </w:t>
      </w:r>
      <w:r>
        <w:rPr>
          <w:rFonts w:hint="eastAsia" w:ascii="仿宋" w:hAnsi="仿宋" w:eastAsia="仿宋" w:cs="仿宋"/>
          <w:color w:val="auto"/>
          <w:sz w:val="24"/>
          <w:szCs w:val="24"/>
          <w:highlight w:val="none"/>
          <w:lang w:eastAsia="zh-CN"/>
        </w:rPr>
        <w:t>不</w:t>
      </w:r>
      <w:r>
        <w:rPr>
          <w:rFonts w:hint="eastAsia" w:ascii="仿宋" w:hAnsi="仿宋" w:eastAsia="仿宋" w:cs="仿宋"/>
          <w:color w:val="auto"/>
          <w:sz w:val="24"/>
          <w:szCs w:val="24"/>
          <w:highlight w:val="none"/>
          <w:lang w:val="en-US" w:eastAsia="zh-CN"/>
        </w:rPr>
        <w:t>再采购</w:t>
      </w:r>
    </w:p>
    <w:p w14:paraId="7E33AB31">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在采购活动中因重大变故，采购任务取消的，采购人或者采购代理机构应当终止采购活动，通知所有参加采购活动的供应商，并将项目实施情况和采购任务取消原因报送本级财政部门。</w:t>
      </w:r>
    </w:p>
    <w:p w14:paraId="0686090C">
      <w:pPr>
        <w:pStyle w:val="51"/>
        <w:spacing w:before="0" w:line="360" w:lineRule="auto"/>
        <w:outlineLvl w:val="9"/>
        <w:rPr>
          <w:rFonts w:hint="eastAsia" w:ascii="仿宋" w:hAnsi="仿宋" w:eastAsia="仿宋" w:cs="仿宋"/>
          <w:b/>
          <w:color w:val="auto"/>
          <w:sz w:val="24"/>
          <w:szCs w:val="24"/>
          <w:highlight w:val="none"/>
        </w:rPr>
      </w:pPr>
      <w:bookmarkStart w:id="354" w:name="_Toc3820"/>
      <w:bookmarkStart w:id="355" w:name="_Toc7774"/>
      <w:bookmarkStart w:id="356" w:name="_Toc152045574"/>
      <w:bookmarkStart w:id="357" w:name="_Toc23048"/>
      <w:bookmarkStart w:id="358" w:name="_Toc144974542"/>
      <w:bookmarkStart w:id="359" w:name="_Toc152042350"/>
      <w:r>
        <w:rPr>
          <w:rFonts w:hint="eastAsia" w:ascii="仿宋" w:hAnsi="仿宋" w:eastAsia="仿宋" w:cs="仿宋"/>
          <w:b/>
          <w:color w:val="auto"/>
          <w:sz w:val="24"/>
          <w:szCs w:val="24"/>
          <w:highlight w:val="none"/>
        </w:rPr>
        <w:t>9. 纪律和监督</w:t>
      </w:r>
      <w:bookmarkEnd w:id="354"/>
      <w:bookmarkEnd w:id="355"/>
      <w:bookmarkEnd w:id="356"/>
      <w:bookmarkEnd w:id="357"/>
      <w:bookmarkEnd w:id="358"/>
      <w:bookmarkEnd w:id="359"/>
    </w:p>
    <w:p w14:paraId="3A1B2620">
      <w:pPr>
        <w:pStyle w:val="53"/>
        <w:spacing w:line="360" w:lineRule="auto"/>
        <w:outlineLvl w:val="9"/>
        <w:rPr>
          <w:rFonts w:hint="eastAsia" w:ascii="仿宋" w:hAnsi="仿宋" w:eastAsia="仿宋" w:cs="仿宋"/>
          <w:color w:val="auto"/>
          <w:sz w:val="24"/>
          <w:szCs w:val="24"/>
          <w:highlight w:val="none"/>
        </w:rPr>
      </w:pPr>
      <w:bookmarkStart w:id="360" w:name="_Toc152042351"/>
      <w:bookmarkStart w:id="361" w:name="_Toc532034686"/>
      <w:bookmarkStart w:id="362" w:name="_Toc152045575"/>
      <w:bookmarkStart w:id="363" w:name="_Toc144974543"/>
      <w:bookmarkStart w:id="364" w:name="_Toc2030"/>
      <w:bookmarkStart w:id="365" w:name="_Toc10011"/>
      <w:bookmarkStart w:id="366" w:name="_Toc15536"/>
      <w:bookmarkStart w:id="367" w:name="_Toc19352"/>
      <w:r>
        <w:rPr>
          <w:rFonts w:hint="eastAsia" w:ascii="仿宋" w:hAnsi="仿宋" w:eastAsia="仿宋" w:cs="仿宋"/>
          <w:color w:val="auto"/>
          <w:sz w:val="24"/>
          <w:szCs w:val="24"/>
          <w:highlight w:val="none"/>
        </w:rPr>
        <w:t>9.1 对采购人的纪律要求</w:t>
      </w:r>
      <w:bookmarkEnd w:id="360"/>
      <w:bookmarkEnd w:id="361"/>
      <w:bookmarkEnd w:id="362"/>
      <w:bookmarkEnd w:id="363"/>
      <w:bookmarkEnd w:id="364"/>
      <w:bookmarkEnd w:id="365"/>
      <w:bookmarkEnd w:id="366"/>
      <w:bookmarkEnd w:id="367"/>
    </w:p>
    <w:p w14:paraId="2F7CBFE4">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采购人不得泄漏采购投标活动中应当保密的情况和资料，不得与供应商串通损害国家利益、社会公共利益或者他人合法权益。</w:t>
      </w:r>
    </w:p>
    <w:p w14:paraId="2BF72301">
      <w:pPr>
        <w:pStyle w:val="53"/>
        <w:spacing w:line="360" w:lineRule="auto"/>
        <w:outlineLvl w:val="9"/>
        <w:rPr>
          <w:rFonts w:hint="eastAsia" w:ascii="仿宋" w:hAnsi="仿宋" w:eastAsia="仿宋" w:cs="仿宋"/>
          <w:color w:val="auto"/>
          <w:sz w:val="24"/>
          <w:szCs w:val="24"/>
          <w:highlight w:val="none"/>
        </w:rPr>
      </w:pPr>
      <w:bookmarkStart w:id="368" w:name="_Toc532034687"/>
      <w:bookmarkStart w:id="369" w:name="_Toc144974544"/>
      <w:bookmarkStart w:id="370" w:name="_Toc152045576"/>
      <w:bookmarkStart w:id="371" w:name="_Toc152042352"/>
      <w:bookmarkStart w:id="372" w:name="_Toc14457"/>
      <w:bookmarkStart w:id="373" w:name="_Toc22076"/>
      <w:bookmarkStart w:id="374" w:name="_Toc15611"/>
      <w:bookmarkStart w:id="375" w:name="_Toc13740"/>
      <w:r>
        <w:rPr>
          <w:rFonts w:hint="eastAsia" w:ascii="仿宋" w:hAnsi="仿宋" w:eastAsia="仿宋" w:cs="仿宋"/>
          <w:color w:val="auto"/>
          <w:sz w:val="24"/>
          <w:szCs w:val="24"/>
          <w:highlight w:val="none"/>
        </w:rPr>
        <w:t>9.2 对供应商的纪律要求</w:t>
      </w:r>
      <w:bookmarkEnd w:id="368"/>
      <w:bookmarkEnd w:id="369"/>
      <w:bookmarkEnd w:id="370"/>
      <w:bookmarkEnd w:id="371"/>
      <w:bookmarkEnd w:id="372"/>
      <w:bookmarkEnd w:id="373"/>
      <w:bookmarkEnd w:id="374"/>
      <w:bookmarkEnd w:id="375"/>
    </w:p>
    <w:p w14:paraId="70F24BF3">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供应商不得相互串通投标或者与采购人串通投标，不得向采购人或者</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成员行贿谋取中标，不得以他人名义投标或者以其他方式弄虚作假骗取中标；供应商不得以任何方式干扰、影响评标工作。</w:t>
      </w:r>
    </w:p>
    <w:p w14:paraId="65C8B294">
      <w:pPr>
        <w:pStyle w:val="53"/>
        <w:spacing w:line="360" w:lineRule="auto"/>
        <w:outlineLvl w:val="9"/>
        <w:rPr>
          <w:rFonts w:hint="eastAsia" w:ascii="仿宋" w:hAnsi="仿宋" w:eastAsia="仿宋" w:cs="仿宋"/>
          <w:color w:val="auto"/>
          <w:sz w:val="24"/>
          <w:szCs w:val="24"/>
          <w:highlight w:val="none"/>
        </w:rPr>
      </w:pPr>
      <w:bookmarkStart w:id="376" w:name="_Toc144974545"/>
      <w:bookmarkStart w:id="377" w:name="_Toc152045577"/>
      <w:bookmarkStart w:id="378" w:name="_Toc152042353"/>
      <w:bookmarkStart w:id="379" w:name="_Toc532034688"/>
      <w:bookmarkStart w:id="380" w:name="_Toc8899"/>
      <w:bookmarkStart w:id="381" w:name="_Toc18893"/>
      <w:bookmarkStart w:id="382" w:name="_Toc1861"/>
      <w:bookmarkStart w:id="383" w:name="_Toc28998"/>
      <w:r>
        <w:rPr>
          <w:rFonts w:hint="eastAsia" w:ascii="仿宋" w:hAnsi="仿宋" w:eastAsia="仿宋" w:cs="仿宋"/>
          <w:color w:val="auto"/>
          <w:sz w:val="24"/>
          <w:szCs w:val="24"/>
          <w:highlight w:val="none"/>
        </w:rPr>
        <w:t>9.3 对</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成员的纪律要求</w:t>
      </w:r>
      <w:bookmarkEnd w:id="376"/>
      <w:bookmarkEnd w:id="377"/>
      <w:bookmarkEnd w:id="378"/>
      <w:bookmarkEnd w:id="379"/>
      <w:bookmarkEnd w:id="380"/>
      <w:bookmarkEnd w:id="381"/>
      <w:bookmarkEnd w:id="382"/>
      <w:bookmarkEnd w:id="383"/>
    </w:p>
    <w:p w14:paraId="37C1195F">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9.3.1</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成员不得收受他人的财物或者其他好处，不得向他人透漏对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的评审和比较、</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候选人的推荐情况以及评标有关的其他情况。在评标活动中，</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成员不得擅离职守，影响评标程序正常进行，不得使用第三章“</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办法”没有规定的评审因素和标准进行评标。</w:t>
      </w:r>
    </w:p>
    <w:p w14:paraId="5B299FCB">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9.3.2</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及其成员不得有下列行为：</w:t>
      </w:r>
    </w:p>
    <w:p w14:paraId="57A3ED71">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（一）确定参与评标至评标结束前私自接触供应商；</w:t>
      </w:r>
    </w:p>
    <w:p w14:paraId="0C3F5730">
      <w:pPr>
        <w:spacing w:line="360" w:lineRule="auto"/>
        <w:ind w:left="540" w:leftChars="200" w:hanging="120" w:hangingChars="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（二）接受供应商提出的与</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不一致的澄清或者说明，《政府采购货物和服务采购投标管理办法》（财政部令第87号）第五十一条规定的情形除外；</w:t>
      </w:r>
    </w:p>
    <w:p w14:paraId="5CD23400">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（三）违反评标纪律发表倾向性意见或者征询采购人的倾向性意见；</w:t>
      </w:r>
    </w:p>
    <w:p w14:paraId="673D9531">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（四）对需要专业判断的主观评审因素协商评分；</w:t>
      </w:r>
    </w:p>
    <w:p w14:paraId="32A620E8">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（五）在评标过程中擅离职守，影响评标程序正常进行的；</w:t>
      </w:r>
    </w:p>
    <w:p w14:paraId="4639A10E">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（六）记录、复制或者带走任何评标资料；</w:t>
      </w:r>
    </w:p>
    <w:p w14:paraId="1F40CFA2">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（七）其他不遵守评标纪律的行为。</w:t>
      </w:r>
    </w:p>
    <w:p w14:paraId="4654EFA3">
      <w:pPr>
        <w:pStyle w:val="53"/>
        <w:spacing w:line="360" w:lineRule="auto"/>
        <w:outlineLvl w:val="9"/>
        <w:rPr>
          <w:rFonts w:hint="eastAsia" w:ascii="仿宋" w:hAnsi="仿宋" w:eastAsia="仿宋" w:cs="仿宋"/>
          <w:color w:val="auto"/>
          <w:sz w:val="24"/>
          <w:szCs w:val="24"/>
          <w:highlight w:val="none"/>
        </w:rPr>
      </w:pPr>
      <w:bookmarkStart w:id="384" w:name="_Toc152042354"/>
      <w:bookmarkStart w:id="385" w:name="_Toc15961"/>
      <w:bookmarkStart w:id="386" w:name="_Toc532034689"/>
      <w:bookmarkStart w:id="387" w:name="_Toc6665"/>
      <w:bookmarkStart w:id="388" w:name="_Toc24353"/>
      <w:bookmarkStart w:id="389" w:name="_Toc22906"/>
      <w:bookmarkStart w:id="390" w:name="_Toc152045578"/>
      <w:bookmarkStart w:id="391" w:name="_Toc144974546"/>
      <w:r>
        <w:rPr>
          <w:rFonts w:hint="eastAsia" w:ascii="仿宋" w:hAnsi="仿宋" w:eastAsia="仿宋" w:cs="仿宋"/>
          <w:color w:val="auto"/>
          <w:sz w:val="24"/>
          <w:szCs w:val="24"/>
          <w:highlight w:val="none"/>
        </w:rPr>
        <w:t>9.4 对与评标活动有关的工作人员的纪律要求</w:t>
      </w:r>
      <w:bookmarkEnd w:id="384"/>
      <w:bookmarkEnd w:id="385"/>
      <w:bookmarkEnd w:id="386"/>
      <w:bookmarkEnd w:id="387"/>
      <w:bookmarkEnd w:id="388"/>
      <w:bookmarkEnd w:id="389"/>
      <w:bookmarkEnd w:id="390"/>
    </w:p>
    <w:p w14:paraId="123654BD">
      <w:pPr>
        <w:spacing w:line="360" w:lineRule="auto"/>
        <w:ind w:firstLine="480" w:firstLineChars="200"/>
        <w:outlineLvl w:val="9"/>
        <w:rPr>
          <w:rFonts w:hint="eastAsia" w:ascii="仿宋" w:hAnsi="仿宋" w:eastAsia="仿宋" w:cs="仿宋"/>
          <w:color w:val="auto"/>
          <w:sz w:val="24"/>
          <w:szCs w:val="24"/>
          <w:highlight w:val="none"/>
        </w:rPr>
      </w:pPr>
      <w:bookmarkStart w:id="392" w:name="_Toc152042355"/>
      <w:r>
        <w:rPr>
          <w:rFonts w:hint="eastAsia" w:ascii="仿宋" w:hAnsi="仿宋" w:eastAsia="仿宋" w:cs="仿宋"/>
          <w:color w:val="auto"/>
          <w:sz w:val="24"/>
          <w:szCs w:val="24"/>
          <w:highlight w:val="none"/>
        </w:rPr>
        <w:t>与评标活动有关的工作人员不得收受他人的财物或者其他好处，不得向他人透漏对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的评审和比较、</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候选人的推荐情况以及评标有关的其他情况。在评标活动中，与评标活动有关的工作人员不得擅离职守，影响评标程序正常进行。</w:t>
      </w:r>
      <w:bookmarkEnd w:id="392"/>
    </w:p>
    <w:p w14:paraId="1528618F">
      <w:pPr>
        <w:pStyle w:val="53"/>
        <w:spacing w:line="360" w:lineRule="auto"/>
        <w:outlineLvl w:val="9"/>
        <w:rPr>
          <w:rFonts w:hint="eastAsia" w:ascii="仿宋" w:hAnsi="仿宋" w:eastAsia="仿宋" w:cs="仿宋"/>
          <w:color w:val="auto"/>
          <w:sz w:val="24"/>
          <w:szCs w:val="24"/>
          <w:highlight w:val="none"/>
        </w:rPr>
      </w:pPr>
      <w:bookmarkStart w:id="393" w:name="_Toc857"/>
      <w:bookmarkStart w:id="394" w:name="_Toc30295"/>
      <w:bookmarkStart w:id="395" w:name="_Toc29970"/>
      <w:bookmarkStart w:id="396" w:name="_Toc532034690"/>
      <w:bookmarkStart w:id="397" w:name="_Toc17141"/>
      <w:bookmarkStart w:id="398" w:name="_Toc152045579"/>
      <w:bookmarkStart w:id="399" w:name="_Toc152042356"/>
      <w:r>
        <w:rPr>
          <w:rFonts w:hint="eastAsia" w:ascii="仿宋" w:hAnsi="仿宋" w:eastAsia="仿宋" w:cs="仿宋"/>
          <w:color w:val="auto"/>
          <w:sz w:val="24"/>
          <w:szCs w:val="24"/>
          <w:highlight w:val="none"/>
        </w:rPr>
        <w:t>9.5 投诉</w:t>
      </w:r>
      <w:bookmarkEnd w:id="391"/>
      <w:bookmarkEnd w:id="393"/>
      <w:bookmarkEnd w:id="394"/>
      <w:bookmarkEnd w:id="395"/>
      <w:bookmarkEnd w:id="396"/>
      <w:bookmarkEnd w:id="397"/>
      <w:bookmarkEnd w:id="398"/>
      <w:bookmarkEnd w:id="399"/>
    </w:p>
    <w:p w14:paraId="17EC30C4">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供应商和其他利害关系人认为本次采购活动违反法律、法规和规章规定的，有权向有关行政监督部门投诉。</w:t>
      </w:r>
    </w:p>
    <w:p w14:paraId="68AC5FEA">
      <w:pPr>
        <w:pStyle w:val="51"/>
        <w:spacing w:before="0" w:line="360" w:lineRule="auto"/>
        <w:outlineLvl w:val="9"/>
        <w:rPr>
          <w:rFonts w:hint="eastAsia" w:ascii="仿宋" w:hAnsi="仿宋" w:eastAsia="仿宋" w:cs="仿宋"/>
          <w:b/>
          <w:color w:val="auto"/>
          <w:sz w:val="24"/>
          <w:szCs w:val="24"/>
          <w:highlight w:val="none"/>
        </w:rPr>
      </w:pPr>
      <w:bookmarkStart w:id="400" w:name="_Toc21904"/>
      <w:bookmarkStart w:id="401" w:name="_Toc152042357"/>
      <w:bookmarkStart w:id="402" w:name="_Toc144974547"/>
      <w:bookmarkStart w:id="403" w:name="_Toc23296"/>
      <w:bookmarkStart w:id="404" w:name="_Toc27677"/>
      <w:bookmarkStart w:id="405" w:name="_Toc152045580"/>
      <w:r>
        <w:rPr>
          <w:rFonts w:hint="eastAsia" w:ascii="仿宋" w:hAnsi="仿宋" w:eastAsia="仿宋" w:cs="仿宋"/>
          <w:b/>
          <w:color w:val="auto"/>
          <w:sz w:val="24"/>
          <w:szCs w:val="24"/>
          <w:highlight w:val="none"/>
        </w:rPr>
        <w:t>10. 需要补充的其他内容</w:t>
      </w:r>
      <w:bookmarkEnd w:id="400"/>
      <w:bookmarkEnd w:id="401"/>
      <w:bookmarkEnd w:id="402"/>
      <w:bookmarkEnd w:id="403"/>
      <w:bookmarkEnd w:id="404"/>
      <w:bookmarkEnd w:id="405"/>
    </w:p>
    <w:p w14:paraId="1A60FE64">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需要补充的其他内容：见供应商须知前附表。</w:t>
      </w:r>
    </w:p>
    <w:p w14:paraId="2DC924F9">
      <w:pPr>
        <w:pStyle w:val="49"/>
        <w:spacing w:line="360" w:lineRule="auto"/>
        <w:ind w:firstLine="420"/>
        <w:jc w:val="both"/>
        <w:rPr>
          <w:rFonts w:hint="eastAsia" w:ascii="仿宋" w:hAnsi="仿宋" w:eastAsia="仿宋" w:cs="仿宋"/>
          <w:color w:val="auto"/>
          <w:sz w:val="24"/>
          <w:szCs w:val="24"/>
          <w:highlight w:val="none"/>
        </w:rPr>
      </w:pPr>
    </w:p>
    <w:p w14:paraId="4C8ADAC1">
      <w:pPr>
        <w:autoSpaceDE w:val="0"/>
        <w:autoSpaceDN w:val="0"/>
        <w:adjustRightInd w:val="0"/>
        <w:spacing w:line="360" w:lineRule="auto"/>
        <w:jc w:val="left"/>
        <w:rPr>
          <w:rFonts w:hint="eastAsia" w:ascii="仿宋" w:hAnsi="仿宋" w:eastAsia="仿宋" w:cs="仿宋"/>
          <w:color w:val="auto"/>
          <w:kern w:val="0"/>
          <w:sz w:val="24"/>
          <w:szCs w:val="24"/>
          <w:highlight w:val="none"/>
        </w:rPr>
        <w:sectPr>
          <w:headerReference r:id="rId6" w:type="first"/>
          <w:footerReference r:id="rId8" w:type="first"/>
          <w:footerReference r:id="rId7" w:type="default"/>
          <w:pgSz w:w="11906" w:h="16838"/>
          <w:pgMar w:top="1440" w:right="1080" w:bottom="1440" w:left="1080" w:header="851" w:footer="992" w:gutter="0"/>
          <w:pgNumType w:fmt="decimal" w:start="1"/>
          <w:cols w:space="720" w:num="1"/>
          <w:titlePg/>
          <w:docGrid w:type="linesAndChars" w:linePitch="312" w:charSpace="0"/>
        </w:sectPr>
      </w:pPr>
    </w:p>
    <w:p w14:paraId="3F0954B0">
      <w:pPr>
        <w:pStyle w:val="3"/>
        <w:spacing w:before="120" w:after="120" w:line="500" w:lineRule="exact"/>
        <w:jc w:val="center"/>
        <w:rPr>
          <w:rFonts w:hint="eastAsia" w:ascii="仿宋" w:hAnsi="仿宋" w:eastAsia="仿宋" w:cs="仿宋"/>
          <w:color w:val="auto"/>
          <w:sz w:val="10"/>
          <w:szCs w:val="10"/>
          <w:highlight w:val="none"/>
        </w:rPr>
      </w:pPr>
      <w:bookmarkStart w:id="406" w:name="_Toc152042375"/>
      <w:bookmarkStart w:id="407" w:name="_Toc144974565"/>
      <w:bookmarkStart w:id="408" w:name="_Toc27510"/>
      <w:bookmarkStart w:id="409" w:name="_Toc152045598"/>
      <w:bookmarkStart w:id="410" w:name="_Toc8610"/>
      <w:r>
        <w:rPr>
          <w:rFonts w:hint="eastAsia" w:ascii="仿宋" w:hAnsi="仿宋" w:eastAsia="仿宋" w:cs="仿宋"/>
          <w:color w:val="auto"/>
          <w:sz w:val="32"/>
          <w:highlight w:val="none"/>
        </w:rPr>
        <w:t xml:space="preserve">第三章 </w:t>
      </w:r>
      <w:r>
        <w:rPr>
          <w:rFonts w:hint="eastAsia" w:ascii="仿宋" w:hAnsi="仿宋" w:eastAsia="仿宋" w:cs="仿宋"/>
          <w:color w:val="auto"/>
          <w:sz w:val="32"/>
          <w:highlight w:val="none"/>
          <w:lang w:val="en-US" w:eastAsia="zh-CN"/>
        </w:rPr>
        <w:t>磋商</w:t>
      </w:r>
      <w:r>
        <w:rPr>
          <w:rFonts w:hint="eastAsia" w:ascii="仿宋" w:hAnsi="仿宋" w:eastAsia="仿宋" w:cs="仿宋"/>
          <w:color w:val="auto"/>
          <w:sz w:val="32"/>
          <w:highlight w:val="none"/>
        </w:rPr>
        <w:t>办法（综合评分法）</w:t>
      </w:r>
      <w:bookmarkEnd w:id="406"/>
      <w:bookmarkEnd w:id="407"/>
      <w:bookmarkEnd w:id="408"/>
      <w:bookmarkEnd w:id="409"/>
      <w:bookmarkEnd w:id="410"/>
    </w:p>
    <w:p w14:paraId="69784BDB">
      <w:pPr>
        <w:spacing w:line="32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磋商</w:t>
      </w:r>
      <w:r>
        <w:rPr>
          <w:rFonts w:hint="eastAsia" w:ascii="仿宋" w:hAnsi="仿宋" w:eastAsia="仿宋" w:cs="仿宋"/>
          <w:b/>
          <w:bCs/>
          <w:color w:val="auto"/>
          <w:sz w:val="28"/>
          <w:szCs w:val="28"/>
          <w:highlight w:val="none"/>
        </w:rPr>
        <w:t>办法前附表</w:t>
      </w:r>
      <w:bookmarkStart w:id="411" w:name="_Toc350881051"/>
      <w:bookmarkStart w:id="412" w:name="_Toc25726404"/>
      <w:bookmarkStart w:id="413" w:name="_Toc138753174"/>
      <w:bookmarkStart w:id="414" w:name="_Toc120416258"/>
      <w:bookmarkStart w:id="415" w:name="_Toc25037540"/>
      <w:bookmarkStart w:id="416" w:name="_Toc26261451"/>
      <w:bookmarkStart w:id="417" w:name="_Toc130028398"/>
    </w:p>
    <w:tbl>
      <w:tblPr>
        <w:tblStyle w:val="28"/>
        <w:tblW w:w="9679"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519"/>
        <w:gridCol w:w="2108"/>
        <w:gridCol w:w="5152"/>
      </w:tblGrid>
      <w:tr w14:paraId="5EABF39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419" w:type="dxa"/>
            <w:gridSpan w:val="2"/>
            <w:tcBorders>
              <w:top w:val="single" w:color="auto" w:sz="4" w:space="0"/>
              <w:left w:val="single" w:color="auto" w:sz="4" w:space="0"/>
            </w:tcBorders>
            <w:noWrap w:val="0"/>
            <w:vAlign w:val="center"/>
          </w:tcPr>
          <w:p w14:paraId="7EAA1EC8">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条款号</w:t>
            </w:r>
          </w:p>
        </w:tc>
        <w:tc>
          <w:tcPr>
            <w:tcW w:w="2108" w:type="dxa"/>
            <w:tcBorders>
              <w:top w:val="single" w:color="auto" w:sz="4" w:space="0"/>
            </w:tcBorders>
            <w:noWrap w:val="0"/>
            <w:vAlign w:val="center"/>
          </w:tcPr>
          <w:p w14:paraId="2988CA18">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评审因素</w:t>
            </w:r>
          </w:p>
        </w:tc>
        <w:tc>
          <w:tcPr>
            <w:tcW w:w="5152" w:type="dxa"/>
            <w:tcBorders>
              <w:top w:val="single" w:color="auto" w:sz="4" w:space="0"/>
              <w:right w:val="single" w:color="auto" w:sz="4" w:space="0"/>
            </w:tcBorders>
            <w:noWrap w:val="0"/>
            <w:vAlign w:val="center"/>
          </w:tcPr>
          <w:p w14:paraId="4A50E695">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评审标准</w:t>
            </w:r>
          </w:p>
        </w:tc>
      </w:tr>
      <w:tr w14:paraId="3970CC6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restart"/>
            <w:tcBorders>
              <w:left w:val="single" w:color="auto" w:sz="4" w:space="0"/>
            </w:tcBorders>
            <w:noWrap w:val="0"/>
            <w:vAlign w:val="center"/>
          </w:tcPr>
          <w:p w14:paraId="39255A41">
            <w:pPr>
              <w:spacing w:line="4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lang w:val="en-US" w:eastAsia="zh-CN"/>
              </w:rPr>
              <w:t>1</w:t>
            </w:r>
          </w:p>
        </w:tc>
        <w:tc>
          <w:tcPr>
            <w:tcW w:w="1519" w:type="dxa"/>
            <w:vMerge w:val="restart"/>
            <w:noWrap w:val="0"/>
            <w:vAlign w:val="center"/>
          </w:tcPr>
          <w:p w14:paraId="2288EB7C">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资格评审</w:t>
            </w:r>
          </w:p>
          <w:p w14:paraId="6A438B8E">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标准</w:t>
            </w:r>
          </w:p>
        </w:tc>
        <w:tc>
          <w:tcPr>
            <w:tcW w:w="2108" w:type="dxa"/>
            <w:tcBorders>
              <w:bottom w:val="single" w:color="auto" w:sz="4" w:space="0"/>
            </w:tcBorders>
            <w:noWrap w:val="0"/>
            <w:vAlign w:val="center"/>
          </w:tcPr>
          <w:p w14:paraId="32CC4B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具有独立承担民事责任的能力</w:t>
            </w:r>
          </w:p>
        </w:tc>
        <w:tc>
          <w:tcPr>
            <w:tcW w:w="5152" w:type="dxa"/>
            <w:tcBorders>
              <w:bottom w:val="single" w:color="auto" w:sz="4" w:space="0"/>
              <w:right w:val="single" w:color="auto" w:sz="4" w:space="0"/>
            </w:tcBorders>
            <w:noWrap w:val="0"/>
            <w:vAlign w:val="center"/>
          </w:tcPr>
          <w:p w14:paraId="299DDE86">
            <w:pPr>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提供有效期内的营业执照</w:t>
            </w:r>
            <w:r>
              <w:rPr>
                <w:rFonts w:hint="eastAsia" w:ascii="仿宋" w:hAnsi="仿宋" w:eastAsia="仿宋" w:cs="仿宋"/>
                <w:color w:val="auto"/>
                <w:sz w:val="24"/>
                <w:szCs w:val="24"/>
                <w:highlight w:val="none"/>
                <w:lang w:val="en-US" w:eastAsia="zh-CN"/>
              </w:rPr>
              <w:t>或其他组织证明材料</w:t>
            </w:r>
          </w:p>
        </w:tc>
      </w:tr>
      <w:tr w14:paraId="3BAD338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tcBorders>
            <w:noWrap w:val="0"/>
            <w:vAlign w:val="center"/>
          </w:tcPr>
          <w:p w14:paraId="7F8F2297">
            <w:pPr>
              <w:spacing w:line="440" w:lineRule="exact"/>
              <w:jc w:val="center"/>
              <w:rPr>
                <w:rFonts w:hint="eastAsia" w:ascii="仿宋" w:hAnsi="仿宋" w:eastAsia="仿宋" w:cs="仿宋"/>
                <w:color w:val="auto"/>
                <w:sz w:val="24"/>
                <w:szCs w:val="24"/>
                <w:highlight w:val="none"/>
              </w:rPr>
            </w:pPr>
          </w:p>
        </w:tc>
        <w:tc>
          <w:tcPr>
            <w:tcW w:w="1519" w:type="dxa"/>
            <w:vMerge w:val="continue"/>
            <w:noWrap w:val="0"/>
            <w:vAlign w:val="center"/>
          </w:tcPr>
          <w:p w14:paraId="6A40E04B">
            <w:pPr>
              <w:spacing w:line="440" w:lineRule="exact"/>
              <w:jc w:val="center"/>
              <w:rPr>
                <w:rFonts w:hint="eastAsia" w:ascii="仿宋" w:hAnsi="仿宋" w:eastAsia="仿宋" w:cs="仿宋"/>
                <w:color w:val="auto"/>
                <w:sz w:val="24"/>
                <w:szCs w:val="24"/>
                <w:highlight w:val="none"/>
              </w:rPr>
            </w:pPr>
          </w:p>
        </w:tc>
        <w:tc>
          <w:tcPr>
            <w:tcW w:w="2108" w:type="dxa"/>
            <w:tcBorders>
              <w:bottom w:val="single" w:color="auto" w:sz="4" w:space="0"/>
            </w:tcBorders>
            <w:noWrap w:val="0"/>
            <w:vAlign w:val="center"/>
          </w:tcPr>
          <w:p w14:paraId="616CA3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保险许可证</w:t>
            </w:r>
          </w:p>
        </w:tc>
        <w:tc>
          <w:tcPr>
            <w:tcW w:w="5152" w:type="dxa"/>
            <w:tcBorders>
              <w:bottom w:val="single" w:color="auto" w:sz="4" w:space="0"/>
              <w:right w:val="single" w:color="auto" w:sz="4" w:space="0"/>
            </w:tcBorders>
            <w:noWrap w:val="0"/>
            <w:vAlign w:val="center"/>
          </w:tcPr>
          <w:p w14:paraId="61DDCABD">
            <w:pPr>
              <w:spacing w:line="440" w:lineRule="exact"/>
              <w:jc w:val="left"/>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具有银保监会或其授权的派出机构颁发的有效期内的保险许可证。</w:t>
            </w:r>
          </w:p>
        </w:tc>
      </w:tr>
      <w:tr w14:paraId="61C4903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tcBorders>
            <w:noWrap w:val="0"/>
            <w:vAlign w:val="center"/>
          </w:tcPr>
          <w:p w14:paraId="30B3DE1B">
            <w:pPr>
              <w:spacing w:line="440" w:lineRule="exact"/>
              <w:jc w:val="center"/>
              <w:rPr>
                <w:rFonts w:hint="eastAsia" w:ascii="仿宋" w:hAnsi="仿宋" w:eastAsia="仿宋" w:cs="仿宋"/>
                <w:color w:val="auto"/>
                <w:sz w:val="24"/>
                <w:szCs w:val="24"/>
                <w:highlight w:val="none"/>
              </w:rPr>
            </w:pPr>
          </w:p>
        </w:tc>
        <w:tc>
          <w:tcPr>
            <w:tcW w:w="1519" w:type="dxa"/>
            <w:vMerge w:val="continue"/>
            <w:noWrap w:val="0"/>
            <w:vAlign w:val="center"/>
          </w:tcPr>
          <w:p w14:paraId="5AF16130">
            <w:pPr>
              <w:spacing w:line="440" w:lineRule="exact"/>
              <w:jc w:val="center"/>
              <w:rPr>
                <w:rFonts w:hint="eastAsia" w:ascii="仿宋" w:hAnsi="仿宋" w:eastAsia="仿宋" w:cs="仿宋"/>
                <w:color w:val="auto"/>
                <w:sz w:val="24"/>
                <w:szCs w:val="24"/>
                <w:highlight w:val="none"/>
              </w:rPr>
            </w:pPr>
          </w:p>
        </w:tc>
        <w:tc>
          <w:tcPr>
            <w:tcW w:w="2108" w:type="dxa"/>
            <w:tcBorders>
              <w:bottom w:val="single" w:color="auto" w:sz="4" w:space="0"/>
            </w:tcBorders>
            <w:noWrap w:val="0"/>
            <w:vAlign w:val="center"/>
          </w:tcPr>
          <w:p w14:paraId="38D1E1B6">
            <w:pPr>
              <w:keepNext w:val="0"/>
              <w:keepLines w:val="0"/>
              <w:pageBreakBefore w:val="0"/>
              <w:widowControl w:val="0"/>
              <w:kinsoku/>
              <w:wordWrap/>
              <w:overflowPunct/>
              <w:topLinePunct w:val="0"/>
              <w:autoSpaceDE/>
              <w:autoSpaceDN/>
              <w:bidi w:val="0"/>
              <w:adjustRightInd/>
              <w:snapToGrid/>
              <w:spacing w:line="400" w:lineRule="exact"/>
              <w:ind w:right="0" w:rightChars="0" w:firstLine="67" w:firstLineChars="28"/>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资格声明文件</w:t>
            </w:r>
          </w:p>
        </w:tc>
        <w:tc>
          <w:tcPr>
            <w:tcW w:w="5152" w:type="dxa"/>
            <w:tcBorders>
              <w:bottom w:val="single" w:color="auto" w:sz="4" w:space="0"/>
              <w:right w:val="single" w:color="auto" w:sz="4" w:space="0"/>
            </w:tcBorders>
            <w:noWrap w:val="0"/>
            <w:vAlign w:val="center"/>
          </w:tcPr>
          <w:p w14:paraId="1C056D9B">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提供符合采购文件要求的资格承诺声明函</w:t>
            </w:r>
          </w:p>
        </w:tc>
      </w:tr>
      <w:tr w14:paraId="62F7647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tcBorders>
            <w:noWrap w:val="0"/>
            <w:vAlign w:val="center"/>
          </w:tcPr>
          <w:p w14:paraId="4D383CE7">
            <w:pPr>
              <w:spacing w:line="440" w:lineRule="exact"/>
              <w:jc w:val="center"/>
              <w:rPr>
                <w:rFonts w:hint="eastAsia" w:ascii="仿宋" w:hAnsi="仿宋" w:eastAsia="仿宋" w:cs="仿宋"/>
                <w:color w:val="auto"/>
                <w:sz w:val="24"/>
                <w:szCs w:val="24"/>
                <w:highlight w:val="none"/>
              </w:rPr>
            </w:pPr>
          </w:p>
        </w:tc>
        <w:tc>
          <w:tcPr>
            <w:tcW w:w="1519" w:type="dxa"/>
            <w:vMerge w:val="continue"/>
            <w:noWrap w:val="0"/>
            <w:vAlign w:val="center"/>
          </w:tcPr>
          <w:p w14:paraId="6FBA8354">
            <w:pPr>
              <w:spacing w:line="440" w:lineRule="exact"/>
              <w:jc w:val="center"/>
              <w:rPr>
                <w:rFonts w:hint="eastAsia" w:ascii="仿宋" w:hAnsi="仿宋" w:eastAsia="仿宋" w:cs="仿宋"/>
                <w:color w:val="auto"/>
                <w:sz w:val="24"/>
                <w:szCs w:val="24"/>
                <w:highlight w:val="none"/>
              </w:rPr>
            </w:pPr>
          </w:p>
        </w:tc>
        <w:tc>
          <w:tcPr>
            <w:tcW w:w="2108" w:type="dxa"/>
            <w:tcBorders>
              <w:bottom w:val="single" w:color="auto" w:sz="4" w:space="0"/>
            </w:tcBorders>
            <w:noWrap w:val="0"/>
            <w:vAlign w:val="center"/>
          </w:tcPr>
          <w:p w14:paraId="664003D8">
            <w:pPr>
              <w:keepNext w:val="0"/>
              <w:keepLines w:val="0"/>
              <w:pageBreakBefore w:val="0"/>
              <w:widowControl w:val="0"/>
              <w:kinsoku/>
              <w:wordWrap/>
              <w:overflowPunct/>
              <w:topLinePunct w:val="0"/>
              <w:autoSpaceDE/>
              <w:autoSpaceDN/>
              <w:bidi w:val="0"/>
              <w:adjustRightInd/>
              <w:snapToGrid/>
              <w:spacing w:line="400" w:lineRule="exact"/>
              <w:ind w:right="0" w:rightChars="0" w:firstLine="67" w:firstLineChars="28"/>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信用结果查询</w:t>
            </w:r>
          </w:p>
        </w:tc>
        <w:tc>
          <w:tcPr>
            <w:tcW w:w="5152" w:type="dxa"/>
            <w:tcBorders>
              <w:bottom w:val="single" w:color="auto" w:sz="4" w:space="0"/>
              <w:right w:val="single" w:color="auto" w:sz="4" w:space="0"/>
            </w:tcBorders>
            <w:noWrap w:val="0"/>
            <w:vAlign w:val="center"/>
          </w:tcPr>
          <w:p w14:paraId="480B11F3">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对列入失信被执行人、重大税收违法失信主体、政府采购严重违法失信行为记录名单的投标人，拒绝参与本项目政府采购活动</w:t>
            </w:r>
          </w:p>
        </w:tc>
      </w:tr>
      <w:tr w14:paraId="09B76BB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tcBorders>
            <w:noWrap w:val="0"/>
            <w:vAlign w:val="center"/>
          </w:tcPr>
          <w:p w14:paraId="61623BB6">
            <w:pPr>
              <w:spacing w:line="440" w:lineRule="exact"/>
              <w:jc w:val="center"/>
              <w:rPr>
                <w:rFonts w:hint="eastAsia" w:ascii="仿宋" w:hAnsi="仿宋" w:eastAsia="仿宋" w:cs="仿宋"/>
                <w:color w:val="auto"/>
                <w:sz w:val="24"/>
                <w:szCs w:val="24"/>
                <w:highlight w:val="none"/>
              </w:rPr>
            </w:pPr>
          </w:p>
        </w:tc>
        <w:tc>
          <w:tcPr>
            <w:tcW w:w="1519" w:type="dxa"/>
            <w:vMerge w:val="continue"/>
            <w:noWrap w:val="0"/>
            <w:vAlign w:val="center"/>
          </w:tcPr>
          <w:p w14:paraId="2CF9C0CD">
            <w:pPr>
              <w:spacing w:line="440" w:lineRule="exact"/>
              <w:jc w:val="center"/>
              <w:rPr>
                <w:rFonts w:hint="eastAsia" w:ascii="仿宋" w:hAnsi="仿宋" w:eastAsia="仿宋" w:cs="仿宋"/>
                <w:color w:val="auto"/>
                <w:sz w:val="24"/>
                <w:szCs w:val="24"/>
                <w:highlight w:val="none"/>
              </w:rPr>
            </w:pPr>
          </w:p>
        </w:tc>
        <w:tc>
          <w:tcPr>
            <w:tcW w:w="2108" w:type="dxa"/>
            <w:tcBorders>
              <w:bottom w:val="single" w:color="auto" w:sz="4" w:space="0"/>
            </w:tcBorders>
            <w:noWrap w:val="0"/>
            <w:vAlign w:val="center"/>
          </w:tcPr>
          <w:p w14:paraId="69E2F393">
            <w:pPr>
              <w:keepNext w:val="0"/>
              <w:keepLines w:val="0"/>
              <w:pageBreakBefore w:val="0"/>
              <w:widowControl w:val="0"/>
              <w:kinsoku/>
              <w:wordWrap/>
              <w:overflowPunct/>
              <w:topLinePunct w:val="0"/>
              <w:autoSpaceDE/>
              <w:autoSpaceDN/>
              <w:bidi w:val="0"/>
              <w:adjustRightInd/>
              <w:snapToGrid/>
              <w:spacing w:before="50" w:line="400" w:lineRule="exact"/>
              <w:ind w:right="96" w:rightChars="0" w:firstLine="67" w:firstLineChars="28"/>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控股关系</w:t>
            </w:r>
          </w:p>
        </w:tc>
        <w:tc>
          <w:tcPr>
            <w:tcW w:w="5152" w:type="dxa"/>
            <w:tcBorders>
              <w:bottom w:val="single" w:color="auto" w:sz="4" w:space="0"/>
              <w:right w:val="single" w:color="auto" w:sz="4" w:space="0"/>
            </w:tcBorders>
            <w:noWrap w:val="0"/>
            <w:vAlign w:val="center"/>
          </w:tcPr>
          <w:p w14:paraId="32B7EF12">
            <w:pPr>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单位负责人为同一人或者存在直接控股、管理关系的不同响应人，不得参加同一合同项下的政府采购活动。（提供“国家企业信用信息公示系统”查询结果，需包含公司基本信息、股东信息及股权变更信息等内容）。</w:t>
            </w:r>
          </w:p>
        </w:tc>
      </w:tr>
      <w:tr w14:paraId="4F9E3ED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restart"/>
            <w:tcBorders>
              <w:top w:val="single" w:color="auto" w:sz="4" w:space="0"/>
              <w:left w:val="single" w:color="auto" w:sz="4" w:space="0"/>
              <w:right w:val="single" w:color="auto" w:sz="4" w:space="0"/>
            </w:tcBorders>
            <w:noWrap w:val="0"/>
            <w:vAlign w:val="center"/>
          </w:tcPr>
          <w:p w14:paraId="736E7AFF">
            <w:pPr>
              <w:spacing w:line="4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lang w:val="en-US" w:eastAsia="zh-CN"/>
              </w:rPr>
              <w:t>2</w:t>
            </w:r>
          </w:p>
        </w:tc>
        <w:tc>
          <w:tcPr>
            <w:tcW w:w="1519" w:type="dxa"/>
            <w:vMerge w:val="restart"/>
            <w:tcBorders>
              <w:top w:val="single" w:color="auto" w:sz="4" w:space="0"/>
              <w:left w:val="single" w:color="auto" w:sz="4" w:space="0"/>
              <w:right w:val="single" w:color="auto" w:sz="4" w:space="0"/>
            </w:tcBorders>
            <w:noWrap w:val="0"/>
            <w:vAlign w:val="center"/>
          </w:tcPr>
          <w:p w14:paraId="213F314A">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初步</w:t>
            </w:r>
            <w:r>
              <w:rPr>
                <w:rFonts w:hint="eastAsia" w:ascii="仿宋" w:hAnsi="仿宋" w:eastAsia="仿宋" w:cs="仿宋"/>
                <w:color w:val="auto"/>
                <w:sz w:val="24"/>
                <w:szCs w:val="24"/>
                <w:highlight w:val="none"/>
              </w:rPr>
              <w:t>评审</w:t>
            </w:r>
          </w:p>
          <w:p w14:paraId="55A6B10C">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标准</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60945C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供应商名称</w:t>
            </w:r>
          </w:p>
        </w:tc>
        <w:tc>
          <w:tcPr>
            <w:tcW w:w="5152" w:type="dxa"/>
            <w:tcBorders>
              <w:top w:val="single" w:color="auto" w:sz="4" w:space="0"/>
              <w:left w:val="single" w:color="auto" w:sz="4" w:space="0"/>
              <w:bottom w:val="single" w:color="auto" w:sz="4" w:space="0"/>
              <w:right w:val="single" w:color="auto" w:sz="4" w:space="0"/>
            </w:tcBorders>
            <w:noWrap w:val="0"/>
            <w:vAlign w:val="center"/>
          </w:tcPr>
          <w:p w14:paraId="37DB3E51">
            <w:pPr>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与营业执照或其他证明材料一致</w:t>
            </w:r>
          </w:p>
        </w:tc>
      </w:tr>
      <w:tr w14:paraId="34BC92F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right w:val="single" w:color="auto" w:sz="4" w:space="0"/>
            </w:tcBorders>
            <w:noWrap w:val="0"/>
            <w:vAlign w:val="center"/>
          </w:tcPr>
          <w:p w14:paraId="1A48A259">
            <w:pPr>
              <w:spacing w:line="440" w:lineRule="exact"/>
              <w:jc w:val="center"/>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center"/>
          </w:tcPr>
          <w:p w14:paraId="75CF19EA">
            <w:pPr>
              <w:spacing w:line="440" w:lineRule="exact"/>
              <w:jc w:val="center"/>
              <w:rPr>
                <w:rFonts w:hint="eastAsia" w:ascii="仿宋" w:hAnsi="仿宋" w:eastAsia="仿宋" w:cs="仿宋"/>
                <w:color w:val="auto"/>
                <w:sz w:val="24"/>
                <w:szCs w:val="24"/>
                <w:highlight w:val="none"/>
                <w:lang w:val="en-US" w:eastAsia="zh-CN"/>
              </w:rPr>
            </w:pPr>
          </w:p>
        </w:tc>
        <w:tc>
          <w:tcPr>
            <w:tcW w:w="2108" w:type="dxa"/>
            <w:tcBorders>
              <w:top w:val="single" w:color="auto" w:sz="4" w:space="0"/>
              <w:left w:val="single" w:color="auto" w:sz="4" w:space="0"/>
              <w:bottom w:val="single" w:color="auto" w:sz="4" w:space="0"/>
              <w:right w:val="single" w:color="auto" w:sz="4" w:space="0"/>
            </w:tcBorders>
            <w:noWrap w:val="0"/>
            <w:vAlign w:val="center"/>
          </w:tcPr>
          <w:p w14:paraId="507773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响应文件签字盖章</w:t>
            </w:r>
          </w:p>
        </w:tc>
        <w:tc>
          <w:tcPr>
            <w:tcW w:w="5152" w:type="dxa"/>
            <w:tcBorders>
              <w:top w:val="single" w:color="auto" w:sz="4" w:space="0"/>
              <w:left w:val="single" w:color="auto" w:sz="4" w:space="0"/>
              <w:bottom w:val="single" w:color="auto" w:sz="4" w:space="0"/>
              <w:right w:val="single" w:color="auto" w:sz="4" w:space="0"/>
            </w:tcBorders>
            <w:noWrap w:val="0"/>
            <w:vAlign w:val="center"/>
          </w:tcPr>
          <w:p w14:paraId="775770E8">
            <w:pPr>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符合第二章“供应商须知”第 3.7.3 的规定</w:t>
            </w:r>
          </w:p>
        </w:tc>
      </w:tr>
      <w:tr w14:paraId="4721F1B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right w:val="single" w:color="auto" w:sz="4" w:space="0"/>
            </w:tcBorders>
            <w:noWrap w:val="0"/>
            <w:vAlign w:val="center"/>
          </w:tcPr>
          <w:p w14:paraId="7CCE795C">
            <w:pPr>
              <w:spacing w:line="440" w:lineRule="exact"/>
              <w:jc w:val="center"/>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center"/>
          </w:tcPr>
          <w:p w14:paraId="6AE999B5">
            <w:pPr>
              <w:spacing w:line="440" w:lineRule="exact"/>
              <w:jc w:val="center"/>
              <w:rPr>
                <w:rFonts w:hint="eastAsia" w:ascii="仿宋" w:hAnsi="仿宋" w:eastAsia="仿宋" w:cs="仿宋"/>
                <w:color w:val="auto"/>
                <w:sz w:val="24"/>
                <w:szCs w:val="24"/>
                <w:highlight w:val="none"/>
                <w:lang w:val="en-US" w:eastAsia="zh-CN"/>
              </w:rPr>
            </w:pPr>
          </w:p>
        </w:tc>
        <w:tc>
          <w:tcPr>
            <w:tcW w:w="2108" w:type="dxa"/>
            <w:tcBorders>
              <w:top w:val="single" w:color="auto" w:sz="4" w:space="0"/>
              <w:left w:val="single" w:color="auto" w:sz="4" w:space="0"/>
              <w:bottom w:val="single" w:color="auto" w:sz="4" w:space="0"/>
              <w:right w:val="single" w:color="auto" w:sz="4" w:space="0"/>
            </w:tcBorders>
            <w:noWrap w:val="0"/>
            <w:vAlign w:val="center"/>
          </w:tcPr>
          <w:p w14:paraId="49C97C60">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响应文件格式</w:t>
            </w:r>
          </w:p>
        </w:tc>
        <w:tc>
          <w:tcPr>
            <w:tcW w:w="5152" w:type="dxa"/>
            <w:tcBorders>
              <w:top w:val="single" w:color="auto" w:sz="4" w:space="0"/>
              <w:left w:val="single" w:color="auto" w:sz="4" w:space="0"/>
              <w:bottom w:val="single" w:color="auto" w:sz="4" w:space="0"/>
              <w:right w:val="single" w:color="auto" w:sz="4" w:space="0"/>
            </w:tcBorders>
            <w:noWrap w:val="0"/>
            <w:vAlign w:val="center"/>
          </w:tcPr>
          <w:p w14:paraId="439B3FC8">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符合</w:t>
            </w: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响应文件格式”的规定</w:t>
            </w:r>
          </w:p>
        </w:tc>
      </w:tr>
      <w:tr w14:paraId="2B0485D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right w:val="single" w:color="auto" w:sz="4" w:space="0"/>
            </w:tcBorders>
            <w:noWrap w:val="0"/>
            <w:vAlign w:val="center"/>
          </w:tcPr>
          <w:p w14:paraId="713620E0">
            <w:pPr>
              <w:spacing w:line="440" w:lineRule="exact"/>
              <w:jc w:val="center"/>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center"/>
          </w:tcPr>
          <w:p w14:paraId="2FB58F85">
            <w:pPr>
              <w:spacing w:line="440" w:lineRule="exact"/>
              <w:jc w:val="center"/>
              <w:rPr>
                <w:rFonts w:hint="eastAsia" w:ascii="仿宋" w:hAnsi="仿宋" w:eastAsia="仿宋" w:cs="仿宋"/>
                <w:color w:val="auto"/>
                <w:sz w:val="24"/>
                <w:szCs w:val="24"/>
                <w:highlight w:val="none"/>
                <w:lang w:val="en-US" w:eastAsia="zh-CN"/>
              </w:rPr>
            </w:pPr>
          </w:p>
        </w:tc>
        <w:tc>
          <w:tcPr>
            <w:tcW w:w="2108" w:type="dxa"/>
            <w:tcBorders>
              <w:top w:val="single" w:color="auto" w:sz="4" w:space="0"/>
              <w:left w:val="single" w:color="auto" w:sz="4" w:space="0"/>
              <w:bottom w:val="single" w:color="auto" w:sz="4" w:space="0"/>
              <w:right w:val="single" w:color="auto" w:sz="4" w:space="0"/>
            </w:tcBorders>
            <w:noWrap w:val="0"/>
            <w:vAlign w:val="center"/>
          </w:tcPr>
          <w:p w14:paraId="017EF6C5">
            <w:pPr>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响应内容</w:t>
            </w:r>
          </w:p>
        </w:tc>
        <w:tc>
          <w:tcPr>
            <w:tcW w:w="5152" w:type="dxa"/>
            <w:tcBorders>
              <w:top w:val="single" w:color="auto" w:sz="4" w:space="0"/>
              <w:left w:val="single" w:color="auto" w:sz="4" w:space="0"/>
              <w:bottom w:val="single" w:color="auto" w:sz="4" w:space="0"/>
              <w:right w:val="single" w:color="auto" w:sz="4" w:space="0"/>
            </w:tcBorders>
            <w:noWrap w:val="0"/>
            <w:vAlign w:val="center"/>
          </w:tcPr>
          <w:p w14:paraId="0C63B39D">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符合第二章“供应商须知”第1.3.1项规定</w:t>
            </w:r>
          </w:p>
        </w:tc>
      </w:tr>
      <w:tr w14:paraId="47C8026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0" w:type="dxa"/>
            <w:vMerge w:val="continue"/>
            <w:tcBorders>
              <w:left w:val="single" w:color="auto" w:sz="4" w:space="0"/>
              <w:right w:val="single" w:color="auto" w:sz="4" w:space="0"/>
            </w:tcBorders>
            <w:noWrap w:val="0"/>
            <w:vAlign w:val="top"/>
          </w:tcPr>
          <w:p w14:paraId="252FBDC4">
            <w:pPr>
              <w:spacing w:line="440" w:lineRule="exact"/>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top"/>
          </w:tcPr>
          <w:p w14:paraId="0FA8ED8E">
            <w:pPr>
              <w:spacing w:line="440" w:lineRule="exact"/>
              <w:rPr>
                <w:rFonts w:hint="eastAsia" w:ascii="仿宋" w:hAnsi="仿宋" w:eastAsia="仿宋" w:cs="仿宋"/>
                <w:color w:val="auto"/>
                <w:sz w:val="24"/>
                <w:szCs w:val="24"/>
                <w:highlight w:val="none"/>
              </w:rPr>
            </w:pPr>
          </w:p>
        </w:tc>
        <w:tc>
          <w:tcPr>
            <w:tcW w:w="2108" w:type="dxa"/>
            <w:tcBorders>
              <w:top w:val="single" w:color="auto" w:sz="4" w:space="0"/>
              <w:left w:val="single" w:color="auto" w:sz="4" w:space="0"/>
              <w:bottom w:val="single" w:color="auto" w:sz="4" w:space="0"/>
              <w:right w:val="single" w:color="auto" w:sz="4" w:space="0"/>
            </w:tcBorders>
            <w:noWrap w:val="0"/>
            <w:vAlign w:val="center"/>
          </w:tcPr>
          <w:p w14:paraId="748AFC49">
            <w:pPr>
              <w:pStyle w:val="15"/>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服务期限</w:t>
            </w:r>
          </w:p>
        </w:tc>
        <w:tc>
          <w:tcPr>
            <w:tcW w:w="5152" w:type="dxa"/>
            <w:tcBorders>
              <w:top w:val="single" w:color="auto" w:sz="4" w:space="0"/>
              <w:left w:val="single" w:color="auto" w:sz="4" w:space="0"/>
              <w:bottom w:val="single" w:color="auto" w:sz="4" w:space="0"/>
              <w:right w:val="single" w:color="auto" w:sz="4" w:space="0"/>
            </w:tcBorders>
            <w:noWrap w:val="0"/>
            <w:vAlign w:val="center"/>
          </w:tcPr>
          <w:p w14:paraId="3BBD5BDD">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符合第二章“供应商须知”第1.3.2项规定</w:t>
            </w:r>
          </w:p>
        </w:tc>
      </w:tr>
      <w:tr w14:paraId="1AD1477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right w:val="single" w:color="auto" w:sz="4" w:space="0"/>
            </w:tcBorders>
            <w:noWrap w:val="0"/>
            <w:vAlign w:val="top"/>
          </w:tcPr>
          <w:p w14:paraId="2FE11C05">
            <w:pPr>
              <w:spacing w:line="440" w:lineRule="exact"/>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top"/>
          </w:tcPr>
          <w:p w14:paraId="750A6F46">
            <w:pPr>
              <w:spacing w:line="440" w:lineRule="exact"/>
              <w:rPr>
                <w:rFonts w:hint="eastAsia" w:ascii="仿宋" w:hAnsi="仿宋" w:eastAsia="仿宋" w:cs="仿宋"/>
                <w:color w:val="auto"/>
                <w:sz w:val="24"/>
                <w:szCs w:val="24"/>
                <w:highlight w:val="none"/>
              </w:rPr>
            </w:pPr>
          </w:p>
        </w:tc>
        <w:tc>
          <w:tcPr>
            <w:tcW w:w="2108" w:type="dxa"/>
            <w:tcBorders>
              <w:top w:val="single" w:color="auto" w:sz="4" w:space="0"/>
            </w:tcBorders>
            <w:noWrap w:val="0"/>
            <w:vAlign w:val="center"/>
          </w:tcPr>
          <w:p w14:paraId="74E92FB7">
            <w:pPr>
              <w:pStyle w:val="15"/>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服务质量</w:t>
            </w:r>
          </w:p>
        </w:tc>
        <w:tc>
          <w:tcPr>
            <w:tcW w:w="5152" w:type="dxa"/>
            <w:tcBorders>
              <w:top w:val="single" w:color="auto" w:sz="4" w:space="0"/>
              <w:right w:val="single" w:color="auto" w:sz="4" w:space="0"/>
            </w:tcBorders>
            <w:noWrap w:val="0"/>
            <w:vAlign w:val="center"/>
          </w:tcPr>
          <w:p w14:paraId="76704D54">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符合第二章“供应商须知”第1.3.3项规定</w:t>
            </w:r>
          </w:p>
        </w:tc>
      </w:tr>
      <w:tr w14:paraId="2A38742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right w:val="single" w:color="auto" w:sz="4" w:space="0"/>
            </w:tcBorders>
            <w:noWrap w:val="0"/>
            <w:vAlign w:val="top"/>
          </w:tcPr>
          <w:p w14:paraId="6E56B91E">
            <w:pPr>
              <w:spacing w:line="440" w:lineRule="exact"/>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top"/>
          </w:tcPr>
          <w:p w14:paraId="1739627E">
            <w:pPr>
              <w:spacing w:line="440" w:lineRule="exact"/>
              <w:rPr>
                <w:rFonts w:hint="eastAsia" w:ascii="仿宋" w:hAnsi="仿宋" w:eastAsia="仿宋" w:cs="仿宋"/>
                <w:color w:val="auto"/>
                <w:sz w:val="24"/>
                <w:szCs w:val="24"/>
                <w:highlight w:val="none"/>
              </w:rPr>
            </w:pPr>
          </w:p>
        </w:tc>
        <w:tc>
          <w:tcPr>
            <w:tcW w:w="2108" w:type="dxa"/>
            <w:noWrap w:val="0"/>
            <w:vAlign w:val="center"/>
          </w:tcPr>
          <w:p w14:paraId="4A33BD95">
            <w:pPr>
              <w:spacing w:line="4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磋商有效期</w:t>
            </w:r>
          </w:p>
        </w:tc>
        <w:tc>
          <w:tcPr>
            <w:tcW w:w="5152" w:type="dxa"/>
            <w:tcBorders>
              <w:right w:val="single" w:color="auto" w:sz="4" w:space="0"/>
            </w:tcBorders>
            <w:noWrap w:val="0"/>
            <w:vAlign w:val="center"/>
          </w:tcPr>
          <w:p w14:paraId="66C79B7E">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符合第二章“供应商须知”第3.3.1项规定</w:t>
            </w:r>
          </w:p>
        </w:tc>
      </w:tr>
      <w:tr w14:paraId="1B0631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right w:val="single" w:color="auto" w:sz="4" w:space="0"/>
            </w:tcBorders>
            <w:noWrap w:val="0"/>
            <w:vAlign w:val="top"/>
          </w:tcPr>
          <w:p w14:paraId="17FB0088">
            <w:pPr>
              <w:spacing w:line="440" w:lineRule="exact"/>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top"/>
          </w:tcPr>
          <w:p w14:paraId="632AA2DB">
            <w:pPr>
              <w:spacing w:line="440" w:lineRule="exact"/>
              <w:rPr>
                <w:rFonts w:hint="eastAsia" w:ascii="仿宋" w:hAnsi="仿宋" w:eastAsia="仿宋" w:cs="仿宋"/>
                <w:color w:val="auto"/>
                <w:sz w:val="24"/>
                <w:szCs w:val="24"/>
                <w:highlight w:val="none"/>
              </w:rPr>
            </w:pPr>
          </w:p>
        </w:tc>
        <w:tc>
          <w:tcPr>
            <w:tcW w:w="2108" w:type="dxa"/>
            <w:noWrap w:val="0"/>
            <w:vAlign w:val="center"/>
          </w:tcPr>
          <w:p w14:paraId="5EE84D70">
            <w:pPr>
              <w:spacing w:line="4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磋商报价（保额合计值）</w:t>
            </w:r>
          </w:p>
        </w:tc>
        <w:tc>
          <w:tcPr>
            <w:tcW w:w="5152" w:type="dxa"/>
            <w:tcBorders>
              <w:right w:val="single" w:color="auto" w:sz="4" w:space="0"/>
            </w:tcBorders>
            <w:noWrap w:val="0"/>
            <w:vAlign w:val="center"/>
          </w:tcPr>
          <w:p w14:paraId="51FB809D">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每项保额及保额合计值均不低于采购需求中的规定</w:t>
            </w:r>
          </w:p>
        </w:tc>
      </w:tr>
      <w:tr w14:paraId="3802508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tcBorders>
              <w:left w:val="single" w:color="auto" w:sz="4" w:space="0"/>
            </w:tcBorders>
            <w:noWrap w:val="0"/>
            <w:vAlign w:val="center"/>
          </w:tcPr>
          <w:p w14:paraId="727DF945">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3627" w:type="dxa"/>
            <w:gridSpan w:val="2"/>
            <w:tcBorders>
              <w:left w:val="single" w:color="auto" w:sz="4" w:space="0"/>
            </w:tcBorders>
            <w:noWrap w:val="0"/>
            <w:vAlign w:val="center"/>
          </w:tcPr>
          <w:p w14:paraId="53067D57">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2.2.1</w:t>
            </w:r>
            <w:r>
              <w:rPr>
                <w:rFonts w:hint="eastAsia" w:ascii="仿宋" w:hAnsi="仿宋" w:eastAsia="仿宋" w:cs="仿宋"/>
                <w:color w:val="auto"/>
                <w:sz w:val="24"/>
                <w:szCs w:val="24"/>
                <w:highlight w:val="none"/>
              </w:rPr>
              <w:t>分值构成</w:t>
            </w:r>
          </w:p>
        </w:tc>
        <w:tc>
          <w:tcPr>
            <w:tcW w:w="5152" w:type="dxa"/>
            <w:tcBorders>
              <w:right w:val="single" w:color="auto" w:sz="4" w:space="0"/>
            </w:tcBorders>
            <w:noWrap w:val="0"/>
            <w:vAlign w:val="center"/>
          </w:tcPr>
          <w:p w14:paraId="444AB1CD">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报价部分：</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p w14:paraId="2F1611AB">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w:t>
            </w:r>
            <w:r>
              <w:rPr>
                <w:rFonts w:hint="eastAsia" w:ascii="仿宋" w:hAnsi="仿宋" w:eastAsia="仿宋" w:cs="仿宋"/>
                <w:color w:val="auto"/>
                <w:sz w:val="24"/>
                <w:szCs w:val="24"/>
                <w:highlight w:val="none"/>
                <w:lang w:val="en-US" w:eastAsia="zh-CN"/>
              </w:rPr>
              <w:t>50</w:t>
            </w:r>
            <w:r>
              <w:rPr>
                <w:rFonts w:hint="eastAsia" w:ascii="仿宋" w:hAnsi="仿宋" w:eastAsia="仿宋" w:cs="仿宋"/>
                <w:color w:val="auto"/>
                <w:sz w:val="24"/>
                <w:szCs w:val="24"/>
                <w:highlight w:val="none"/>
              </w:rPr>
              <w:t>分；</w:t>
            </w:r>
          </w:p>
          <w:p w14:paraId="09E7F67B">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商务部分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w:t>
            </w:r>
          </w:p>
        </w:tc>
      </w:tr>
      <w:bookmarkEnd w:id="411"/>
      <w:bookmarkEnd w:id="412"/>
      <w:bookmarkEnd w:id="413"/>
      <w:bookmarkEnd w:id="414"/>
      <w:bookmarkEnd w:id="415"/>
      <w:bookmarkEnd w:id="416"/>
      <w:bookmarkEnd w:id="417"/>
      <w:tr w14:paraId="71E9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012AE41D">
            <w:pPr>
              <w:jc w:val="center"/>
              <w:rPr>
                <w:rFonts w:hint="eastAsia" w:ascii="仿宋" w:hAnsi="仿宋" w:eastAsia="仿宋" w:cs="仿宋"/>
                <w:color w:val="auto"/>
                <w:sz w:val="24"/>
                <w:szCs w:val="24"/>
                <w:highlight w:val="none"/>
              </w:rPr>
            </w:pPr>
            <w:bookmarkStart w:id="418" w:name="_Toc346731841"/>
            <w:bookmarkStart w:id="419" w:name="_Toc6915"/>
            <w:bookmarkStart w:id="420" w:name="_Toc18868"/>
            <w:bookmarkStart w:id="421" w:name="_Toc254788514"/>
            <w:bookmarkStart w:id="422" w:name="_Toc256519728"/>
            <w:bookmarkStart w:id="423" w:name="_Toc23834"/>
            <w:r>
              <w:rPr>
                <w:rFonts w:hint="eastAsia" w:ascii="仿宋" w:hAnsi="仿宋" w:eastAsia="仿宋" w:cs="仿宋"/>
                <w:color w:val="auto"/>
                <w:sz w:val="24"/>
                <w:szCs w:val="24"/>
                <w:highlight w:val="none"/>
              </w:rPr>
              <w:t>序号</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20A8BC4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评分内容</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73BC5AFF">
            <w:pPr>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评分因素</w:t>
            </w:r>
          </w:p>
        </w:tc>
        <w:tc>
          <w:tcPr>
            <w:tcW w:w="5152" w:type="dxa"/>
            <w:tcBorders>
              <w:top w:val="single" w:color="auto" w:sz="4" w:space="0"/>
              <w:left w:val="single" w:color="auto" w:sz="4" w:space="0"/>
              <w:bottom w:val="single" w:color="auto" w:sz="4" w:space="0"/>
              <w:right w:val="single" w:color="000000" w:sz="2" w:space="0"/>
            </w:tcBorders>
            <w:noWrap w:val="0"/>
            <w:vAlign w:val="center"/>
          </w:tcPr>
          <w:p w14:paraId="08E46E0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评分标准</w:t>
            </w:r>
          </w:p>
        </w:tc>
      </w:tr>
      <w:tr w14:paraId="6F8A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jc w:val="center"/>
        </w:trPr>
        <w:tc>
          <w:tcPr>
            <w:tcW w:w="900" w:type="dxa"/>
            <w:tcBorders>
              <w:top w:val="single" w:color="auto" w:sz="4" w:space="0"/>
              <w:left w:val="single" w:color="auto" w:sz="4" w:space="0"/>
              <w:right w:val="single" w:color="auto" w:sz="4" w:space="0"/>
            </w:tcBorders>
            <w:noWrap w:val="0"/>
            <w:vAlign w:val="center"/>
          </w:tcPr>
          <w:p w14:paraId="09976A62">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lang w:val="en-US" w:eastAsia="zh-CN"/>
              </w:rPr>
              <w:t>2</w:t>
            </w:r>
          </w:p>
          <w:p w14:paraId="10653A90">
            <w:pPr>
              <w:autoSpaceDE w:val="0"/>
              <w:autoSpaceDN w:val="0"/>
              <w:adjustRightInd w:val="0"/>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rPr>
              <w:t>（1）</w:t>
            </w:r>
          </w:p>
        </w:tc>
        <w:tc>
          <w:tcPr>
            <w:tcW w:w="1519" w:type="dxa"/>
            <w:tcBorders>
              <w:top w:val="single" w:color="auto" w:sz="4" w:space="0"/>
              <w:left w:val="single" w:color="auto" w:sz="4" w:space="0"/>
              <w:right w:val="single" w:color="auto" w:sz="4" w:space="0"/>
            </w:tcBorders>
            <w:noWrap w:val="0"/>
            <w:vAlign w:val="center"/>
          </w:tcPr>
          <w:p w14:paraId="26D063E2">
            <w:pPr>
              <w:autoSpaceDE w:val="0"/>
              <w:autoSpaceDN w:val="0"/>
              <w:adjustRightInd w:val="0"/>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投标报价（</w:t>
            </w:r>
            <w:r>
              <w:rPr>
                <w:rFonts w:hint="eastAsia" w:ascii="仿宋" w:hAnsi="仿宋" w:eastAsia="仿宋" w:cs="仿宋"/>
                <w:color w:val="auto"/>
                <w:kern w:val="0"/>
                <w:sz w:val="24"/>
                <w:szCs w:val="24"/>
                <w:highlight w:val="none"/>
                <w:lang w:val="en-US" w:eastAsia="zh-CN"/>
              </w:rPr>
              <w:t>30分</w:t>
            </w:r>
            <w:r>
              <w:rPr>
                <w:rFonts w:hint="eastAsia" w:ascii="仿宋" w:hAnsi="仿宋" w:eastAsia="仿宋" w:cs="仿宋"/>
                <w:color w:val="auto"/>
                <w:kern w:val="0"/>
                <w:sz w:val="24"/>
                <w:szCs w:val="24"/>
                <w:highlight w:val="none"/>
                <w:lang w:val="zh-CN"/>
              </w:rPr>
              <w:t>）</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6636AD1F">
            <w:pPr>
              <w:keepNext w:val="0"/>
              <w:keepLines w:val="0"/>
              <w:pageBreakBefore w:val="0"/>
              <w:widowControl/>
              <w:kinsoku/>
              <w:wordWrap/>
              <w:overflowPunct/>
              <w:bidi w:val="0"/>
              <w:snapToGrid/>
              <w:spacing w:line="360" w:lineRule="auto"/>
              <w:jc w:val="center"/>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磋商报价</w:t>
            </w:r>
          </w:p>
          <w:p w14:paraId="78549990">
            <w:pPr>
              <w:spacing w:line="440" w:lineRule="exact"/>
              <w:jc w:val="center"/>
              <w:rPr>
                <w:rFonts w:hint="eastAsia" w:ascii="仿宋" w:hAnsi="仿宋" w:eastAsia="仿宋" w:cs="仿宋"/>
                <w:color w:val="auto"/>
                <w:sz w:val="24"/>
                <w:szCs w:val="24"/>
                <w:highlight w:val="none"/>
                <w:lang w:val="zh-CN"/>
              </w:rPr>
            </w:pPr>
            <w:r>
              <w:rPr>
                <w:rFonts w:hint="eastAsia" w:ascii="仿宋" w:hAnsi="仿宋" w:eastAsia="仿宋" w:cs="仿宋"/>
                <w:b w:val="0"/>
                <w:bCs/>
                <w:color w:val="auto"/>
                <w:sz w:val="24"/>
                <w:szCs w:val="24"/>
                <w:highlight w:val="none"/>
              </w:rPr>
              <w:t>评分标准</w:t>
            </w:r>
          </w:p>
        </w:tc>
        <w:tc>
          <w:tcPr>
            <w:tcW w:w="5152" w:type="dxa"/>
            <w:tcBorders>
              <w:top w:val="single" w:color="auto" w:sz="4" w:space="0"/>
              <w:left w:val="single" w:color="auto" w:sz="4" w:space="0"/>
              <w:bottom w:val="single" w:color="auto" w:sz="4" w:space="0"/>
              <w:right w:val="single" w:color="000000" w:sz="2" w:space="0"/>
            </w:tcBorders>
            <w:noWrap w:val="0"/>
            <w:vAlign w:val="center"/>
          </w:tcPr>
          <w:p w14:paraId="2C5BE81C">
            <w:pPr>
              <w:keepNext w:val="0"/>
              <w:keepLines w:val="0"/>
              <w:pageBreakBefore w:val="0"/>
              <w:kinsoku/>
              <w:wordWrap/>
              <w:overflowPunct/>
              <w:bidi w:val="0"/>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1.价格扣除政策：</w:t>
            </w:r>
          </w:p>
          <w:p w14:paraId="32379572">
            <w:pPr>
              <w:keepNext w:val="0"/>
              <w:keepLines w:val="0"/>
              <w:pageBreakBefore w:val="0"/>
              <w:kinsoku/>
              <w:wordWrap/>
              <w:overflowPunct/>
              <w:bidi w:val="0"/>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供应商所提供的服务由小微企业承接(即提供服务的人员为小微企业依照《中华人民共和国劳动合同法》订立劳动合同的从业人员)的磋商报价给予20%的扣除，用扣除后的价格参与评审。参加磋商的小微企业，应当按照《政府采购促进中小企业发展 管理办法》 (财库〔2020〕46 号)的规定提供《中小企业声明函》，中小企业划型标准详见《关于印发中小企业划型标准规定的通知》工信部联企业〔2011〕300号。</w:t>
            </w:r>
          </w:p>
          <w:p w14:paraId="1BC5366D">
            <w:pPr>
              <w:keepNext w:val="0"/>
              <w:keepLines w:val="0"/>
              <w:pageBreakBefore w:val="0"/>
              <w:kinsoku/>
              <w:wordWrap/>
              <w:overflowPunct/>
              <w:bidi w:val="0"/>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根据财政部司法部《关于政府采购支持监狱企业发展有关问题的通知》 (财库〔2014〕68 号)和财政部民政部中国残疾人联合会《关于促进残疾人就业政府采购政策的通知》 (财库〔2017〕 141号) 规定，监狱企业/残疾人福利性企业视同小型、微型企业。</w:t>
            </w:r>
          </w:p>
          <w:p w14:paraId="1B53EBD3">
            <w:pPr>
              <w:keepNext w:val="0"/>
              <w:keepLines w:val="0"/>
              <w:pageBreakBefore w:val="0"/>
              <w:kinsoku/>
              <w:wordWrap/>
              <w:overflowPunct/>
              <w:bidi w:val="0"/>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2.根据本项目情况，小微企业报价优惠具体执行为保额合计值按20%比例增加</w:t>
            </w:r>
          </w:p>
          <w:p w14:paraId="03A51F0D">
            <w:pPr>
              <w:keepNext w:val="0"/>
              <w:keepLines w:val="0"/>
              <w:pageBreakBefore w:val="0"/>
              <w:kinsoku/>
              <w:wordWrap/>
              <w:overflowPunct/>
              <w:bidi w:val="0"/>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评审报价(保额合计值)=磋商报价(保额合计值)*120%</w:t>
            </w:r>
          </w:p>
          <w:p w14:paraId="3AAA92FF">
            <w:pPr>
              <w:keepNext w:val="0"/>
              <w:keepLines w:val="0"/>
              <w:pageBreakBefore w:val="0"/>
              <w:kinsoku/>
              <w:wordWrap/>
              <w:overflowPunct/>
              <w:bidi w:val="0"/>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同一供应商(包括联合体)，小微企业、监狱、残疾人福利性企业价格扣除优惠只享受一次，不得重复享受。</w:t>
            </w:r>
          </w:p>
          <w:p w14:paraId="6A13FD5F">
            <w:pPr>
              <w:keepNext w:val="0"/>
              <w:keepLines w:val="0"/>
              <w:pageBreakBefore w:val="0"/>
              <w:kinsoku/>
              <w:wordWrap/>
              <w:overflowPunct/>
              <w:bidi w:val="0"/>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3.评审报价(保额合计值)满足竞争性磋商文件要求且评审报价(保额合计值) 最高的为评审基准价，其价格分为</w:t>
            </w:r>
            <w:r>
              <w:rPr>
                <w:rFonts w:hint="eastAsia" w:ascii="仿宋" w:hAnsi="仿宋" w:eastAsia="仿宋" w:cs="仿宋"/>
                <w:b w:val="0"/>
                <w:bCs w:val="0"/>
                <w:color w:val="auto"/>
                <w:sz w:val="24"/>
                <w:szCs w:val="24"/>
                <w:highlight w:val="none"/>
                <w:lang w:val="en-US" w:eastAsia="zh-CN"/>
              </w:rPr>
              <w:t>30</w:t>
            </w:r>
            <w:r>
              <w:rPr>
                <w:rFonts w:hint="eastAsia" w:ascii="仿宋" w:hAnsi="仿宋" w:eastAsia="仿宋" w:cs="仿宋"/>
                <w:b w:val="0"/>
                <w:bCs w:val="0"/>
                <w:color w:val="auto"/>
                <w:sz w:val="24"/>
                <w:szCs w:val="24"/>
                <w:highlight w:val="none"/>
                <w:lang w:val="en-US"/>
              </w:rPr>
              <w:t>分。其他供应商的价格分统一按照下列公式计算：</w:t>
            </w:r>
          </w:p>
          <w:p w14:paraId="133FA0E5">
            <w:pPr>
              <w:keepNext w:val="0"/>
              <w:keepLines w:val="0"/>
              <w:pageBreakBefore w:val="0"/>
              <w:kinsoku/>
              <w:wordWrap/>
              <w:overflowPunct/>
              <w:bidi w:val="0"/>
              <w:snapToGrid/>
              <w:spacing w:line="360" w:lineRule="auto"/>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rPr>
              <w:t>最后磋商报价(保额合计值)得分=(评审报价(保额合计值) /评审基准价(保额合计值) )×</w:t>
            </w:r>
            <w:r>
              <w:rPr>
                <w:rFonts w:hint="eastAsia" w:ascii="仿宋" w:hAnsi="仿宋" w:eastAsia="仿宋" w:cs="仿宋"/>
                <w:b w:val="0"/>
                <w:bCs w:val="0"/>
                <w:color w:val="auto"/>
                <w:sz w:val="24"/>
                <w:szCs w:val="24"/>
                <w:highlight w:val="none"/>
                <w:lang w:val="en-US" w:eastAsia="zh-CN"/>
              </w:rPr>
              <w:t>30</w:t>
            </w:r>
          </w:p>
          <w:p w14:paraId="68092968">
            <w:pPr>
              <w:numPr>
                <w:ilvl w:val="0"/>
                <w:numId w:val="0"/>
              </w:numPr>
              <w:wordWrap w:val="0"/>
              <w:spacing w:line="450" w:lineRule="atLeast"/>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注：参与报价得分计算的</w:t>
            </w:r>
            <w:r>
              <w:rPr>
                <w:rFonts w:hint="eastAsia" w:ascii="仿宋" w:hAnsi="仿宋" w:eastAsia="仿宋" w:cs="仿宋"/>
                <w:b/>
                <w:bCs/>
                <w:color w:val="auto"/>
                <w:sz w:val="24"/>
                <w:szCs w:val="24"/>
                <w:highlight w:val="none"/>
                <w:lang w:val="en-US"/>
              </w:rPr>
              <w:t>保额合计值</w:t>
            </w:r>
            <w:r>
              <w:rPr>
                <w:rFonts w:hint="eastAsia" w:ascii="仿宋" w:hAnsi="仿宋" w:eastAsia="仿宋" w:cs="仿宋"/>
                <w:b/>
                <w:bCs/>
                <w:color w:val="auto"/>
                <w:sz w:val="24"/>
                <w:szCs w:val="24"/>
                <w:highlight w:val="none"/>
                <w:lang w:val="en-US" w:eastAsia="zh-CN"/>
              </w:rPr>
              <w:t>为</w:t>
            </w:r>
            <w:r>
              <w:rPr>
                <w:rFonts w:hint="eastAsia" w:ascii="仿宋" w:hAnsi="仿宋" w:eastAsia="仿宋" w:cs="仿宋"/>
                <w:b/>
                <w:bCs/>
                <w:color w:val="auto"/>
                <w:kern w:val="0"/>
                <w:sz w:val="24"/>
                <w:szCs w:val="24"/>
                <w:highlight w:val="none"/>
                <w:lang w:val="en-US" w:eastAsia="zh-CN" w:bidi="ar"/>
              </w:rPr>
              <w:t>18-65周岁</w:t>
            </w:r>
            <w:r>
              <w:rPr>
                <w:rFonts w:hint="eastAsia" w:ascii="仿宋" w:hAnsi="仿宋" w:eastAsia="仿宋" w:cs="仿宋"/>
                <w:b/>
                <w:bCs/>
                <w:color w:val="auto"/>
                <w:sz w:val="24"/>
                <w:szCs w:val="24"/>
                <w:highlight w:val="none"/>
              </w:rPr>
              <w:t>保额合计值</w:t>
            </w:r>
            <w:r>
              <w:rPr>
                <w:rFonts w:hint="eastAsia" w:ascii="仿宋" w:hAnsi="仿宋" w:eastAsia="仿宋" w:cs="仿宋"/>
                <w:b/>
                <w:bCs/>
                <w:color w:val="auto"/>
                <w:sz w:val="24"/>
                <w:szCs w:val="24"/>
                <w:highlight w:val="none"/>
                <w:lang w:val="en-US" w:eastAsia="zh-CN"/>
              </w:rPr>
              <w:t>和</w:t>
            </w:r>
            <w:r>
              <w:rPr>
                <w:rFonts w:hint="eastAsia" w:ascii="仿宋" w:hAnsi="仿宋" w:eastAsia="仿宋" w:cs="仿宋"/>
                <w:b/>
                <w:bCs/>
                <w:color w:val="auto"/>
                <w:kern w:val="0"/>
                <w:sz w:val="24"/>
                <w:szCs w:val="24"/>
                <w:highlight w:val="none"/>
                <w:lang w:val="en-US" w:eastAsia="zh-CN" w:bidi="ar"/>
              </w:rPr>
              <w:t>66-70周岁</w:t>
            </w:r>
            <w:r>
              <w:rPr>
                <w:rFonts w:hint="eastAsia" w:ascii="仿宋" w:hAnsi="仿宋" w:eastAsia="仿宋" w:cs="仿宋"/>
                <w:b/>
                <w:bCs/>
                <w:color w:val="auto"/>
                <w:sz w:val="24"/>
                <w:szCs w:val="24"/>
                <w:highlight w:val="none"/>
              </w:rPr>
              <w:t>保额合计值</w:t>
            </w:r>
            <w:r>
              <w:rPr>
                <w:rFonts w:hint="eastAsia" w:ascii="仿宋" w:hAnsi="仿宋" w:eastAsia="仿宋" w:cs="仿宋"/>
                <w:b/>
                <w:bCs/>
                <w:color w:val="auto"/>
                <w:sz w:val="24"/>
                <w:szCs w:val="24"/>
                <w:highlight w:val="none"/>
                <w:lang w:eastAsia="zh-CN"/>
              </w:rPr>
              <w:t>的</w:t>
            </w:r>
            <w:r>
              <w:rPr>
                <w:rFonts w:hint="eastAsia" w:ascii="仿宋" w:hAnsi="仿宋" w:eastAsia="仿宋" w:cs="仿宋"/>
                <w:b/>
                <w:bCs/>
                <w:color w:val="auto"/>
                <w:sz w:val="24"/>
                <w:szCs w:val="24"/>
                <w:highlight w:val="none"/>
                <w:lang w:val="en-US" w:eastAsia="zh-CN"/>
              </w:rPr>
              <w:t>总合计值。</w:t>
            </w:r>
          </w:p>
        </w:tc>
      </w:tr>
      <w:tr w14:paraId="0362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900" w:type="dxa"/>
            <w:vMerge w:val="restart"/>
            <w:tcBorders>
              <w:left w:val="single" w:color="auto" w:sz="4" w:space="0"/>
              <w:right w:val="single" w:color="auto" w:sz="4" w:space="0"/>
            </w:tcBorders>
            <w:noWrap w:val="0"/>
            <w:vAlign w:val="center"/>
          </w:tcPr>
          <w:p w14:paraId="7BF89271">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lang w:val="en-US" w:eastAsia="zh-CN"/>
              </w:rPr>
              <w:t>2</w:t>
            </w:r>
          </w:p>
          <w:p w14:paraId="3F38A3D5">
            <w:pPr>
              <w:autoSpaceDE w:val="0"/>
              <w:autoSpaceDN w:val="0"/>
              <w:adjustRightIn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p w14:paraId="02F74467">
            <w:pPr>
              <w:autoSpaceDE w:val="0"/>
              <w:autoSpaceDN w:val="0"/>
              <w:adjustRightInd w:val="0"/>
              <w:rPr>
                <w:rFonts w:hint="eastAsia" w:ascii="仿宋" w:hAnsi="仿宋" w:eastAsia="仿宋" w:cs="仿宋"/>
                <w:color w:val="auto"/>
                <w:sz w:val="24"/>
                <w:szCs w:val="24"/>
                <w:highlight w:val="none"/>
              </w:rPr>
            </w:pPr>
          </w:p>
          <w:p w14:paraId="050D1CD8">
            <w:pPr>
              <w:pStyle w:val="9"/>
              <w:rPr>
                <w:rFonts w:hint="eastAsia" w:ascii="仿宋" w:hAnsi="仿宋" w:eastAsia="仿宋" w:cs="仿宋"/>
                <w:color w:val="auto"/>
                <w:sz w:val="24"/>
                <w:szCs w:val="24"/>
                <w:highlight w:val="none"/>
              </w:rPr>
            </w:pPr>
          </w:p>
        </w:tc>
        <w:tc>
          <w:tcPr>
            <w:tcW w:w="1519" w:type="dxa"/>
            <w:vMerge w:val="restart"/>
            <w:tcBorders>
              <w:left w:val="single" w:color="auto" w:sz="4" w:space="0"/>
              <w:right w:val="single" w:color="auto" w:sz="4" w:space="0"/>
            </w:tcBorders>
            <w:noWrap w:val="0"/>
            <w:vAlign w:val="center"/>
          </w:tcPr>
          <w:p w14:paraId="33024230">
            <w:pPr>
              <w:autoSpaceDE w:val="0"/>
              <w:autoSpaceDN w:val="0"/>
              <w:adjustRightInd w:val="0"/>
              <w:jc w:val="center"/>
              <w:rPr>
                <w:rFonts w:hint="eastAsia" w:ascii="仿宋" w:hAnsi="仿宋" w:eastAsia="仿宋" w:cs="仿宋"/>
                <w:color w:val="auto"/>
                <w:kern w:val="0"/>
                <w:sz w:val="24"/>
                <w:szCs w:val="24"/>
                <w:highlight w:val="none"/>
                <w:lang w:val="zh-CN"/>
              </w:rPr>
            </w:pPr>
            <w:r>
              <w:rPr>
                <w:rFonts w:hint="eastAsia" w:ascii="仿宋" w:hAnsi="仿宋" w:eastAsia="仿宋" w:cs="仿宋"/>
                <w:b w:val="0"/>
                <w:bCs/>
                <w:color w:val="auto"/>
                <w:sz w:val="24"/>
                <w:szCs w:val="24"/>
                <w:highlight w:val="none"/>
              </w:rPr>
              <w:t>技术部分</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lang w:val="en-US" w:eastAsia="zh-CN"/>
              </w:rPr>
              <w:t>50分</w:t>
            </w:r>
            <w:r>
              <w:rPr>
                <w:rFonts w:hint="eastAsia" w:ascii="仿宋" w:hAnsi="仿宋" w:eastAsia="仿宋" w:cs="仿宋"/>
                <w:color w:val="auto"/>
                <w:kern w:val="0"/>
                <w:sz w:val="24"/>
                <w:szCs w:val="24"/>
                <w:highlight w:val="none"/>
                <w:lang w:val="zh-CN"/>
              </w:rPr>
              <w:t>）</w:t>
            </w:r>
          </w:p>
        </w:tc>
        <w:tc>
          <w:tcPr>
            <w:tcW w:w="2108" w:type="dxa"/>
            <w:vMerge w:val="restart"/>
            <w:tcBorders>
              <w:top w:val="single" w:color="auto" w:sz="4" w:space="0"/>
              <w:left w:val="single" w:color="auto" w:sz="4" w:space="0"/>
              <w:right w:val="single" w:color="auto" w:sz="4" w:space="0"/>
            </w:tcBorders>
            <w:noWrap w:val="0"/>
            <w:vAlign w:val="center"/>
          </w:tcPr>
          <w:p w14:paraId="006613EF">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整体服务方案(15分)</w:t>
            </w:r>
          </w:p>
        </w:tc>
        <w:tc>
          <w:tcPr>
            <w:tcW w:w="5152" w:type="dxa"/>
            <w:tcBorders>
              <w:top w:val="single" w:color="auto" w:sz="4" w:space="0"/>
              <w:left w:val="single" w:color="auto" w:sz="4" w:space="0"/>
              <w:bottom w:val="single" w:color="auto" w:sz="4" w:space="0"/>
              <w:right w:val="single" w:color="000000" w:sz="2" w:space="0"/>
            </w:tcBorders>
            <w:noWrap w:val="0"/>
            <w:vAlign w:val="center"/>
          </w:tcPr>
          <w:p w14:paraId="4155BEFD">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1.服务方案内容完整全面、合理，优于采购需求，得8分。</w:t>
            </w:r>
          </w:p>
          <w:p w14:paraId="5666E617">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2.服务方案内容基本完整全面、合理，满足采购人的采购需求，得5分。</w:t>
            </w:r>
          </w:p>
          <w:p w14:paraId="6029A62A">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3.服务方案内容不完整，不全面、合理性差，不满足采购需求，得2分。</w:t>
            </w:r>
          </w:p>
          <w:p w14:paraId="0CDC38A1">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4.缺项得 0 分。</w:t>
            </w:r>
          </w:p>
        </w:tc>
      </w:tr>
      <w:tr w14:paraId="3A91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900" w:type="dxa"/>
            <w:vMerge w:val="continue"/>
            <w:tcBorders>
              <w:left w:val="single" w:color="auto" w:sz="4" w:space="0"/>
              <w:right w:val="single" w:color="auto" w:sz="4" w:space="0"/>
            </w:tcBorders>
            <w:noWrap w:val="0"/>
            <w:vAlign w:val="center"/>
          </w:tcPr>
          <w:p w14:paraId="4A31643D">
            <w:pPr>
              <w:pStyle w:val="9"/>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center"/>
          </w:tcPr>
          <w:p w14:paraId="24A0987F">
            <w:pPr>
              <w:autoSpaceDE w:val="0"/>
              <w:autoSpaceDN w:val="0"/>
              <w:adjustRightInd w:val="0"/>
              <w:jc w:val="center"/>
              <w:rPr>
                <w:rFonts w:hint="eastAsia" w:ascii="仿宋" w:hAnsi="仿宋" w:eastAsia="仿宋" w:cs="仿宋"/>
                <w:b w:val="0"/>
                <w:bCs/>
                <w:color w:val="auto"/>
                <w:sz w:val="24"/>
                <w:szCs w:val="24"/>
                <w:highlight w:val="none"/>
              </w:rPr>
            </w:pPr>
          </w:p>
        </w:tc>
        <w:tc>
          <w:tcPr>
            <w:tcW w:w="2108" w:type="dxa"/>
            <w:vMerge w:val="continue"/>
            <w:tcBorders>
              <w:left w:val="single" w:color="auto" w:sz="4" w:space="0"/>
              <w:bottom w:val="single" w:color="auto" w:sz="4" w:space="0"/>
              <w:right w:val="single" w:color="auto" w:sz="4" w:space="0"/>
            </w:tcBorders>
            <w:noWrap w:val="0"/>
            <w:vAlign w:val="center"/>
          </w:tcPr>
          <w:p w14:paraId="76EF0ADE">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lang w:val="en-US" w:eastAsia="zh-CN"/>
              </w:rPr>
            </w:pPr>
          </w:p>
        </w:tc>
        <w:tc>
          <w:tcPr>
            <w:tcW w:w="5152" w:type="dxa"/>
            <w:tcBorders>
              <w:top w:val="single" w:color="auto" w:sz="4" w:space="0"/>
              <w:left w:val="single" w:color="auto" w:sz="4" w:space="0"/>
              <w:bottom w:val="single" w:color="auto" w:sz="4" w:space="0"/>
              <w:right w:val="single" w:color="000000" w:sz="2" w:space="0"/>
            </w:tcBorders>
            <w:noWrap w:val="0"/>
            <w:vAlign w:val="center"/>
          </w:tcPr>
          <w:p w14:paraId="17DD77E0">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1.对项目重难点问题进行分析全面，解决方案合理可行，优于采购需求，得7分。</w:t>
            </w:r>
          </w:p>
          <w:p w14:paraId="78428D56">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2.对项目重难点问题进行分析基本全面，解决方案基本合理可行，基本满足采购需求，得4分。</w:t>
            </w:r>
          </w:p>
          <w:p w14:paraId="5249E82A">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3.对项目重难点问题进行分析不全面，解决方案不可行，得1分。</w:t>
            </w:r>
          </w:p>
          <w:p w14:paraId="027853B7">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4.缺项得0分。</w:t>
            </w:r>
          </w:p>
        </w:tc>
      </w:tr>
      <w:tr w14:paraId="1281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900" w:type="dxa"/>
            <w:vMerge w:val="continue"/>
            <w:tcBorders>
              <w:left w:val="single" w:color="auto" w:sz="4" w:space="0"/>
              <w:right w:val="single" w:color="auto" w:sz="4" w:space="0"/>
            </w:tcBorders>
            <w:noWrap w:val="0"/>
            <w:vAlign w:val="center"/>
          </w:tcPr>
          <w:p w14:paraId="3EEF136A">
            <w:pPr>
              <w:autoSpaceDE w:val="0"/>
              <w:autoSpaceDN w:val="0"/>
              <w:adjustRightInd w:val="0"/>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center"/>
          </w:tcPr>
          <w:p w14:paraId="393DD5E3">
            <w:pPr>
              <w:autoSpaceDE w:val="0"/>
              <w:autoSpaceDN w:val="0"/>
              <w:adjustRightInd w:val="0"/>
              <w:jc w:val="center"/>
              <w:rPr>
                <w:rFonts w:hint="eastAsia" w:ascii="仿宋" w:hAnsi="仿宋" w:eastAsia="仿宋" w:cs="仿宋"/>
                <w:color w:val="auto"/>
                <w:sz w:val="24"/>
                <w:szCs w:val="24"/>
                <w:highlight w:val="none"/>
              </w:rPr>
            </w:pPr>
          </w:p>
        </w:tc>
        <w:tc>
          <w:tcPr>
            <w:tcW w:w="2108" w:type="dxa"/>
            <w:tcBorders>
              <w:top w:val="single" w:color="auto" w:sz="4" w:space="0"/>
              <w:left w:val="single" w:color="auto" w:sz="4" w:space="0"/>
              <w:bottom w:val="single" w:color="auto" w:sz="4" w:space="0"/>
              <w:right w:val="single" w:color="auto" w:sz="4" w:space="0"/>
            </w:tcBorders>
            <w:noWrap w:val="0"/>
            <w:vAlign w:val="center"/>
          </w:tcPr>
          <w:p w14:paraId="45875094">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理赔程序(10分)</w:t>
            </w:r>
          </w:p>
        </w:tc>
        <w:tc>
          <w:tcPr>
            <w:tcW w:w="5152" w:type="dxa"/>
            <w:tcBorders>
              <w:top w:val="single" w:color="auto" w:sz="4" w:space="0"/>
              <w:left w:val="single" w:color="auto" w:sz="4" w:space="0"/>
              <w:bottom w:val="single" w:color="auto" w:sz="4" w:space="0"/>
              <w:right w:val="single" w:color="000000" w:sz="2" w:space="0"/>
            </w:tcBorders>
            <w:noWrap w:val="0"/>
            <w:vAlign w:val="center"/>
          </w:tcPr>
          <w:p w14:paraId="0C9226DA">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1.内容完整、准确、全面合理、逻辑清晰、可行性程度高的得10分</w:t>
            </w:r>
          </w:p>
          <w:p w14:paraId="0FF4270C">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2.内容完整、准确详实、全面合理、具有可操作性的得6分；</w:t>
            </w:r>
          </w:p>
          <w:p w14:paraId="372C1B76">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3.内容基本完整、可操作性一般的得2分；</w:t>
            </w:r>
          </w:p>
          <w:p w14:paraId="6315ACB0">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4.缺项得</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分。</w:t>
            </w:r>
          </w:p>
        </w:tc>
      </w:tr>
      <w:tr w14:paraId="6C1CE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900" w:type="dxa"/>
            <w:vMerge w:val="continue"/>
            <w:tcBorders>
              <w:left w:val="single" w:color="auto" w:sz="4" w:space="0"/>
              <w:right w:val="single" w:color="auto" w:sz="4" w:space="0"/>
            </w:tcBorders>
            <w:noWrap w:val="0"/>
            <w:vAlign w:val="center"/>
          </w:tcPr>
          <w:p w14:paraId="115B607E">
            <w:pPr>
              <w:autoSpaceDE w:val="0"/>
              <w:autoSpaceDN w:val="0"/>
              <w:adjustRightInd w:val="0"/>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center"/>
          </w:tcPr>
          <w:p w14:paraId="6CC12C22">
            <w:pPr>
              <w:autoSpaceDE w:val="0"/>
              <w:autoSpaceDN w:val="0"/>
              <w:adjustRightInd w:val="0"/>
              <w:jc w:val="center"/>
              <w:rPr>
                <w:rFonts w:hint="eastAsia" w:ascii="仿宋" w:hAnsi="仿宋" w:eastAsia="仿宋" w:cs="仿宋"/>
                <w:color w:val="auto"/>
                <w:sz w:val="24"/>
                <w:szCs w:val="24"/>
                <w:highlight w:val="none"/>
              </w:rPr>
            </w:pPr>
          </w:p>
        </w:tc>
        <w:tc>
          <w:tcPr>
            <w:tcW w:w="2108" w:type="dxa"/>
            <w:tcBorders>
              <w:top w:val="single" w:color="auto" w:sz="4" w:space="0"/>
              <w:left w:val="single" w:color="auto" w:sz="4" w:space="0"/>
              <w:bottom w:val="single" w:color="auto" w:sz="4" w:space="0"/>
              <w:right w:val="single" w:color="auto" w:sz="4" w:space="0"/>
            </w:tcBorders>
            <w:noWrap w:val="0"/>
            <w:vAlign w:val="center"/>
          </w:tcPr>
          <w:p w14:paraId="4A5D397E">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保密措施(5分)</w:t>
            </w:r>
          </w:p>
        </w:tc>
        <w:tc>
          <w:tcPr>
            <w:tcW w:w="5152" w:type="dxa"/>
            <w:tcBorders>
              <w:top w:val="single" w:color="auto" w:sz="4" w:space="0"/>
              <w:left w:val="single" w:color="auto" w:sz="4" w:space="0"/>
              <w:bottom w:val="single" w:color="auto" w:sz="4" w:space="0"/>
              <w:right w:val="single" w:color="000000" w:sz="2" w:space="0"/>
            </w:tcBorders>
            <w:noWrap w:val="0"/>
            <w:vAlign w:val="center"/>
          </w:tcPr>
          <w:p w14:paraId="2FEC661F">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1.数据保密措施非常全面、制度非常完善、方式非常合理的得5分；</w:t>
            </w:r>
          </w:p>
          <w:p w14:paraId="482797B0">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2.数据保密措施比较全面、制度比较完善、方式比较合理的得3分；</w:t>
            </w:r>
          </w:p>
          <w:p w14:paraId="23E79D4D">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3.数据保密措施不够全面、制度不够完善、方式不够合理的得1分；</w:t>
            </w:r>
          </w:p>
          <w:p w14:paraId="19D34660">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4.缺项得0分。</w:t>
            </w:r>
          </w:p>
        </w:tc>
      </w:tr>
      <w:tr w14:paraId="226F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00" w:type="dxa"/>
            <w:vMerge w:val="continue"/>
            <w:tcBorders>
              <w:left w:val="single" w:color="auto" w:sz="4" w:space="0"/>
              <w:right w:val="single" w:color="auto" w:sz="4" w:space="0"/>
            </w:tcBorders>
            <w:noWrap w:val="0"/>
            <w:vAlign w:val="center"/>
          </w:tcPr>
          <w:p w14:paraId="2AF20D32">
            <w:pPr>
              <w:autoSpaceDE w:val="0"/>
              <w:autoSpaceDN w:val="0"/>
              <w:adjustRightInd w:val="0"/>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center"/>
          </w:tcPr>
          <w:p w14:paraId="2CC75D88">
            <w:pPr>
              <w:autoSpaceDE w:val="0"/>
              <w:autoSpaceDN w:val="0"/>
              <w:adjustRightInd w:val="0"/>
              <w:jc w:val="center"/>
              <w:rPr>
                <w:rFonts w:hint="eastAsia" w:ascii="仿宋" w:hAnsi="仿宋" w:eastAsia="仿宋" w:cs="仿宋"/>
                <w:color w:val="auto"/>
                <w:sz w:val="24"/>
                <w:szCs w:val="24"/>
                <w:highlight w:val="none"/>
              </w:rPr>
            </w:pPr>
          </w:p>
        </w:tc>
        <w:tc>
          <w:tcPr>
            <w:tcW w:w="2108" w:type="dxa"/>
            <w:tcBorders>
              <w:top w:val="single" w:color="auto" w:sz="4" w:space="0"/>
              <w:left w:val="single" w:color="auto" w:sz="4" w:space="0"/>
              <w:right w:val="single" w:color="auto" w:sz="4" w:space="0"/>
            </w:tcBorders>
            <w:noWrap w:val="0"/>
            <w:vAlign w:val="center"/>
          </w:tcPr>
          <w:p w14:paraId="3399739E">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服务承诺(5分)</w:t>
            </w:r>
          </w:p>
        </w:tc>
        <w:tc>
          <w:tcPr>
            <w:tcW w:w="5152" w:type="dxa"/>
            <w:tcBorders>
              <w:top w:val="single" w:color="auto" w:sz="4" w:space="0"/>
              <w:left w:val="single" w:color="auto" w:sz="4" w:space="0"/>
              <w:bottom w:val="single" w:color="auto" w:sz="4" w:space="0"/>
              <w:right w:val="single" w:color="000000" w:sz="2" w:space="0"/>
            </w:tcBorders>
            <w:noWrap w:val="0"/>
            <w:vAlign w:val="center"/>
          </w:tcPr>
          <w:p w14:paraId="28C09F41">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1.供应商的服务承诺完全能满足投保的时效性、准确性要求，有可靠的保障措施的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 5分；</w:t>
            </w:r>
          </w:p>
          <w:p w14:paraId="000E29E5">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2.供应商的服务承诺基本能满足投保的时效性、准确性要求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有保障措施的，得 3分；</w:t>
            </w:r>
          </w:p>
          <w:p w14:paraId="57650136">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3.供应商的服务承诺不能满足投保的时效性、准确性要求的，无保障措施的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 1分；</w:t>
            </w:r>
          </w:p>
          <w:p w14:paraId="372F3919">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4.缺项得0分</w:t>
            </w:r>
          </w:p>
        </w:tc>
      </w:tr>
      <w:tr w14:paraId="0F23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00" w:type="dxa"/>
            <w:vMerge w:val="continue"/>
            <w:tcBorders>
              <w:left w:val="single" w:color="auto" w:sz="4" w:space="0"/>
              <w:right w:val="single" w:color="auto" w:sz="4" w:space="0"/>
            </w:tcBorders>
            <w:noWrap w:val="0"/>
            <w:vAlign w:val="center"/>
          </w:tcPr>
          <w:p w14:paraId="0FB1AB19">
            <w:pPr>
              <w:autoSpaceDE w:val="0"/>
              <w:autoSpaceDN w:val="0"/>
              <w:adjustRightInd w:val="0"/>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center"/>
          </w:tcPr>
          <w:p w14:paraId="26BA411B">
            <w:pPr>
              <w:autoSpaceDE w:val="0"/>
              <w:autoSpaceDN w:val="0"/>
              <w:adjustRightInd w:val="0"/>
              <w:jc w:val="center"/>
              <w:rPr>
                <w:rFonts w:hint="eastAsia" w:ascii="仿宋" w:hAnsi="仿宋" w:eastAsia="仿宋" w:cs="仿宋"/>
                <w:color w:val="auto"/>
                <w:sz w:val="24"/>
                <w:szCs w:val="24"/>
                <w:highlight w:val="none"/>
              </w:rPr>
            </w:pPr>
          </w:p>
        </w:tc>
        <w:tc>
          <w:tcPr>
            <w:tcW w:w="2108" w:type="dxa"/>
            <w:tcBorders>
              <w:left w:val="single" w:color="auto" w:sz="4" w:space="0"/>
              <w:bottom w:val="single" w:color="auto" w:sz="4" w:space="0"/>
              <w:right w:val="single" w:color="auto" w:sz="4" w:space="0"/>
            </w:tcBorders>
            <w:noWrap w:val="0"/>
            <w:vAlign w:val="center"/>
          </w:tcPr>
          <w:p w14:paraId="05DBD17A">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优惠条件（5分）</w:t>
            </w:r>
          </w:p>
        </w:tc>
        <w:tc>
          <w:tcPr>
            <w:tcW w:w="5152" w:type="dxa"/>
            <w:tcBorders>
              <w:top w:val="single" w:color="auto" w:sz="4" w:space="0"/>
              <w:left w:val="single" w:color="auto" w:sz="4" w:space="0"/>
              <w:bottom w:val="single" w:color="auto" w:sz="4" w:space="0"/>
              <w:right w:val="single" w:color="000000" w:sz="2" w:space="0"/>
            </w:tcBorders>
            <w:noWrap w:val="0"/>
            <w:vAlign w:val="center"/>
          </w:tcPr>
          <w:p w14:paraId="537A20E4">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1.根据供应商提出的优惠条件及其可实现程度全面详尽，完全满足项目需求的得5分；</w:t>
            </w:r>
          </w:p>
          <w:p w14:paraId="25EE80DB">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2.根据供应商提出的优惠条件及其可实现程度内容完善基本满足项目需求的得3分；</w:t>
            </w:r>
          </w:p>
          <w:p w14:paraId="111DDD1C">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3.根据供应商提出的优惠条件及其可实现程度内容不完善、不具体的得1分；</w:t>
            </w:r>
          </w:p>
          <w:p w14:paraId="3F6C3479">
            <w:pPr>
              <w:keepNext w:val="0"/>
              <w:keepLines w:val="0"/>
              <w:pageBreakBefore w:val="0"/>
              <w:kinsoku/>
              <w:wordWrap/>
              <w:overflowPunct/>
              <w:bidi w:val="0"/>
              <w:snapToGrid/>
              <w:spacing w:line="360" w:lineRule="auto"/>
              <w:textAlignment w:val="auto"/>
              <w:rPr>
                <w:rFonts w:hint="default"/>
                <w:color w:val="auto"/>
                <w:highlight w:val="none"/>
                <w:lang w:val="en-US" w:eastAsia="zh-CN"/>
              </w:rPr>
            </w:pPr>
            <w:r>
              <w:rPr>
                <w:rFonts w:hint="eastAsia" w:ascii="仿宋" w:hAnsi="仿宋" w:eastAsia="仿宋" w:cs="仿宋"/>
                <w:color w:val="auto"/>
                <w:sz w:val="24"/>
                <w:szCs w:val="24"/>
                <w:highlight w:val="none"/>
                <w:lang w:val="en-US" w:eastAsia="zh-CN"/>
              </w:rPr>
              <w:t>4.缺项得0分</w:t>
            </w:r>
          </w:p>
        </w:tc>
      </w:tr>
      <w:tr w14:paraId="740C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00" w:type="dxa"/>
            <w:vMerge w:val="continue"/>
            <w:tcBorders>
              <w:left w:val="single" w:color="auto" w:sz="4" w:space="0"/>
              <w:right w:val="single" w:color="auto" w:sz="4" w:space="0"/>
            </w:tcBorders>
            <w:noWrap w:val="0"/>
            <w:vAlign w:val="center"/>
          </w:tcPr>
          <w:p w14:paraId="754E8A20">
            <w:pPr>
              <w:autoSpaceDE w:val="0"/>
              <w:autoSpaceDN w:val="0"/>
              <w:adjustRightInd w:val="0"/>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center"/>
          </w:tcPr>
          <w:p w14:paraId="75A46D64">
            <w:pPr>
              <w:autoSpaceDE w:val="0"/>
              <w:autoSpaceDN w:val="0"/>
              <w:adjustRightInd w:val="0"/>
              <w:jc w:val="center"/>
              <w:rPr>
                <w:rFonts w:hint="eastAsia" w:ascii="仿宋" w:hAnsi="仿宋" w:eastAsia="仿宋" w:cs="仿宋"/>
                <w:color w:val="auto"/>
                <w:sz w:val="24"/>
                <w:szCs w:val="24"/>
                <w:highlight w:val="none"/>
              </w:rPr>
            </w:pPr>
          </w:p>
        </w:tc>
        <w:tc>
          <w:tcPr>
            <w:tcW w:w="2108" w:type="dxa"/>
            <w:tcBorders>
              <w:left w:val="single" w:color="auto" w:sz="4" w:space="0"/>
              <w:bottom w:val="single" w:color="auto" w:sz="4" w:space="0"/>
              <w:right w:val="single" w:color="auto" w:sz="4" w:space="0"/>
            </w:tcBorders>
            <w:noWrap w:val="0"/>
            <w:vAlign w:val="center"/>
          </w:tcPr>
          <w:p w14:paraId="0CDC3F55">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应急预案(10分)</w:t>
            </w:r>
          </w:p>
        </w:tc>
        <w:tc>
          <w:tcPr>
            <w:tcW w:w="5152" w:type="dxa"/>
            <w:tcBorders>
              <w:top w:val="single" w:color="auto" w:sz="4" w:space="0"/>
              <w:left w:val="single" w:color="auto" w:sz="4" w:space="0"/>
              <w:bottom w:val="single" w:color="auto" w:sz="4" w:space="0"/>
              <w:right w:val="single" w:color="000000" w:sz="2" w:space="0"/>
            </w:tcBorders>
            <w:noWrap w:val="0"/>
            <w:vAlign w:val="center"/>
          </w:tcPr>
          <w:p w14:paraId="311384F2">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1.根据供应商提供的针对突发情况的绿色通道，便捷赔付等应急预案措施，措施详细合理，可行性高的得 10分；</w:t>
            </w:r>
          </w:p>
          <w:p w14:paraId="045412E3">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2.措施较详细较合理，可行性较高的得 6 分；</w:t>
            </w:r>
          </w:p>
          <w:p w14:paraId="5B20CF19">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3.措施不合理，可行性不高的得 2 分；</w:t>
            </w:r>
          </w:p>
          <w:p w14:paraId="666AC43E">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4.缺项得0分</w:t>
            </w:r>
          </w:p>
        </w:tc>
      </w:tr>
      <w:tr w14:paraId="4910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900" w:type="dxa"/>
            <w:vMerge w:val="restart"/>
            <w:tcBorders>
              <w:left w:val="single" w:color="auto" w:sz="4" w:space="0"/>
              <w:right w:val="single" w:color="auto" w:sz="4" w:space="0"/>
            </w:tcBorders>
            <w:noWrap w:val="0"/>
            <w:vAlign w:val="center"/>
          </w:tcPr>
          <w:p w14:paraId="2EB94F86">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lang w:val="en-US" w:eastAsia="zh-CN"/>
              </w:rPr>
              <w:t>2</w:t>
            </w:r>
          </w:p>
          <w:p w14:paraId="77AFB907">
            <w:pPr>
              <w:autoSpaceDE w:val="0"/>
              <w:autoSpaceDN w:val="0"/>
              <w:adjustRightInd w:val="0"/>
              <w:rPr>
                <w:rFonts w:hint="eastAsia"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p>
        </w:tc>
        <w:tc>
          <w:tcPr>
            <w:tcW w:w="1519" w:type="dxa"/>
            <w:vMerge w:val="restart"/>
            <w:tcBorders>
              <w:left w:val="single" w:color="auto" w:sz="4" w:space="0"/>
              <w:right w:val="single" w:color="auto" w:sz="4" w:space="0"/>
            </w:tcBorders>
            <w:noWrap w:val="0"/>
            <w:vAlign w:val="center"/>
          </w:tcPr>
          <w:p w14:paraId="4A5CD8C8">
            <w:pPr>
              <w:autoSpaceDE w:val="0"/>
              <w:autoSpaceDN w:val="0"/>
              <w:adjustRightInd w:val="0"/>
              <w:jc w:val="center"/>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zh-CN"/>
              </w:rPr>
              <w:t>商务部分（</w:t>
            </w: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lang w:val="zh-CN"/>
              </w:rPr>
              <w:t>分）</w:t>
            </w:r>
          </w:p>
        </w:tc>
        <w:tc>
          <w:tcPr>
            <w:tcW w:w="2108" w:type="dxa"/>
            <w:tcBorders>
              <w:top w:val="single" w:color="auto" w:sz="4" w:space="0"/>
              <w:left w:val="single" w:color="auto" w:sz="4" w:space="0"/>
              <w:right w:val="single" w:color="auto" w:sz="4" w:space="0"/>
            </w:tcBorders>
            <w:noWrap w:val="0"/>
            <w:vAlign w:val="center"/>
          </w:tcPr>
          <w:p w14:paraId="1AF8C822">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承保经验(10分)</w:t>
            </w:r>
          </w:p>
        </w:tc>
        <w:tc>
          <w:tcPr>
            <w:tcW w:w="5152" w:type="dxa"/>
            <w:tcBorders>
              <w:top w:val="single" w:color="auto" w:sz="4" w:space="0"/>
              <w:left w:val="single" w:color="auto" w:sz="4" w:space="0"/>
              <w:bottom w:val="single" w:color="auto" w:sz="4" w:space="0"/>
              <w:right w:val="single" w:color="auto" w:sz="4" w:space="0"/>
            </w:tcBorders>
            <w:noWrap w:val="0"/>
            <w:vAlign w:val="center"/>
          </w:tcPr>
          <w:p w14:paraId="740D276B">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供应商或其所隶属上级公司自2021年1月1日以来，有同类合同业绩(雇主责任险)每提供1份得2分，最高得10分。响应文件中附合同原件的扫描件。</w:t>
            </w:r>
          </w:p>
        </w:tc>
      </w:tr>
      <w:tr w14:paraId="70E9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900" w:type="dxa"/>
            <w:vMerge w:val="continue"/>
            <w:tcBorders>
              <w:left w:val="single" w:color="auto" w:sz="4" w:space="0"/>
              <w:right w:val="single" w:color="auto" w:sz="4" w:space="0"/>
            </w:tcBorders>
            <w:noWrap w:val="0"/>
            <w:vAlign w:val="center"/>
          </w:tcPr>
          <w:p w14:paraId="14234643">
            <w:pPr>
              <w:autoSpaceDE w:val="0"/>
              <w:autoSpaceDN w:val="0"/>
              <w:adjustRightInd w:val="0"/>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center"/>
          </w:tcPr>
          <w:p w14:paraId="44E8065C">
            <w:pPr>
              <w:autoSpaceDE w:val="0"/>
              <w:autoSpaceDN w:val="0"/>
              <w:adjustRightInd w:val="0"/>
              <w:jc w:val="center"/>
              <w:rPr>
                <w:rFonts w:hint="eastAsia" w:ascii="仿宋" w:hAnsi="仿宋" w:eastAsia="仿宋" w:cs="仿宋"/>
                <w:color w:val="auto"/>
                <w:kern w:val="0"/>
                <w:sz w:val="24"/>
                <w:szCs w:val="24"/>
                <w:highlight w:val="none"/>
                <w:lang w:val="zh-CN"/>
              </w:rPr>
            </w:pPr>
          </w:p>
        </w:tc>
        <w:tc>
          <w:tcPr>
            <w:tcW w:w="2108" w:type="dxa"/>
            <w:tcBorders>
              <w:top w:val="single" w:color="auto" w:sz="4" w:space="0"/>
              <w:left w:val="single" w:color="auto" w:sz="4" w:space="0"/>
              <w:right w:val="single" w:color="auto" w:sz="4" w:space="0"/>
            </w:tcBorders>
            <w:noWrap w:val="0"/>
            <w:vAlign w:val="center"/>
          </w:tcPr>
          <w:p w14:paraId="7AD71E63">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人员配备(5分)</w:t>
            </w:r>
          </w:p>
        </w:tc>
        <w:tc>
          <w:tcPr>
            <w:tcW w:w="5152" w:type="dxa"/>
            <w:tcBorders>
              <w:top w:val="single" w:color="auto" w:sz="4" w:space="0"/>
              <w:left w:val="single" w:color="auto" w:sz="4" w:space="0"/>
              <w:bottom w:val="single" w:color="auto" w:sz="4" w:space="0"/>
              <w:right w:val="single" w:color="auto" w:sz="4" w:space="0"/>
            </w:tcBorders>
            <w:noWrap w:val="0"/>
            <w:vAlign w:val="center"/>
          </w:tcPr>
          <w:p w14:paraId="342C1640">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以供应商拟投入本项目的项目组成员具有医学类专业背景(大专以 上)人员数计算，5人及以上得5分，每少1人扣1分。注：人员应为供应商或其所隶属上级公司的员工。提供加盖供应商公章的医学类专业背景人员清单，包括姓名、身份证号、学历等。附身份证、毕业证复印件、近三个月正常参保社会保险的证明材料(聘用退休人员的要提供聘用合同或加盖公章的工资表)。</w:t>
            </w:r>
          </w:p>
        </w:tc>
      </w:tr>
      <w:tr w14:paraId="72AA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00" w:type="dxa"/>
            <w:vMerge w:val="continue"/>
            <w:tcBorders>
              <w:left w:val="single" w:color="auto" w:sz="4" w:space="0"/>
              <w:right w:val="single" w:color="auto" w:sz="4" w:space="0"/>
            </w:tcBorders>
            <w:noWrap w:val="0"/>
            <w:vAlign w:val="center"/>
          </w:tcPr>
          <w:p w14:paraId="1E64FDF5">
            <w:pPr>
              <w:autoSpaceDE w:val="0"/>
              <w:autoSpaceDN w:val="0"/>
              <w:adjustRightInd w:val="0"/>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center"/>
          </w:tcPr>
          <w:p w14:paraId="2326A809">
            <w:pPr>
              <w:autoSpaceDE w:val="0"/>
              <w:autoSpaceDN w:val="0"/>
              <w:adjustRightInd w:val="0"/>
              <w:jc w:val="center"/>
              <w:rPr>
                <w:rFonts w:hint="eastAsia" w:ascii="仿宋" w:hAnsi="仿宋" w:eastAsia="仿宋" w:cs="仿宋"/>
                <w:color w:val="auto"/>
                <w:kern w:val="0"/>
                <w:sz w:val="24"/>
                <w:szCs w:val="24"/>
                <w:highlight w:val="none"/>
                <w:lang w:val="zh-CN"/>
              </w:rPr>
            </w:pPr>
          </w:p>
        </w:tc>
        <w:tc>
          <w:tcPr>
            <w:tcW w:w="2108" w:type="dxa"/>
            <w:tcBorders>
              <w:top w:val="single" w:color="auto" w:sz="4" w:space="0"/>
              <w:left w:val="single" w:color="auto" w:sz="4" w:space="0"/>
              <w:bottom w:val="single" w:color="auto" w:sz="4" w:space="0"/>
              <w:right w:val="single" w:color="auto" w:sz="4" w:space="0"/>
            </w:tcBorders>
            <w:noWrap w:val="0"/>
            <w:vAlign w:val="center"/>
          </w:tcPr>
          <w:p w14:paraId="7D3B48E9">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理赔经验(5分)</w:t>
            </w:r>
          </w:p>
        </w:tc>
        <w:tc>
          <w:tcPr>
            <w:tcW w:w="5152" w:type="dxa"/>
            <w:tcBorders>
              <w:top w:val="single" w:color="auto" w:sz="4" w:space="0"/>
              <w:left w:val="single" w:color="auto" w:sz="4" w:space="0"/>
              <w:bottom w:val="single" w:color="auto" w:sz="4" w:space="0"/>
              <w:right w:val="single" w:color="auto" w:sz="4" w:space="0"/>
            </w:tcBorders>
            <w:noWrap w:val="0"/>
            <w:vAlign w:val="center"/>
          </w:tcPr>
          <w:p w14:paraId="7DBC9582">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供应商或其所隶属上级公司自2021年1月1日以来，意外伤害单笔理赔案件金额在30万元(含)以上独家承保的理赔经验。提供1个得1分，提供2个得3分，提供3个得5分。</w:t>
            </w:r>
          </w:p>
        </w:tc>
      </w:tr>
      <w:bookmarkEnd w:id="418"/>
      <w:bookmarkEnd w:id="419"/>
      <w:bookmarkEnd w:id="420"/>
      <w:bookmarkEnd w:id="421"/>
      <w:bookmarkEnd w:id="422"/>
      <w:bookmarkEnd w:id="423"/>
      <w:tr w14:paraId="2C8736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3" w:hRule="atLeast"/>
          <w:jc w:val="center"/>
        </w:trPr>
        <w:tc>
          <w:tcPr>
            <w:tcW w:w="9679" w:type="dxa"/>
            <w:gridSpan w:val="4"/>
            <w:noWrap w:val="0"/>
            <w:vAlign w:val="center"/>
          </w:tcPr>
          <w:p w14:paraId="47B98034">
            <w:pPr>
              <w:pageBreakBefore w:val="0"/>
              <w:widowControl/>
              <w:wordWrap/>
              <w:topLinePunct w:val="0"/>
              <w:bidi w:val="0"/>
              <w:spacing w:line="360" w:lineRule="auto"/>
              <w:jc w:val="center"/>
              <w:rPr>
                <w:rFonts w:hint="eastAsia" w:ascii="仿宋" w:hAnsi="仿宋" w:eastAsia="仿宋" w:cs="仿宋"/>
                <w:color w:val="auto"/>
                <w:sz w:val="24"/>
                <w:szCs w:val="24"/>
                <w:highlight w:val="none"/>
              </w:rPr>
            </w:pPr>
            <w:bookmarkStart w:id="424" w:name="_Toc11726"/>
            <w:bookmarkStart w:id="425" w:name="_Toc532034254"/>
            <w:bookmarkStart w:id="426" w:name="_Toc2081"/>
            <w:bookmarkStart w:id="427" w:name="_Toc2281"/>
            <w:bookmarkStart w:id="428" w:name="_Toc532034697"/>
            <w:r>
              <w:rPr>
                <w:rFonts w:hint="eastAsia" w:ascii="仿宋" w:hAnsi="仿宋" w:eastAsia="仿宋" w:cs="仿宋"/>
                <w:b/>
                <w:bCs/>
                <w:color w:val="auto"/>
                <w:sz w:val="24"/>
                <w:szCs w:val="24"/>
                <w:highlight w:val="none"/>
              </w:rPr>
              <w:t>废标条款</w:t>
            </w:r>
          </w:p>
        </w:tc>
      </w:tr>
      <w:tr w14:paraId="0D5B1B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9679" w:type="dxa"/>
            <w:gridSpan w:val="4"/>
            <w:noWrap w:val="0"/>
            <w:vAlign w:val="center"/>
          </w:tcPr>
          <w:p w14:paraId="60373E75">
            <w:pPr>
              <w:pageBreakBefore w:val="0"/>
              <w:wordWrap/>
              <w:topLinePunct w:val="0"/>
              <w:bidi w:val="0"/>
              <w:spacing w:line="360" w:lineRule="auto"/>
              <w:ind w:firstLine="518" w:firstLineChars="21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1.依据本章初步评审规定的评审标准对响应文件进行初步评审。有一项不符合评审标准的，作废标处理。</w:t>
            </w:r>
          </w:p>
        </w:tc>
      </w:tr>
      <w:tr w14:paraId="1D535B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9679" w:type="dxa"/>
            <w:gridSpan w:val="4"/>
            <w:noWrap w:val="0"/>
            <w:vAlign w:val="center"/>
          </w:tcPr>
          <w:p w14:paraId="2071D7E2">
            <w:pPr>
              <w:pageBreakBefore w:val="0"/>
              <w:wordWrap/>
              <w:topLinePunct w:val="0"/>
              <w:bidi w:val="0"/>
              <w:spacing w:line="360" w:lineRule="auto"/>
              <w:ind w:firstLine="518" w:firstLineChars="21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2．供应商有以下情形之一的，其投标作废标处理：</w:t>
            </w:r>
          </w:p>
          <w:p w14:paraId="27F22F40">
            <w:pPr>
              <w:pageBreakBefore w:val="0"/>
              <w:wordWrap/>
              <w:topLinePunct w:val="0"/>
              <w:bidi w:val="0"/>
              <w:spacing w:line="360" w:lineRule="auto"/>
              <w:ind w:firstLine="518" w:firstLineChars="21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(1)当供应商制作的</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文件机器码一致时，按废标处理。</w:t>
            </w:r>
          </w:p>
          <w:p w14:paraId="15C7C215">
            <w:pPr>
              <w:pageBreakBefore w:val="0"/>
              <w:wordWrap/>
              <w:topLinePunct w:val="0"/>
              <w:bidi w:val="0"/>
              <w:spacing w:line="360" w:lineRule="auto"/>
              <w:ind w:firstLine="518" w:firstLineChars="21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(2)串通投标或弄虚作假或有其他违法行为的；</w:t>
            </w:r>
          </w:p>
          <w:p w14:paraId="7363C4B3">
            <w:pPr>
              <w:pageBreakBefore w:val="0"/>
              <w:wordWrap/>
              <w:topLinePunct w:val="0"/>
              <w:bidi w:val="0"/>
              <w:spacing w:line="360" w:lineRule="auto"/>
              <w:ind w:firstLine="518" w:firstLineChars="21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)不按评审委员会要求澄清、说明或补正的。</w:t>
            </w:r>
          </w:p>
        </w:tc>
      </w:tr>
      <w:tr w14:paraId="749C81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9679" w:type="dxa"/>
            <w:gridSpan w:val="4"/>
            <w:noWrap w:val="0"/>
            <w:vAlign w:val="center"/>
          </w:tcPr>
          <w:p w14:paraId="079B9163">
            <w:pPr>
              <w:pageBreakBefore w:val="0"/>
              <w:wordWrap/>
              <w:topLinePunct w:val="0"/>
              <w:bidi w:val="0"/>
              <w:spacing w:line="360" w:lineRule="auto"/>
              <w:ind w:firstLine="518" w:firstLineChars="21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.响应报价有算术错误的，评审委员会按以下原则对响应报价进行修正，修正的价格经供应商书面确认后具有约束力。供应商不接受修正价格的，其投标作废标处理。</w:t>
            </w:r>
          </w:p>
        </w:tc>
      </w:tr>
      <w:tr w14:paraId="7B4332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9679" w:type="dxa"/>
            <w:gridSpan w:val="4"/>
            <w:noWrap w:val="0"/>
            <w:vAlign w:val="center"/>
          </w:tcPr>
          <w:p w14:paraId="23DD01AE">
            <w:pPr>
              <w:pageBreakBefore w:val="0"/>
              <w:numPr>
                <w:ilvl w:val="0"/>
                <w:numId w:val="0"/>
              </w:numPr>
              <w:wordWrap/>
              <w:topLinePunct w:val="0"/>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评审委员会发现供应商的报价明显低于其他需报价，或者在设有标底时明显低于标底，使得其响应报价可能低于其个别成本的，应当要求该供应商作出书面说明并提供相应的证明材料。供应商不能合理说明或者不能提供相应证明材料的，由评审委员会认定该供应商以低于成本报价竞标，其投标作废标处理。</w:t>
            </w:r>
          </w:p>
        </w:tc>
      </w:tr>
    </w:tbl>
    <w:p w14:paraId="2CD9175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AFB1ABB">
      <w:pPr>
        <w:pStyle w:val="25"/>
        <w:adjustRightInd/>
        <w:spacing w:before="0" w:after="0" w:line="360" w:lineRule="auto"/>
        <w:ind w:right="-1031" w:rightChars="-491"/>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1.评标方法</w:t>
      </w:r>
      <w:bookmarkEnd w:id="424"/>
      <w:bookmarkEnd w:id="425"/>
      <w:bookmarkEnd w:id="426"/>
      <w:r>
        <w:rPr>
          <w:rFonts w:hint="eastAsia" w:ascii="仿宋" w:hAnsi="仿宋" w:eastAsia="仿宋" w:cs="仿宋"/>
          <w:color w:val="auto"/>
          <w:sz w:val="24"/>
          <w:szCs w:val="24"/>
          <w:highlight w:val="none"/>
        </w:rPr>
        <w:t xml:space="preserve"> </w:t>
      </w:r>
    </w:p>
    <w:p w14:paraId="50E0A257">
      <w:pPr>
        <w:spacing w:line="360" w:lineRule="auto"/>
        <w:ind w:firstLine="480" w:firstLineChars="200"/>
        <w:rPr>
          <w:rFonts w:hint="eastAsia" w:ascii="仿宋" w:hAnsi="仿宋" w:eastAsia="仿宋" w:cs="仿宋"/>
          <w:color w:val="auto"/>
          <w:sz w:val="24"/>
          <w:szCs w:val="24"/>
          <w:highlight w:val="none"/>
        </w:rPr>
      </w:pPr>
      <w:bookmarkStart w:id="429" w:name="_Toc11627"/>
      <w:bookmarkStart w:id="430" w:name="_Toc955"/>
      <w:bookmarkStart w:id="431" w:name="_Toc17153"/>
      <w:bookmarkStart w:id="432" w:name="_Toc256519729"/>
      <w:bookmarkStart w:id="433" w:name="_Toc346731842"/>
      <w:bookmarkStart w:id="434" w:name="_Toc254788515"/>
      <w:r>
        <w:rPr>
          <w:rFonts w:hint="eastAsia" w:ascii="仿宋" w:hAnsi="仿宋" w:eastAsia="仿宋" w:cs="仿宋"/>
          <w:color w:val="auto"/>
          <w:sz w:val="24"/>
          <w:szCs w:val="24"/>
          <w:highlight w:val="none"/>
        </w:rPr>
        <w:t>本次评标采用综合评分法。磋商小组对满足磋商文件实质性要求的响应文件，按照本章第2.2款规定的评分标准进行打分，并按得分由高到低顺序推荐成交候选人，或根据采购人授权直接确定成交人，但磋商报价低于其成本的除外。综合评分相等时，以磋商报价</w:t>
      </w:r>
      <w:r>
        <w:rPr>
          <w:rFonts w:hint="eastAsia" w:ascii="仿宋" w:hAnsi="仿宋" w:eastAsia="仿宋" w:cs="仿宋"/>
          <w:color w:val="auto"/>
          <w:sz w:val="24"/>
          <w:szCs w:val="24"/>
          <w:highlight w:val="none"/>
          <w:lang w:val="en-US" w:eastAsia="zh-CN"/>
        </w:rPr>
        <w:t>高</w:t>
      </w:r>
      <w:r>
        <w:rPr>
          <w:rFonts w:hint="eastAsia" w:ascii="仿宋" w:hAnsi="仿宋" w:eastAsia="仿宋" w:cs="仿宋"/>
          <w:color w:val="auto"/>
          <w:sz w:val="24"/>
          <w:szCs w:val="24"/>
          <w:highlight w:val="none"/>
        </w:rPr>
        <w:t>的优先；磋商报价也相等的，由采购人自行确定。</w:t>
      </w:r>
    </w:p>
    <w:bookmarkEnd w:id="429"/>
    <w:bookmarkEnd w:id="430"/>
    <w:bookmarkEnd w:id="431"/>
    <w:bookmarkEnd w:id="432"/>
    <w:bookmarkEnd w:id="433"/>
    <w:bookmarkEnd w:id="434"/>
    <w:p w14:paraId="1B4B5B3A">
      <w:pPr>
        <w:pStyle w:val="25"/>
        <w:adjustRightInd/>
        <w:spacing w:before="0" w:after="0" w:line="360" w:lineRule="auto"/>
        <w:ind w:right="-1031" w:rightChars="-491"/>
        <w:jc w:val="both"/>
        <w:textAlignment w:val="auto"/>
        <w:outlineLvl w:val="9"/>
        <w:rPr>
          <w:rFonts w:hint="eastAsia" w:ascii="仿宋" w:hAnsi="仿宋" w:eastAsia="仿宋" w:cs="仿宋"/>
          <w:color w:val="auto"/>
          <w:sz w:val="24"/>
          <w:szCs w:val="24"/>
          <w:highlight w:val="none"/>
        </w:rPr>
      </w:pPr>
      <w:bookmarkStart w:id="435" w:name="_Toc9475"/>
      <w:bookmarkStart w:id="436" w:name="_Toc152042378"/>
      <w:bookmarkStart w:id="437" w:name="_Toc144974568"/>
      <w:bookmarkStart w:id="438" w:name="_Toc26145"/>
      <w:bookmarkStart w:id="439" w:name="_Toc30666"/>
      <w:bookmarkStart w:id="440" w:name="_Toc152045601"/>
      <w:bookmarkStart w:id="441" w:name="_Toc346731844"/>
      <w:bookmarkStart w:id="442" w:name="_Toc256519734"/>
      <w:bookmarkStart w:id="443" w:name="_Toc254788517"/>
      <w:bookmarkStart w:id="444" w:name="_Toc17390"/>
      <w:bookmarkStart w:id="445" w:name="_Toc31154"/>
      <w:bookmarkStart w:id="446" w:name="_Toc18230"/>
      <w:r>
        <w:rPr>
          <w:rFonts w:hint="eastAsia" w:ascii="仿宋" w:hAnsi="仿宋" w:eastAsia="仿宋" w:cs="仿宋"/>
          <w:color w:val="auto"/>
          <w:sz w:val="24"/>
          <w:szCs w:val="24"/>
          <w:highlight w:val="none"/>
        </w:rPr>
        <w:t>2. 评审标准</w:t>
      </w:r>
      <w:bookmarkEnd w:id="435"/>
      <w:bookmarkEnd w:id="436"/>
      <w:bookmarkEnd w:id="437"/>
      <w:bookmarkEnd w:id="438"/>
      <w:bookmarkEnd w:id="439"/>
      <w:bookmarkEnd w:id="440"/>
    </w:p>
    <w:p w14:paraId="303E2D95">
      <w:pPr>
        <w:pStyle w:val="53"/>
        <w:spacing w:line="360" w:lineRule="auto"/>
        <w:outlineLvl w:val="9"/>
        <w:rPr>
          <w:rFonts w:hint="eastAsia" w:ascii="仿宋" w:hAnsi="仿宋" w:eastAsia="仿宋" w:cs="仿宋"/>
          <w:color w:val="auto"/>
          <w:sz w:val="24"/>
          <w:szCs w:val="24"/>
          <w:highlight w:val="none"/>
        </w:rPr>
      </w:pPr>
      <w:bookmarkStart w:id="447" w:name="_Toc144974569"/>
      <w:bookmarkStart w:id="448" w:name="_Toc23979"/>
      <w:bookmarkStart w:id="449" w:name="_Toc152045602"/>
      <w:bookmarkStart w:id="450" w:name="_Toc28963"/>
      <w:bookmarkStart w:id="451" w:name="_Toc152042379"/>
      <w:bookmarkStart w:id="452" w:name="_Toc5543"/>
      <w:bookmarkStart w:id="453" w:name="_Toc20334"/>
      <w:bookmarkStart w:id="454" w:name="_Toc3080"/>
      <w:r>
        <w:rPr>
          <w:rFonts w:hint="eastAsia" w:ascii="仿宋" w:hAnsi="仿宋" w:eastAsia="仿宋" w:cs="仿宋"/>
          <w:color w:val="auto"/>
          <w:sz w:val="24"/>
          <w:szCs w:val="24"/>
          <w:highlight w:val="none"/>
        </w:rPr>
        <w:t>2.1 初步评审标准</w:t>
      </w:r>
      <w:bookmarkEnd w:id="447"/>
      <w:bookmarkEnd w:id="448"/>
      <w:bookmarkEnd w:id="449"/>
      <w:bookmarkEnd w:id="450"/>
      <w:bookmarkEnd w:id="451"/>
      <w:bookmarkEnd w:id="452"/>
      <w:bookmarkEnd w:id="453"/>
      <w:bookmarkEnd w:id="454"/>
    </w:p>
    <w:bookmarkEnd w:id="441"/>
    <w:bookmarkEnd w:id="442"/>
    <w:bookmarkEnd w:id="443"/>
    <w:bookmarkEnd w:id="444"/>
    <w:bookmarkEnd w:id="445"/>
    <w:bookmarkEnd w:id="446"/>
    <w:p w14:paraId="08D4B930">
      <w:pPr>
        <w:pStyle w:val="53"/>
        <w:spacing w:line="360" w:lineRule="auto"/>
        <w:outlineLvl w:val="9"/>
        <w:rPr>
          <w:rFonts w:hint="eastAsia" w:ascii="仿宋" w:hAnsi="仿宋" w:eastAsia="仿宋" w:cs="仿宋"/>
          <w:color w:val="auto"/>
          <w:sz w:val="24"/>
          <w:szCs w:val="24"/>
          <w:highlight w:val="none"/>
        </w:rPr>
      </w:pPr>
      <w:bookmarkStart w:id="455" w:name="_Toc17013"/>
      <w:bookmarkStart w:id="456" w:name="_Toc9323"/>
      <w:bookmarkStart w:id="457" w:name="_Toc7871"/>
      <w:bookmarkStart w:id="458" w:name="_Toc29383"/>
      <w:bookmarkStart w:id="459" w:name="_Toc14575"/>
      <w:bookmarkStart w:id="460" w:name="_Toc256519736"/>
      <w:bookmarkStart w:id="461" w:name="_Toc19512"/>
      <w:bookmarkStart w:id="462" w:name="_Toc15932"/>
      <w:r>
        <w:rPr>
          <w:rFonts w:hint="eastAsia" w:ascii="仿宋" w:hAnsi="仿宋" w:eastAsia="仿宋" w:cs="仿宋"/>
          <w:color w:val="auto"/>
          <w:sz w:val="24"/>
          <w:szCs w:val="24"/>
          <w:highlight w:val="none"/>
        </w:rPr>
        <w:t>2.1 初步评审标准</w:t>
      </w:r>
      <w:bookmarkEnd w:id="455"/>
      <w:bookmarkEnd w:id="456"/>
      <w:bookmarkEnd w:id="457"/>
      <w:bookmarkEnd w:id="458"/>
    </w:p>
    <w:p w14:paraId="525CF5A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2.1.1 资格评审标准：见磋商办法前附表。 </w:t>
      </w:r>
    </w:p>
    <w:p w14:paraId="123CE5C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2.1.2 初步评审标准：见磋商办法前附表。</w:t>
      </w:r>
    </w:p>
    <w:p w14:paraId="0B59E3CC">
      <w:pPr>
        <w:pStyle w:val="53"/>
        <w:spacing w:line="360" w:lineRule="auto"/>
        <w:outlineLvl w:val="9"/>
        <w:rPr>
          <w:rFonts w:hint="eastAsia" w:ascii="仿宋" w:hAnsi="仿宋" w:eastAsia="仿宋" w:cs="仿宋"/>
          <w:color w:val="auto"/>
          <w:sz w:val="24"/>
          <w:szCs w:val="24"/>
          <w:highlight w:val="none"/>
        </w:rPr>
      </w:pPr>
      <w:bookmarkStart w:id="463" w:name="_Toc152045603"/>
      <w:bookmarkStart w:id="464" w:name="_Toc152042380"/>
      <w:bookmarkStart w:id="465" w:name="_Toc144974570"/>
      <w:bookmarkStart w:id="466" w:name="_Toc6940"/>
      <w:bookmarkStart w:id="467" w:name="_Toc31502"/>
      <w:bookmarkStart w:id="468" w:name="_Toc537"/>
      <w:bookmarkStart w:id="469" w:name="_Toc23462"/>
      <w:bookmarkStart w:id="470" w:name="_Toc32643"/>
      <w:r>
        <w:rPr>
          <w:rFonts w:hint="eastAsia" w:ascii="仿宋" w:hAnsi="仿宋" w:eastAsia="仿宋" w:cs="仿宋"/>
          <w:color w:val="auto"/>
          <w:sz w:val="24"/>
          <w:szCs w:val="24"/>
          <w:highlight w:val="none"/>
        </w:rPr>
        <w:t>2.2 分值构成与评分标准</w:t>
      </w:r>
      <w:bookmarkEnd w:id="463"/>
      <w:bookmarkEnd w:id="464"/>
      <w:bookmarkEnd w:id="465"/>
      <w:bookmarkEnd w:id="466"/>
      <w:bookmarkEnd w:id="467"/>
      <w:bookmarkEnd w:id="468"/>
      <w:bookmarkEnd w:id="469"/>
      <w:bookmarkEnd w:id="470"/>
    </w:p>
    <w:bookmarkEnd w:id="459"/>
    <w:bookmarkEnd w:id="460"/>
    <w:bookmarkEnd w:id="461"/>
    <w:bookmarkEnd w:id="462"/>
    <w:p w14:paraId="21C22898">
      <w:pPr>
        <w:spacing w:line="360" w:lineRule="auto"/>
        <w:ind w:firstLine="480" w:firstLineChars="200"/>
        <w:rPr>
          <w:rFonts w:hint="eastAsia" w:ascii="仿宋" w:hAnsi="仿宋" w:eastAsia="仿宋" w:cs="仿宋"/>
          <w:color w:val="auto"/>
          <w:sz w:val="24"/>
          <w:szCs w:val="24"/>
          <w:highlight w:val="none"/>
        </w:rPr>
      </w:pPr>
      <w:bookmarkStart w:id="471" w:name="_Toc11128"/>
      <w:bookmarkStart w:id="472" w:name="_Toc3164"/>
      <w:bookmarkStart w:id="473" w:name="_Toc256519738"/>
      <w:bookmarkStart w:id="474" w:name="_Toc346731845"/>
      <w:bookmarkStart w:id="475" w:name="_Toc254788518"/>
      <w:bookmarkStart w:id="476" w:name="_Toc18548"/>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 xml:space="preserve"> 分值构成</w:t>
      </w:r>
    </w:p>
    <w:p w14:paraId="5797365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（1）报价部分：见</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办法前附表；</w:t>
      </w:r>
    </w:p>
    <w:p w14:paraId="6973126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技术</w:t>
      </w:r>
      <w:r>
        <w:rPr>
          <w:rFonts w:hint="eastAsia" w:ascii="仿宋" w:hAnsi="仿宋" w:eastAsia="仿宋" w:cs="仿宋"/>
          <w:color w:val="auto"/>
          <w:sz w:val="24"/>
          <w:szCs w:val="24"/>
          <w:highlight w:val="none"/>
        </w:rPr>
        <w:t>部分：见</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办法前附表；</w:t>
      </w:r>
    </w:p>
    <w:p w14:paraId="7E58CCC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rPr>
        <w:t>部分：见</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办法前附表；</w:t>
      </w:r>
    </w:p>
    <w:p w14:paraId="629FB6D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评分标准</w:t>
      </w:r>
    </w:p>
    <w:p w14:paraId="0247373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（1）报价部分评分标准：见</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办法前附表；</w:t>
      </w:r>
    </w:p>
    <w:p w14:paraId="17EDA04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技术</w:t>
      </w:r>
      <w:r>
        <w:rPr>
          <w:rFonts w:hint="eastAsia" w:ascii="仿宋" w:hAnsi="仿宋" w:eastAsia="仿宋" w:cs="仿宋"/>
          <w:color w:val="auto"/>
          <w:sz w:val="24"/>
          <w:szCs w:val="24"/>
          <w:highlight w:val="none"/>
        </w:rPr>
        <w:t>部分评分标准：见</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办法前附表；</w:t>
      </w:r>
    </w:p>
    <w:p w14:paraId="27FA420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rPr>
        <w:t>部分评分标准：见</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办法前附表；</w:t>
      </w:r>
    </w:p>
    <w:p w14:paraId="5ADC123A">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3、评标程序</w:t>
      </w:r>
      <w:bookmarkEnd w:id="471"/>
      <w:bookmarkEnd w:id="472"/>
      <w:bookmarkEnd w:id="473"/>
      <w:bookmarkEnd w:id="474"/>
      <w:bookmarkEnd w:id="475"/>
      <w:bookmarkEnd w:id="476"/>
      <w:r>
        <w:rPr>
          <w:rFonts w:hint="eastAsia" w:ascii="仿宋" w:hAnsi="仿宋" w:eastAsia="仿宋" w:cs="仿宋"/>
          <w:color w:val="auto"/>
          <w:sz w:val="24"/>
          <w:szCs w:val="24"/>
          <w:highlight w:val="none"/>
        </w:rPr>
        <w:t xml:space="preserve"> </w:t>
      </w:r>
    </w:p>
    <w:p w14:paraId="40BAC8CF">
      <w:pPr>
        <w:spacing w:line="360" w:lineRule="auto"/>
        <w:ind w:firstLine="523" w:firstLineChars="218"/>
        <w:rPr>
          <w:rFonts w:hint="eastAsia" w:ascii="仿宋" w:hAnsi="仿宋" w:eastAsia="仿宋" w:cs="仿宋"/>
          <w:color w:val="auto"/>
          <w:sz w:val="24"/>
          <w:szCs w:val="24"/>
          <w:highlight w:val="none"/>
        </w:rPr>
      </w:pPr>
      <w:bookmarkStart w:id="477" w:name="_Toc254788519"/>
      <w:bookmarkStart w:id="478" w:name="_Toc256519739"/>
      <w:bookmarkStart w:id="479" w:name="_Toc3240"/>
      <w:bookmarkStart w:id="480" w:name="_Toc23044"/>
      <w:bookmarkStart w:id="481" w:name="_Toc346731846"/>
      <w:bookmarkStart w:id="482" w:name="_Toc7215"/>
      <w:r>
        <w:rPr>
          <w:rFonts w:hint="eastAsia" w:ascii="仿宋" w:hAnsi="仿宋" w:eastAsia="仿宋" w:cs="仿宋"/>
          <w:color w:val="auto"/>
          <w:sz w:val="24"/>
          <w:szCs w:val="24"/>
          <w:highlight w:val="none"/>
        </w:rPr>
        <w:t>3.1初步评审</w:t>
      </w:r>
      <w:bookmarkEnd w:id="477"/>
      <w:bookmarkEnd w:id="478"/>
      <w:bookmarkEnd w:id="479"/>
      <w:bookmarkEnd w:id="480"/>
      <w:bookmarkEnd w:id="481"/>
      <w:bookmarkEnd w:id="482"/>
      <w:r>
        <w:rPr>
          <w:rFonts w:hint="eastAsia" w:ascii="仿宋" w:hAnsi="仿宋" w:eastAsia="仿宋" w:cs="仿宋"/>
          <w:color w:val="auto"/>
          <w:sz w:val="24"/>
          <w:szCs w:val="24"/>
          <w:highlight w:val="none"/>
        </w:rPr>
        <w:t xml:space="preserve"> </w:t>
      </w:r>
    </w:p>
    <w:p w14:paraId="793F5F6D">
      <w:pPr>
        <w:spacing w:line="360" w:lineRule="auto"/>
        <w:ind w:firstLine="523" w:firstLineChars="218"/>
        <w:rPr>
          <w:rFonts w:hint="eastAsia" w:ascii="仿宋" w:hAnsi="仿宋" w:eastAsia="仿宋" w:cs="仿宋"/>
          <w:color w:val="auto"/>
          <w:sz w:val="24"/>
          <w:szCs w:val="24"/>
          <w:highlight w:val="none"/>
        </w:rPr>
      </w:pPr>
      <w:bookmarkStart w:id="483" w:name="_Toc24988"/>
      <w:bookmarkStart w:id="484" w:name="_Toc325"/>
      <w:bookmarkStart w:id="485" w:name="_Toc256519740"/>
      <w:bookmarkStart w:id="486" w:name="_Toc23705"/>
      <w:r>
        <w:rPr>
          <w:rFonts w:hint="eastAsia" w:ascii="仿宋" w:hAnsi="仿宋" w:eastAsia="仿宋" w:cs="仿宋"/>
          <w:color w:val="auto"/>
          <w:sz w:val="24"/>
          <w:szCs w:val="24"/>
          <w:highlight w:val="none"/>
        </w:rPr>
        <w:t>3.1.1</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依据本章规定的评审标准对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进行初步评审。有一项不符合评审标准的，其投标将被否决。</w:t>
      </w:r>
      <w:bookmarkEnd w:id="483"/>
      <w:bookmarkEnd w:id="484"/>
      <w:bookmarkEnd w:id="485"/>
      <w:bookmarkEnd w:id="486"/>
    </w:p>
    <w:p w14:paraId="7C6A7130">
      <w:pPr>
        <w:spacing w:line="360" w:lineRule="auto"/>
        <w:ind w:firstLine="523" w:firstLineChars="218"/>
        <w:rPr>
          <w:rFonts w:hint="eastAsia" w:ascii="仿宋" w:hAnsi="仿宋" w:eastAsia="仿宋" w:cs="仿宋"/>
          <w:color w:val="auto"/>
          <w:sz w:val="24"/>
          <w:szCs w:val="24"/>
          <w:highlight w:val="none"/>
        </w:rPr>
      </w:pPr>
      <w:bookmarkStart w:id="487" w:name="_Toc21810"/>
      <w:bookmarkStart w:id="488" w:name="_Toc256519741"/>
      <w:bookmarkStart w:id="489" w:name="_Toc21573"/>
      <w:bookmarkStart w:id="490" w:name="_Toc14712"/>
      <w:r>
        <w:rPr>
          <w:rFonts w:hint="eastAsia" w:ascii="仿宋" w:hAnsi="仿宋" w:eastAsia="仿宋" w:cs="仿宋"/>
          <w:color w:val="auto"/>
          <w:sz w:val="24"/>
          <w:szCs w:val="24"/>
          <w:highlight w:val="none"/>
        </w:rPr>
        <w:t>3.1.2供应商有以下情形之一的，其投标将被否决：</w:t>
      </w:r>
      <w:bookmarkEnd w:id="487"/>
      <w:bookmarkEnd w:id="488"/>
      <w:bookmarkEnd w:id="489"/>
      <w:bookmarkEnd w:id="490"/>
    </w:p>
    <w:p w14:paraId="4BA784D8">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（1）串通投标或弄虚作假或有其他违法行为的；</w:t>
      </w:r>
    </w:p>
    <w:p w14:paraId="301E533A">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（2）不按</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要求澄清、说明或补正的。</w:t>
      </w:r>
    </w:p>
    <w:p w14:paraId="76602AC7">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3）响应文件制作机器码与其他供应商一致的。</w:t>
      </w:r>
    </w:p>
    <w:p w14:paraId="0E7DF154">
      <w:pPr>
        <w:spacing w:line="360" w:lineRule="auto"/>
        <w:ind w:firstLine="523" w:firstLineChars="218"/>
        <w:rPr>
          <w:rFonts w:hint="eastAsia" w:ascii="仿宋" w:hAnsi="仿宋" w:eastAsia="仿宋" w:cs="仿宋"/>
          <w:color w:val="auto"/>
          <w:sz w:val="24"/>
          <w:szCs w:val="24"/>
          <w:highlight w:val="none"/>
        </w:rPr>
      </w:pPr>
      <w:bookmarkStart w:id="491" w:name="_Toc1851"/>
      <w:bookmarkStart w:id="492" w:name="_Toc24006"/>
      <w:bookmarkStart w:id="493" w:name="_Toc21679"/>
      <w:bookmarkStart w:id="494" w:name="_Toc256519742"/>
      <w:r>
        <w:rPr>
          <w:rFonts w:hint="eastAsia" w:ascii="仿宋" w:hAnsi="仿宋" w:eastAsia="仿宋" w:cs="仿宋"/>
          <w:color w:val="auto"/>
          <w:sz w:val="24"/>
          <w:szCs w:val="24"/>
          <w:highlight w:val="none"/>
        </w:rPr>
        <w:t>3.1.3投标报价有算术错误的，</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按以下原则对投标报价进行修正，修正的价格经供应商书面确认后具有约束力。供应商不接受修正价格的，其投标将被否决。</w:t>
      </w:r>
      <w:bookmarkEnd w:id="491"/>
      <w:bookmarkEnd w:id="492"/>
      <w:bookmarkEnd w:id="493"/>
      <w:bookmarkEnd w:id="494"/>
    </w:p>
    <w:p w14:paraId="26EC4E53">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中的大写金额与小写金额不一致的，以大写金额为准；</w:t>
      </w:r>
    </w:p>
    <w:p w14:paraId="7261A5E5">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（2）总价金额与依据单价计算出的结果不一致的，以单价金额为准修正总价，但单价金额小数点有明显错误的除外。</w:t>
      </w:r>
    </w:p>
    <w:p w14:paraId="0BE343F5">
      <w:pPr>
        <w:keepNext w:val="0"/>
        <w:keepLines w:val="0"/>
        <w:pageBreakBefore w:val="0"/>
        <w:widowControl w:val="0"/>
        <w:kinsoku/>
        <w:wordWrap/>
        <w:overflowPunct/>
        <w:topLinePunct w:val="0"/>
        <w:autoSpaceDE/>
        <w:autoSpaceDN/>
        <w:bidi w:val="0"/>
        <w:adjustRightInd/>
        <w:snapToGrid/>
        <w:spacing w:line="360" w:lineRule="auto"/>
        <w:ind w:firstLine="523" w:firstLineChars="218"/>
        <w:textAlignment w:val="auto"/>
        <w:rPr>
          <w:rFonts w:hint="eastAsia" w:ascii="仿宋" w:hAnsi="仿宋" w:eastAsia="仿宋" w:cs="仿宋"/>
          <w:color w:val="auto"/>
          <w:sz w:val="24"/>
          <w:szCs w:val="24"/>
          <w:highlight w:val="none"/>
          <w:lang w:val="en-US" w:eastAsia="zh-CN"/>
        </w:rPr>
      </w:pPr>
      <w:bookmarkStart w:id="495" w:name="_Toc256519743"/>
      <w:bookmarkStart w:id="496" w:name="_Toc20863"/>
      <w:bookmarkStart w:id="497" w:name="_Toc9893"/>
      <w:bookmarkStart w:id="498" w:name="_Toc21175"/>
      <w:bookmarkStart w:id="499" w:name="_Toc254788520"/>
      <w:bookmarkStart w:id="500" w:name="_Toc346731847"/>
      <w:r>
        <w:rPr>
          <w:rFonts w:hint="eastAsia" w:ascii="仿宋" w:hAnsi="仿宋" w:eastAsia="仿宋" w:cs="仿宋"/>
          <w:color w:val="auto"/>
          <w:sz w:val="24"/>
          <w:szCs w:val="24"/>
          <w:highlight w:val="none"/>
        </w:rPr>
        <w:t>3.2</w:t>
      </w:r>
      <w:r>
        <w:rPr>
          <w:rFonts w:hint="eastAsia" w:ascii="仿宋" w:hAnsi="仿宋" w:eastAsia="仿宋" w:cs="仿宋"/>
          <w:color w:val="auto"/>
          <w:sz w:val="24"/>
          <w:szCs w:val="24"/>
          <w:highlight w:val="none"/>
          <w:lang w:val="en-US" w:eastAsia="zh-CN"/>
        </w:rPr>
        <w:t>磋商报价</w:t>
      </w:r>
    </w:p>
    <w:p w14:paraId="249D9D1E">
      <w:pPr>
        <w:pStyle w:val="47"/>
        <w:keepNext w:val="0"/>
        <w:keepLines w:val="0"/>
        <w:pageBreakBefore w:val="0"/>
        <w:widowControl w:val="0"/>
        <w:kinsoku/>
        <w:wordWrap/>
        <w:overflowPunct/>
        <w:topLinePunct w:val="0"/>
        <w:autoSpaceDE/>
        <w:autoSpaceDN/>
        <w:bidi w:val="0"/>
        <w:adjustRightInd/>
        <w:snapToGrid/>
        <w:spacing w:line="360" w:lineRule="auto"/>
        <w:ind w:firstLine="450"/>
        <w:textAlignment w:val="auto"/>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3.2.1磋商小组要求所有实质性响应的供应商在规定时间内提交二次磋商报价（最终报价），最终报价是供应商磋商响应文件的有效组成部分。</w:t>
      </w:r>
      <w:r>
        <w:rPr>
          <w:rFonts w:hint="eastAsia" w:ascii="仿宋" w:hAnsi="仿宋" w:eastAsia="仿宋" w:cs="仿宋"/>
          <w:b/>
          <w:bCs/>
          <w:i w:val="0"/>
          <w:iCs w:val="0"/>
          <w:color w:val="auto"/>
          <w:kern w:val="2"/>
          <w:sz w:val="24"/>
          <w:szCs w:val="24"/>
          <w:highlight w:val="none"/>
          <w:lang w:val="en-US" w:eastAsia="zh-CN" w:bidi="ar-SA"/>
        </w:rPr>
        <w:t>供应商只有通过初步评审后方可进入下一轮报价，竞争性磋商最终报价也将予以远程报价。供应商登录远程开标项目，在收到远程报价通知时，即可远程在线报价，供应商在规定时间内最终报价因逾期或超时，将默认初次报价为最终报价参与评审。</w:t>
      </w:r>
    </w:p>
    <w:p w14:paraId="26FC6C19">
      <w:pPr>
        <w:pStyle w:val="47"/>
        <w:keepNext w:val="0"/>
        <w:keepLines w:val="0"/>
        <w:pageBreakBefore w:val="0"/>
        <w:widowControl w:val="0"/>
        <w:kinsoku/>
        <w:wordWrap/>
        <w:overflowPunct/>
        <w:topLinePunct w:val="0"/>
        <w:autoSpaceDE/>
        <w:autoSpaceDN/>
        <w:bidi w:val="0"/>
        <w:adjustRightInd/>
        <w:snapToGrid/>
        <w:spacing w:line="360" w:lineRule="auto"/>
        <w:ind w:firstLine="45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3.2.2开标会议结束之后，请各供应商保持在线状态，等候线上二次报价通知。</w:t>
      </w:r>
    </w:p>
    <w:p w14:paraId="577396D6">
      <w:pPr>
        <w:pStyle w:val="47"/>
        <w:keepNext w:val="0"/>
        <w:keepLines w:val="0"/>
        <w:pageBreakBefore w:val="0"/>
        <w:widowControl w:val="0"/>
        <w:kinsoku/>
        <w:wordWrap/>
        <w:overflowPunct/>
        <w:topLinePunct w:val="0"/>
        <w:autoSpaceDE/>
        <w:autoSpaceDN/>
        <w:bidi w:val="0"/>
        <w:adjustRightInd/>
        <w:snapToGrid/>
        <w:spacing w:line="360" w:lineRule="auto"/>
        <w:ind w:firstLine="45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3.2.3最终报价明显低于其他通过符合性审查投标人的报价，有可能影响工程质量或者不能诚信履约的，投标人需做出合理说明，否则将承担不被接受的风险。 </w:t>
      </w:r>
    </w:p>
    <w:p w14:paraId="48C5B80F">
      <w:pPr>
        <w:keepNext w:val="0"/>
        <w:keepLines w:val="0"/>
        <w:pageBreakBefore w:val="0"/>
        <w:widowControl w:val="0"/>
        <w:kinsoku/>
        <w:wordWrap/>
        <w:overflowPunct/>
        <w:topLinePunct w:val="0"/>
        <w:autoSpaceDE/>
        <w:autoSpaceDN/>
        <w:bidi w:val="0"/>
        <w:adjustRightInd/>
        <w:snapToGrid/>
        <w:spacing w:line="360" w:lineRule="auto"/>
        <w:ind w:firstLine="523" w:firstLineChars="21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详细评审</w:t>
      </w:r>
      <w:bookmarkEnd w:id="495"/>
      <w:bookmarkEnd w:id="496"/>
      <w:bookmarkEnd w:id="497"/>
      <w:bookmarkEnd w:id="498"/>
      <w:bookmarkEnd w:id="499"/>
      <w:bookmarkEnd w:id="500"/>
    </w:p>
    <w:p w14:paraId="6F598FC9">
      <w:pPr>
        <w:keepNext w:val="0"/>
        <w:keepLines w:val="0"/>
        <w:pageBreakBefore w:val="0"/>
        <w:widowControl w:val="0"/>
        <w:kinsoku/>
        <w:wordWrap/>
        <w:overflowPunct/>
        <w:topLinePunct w:val="0"/>
        <w:autoSpaceDE/>
        <w:autoSpaceDN/>
        <w:bidi w:val="0"/>
        <w:adjustRightInd/>
        <w:snapToGrid/>
        <w:spacing w:line="360" w:lineRule="auto"/>
        <w:ind w:firstLine="523" w:firstLineChars="218"/>
        <w:textAlignment w:val="auto"/>
        <w:rPr>
          <w:rFonts w:hint="eastAsia" w:ascii="仿宋" w:hAnsi="仿宋" w:eastAsia="仿宋" w:cs="仿宋"/>
          <w:color w:val="auto"/>
          <w:sz w:val="24"/>
          <w:szCs w:val="24"/>
          <w:highlight w:val="none"/>
        </w:rPr>
      </w:pPr>
      <w:bookmarkStart w:id="501" w:name="_Toc24013"/>
      <w:bookmarkStart w:id="502" w:name="_Toc30200"/>
      <w:bookmarkStart w:id="503" w:name="_Toc256519744"/>
      <w:bookmarkStart w:id="504" w:name="_Toc14548"/>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按本章第2.2款规定的量化因素和分值进行打分，并计算出综合评估得分。</w:t>
      </w:r>
      <w:bookmarkEnd w:id="501"/>
      <w:bookmarkEnd w:id="502"/>
      <w:bookmarkEnd w:id="503"/>
      <w:bookmarkEnd w:id="504"/>
    </w:p>
    <w:p w14:paraId="3A573DC5">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（1）按本章规定的评审因素和分值对2.2.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（1）投标报价计算出得分A；</w:t>
      </w:r>
    </w:p>
    <w:p w14:paraId="56F89313">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（2）按本章规定的评审因素和分值对2.2.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（2）技术部分计算出得分B；</w:t>
      </w:r>
    </w:p>
    <w:p w14:paraId="2DB4B190">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（3）按本章规定的评审因素和分值对2.2.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rPr>
        <w:t>部分计算出得分C；</w:t>
      </w:r>
    </w:p>
    <w:p w14:paraId="06096A3D">
      <w:pPr>
        <w:spacing w:line="360" w:lineRule="auto"/>
        <w:ind w:firstLine="523" w:firstLineChars="218"/>
        <w:rPr>
          <w:rFonts w:hint="eastAsia" w:ascii="仿宋" w:hAnsi="仿宋" w:eastAsia="仿宋" w:cs="仿宋"/>
          <w:color w:val="auto"/>
          <w:sz w:val="24"/>
          <w:szCs w:val="24"/>
          <w:highlight w:val="none"/>
        </w:rPr>
      </w:pPr>
      <w:bookmarkStart w:id="505" w:name="_Toc256519745"/>
      <w:bookmarkStart w:id="506" w:name="_Toc9474"/>
      <w:bookmarkStart w:id="507" w:name="_Toc25841"/>
      <w:bookmarkStart w:id="508" w:name="_Toc31995"/>
      <w:r>
        <w:rPr>
          <w:rFonts w:hint="eastAsia" w:ascii="仿宋" w:hAnsi="仿宋" w:eastAsia="仿宋" w:cs="仿宋"/>
          <w:color w:val="auto"/>
          <w:sz w:val="24"/>
          <w:szCs w:val="24"/>
          <w:highlight w:val="none"/>
        </w:rPr>
        <w:t>评分分值计算保留小数点后两位，小数点后第三位“四舍五入”。</w:t>
      </w:r>
      <w:bookmarkEnd w:id="505"/>
      <w:bookmarkEnd w:id="506"/>
      <w:bookmarkEnd w:id="507"/>
      <w:bookmarkEnd w:id="508"/>
    </w:p>
    <w:p w14:paraId="5A1E0EEF">
      <w:pPr>
        <w:spacing w:line="360" w:lineRule="auto"/>
        <w:ind w:firstLine="523" w:firstLineChars="218"/>
        <w:rPr>
          <w:rFonts w:hint="eastAsia" w:ascii="仿宋" w:hAnsi="仿宋" w:eastAsia="仿宋" w:cs="仿宋"/>
          <w:color w:val="auto"/>
          <w:sz w:val="24"/>
          <w:szCs w:val="24"/>
          <w:highlight w:val="none"/>
        </w:rPr>
      </w:pPr>
      <w:bookmarkStart w:id="509" w:name="_Toc256519746"/>
      <w:bookmarkStart w:id="510" w:name="_Toc9098"/>
      <w:bookmarkStart w:id="511" w:name="_Toc4168"/>
      <w:bookmarkStart w:id="512" w:name="_Toc1912"/>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.3供应商得分＝A+B+C。供应商的最终得分为各评委所评定分数的算术平均值。</w:t>
      </w:r>
      <w:bookmarkEnd w:id="509"/>
      <w:bookmarkEnd w:id="510"/>
      <w:bookmarkEnd w:id="511"/>
      <w:bookmarkEnd w:id="512"/>
    </w:p>
    <w:p w14:paraId="42F06CF9">
      <w:pPr>
        <w:spacing w:line="360" w:lineRule="auto"/>
        <w:ind w:firstLine="523" w:firstLineChars="218"/>
        <w:rPr>
          <w:rFonts w:hint="eastAsia" w:ascii="仿宋" w:hAnsi="仿宋" w:eastAsia="仿宋" w:cs="仿宋"/>
          <w:color w:val="auto"/>
          <w:sz w:val="24"/>
          <w:szCs w:val="24"/>
          <w:highlight w:val="none"/>
        </w:rPr>
      </w:pPr>
      <w:bookmarkStart w:id="513" w:name="_Toc32130"/>
      <w:bookmarkStart w:id="514" w:name="_Toc256519747"/>
      <w:bookmarkStart w:id="515" w:name="_Toc15660"/>
      <w:bookmarkStart w:id="516" w:name="_Toc4934"/>
      <w:r>
        <w:rPr>
          <w:rFonts w:hint="eastAsia" w:ascii="仿宋" w:hAnsi="仿宋" w:eastAsia="仿宋" w:cs="仿宋"/>
          <w:color w:val="auto"/>
          <w:sz w:val="24"/>
          <w:szCs w:val="24"/>
          <w:highlight w:val="none"/>
          <w:lang w:val="en-US" w:eastAsia="zh-CN"/>
        </w:rPr>
        <w:t>磋商小组</w:t>
      </w:r>
      <w:r>
        <w:rPr>
          <w:rFonts w:hint="eastAsia" w:ascii="仿宋" w:hAnsi="仿宋" w:eastAsia="仿宋" w:cs="仿宋"/>
          <w:color w:val="auto"/>
          <w:sz w:val="24"/>
          <w:szCs w:val="24"/>
          <w:highlight w:val="none"/>
        </w:rPr>
        <w:t>发现供应商的报价明显低于其他投标报价，或者明显低于最高投标限价，使得其投标报价可能低于其个别成本的，应当要求该供应商作出书面说明并提供相应的证明材料。供应商不能合理说明或者不能提供相应证明材料的，由</w:t>
      </w:r>
      <w:r>
        <w:rPr>
          <w:rFonts w:hint="eastAsia" w:ascii="仿宋" w:hAnsi="仿宋" w:eastAsia="仿宋" w:cs="仿宋"/>
          <w:color w:val="auto"/>
          <w:sz w:val="24"/>
          <w:szCs w:val="24"/>
          <w:highlight w:val="none"/>
          <w:lang w:val="en-US" w:eastAsia="zh-CN"/>
        </w:rPr>
        <w:t>磋商小组</w:t>
      </w:r>
      <w:r>
        <w:rPr>
          <w:rFonts w:hint="eastAsia" w:ascii="仿宋" w:hAnsi="仿宋" w:eastAsia="仿宋" w:cs="仿宋"/>
          <w:color w:val="auto"/>
          <w:sz w:val="24"/>
          <w:szCs w:val="24"/>
          <w:highlight w:val="none"/>
        </w:rPr>
        <w:t>认定该供应商以低于成本报价竞标，其投标将被否决。</w:t>
      </w:r>
      <w:bookmarkEnd w:id="513"/>
      <w:bookmarkEnd w:id="514"/>
      <w:bookmarkEnd w:id="515"/>
      <w:bookmarkEnd w:id="516"/>
    </w:p>
    <w:p w14:paraId="3AA45945">
      <w:pPr>
        <w:spacing w:line="360" w:lineRule="auto"/>
        <w:ind w:firstLine="523" w:firstLineChars="218"/>
        <w:rPr>
          <w:rFonts w:hint="eastAsia" w:ascii="仿宋" w:hAnsi="仿宋" w:eastAsia="仿宋" w:cs="仿宋"/>
          <w:color w:val="auto"/>
          <w:sz w:val="24"/>
          <w:szCs w:val="24"/>
          <w:highlight w:val="none"/>
        </w:rPr>
      </w:pPr>
      <w:bookmarkStart w:id="517" w:name="_Toc8885"/>
      <w:bookmarkStart w:id="518" w:name="_Toc346731848"/>
      <w:bookmarkStart w:id="519" w:name="_Toc256519748"/>
      <w:bookmarkStart w:id="520" w:name="_Toc2762"/>
      <w:bookmarkStart w:id="521" w:name="_Toc254788521"/>
      <w:bookmarkStart w:id="522" w:name="_Toc19414"/>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的澄清和补正</w:t>
      </w:r>
      <w:bookmarkEnd w:id="517"/>
      <w:bookmarkEnd w:id="518"/>
      <w:bookmarkEnd w:id="519"/>
      <w:bookmarkEnd w:id="520"/>
      <w:bookmarkEnd w:id="521"/>
      <w:bookmarkEnd w:id="522"/>
    </w:p>
    <w:p w14:paraId="7107E9D1">
      <w:pPr>
        <w:spacing w:line="360" w:lineRule="auto"/>
        <w:ind w:firstLine="523" w:firstLineChars="218"/>
        <w:rPr>
          <w:rFonts w:hint="eastAsia" w:ascii="仿宋" w:hAnsi="仿宋" w:eastAsia="仿宋" w:cs="仿宋"/>
          <w:color w:val="auto"/>
          <w:sz w:val="24"/>
          <w:szCs w:val="24"/>
          <w:highlight w:val="none"/>
        </w:rPr>
      </w:pPr>
      <w:bookmarkStart w:id="523" w:name="_Toc256519749"/>
      <w:bookmarkStart w:id="524" w:name="_Toc30071"/>
      <w:bookmarkStart w:id="525" w:name="_Toc687"/>
      <w:bookmarkStart w:id="526" w:name="_Toc15681"/>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.1在评标过程中，</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可以书面形式要求供应商对所提交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中不明确的内容进行书面澄清或说明，或者对细微偏差进行补正。</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不接受供应商主动提出的澄清、说明或补正。</w:t>
      </w:r>
      <w:bookmarkEnd w:id="523"/>
      <w:bookmarkEnd w:id="524"/>
      <w:bookmarkEnd w:id="525"/>
      <w:bookmarkEnd w:id="526"/>
    </w:p>
    <w:p w14:paraId="659F80CA">
      <w:pPr>
        <w:spacing w:line="360" w:lineRule="auto"/>
        <w:ind w:firstLine="523" w:firstLineChars="218"/>
        <w:rPr>
          <w:rFonts w:hint="eastAsia" w:ascii="仿宋" w:hAnsi="仿宋" w:eastAsia="仿宋" w:cs="仿宋"/>
          <w:color w:val="auto"/>
          <w:sz w:val="24"/>
          <w:szCs w:val="24"/>
          <w:highlight w:val="none"/>
        </w:rPr>
      </w:pPr>
      <w:bookmarkStart w:id="527" w:name="_Toc21316"/>
      <w:bookmarkStart w:id="528" w:name="_Toc29040"/>
      <w:bookmarkStart w:id="529" w:name="_Toc29439"/>
      <w:bookmarkStart w:id="530" w:name="_Toc256519750"/>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.2澄清、说明和补正不得改变</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的实质性内容（算术性错误修正的除外）。供应商的书面澄清、说明和补正属于</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的组成部分。</w:t>
      </w:r>
      <w:bookmarkEnd w:id="527"/>
      <w:bookmarkEnd w:id="528"/>
      <w:bookmarkEnd w:id="529"/>
      <w:bookmarkEnd w:id="530"/>
    </w:p>
    <w:p w14:paraId="5F23C75B">
      <w:pPr>
        <w:spacing w:line="360" w:lineRule="auto"/>
        <w:ind w:firstLine="523" w:firstLineChars="218"/>
        <w:rPr>
          <w:rFonts w:hint="eastAsia" w:ascii="仿宋" w:hAnsi="仿宋" w:eastAsia="仿宋" w:cs="仿宋"/>
          <w:color w:val="auto"/>
          <w:sz w:val="24"/>
          <w:szCs w:val="24"/>
          <w:highlight w:val="none"/>
        </w:rPr>
      </w:pPr>
      <w:bookmarkStart w:id="531" w:name="_Toc256519751"/>
      <w:bookmarkStart w:id="532" w:name="_Toc24506"/>
      <w:bookmarkStart w:id="533" w:name="_Toc30669"/>
      <w:bookmarkStart w:id="534" w:name="_Toc1832"/>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对供应商提交的澄清、说明或补正有疑问的，可以要求供应商进一步澄清、说明或补正，直至满足</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的要求。</w:t>
      </w:r>
      <w:bookmarkEnd w:id="531"/>
      <w:bookmarkEnd w:id="532"/>
      <w:bookmarkEnd w:id="533"/>
      <w:bookmarkEnd w:id="534"/>
    </w:p>
    <w:p w14:paraId="218F8B44">
      <w:pPr>
        <w:spacing w:line="360" w:lineRule="auto"/>
        <w:ind w:firstLine="523" w:firstLineChars="218"/>
        <w:rPr>
          <w:rFonts w:hint="eastAsia" w:ascii="仿宋" w:hAnsi="仿宋" w:eastAsia="仿宋" w:cs="仿宋"/>
          <w:color w:val="auto"/>
          <w:sz w:val="24"/>
          <w:szCs w:val="24"/>
          <w:highlight w:val="none"/>
        </w:rPr>
      </w:pPr>
      <w:bookmarkStart w:id="535" w:name="_Toc2765"/>
      <w:bookmarkStart w:id="536" w:name="_Toc21596"/>
      <w:bookmarkStart w:id="537" w:name="_Toc346731849"/>
      <w:bookmarkStart w:id="538" w:name="_Toc256519752"/>
      <w:bookmarkStart w:id="539" w:name="_Toc254788522"/>
      <w:bookmarkStart w:id="540" w:name="_Toc12487"/>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评标结果</w:t>
      </w:r>
      <w:bookmarkEnd w:id="535"/>
      <w:bookmarkEnd w:id="536"/>
      <w:bookmarkEnd w:id="537"/>
      <w:bookmarkEnd w:id="538"/>
      <w:bookmarkEnd w:id="539"/>
      <w:bookmarkEnd w:id="540"/>
    </w:p>
    <w:p w14:paraId="7C904788">
      <w:pPr>
        <w:spacing w:line="360" w:lineRule="auto"/>
        <w:ind w:firstLine="523" w:firstLineChars="218"/>
        <w:rPr>
          <w:rFonts w:hint="eastAsia" w:ascii="仿宋" w:hAnsi="仿宋" w:eastAsia="仿宋" w:cs="仿宋"/>
          <w:color w:val="auto"/>
          <w:sz w:val="24"/>
          <w:szCs w:val="24"/>
          <w:highlight w:val="none"/>
        </w:rPr>
      </w:pPr>
      <w:bookmarkStart w:id="541" w:name="_Toc5594"/>
      <w:bookmarkStart w:id="542" w:name="_Toc3304"/>
      <w:bookmarkStart w:id="543" w:name="_Toc9316"/>
      <w:bookmarkStart w:id="544" w:name="_Toc256519754"/>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.1除第二章“供应商须知”前附表授权直接确定</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人外，</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按照得分由高到低的顺序推荐</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w:t>
      </w:r>
      <w:bookmarkEnd w:id="541"/>
      <w:bookmarkEnd w:id="542"/>
      <w:bookmarkEnd w:id="543"/>
    </w:p>
    <w:bookmarkEnd w:id="544"/>
    <w:p w14:paraId="435A0F3F">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.2评审结束后，磋商小组要向采购人提交书面评审报告。</w:t>
      </w:r>
    </w:p>
    <w:bookmarkEnd w:id="427"/>
    <w:bookmarkEnd w:id="428"/>
    <w:p w14:paraId="3CC1D801">
      <w:pPr>
        <w:pStyle w:val="3"/>
        <w:spacing w:before="120" w:after="120" w:line="400" w:lineRule="exact"/>
        <w:jc w:val="center"/>
        <w:rPr>
          <w:rFonts w:hint="eastAsia" w:ascii="仿宋" w:hAnsi="仿宋" w:eastAsia="仿宋" w:cs="仿宋"/>
          <w:color w:val="auto"/>
          <w:sz w:val="24"/>
          <w:szCs w:val="24"/>
          <w:highlight w:val="none"/>
        </w:rPr>
        <w:sectPr>
          <w:headerReference r:id="rId9" w:type="first"/>
          <w:footerReference r:id="rId11" w:type="first"/>
          <w:footerReference r:id="rId10" w:type="default"/>
          <w:pgSz w:w="11906" w:h="16838"/>
          <w:pgMar w:top="1440" w:right="1080" w:bottom="1440" w:left="1080" w:header="851" w:footer="992" w:gutter="0"/>
          <w:pgNumType w:fmt="decimal"/>
          <w:cols w:space="720" w:num="1"/>
          <w:titlePg/>
          <w:docGrid w:type="lines" w:linePitch="312" w:charSpace="0"/>
        </w:sectPr>
      </w:pPr>
      <w:bookmarkStart w:id="545" w:name="_Toc12096"/>
    </w:p>
    <w:p w14:paraId="3BF20C7C">
      <w:pPr>
        <w:pStyle w:val="3"/>
        <w:spacing w:before="120" w:after="120" w:line="400" w:lineRule="exact"/>
        <w:jc w:val="center"/>
        <w:rPr>
          <w:rFonts w:hint="eastAsia" w:ascii="仿宋" w:hAnsi="仿宋" w:eastAsia="仿宋" w:cs="仿宋"/>
          <w:color w:val="auto"/>
          <w:sz w:val="32"/>
          <w:highlight w:val="none"/>
        </w:rPr>
      </w:pPr>
      <w:bookmarkStart w:id="546" w:name="_Toc4902"/>
      <w:bookmarkStart w:id="547" w:name="_Toc1408"/>
      <w:r>
        <w:rPr>
          <w:rFonts w:hint="eastAsia" w:ascii="仿宋" w:hAnsi="仿宋" w:eastAsia="仿宋" w:cs="仿宋"/>
          <w:color w:val="auto"/>
          <w:sz w:val="32"/>
          <w:highlight w:val="none"/>
        </w:rPr>
        <w:t>第四章 合同条款及格式</w:t>
      </w:r>
      <w:bookmarkEnd w:id="546"/>
      <w:bookmarkEnd w:id="547"/>
    </w:p>
    <w:bookmarkEnd w:id="545"/>
    <w:p w14:paraId="56F42902">
      <w:pPr>
        <w:keepNext w:val="0"/>
        <w:keepLines w:val="0"/>
        <w:widowControl/>
        <w:suppressLineNumbers w:val="0"/>
        <w:spacing w:line="360" w:lineRule="auto"/>
        <w:ind w:left="0" w:leftChars="0" w:firstLine="0" w:firstLineChars="0"/>
        <w:jc w:val="center"/>
        <w:rPr>
          <w:rFonts w:hint="eastAsia" w:ascii="仿宋" w:hAnsi="仿宋" w:eastAsia="仿宋" w:cs="仿宋"/>
          <w:color w:val="auto"/>
          <w:kern w:val="0"/>
          <w:sz w:val="24"/>
          <w:szCs w:val="24"/>
          <w:highlight w:val="none"/>
          <w:lang w:val="en-US" w:eastAsia="zh-CN" w:bidi="ar"/>
        </w:rPr>
      </w:pPr>
      <w:bookmarkStart w:id="548" w:name="_Toc9936"/>
      <w:r>
        <w:rPr>
          <w:rFonts w:hint="eastAsia" w:ascii="仿宋" w:hAnsi="仿宋" w:eastAsia="仿宋" w:cs="仿宋"/>
          <w:color w:val="auto"/>
          <w:kern w:val="0"/>
          <w:sz w:val="24"/>
          <w:szCs w:val="24"/>
          <w:highlight w:val="none"/>
          <w:lang w:val="en-US" w:eastAsia="zh-CN" w:bidi="ar"/>
        </w:rPr>
        <w:t>（本合同仅为参考，具体以双方协商签订的合同为准）</w:t>
      </w:r>
    </w:p>
    <w:p w14:paraId="32B2823A">
      <w:pPr>
        <w:pStyle w:val="9"/>
        <w:spacing w:before="78" w:line="220" w:lineRule="auto"/>
        <w:ind w:left="1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合同编号：</w:t>
      </w:r>
      <w:r>
        <w:rPr>
          <w:rFonts w:hint="eastAsia" w:ascii="仿宋" w:hAnsi="仿宋" w:eastAsia="仿宋" w:cs="仿宋"/>
          <w:color w:val="auto"/>
          <w:sz w:val="24"/>
          <w:szCs w:val="24"/>
          <w:highlight w:val="none"/>
          <w:u w:val="single" w:color="auto"/>
        </w:rPr>
        <w:t xml:space="preserve">           </w:t>
      </w:r>
    </w:p>
    <w:p w14:paraId="39436EC3">
      <w:pPr>
        <w:spacing w:line="253" w:lineRule="auto"/>
        <w:rPr>
          <w:rFonts w:hint="eastAsia" w:ascii="仿宋" w:hAnsi="仿宋" w:eastAsia="仿宋" w:cs="仿宋"/>
          <w:color w:val="auto"/>
          <w:sz w:val="21"/>
          <w:highlight w:val="none"/>
        </w:rPr>
      </w:pPr>
    </w:p>
    <w:p w14:paraId="1D63251A">
      <w:pPr>
        <w:spacing w:line="253" w:lineRule="auto"/>
        <w:rPr>
          <w:rFonts w:hint="eastAsia" w:ascii="仿宋" w:hAnsi="仿宋" w:eastAsia="仿宋" w:cs="仿宋"/>
          <w:color w:val="auto"/>
          <w:sz w:val="21"/>
          <w:highlight w:val="none"/>
        </w:rPr>
      </w:pPr>
    </w:p>
    <w:p w14:paraId="451536B7">
      <w:pPr>
        <w:spacing w:line="254" w:lineRule="auto"/>
        <w:rPr>
          <w:rFonts w:hint="eastAsia" w:ascii="仿宋" w:hAnsi="仿宋" w:eastAsia="仿宋" w:cs="仿宋"/>
          <w:color w:val="auto"/>
          <w:sz w:val="21"/>
          <w:highlight w:val="none"/>
        </w:rPr>
      </w:pPr>
    </w:p>
    <w:p w14:paraId="79984EB2">
      <w:pPr>
        <w:spacing w:line="254" w:lineRule="auto"/>
        <w:rPr>
          <w:rFonts w:hint="eastAsia" w:ascii="仿宋" w:hAnsi="仿宋" w:eastAsia="仿宋" w:cs="仿宋"/>
          <w:color w:val="auto"/>
          <w:sz w:val="21"/>
          <w:highlight w:val="none"/>
        </w:rPr>
      </w:pPr>
    </w:p>
    <w:p w14:paraId="292A0B57">
      <w:pPr>
        <w:spacing w:line="254" w:lineRule="auto"/>
        <w:rPr>
          <w:rFonts w:hint="eastAsia" w:ascii="仿宋" w:hAnsi="仿宋" w:eastAsia="仿宋" w:cs="仿宋"/>
          <w:color w:val="auto"/>
          <w:sz w:val="21"/>
          <w:highlight w:val="none"/>
        </w:rPr>
      </w:pPr>
    </w:p>
    <w:p w14:paraId="683C1975">
      <w:pPr>
        <w:pStyle w:val="9"/>
        <w:spacing w:before="114" w:line="225" w:lineRule="auto"/>
        <w:ind w:left="190"/>
        <w:jc w:val="center"/>
        <w:rPr>
          <w:rFonts w:hint="eastAsia" w:ascii="仿宋" w:hAnsi="仿宋" w:eastAsia="仿宋" w:cs="仿宋"/>
          <w:color w:val="auto"/>
          <w:highlight w:val="none"/>
        </w:rPr>
      </w:pPr>
      <w:r>
        <w:rPr>
          <w:rFonts w:hint="eastAsia" w:ascii="仿宋" w:hAnsi="仿宋" w:eastAsia="仿宋" w:cs="仿宋"/>
          <w:b/>
          <w:bCs/>
          <w:color w:val="auto"/>
          <w:sz w:val="28"/>
          <w:szCs w:val="28"/>
          <w:highlight w:val="none"/>
          <w:lang w:val="en-US" w:eastAsia="zh-CN"/>
        </w:rPr>
        <w:t>荥阳市园林中心园林管护工人雇主责任险服务项目</w:t>
      </w:r>
    </w:p>
    <w:p w14:paraId="3242A311">
      <w:pPr>
        <w:spacing w:line="241" w:lineRule="auto"/>
        <w:rPr>
          <w:rFonts w:hint="eastAsia" w:ascii="仿宋" w:hAnsi="仿宋" w:eastAsia="仿宋" w:cs="仿宋"/>
          <w:color w:val="auto"/>
          <w:sz w:val="21"/>
          <w:highlight w:val="none"/>
        </w:rPr>
      </w:pPr>
    </w:p>
    <w:p w14:paraId="081139D9">
      <w:pPr>
        <w:spacing w:line="241" w:lineRule="auto"/>
        <w:rPr>
          <w:rFonts w:hint="eastAsia" w:ascii="仿宋" w:hAnsi="仿宋" w:eastAsia="仿宋" w:cs="仿宋"/>
          <w:color w:val="auto"/>
          <w:sz w:val="21"/>
          <w:highlight w:val="none"/>
        </w:rPr>
      </w:pPr>
    </w:p>
    <w:p w14:paraId="3F60AE37">
      <w:pPr>
        <w:spacing w:line="241" w:lineRule="auto"/>
        <w:rPr>
          <w:rFonts w:hint="eastAsia" w:ascii="仿宋" w:hAnsi="仿宋" w:eastAsia="仿宋" w:cs="仿宋"/>
          <w:color w:val="auto"/>
          <w:sz w:val="21"/>
          <w:highlight w:val="none"/>
        </w:rPr>
      </w:pPr>
    </w:p>
    <w:p w14:paraId="44F0B036">
      <w:pPr>
        <w:spacing w:line="242" w:lineRule="auto"/>
        <w:rPr>
          <w:rFonts w:hint="eastAsia" w:ascii="仿宋" w:hAnsi="仿宋" w:eastAsia="仿宋" w:cs="仿宋"/>
          <w:color w:val="auto"/>
          <w:sz w:val="21"/>
          <w:highlight w:val="none"/>
        </w:rPr>
      </w:pPr>
    </w:p>
    <w:p w14:paraId="7A1645C4">
      <w:pPr>
        <w:spacing w:line="242" w:lineRule="auto"/>
        <w:rPr>
          <w:rFonts w:hint="eastAsia" w:ascii="仿宋" w:hAnsi="仿宋" w:eastAsia="仿宋" w:cs="仿宋"/>
          <w:color w:val="auto"/>
          <w:sz w:val="21"/>
          <w:highlight w:val="none"/>
        </w:rPr>
      </w:pPr>
    </w:p>
    <w:p w14:paraId="40050AE2">
      <w:pPr>
        <w:spacing w:line="242" w:lineRule="auto"/>
        <w:rPr>
          <w:rFonts w:hint="eastAsia" w:ascii="仿宋" w:hAnsi="仿宋" w:eastAsia="仿宋" w:cs="仿宋"/>
          <w:color w:val="auto"/>
          <w:sz w:val="21"/>
          <w:highlight w:val="none"/>
        </w:rPr>
      </w:pPr>
    </w:p>
    <w:p w14:paraId="3D931755">
      <w:pPr>
        <w:pStyle w:val="9"/>
        <w:spacing w:before="100" w:line="225" w:lineRule="auto"/>
        <w:ind w:left="3034"/>
        <w:rPr>
          <w:rFonts w:hint="eastAsia" w:ascii="仿宋" w:hAnsi="仿宋" w:eastAsia="仿宋" w:cs="仿宋"/>
          <w:color w:val="auto"/>
          <w:sz w:val="31"/>
          <w:szCs w:val="31"/>
          <w:highlight w:val="none"/>
        </w:rPr>
      </w:pPr>
      <w:r>
        <w:rPr>
          <w:rFonts w:hint="eastAsia" w:ascii="仿宋" w:hAnsi="仿宋" w:eastAsia="仿宋" w:cs="仿宋"/>
          <w:b/>
          <w:bCs/>
          <w:color w:val="auto"/>
          <w:spacing w:val="6"/>
          <w:sz w:val="31"/>
          <w:szCs w:val="31"/>
          <w:highlight w:val="none"/>
        </w:rPr>
        <w:t>第一部分</w:t>
      </w:r>
      <w:r>
        <w:rPr>
          <w:rFonts w:hint="eastAsia" w:ascii="仿宋" w:hAnsi="仿宋" w:eastAsia="仿宋" w:cs="仿宋"/>
          <w:color w:val="auto"/>
          <w:spacing w:val="6"/>
          <w:sz w:val="31"/>
          <w:szCs w:val="31"/>
          <w:highlight w:val="none"/>
        </w:rPr>
        <w:t xml:space="preserve"> </w:t>
      </w:r>
      <w:r>
        <w:rPr>
          <w:rFonts w:hint="eastAsia" w:ascii="仿宋" w:hAnsi="仿宋" w:eastAsia="仿宋" w:cs="仿宋"/>
          <w:b/>
          <w:bCs/>
          <w:color w:val="auto"/>
          <w:spacing w:val="6"/>
          <w:sz w:val="31"/>
          <w:szCs w:val="31"/>
          <w:highlight w:val="none"/>
        </w:rPr>
        <w:t>合同书</w:t>
      </w:r>
    </w:p>
    <w:p w14:paraId="20FB05F5">
      <w:pPr>
        <w:spacing w:line="262" w:lineRule="auto"/>
        <w:rPr>
          <w:rFonts w:hint="eastAsia" w:ascii="仿宋" w:hAnsi="仿宋" w:eastAsia="仿宋" w:cs="仿宋"/>
          <w:color w:val="auto"/>
          <w:sz w:val="21"/>
          <w:highlight w:val="none"/>
        </w:rPr>
      </w:pPr>
    </w:p>
    <w:p w14:paraId="5CAE36B6">
      <w:pPr>
        <w:spacing w:line="262" w:lineRule="auto"/>
        <w:rPr>
          <w:rFonts w:hint="eastAsia" w:ascii="仿宋" w:hAnsi="仿宋" w:eastAsia="仿宋" w:cs="仿宋"/>
          <w:color w:val="auto"/>
          <w:sz w:val="21"/>
          <w:highlight w:val="none"/>
        </w:rPr>
      </w:pPr>
    </w:p>
    <w:p w14:paraId="2CF98749">
      <w:pPr>
        <w:spacing w:line="262" w:lineRule="auto"/>
        <w:rPr>
          <w:rFonts w:hint="eastAsia" w:ascii="仿宋" w:hAnsi="仿宋" w:eastAsia="仿宋" w:cs="仿宋"/>
          <w:color w:val="auto"/>
          <w:sz w:val="21"/>
          <w:highlight w:val="none"/>
        </w:rPr>
      </w:pPr>
    </w:p>
    <w:p w14:paraId="0E374E1E">
      <w:pPr>
        <w:spacing w:line="262" w:lineRule="auto"/>
        <w:rPr>
          <w:rFonts w:hint="eastAsia" w:ascii="仿宋" w:hAnsi="仿宋" w:eastAsia="仿宋" w:cs="仿宋"/>
          <w:color w:val="auto"/>
          <w:sz w:val="21"/>
          <w:highlight w:val="none"/>
        </w:rPr>
      </w:pPr>
    </w:p>
    <w:p w14:paraId="0830E1BE">
      <w:pPr>
        <w:spacing w:line="263" w:lineRule="auto"/>
        <w:rPr>
          <w:rFonts w:hint="eastAsia" w:ascii="仿宋" w:hAnsi="仿宋" w:eastAsia="仿宋" w:cs="仿宋"/>
          <w:color w:val="auto"/>
          <w:sz w:val="21"/>
          <w:highlight w:val="none"/>
        </w:rPr>
      </w:pPr>
    </w:p>
    <w:p w14:paraId="731F93A3">
      <w:pPr>
        <w:spacing w:line="263" w:lineRule="auto"/>
        <w:rPr>
          <w:rFonts w:hint="eastAsia" w:ascii="仿宋" w:hAnsi="仿宋" w:eastAsia="仿宋" w:cs="仿宋"/>
          <w:color w:val="auto"/>
          <w:sz w:val="21"/>
          <w:highlight w:val="none"/>
        </w:rPr>
      </w:pPr>
    </w:p>
    <w:p w14:paraId="39F66008">
      <w:pPr>
        <w:spacing w:line="263" w:lineRule="auto"/>
        <w:rPr>
          <w:rFonts w:hint="eastAsia" w:ascii="仿宋" w:hAnsi="仿宋" w:eastAsia="仿宋" w:cs="仿宋"/>
          <w:color w:val="auto"/>
          <w:sz w:val="21"/>
          <w:highlight w:val="none"/>
        </w:rPr>
      </w:pPr>
    </w:p>
    <w:p w14:paraId="03F8DFC1">
      <w:pPr>
        <w:spacing w:line="263" w:lineRule="auto"/>
        <w:rPr>
          <w:rFonts w:hint="eastAsia" w:ascii="仿宋" w:hAnsi="仿宋" w:eastAsia="仿宋" w:cs="仿宋"/>
          <w:color w:val="auto"/>
          <w:sz w:val="21"/>
          <w:highlight w:val="none"/>
        </w:rPr>
      </w:pPr>
    </w:p>
    <w:p w14:paraId="7C8AE6AF">
      <w:pPr>
        <w:pStyle w:val="9"/>
        <w:spacing w:before="79" w:line="223" w:lineRule="auto"/>
        <w:ind w:left="496"/>
        <w:rPr>
          <w:rFonts w:hint="eastAsia" w:ascii="仿宋" w:hAnsi="仿宋" w:eastAsia="仿宋" w:cs="仿宋"/>
          <w:color w:val="auto"/>
          <w:sz w:val="20"/>
          <w:szCs w:val="20"/>
          <w:highlight w:val="none"/>
        </w:rPr>
      </w:pPr>
      <w:r>
        <w:rPr>
          <w:rFonts w:hint="eastAsia" w:ascii="仿宋" w:hAnsi="仿宋" w:eastAsia="仿宋" w:cs="仿宋"/>
          <w:color w:val="auto"/>
          <w:spacing w:val="-3"/>
          <w:sz w:val="24"/>
          <w:szCs w:val="24"/>
          <w:highlight w:val="none"/>
        </w:rPr>
        <w:t>项目名称：</w:t>
      </w:r>
      <w:r>
        <w:rPr>
          <w:rFonts w:hint="eastAsia" w:ascii="仿宋" w:hAnsi="仿宋" w:eastAsia="仿宋" w:cs="仿宋"/>
          <w:color w:val="auto"/>
          <w:spacing w:val="-3"/>
          <w:sz w:val="24"/>
          <w:szCs w:val="24"/>
          <w:highlight w:val="none"/>
          <w:u w:val="single"/>
          <w:lang w:val="en-US" w:eastAsia="zh-CN"/>
        </w:rPr>
        <w:t>荥阳市园林中心园林管护工人雇主责任险服务项目</w:t>
      </w:r>
    </w:p>
    <w:p w14:paraId="7C7BF9B9">
      <w:pPr>
        <w:spacing w:line="266" w:lineRule="auto"/>
        <w:rPr>
          <w:rFonts w:hint="eastAsia" w:ascii="仿宋" w:hAnsi="仿宋" w:eastAsia="仿宋" w:cs="仿宋"/>
          <w:color w:val="auto"/>
          <w:sz w:val="21"/>
          <w:highlight w:val="none"/>
        </w:rPr>
      </w:pPr>
    </w:p>
    <w:p w14:paraId="4AAA1C90">
      <w:pPr>
        <w:spacing w:line="267" w:lineRule="auto"/>
        <w:rPr>
          <w:rFonts w:hint="eastAsia" w:ascii="仿宋" w:hAnsi="仿宋" w:eastAsia="仿宋" w:cs="仿宋"/>
          <w:color w:val="auto"/>
          <w:sz w:val="21"/>
          <w:highlight w:val="none"/>
        </w:rPr>
      </w:pPr>
    </w:p>
    <w:p w14:paraId="22C0577F">
      <w:pPr>
        <w:spacing w:line="267" w:lineRule="auto"/>
        <w:rPr>
          <w:rFonts w:hint="eastAsia" w:ascii="仿宋" w:hAnsi="仿宋" w:eastAsia="仿宋" w:cs="仿宋"/>
          <w:color w:val="auto"/>
          <w:sz w:val="21"/>
          <w:highlight w:val="none"/>
        </w:rPr>
      </w:pPr>
    </w:p>
    <w:p w14:paraId="6E69280A">
      <w:pPr>
        <w:pStyle w:val="9"/>
        <w:spacing w:before="79" w:line="223" w:lineRule="auto"/>
        <w:ind w:left="512"/>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甲    方：</w:t>
      </w:r>
      <w:r>
        <w:rPr>
          <w:rFonts w:hint="eastAsia" w:ascii="仿宋" w:hAnsi="仿宋" w:eastAsia="仿宋" w:cs="仿宋"/>
          <w:color w:val="auto"/>
          <w:spacing w:val="32"/>
          <w:sz w:val="24"/>
          <w:szCs w:val="24"/>
          <w:highlight w:val="none"/>
          <w:u w:val="single" w:color="auto"/>
        </w:rPr>
        <w:t xml:space="preserve"> </w:t>
      </w:r>
      <w:r>
        <w:rPr>
          <w:rFonts w:hint="eastAsia" w:ascii="仿宋" w:hAnsi="仿宋" w:eastAsia="仿宋" w:cs="仿宋"/>
          <w:color w:val="auto"/>
          <w:spacing w:val="32"/>
          <w:sz w:val="24"/>
          <w:szCs w:val="24"/>
          <w:highlight w:val="none"/>
          <w:u w:val="single" w:color="auto"/>
          <w:lang w:val="en-US" w:eastAsia="zh-CN"/>
        </w:rPr>
        <w:t>荥阳市园林中心</w:t>
      </w:r>
      <w:r>
        <w:rPr>
          <w:rFonts w:hint="eastAsia" w:ascii="仿宋" w:hAnsi="仿宋" w:eastAsia="仿宋" w:cs="仿宋"/>
          <w:color w:val="auto"/>
          <w:sz w:val="24"/>
          <w:szCs w:val="24"/>
          <w:highlight w:val="none"/>
          <w:u w:val="single" w:color="auto"/>
        </w:rPr>
        <w:t xml:space="preserve">         </w:t>
      </w:r>
    </w:p>
    <w:p w14:paraId="1ADBFE19">
      <w:pPr>
        <w:spacing w:line="245" w:lineRule="auto"/>
        <w:rPr>
          <w:rFonts w:hint="eastAsia" w:ascii="仿宋" w:hAnsi="仿宋" w:eastAsia="仿宋" w:cs="仿宋"/>
          <w:color w:val="auto"/>
          <w:sz w:val="24"/>
          <w:szCs w:val="24"/>
          <w:highlight w:val="none"/>
        </w:rPr>
      </w:pPr>
    </w:p>
    <w:p w14:paraId="03FA8A3D">
      <w:pPr>
        <w:spacing w:line="245" w:lineRule="auto"/>
        <w:rPr>
          <w:rFonts w:hint="eastAsia" w:ascii="仿宋" w:hAnsi="仿宋" w:eastAsia="仿宋" w:cs="仿宋"/>
          <w:color w:val="auto"/>
          <w:sz w:val="24"/>
          <w:szCs w:val="24"/>
          <w:highlight w:val="none"/>
        </w:rPr>
      </w:pPr>
    </w:p>
    <w:p w14:paraId="6C3EF113">
      <w:pPr>
        <w:pStyle w:val="9"/>
        <w:spacing w:before="78" w:line="224" w:lineRule="auto"/>
        <w:ind w:left="486"/>
        <w:rPr>
          <w:rFonts w:hint="eastAsia" w:ascii="仿宋" w:hAnsi="仿宋" w:eastAsia="仿宋" w:cs="仿宋"/>
          <w:color w:val="auto"/>
          <w:sz w:val="24"/>
          <w:szCs w:val="24"/>
          <w:highlight w:val="none"/>
        </w:rPr>
      </w:pPr>
      <w:r>
        <w:rPr>
          <w:rFonts w:hint="eastAsia" w:ascii="仿宋" w:hAnsi="仿宋" w:eastAsia="仿宋" w:cs="仿宋"/>
          <w:color w:val="auto"/>
          <w:spacing w:val="-16"/>
          <w:sz w:val="24"/>
          <w:szCs w:val="24"/>
          <w:highlight w:val="none"/>
        </w:rPr>
        <w:t>乙</w:t>
      </w:r>
      <w:r>
        <w:rPr>
          <w:rFonts w:hint="eastAsia" w:ascii="仿宋" w:hAnsi="仿宋" w:eastAsia="仿宋" w:cs="仿宋"/>
          <w:color w:val="auto"/>
          <w:spacing w:val="7"/>
          <w:sz w:val="24"/>
          <w:szCs w:val="24"/>
          <w:highlight w:val="none"/>
        </w:rPr>
        <w:t xml:space="preserve">    </w:t>
      </w:r>
      <w:r>
        <w:rPr>
          <w:rFonts w:hint="eastAsia" w:ascii="仿宋" w:hAnsi="仿宋" w:eastAsia="仿宋" w:cs="仿宋"/>
          <w:color w:val="auto"/>
          <w:spacing w:val="-16"/>
          <w:sz w:val="24"/>
          <w:szCs w:val="24"/>
          <w:highlight w:val="none"/>
        </w:rPr>
        <w:t>方</w:t>
      </w:r>
      <w:r>
        <w:rPr>
          <w:rFonts w:hint="eastAsia" w:ascii="仿宋" w:hAnsi="仿宋" w:eastAsia="仿宋" w:cs="仿宋"/>
          <w:color w:val="auto"/>
          <w:spacing w:val="-67"/>
          <w:sz w:val="24"/>
          <w:szCs w:val="24"/>
          <w:highlight w:val="none"/>
        </w:rPr>
        <w:t xml:space="preserve"> </w:t>
      </w:r>
      <w:r>
        <w:rPr>
          <w:rFonts w:hint="eastAsia" w:ascii="仿宋" w:hAnsi="仿宋" w:eastAsia="仿宋" w:cs="仿宋"/>
          <w:color w:val="auto"/>
          <w:spacing w:val="-16"/>
          <w:sz w:val="24"/>
          <w:szCs w:val="24"/>
          <w:highlight w:val="none"/>
        </w:rPr>
        <w:t>：</w:t>
      </w:r>
      <w:r>
        <w:rPr>
          <w:rFonts w:hint="eastAsia" w:ascii="仿宋" w:hAnsi="仿宋" w:eastAsia="仿宋" w:cs="仿宋"/>
          <w:color w:val="auto"/>
          <w:sz w:val="24"/>
          <w:szCs w:val="24"/>
          <w:highlight w:val="none"/>
          <w:u w:val="single" w:color="auto"/>
        </w:rPr>
        <w:t xml:space="preserve">                                       </w:t>
      </w:r>
    </w:p>
    <w:p w14:paraId="7E4E7495">
      <w:pPr>
        <w:spacing w:line="245" w:lineRule="auto"/>
        <w:rPr>
          <w:rFonts w:hint="eastAsia" w:ascii="仿宋" w:hAnsi="仿宋" w:eastAsia="仿宋" w:cs="仿宋"/>
          <w:color w:val="auto"/>
          <w:sz w:val="24"/>
          <w:szCs w:val="24"/>
          <w:highlight w:val="none"/>
        </w:rPr>
      </w:pPr>
    </w:p>
    <w:p w14:paraId="14F733B1">
      <w:pPr>
        <w:spacing w:line="245" w:lineRule="auto"/>
        <w:rPr>
          <w:rFonts w:hint="eastAsia" w:ascii="仿宋" w:hAnsi="仿宋" w:eastAsia="仿宋" w:cs="仿宋"/>
          <w:color w:val="auto"/>
          <w:sz w:val="24"/>
          <w:szCs w:val="24"/>
          <w:highlight w:val="none"/>
        </w:rPr>
      </w:pPr>
    </w:p>
    <w:p w14:paraId="6DD59CA5">
      <w:pPr>
        <w:pStyle w:val="9"/>
        <w:spacing w:before="79" w:line="226" w:lineRule="auto"/>
        <w:ind w:left="46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签</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8"/>
          <w:sz w:val="24"/>
          <w:szCs w:val="24"/>
          <w:highlight w:val="none"/>
        </w:rPr>
        <w:t>订</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8"/>
          <w:sz w:val="24"/>
          <w:szCs w:val="24"/>
          <w:highlight w:val="none"/>
        </w:rPr>
        <w:t>地</w:t>
      </w:r>
      <w:r>
        <w:rPr>
          <w:rFonts w:hint="eastAsia" w:ascii="仿宋" w:hAnsi="仿宋" w:eastAsia="仿宋" w:cs="仿宋"/>
          <w:color w:val="auto"/>
          <w:spacing w:val="-68"/>
          <w:sz w:val="24"/>
          <w:szCs w:val="24"/>
          <w:highlight w:val="none"/>
        </w:rPr>
        <w:t xml:space="preserve"> </w:t>
      </w:r>
      <w:r>
        <w:rPr>
          <w:rFonts w:hint="eastAsia" w:ascii="仿宋" w:hAnsi="仿宋" w:eastAsia="仿宋" w:cs="仿宋"/>
          <w:color w:val="auto"/>
          <w:spacing w:val="-8"/>
          <w:sz w:val="24"/>
          <w:szCs w:val="24"/>
          <w:highlight w:val="none"/>
        </w:rPr>
        <w:t>：</w:t>
      </w:r>
      <w:r>
        <w:rPr>
          <w:rFonts w:hint="eastAsia" w:ascii="仿宋" w:hAnsi="仿宋" w:eastAsia="仿宋" w:cs="仿宋"/>
          <w:color w:val="auto"/>
          <w:sz w:val="24"/>
          <w:szCs w:val="24"/>
          <w:highlight w:val="none"/>
          <w:u w:val="single" w:color="auto"/>
        </w:rPr>
        <w:t xml:space="preserve">                                     </w:t>
      </w:r>
    </w:p>
    <w:p w14:paraId="188BEDD0">
      <w:pPr>
        <w:spacing w:line="243" w:lineRule="auto"/>
        <w:rPr>
          <w:rFonts w:hint="eastAsia" w:ascii="仿宋" w:hAnsi="仿宋" w:eastAsia="仿宋" w:cs="仿宋"/>
          <w:color w:val="auto"/>
          <w:sz w:val="24"/>
          <w:szCs w:val="24"/>
          <w:highlight w:val="none"/>
        </w:rPr>
      </w:pPr>
    </w:p>
    <w:p w14:paraId="01BBC9AB">
      <w:pPr>
        <w:spacing w:line="244" w:lineRule="auto"/>
        <w:rPr>
          <w:rFonts w:hint="eastAsia" w:ascii="仿宋" w:hAnsi="仿宋" w:eastAsia="仿宋" w:cs="仿宋"/>
          <w:color w:val="auto"/>
          <w:sz w:val="24"/>
          <w:szCs w:val="24"/>
          <w:highlight w:val="none"/>
        </w:rPr>
      </w:pPr>
    </w:p>
    <w:p w14:paraId="2E2FEAD5">
      <w:pPr>
        <w:pStyle w:val="9"/>
        <w:spacing w:before="79" w:line="223" w:lineRule="auto"/>
        <w:ind w:left="428"/>
        <w:rPr>
          <w:rFonts w:hint="eastAsia" w:ascii="仿宋" w:hAnsi="仿宋" w:eastAsia="仿宋" w:cs="仿宋"/>
          <w:color w:val="auto"/>
          <w:sz w:val="20"/>
          <w:szCs w:val="20"/>
          <w:highlight w:val="none"/>
        </w:rPr>
      </w:pPr>
      <w:r>
        <w:rPr>
          <w:rFonts w:hint="eastAsia" w:ascii="仿宋" w:hAnsi="仿宋" w:eastAsia="仿宋" w:cs="仿宋"/>
          <w:color w:val="auto"/>
          <w:spacing w:val="3"/>
          <w:sz w:val="24"/>
          <w:szCs w:val="24"/>
          <w:highlight w:val="none"/>
        </w:rPr>
        <w:t>签订日期：</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09"/>
          <w:sz w:val="24"/>
          <w:szCs w:val="24"/>
          <w:highlight w:val="none"/>
        </w:rPr>
        <w:t xml:space="preserve"> </w:t>
      </w:r>
      <w:r>
        <w:rPr>
          <w:rFonts w:hint="eastAsia" w:ascii="仿宋" w:hAnsi="仿宋" w:eastAsia="仿宋" w:cs="仿宋"/>
          <w:color w:val="auto"/>
          <w:spacing w:val="3"/>
          <w:sz w:val="24"/>
          <w:szCs w:val="24"/>
          <w:highlight w:val="none"/>
        </w:rPr>
        <w:t>年</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87"/>
          <w:sz w:val="24"/>
          <w:szCs w:val="24"/>
          <w:highlight w:val="none"/>
        </w:rPr>
        <w:t xml:space="preserve"> </w:t>
      </w:r>
      <w:r>
        <w:rPr>
          <w:rFonts w:hint="eastAsia" w:ascii="仿宋" w:hAnsi="仿宋" w:eastAsia="仿宋" w:cs="仿宋"/>
          <w:color w:val="auto"/>
          <w:spacing w:val="3"/>
          <w:sz w:val="24"/>
          <w:szCs w:val="24"/>
          <w:highlight w:val="none"/>
        </w:rPr>
        <w:t>月</w:t>
      </w:r>
      <w:r>
        <w:rPr>
          <w:rFonts w:hint="eastAsia" w:ascii="仿宋" w:hAnsi="仿宋" w:eastAsia="仿宋" w:cs="仿宋"/>
          <w:color w:val="auto"/>
          <w:spacing w:val="-98"/>
          <w:sz w:val="24"/>
          <w:szCs w:val="24"/>
          <w:highlight w:val="none"/>
        </w:rPr>
        <w:t xml:space="preserve">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6"/>
          <w:sz w:val="24"/>
          <w:szCs w:val="24"/>
          <w:highlight w:val="none"/>
        </w:rPr>
        <w:t xml:space="preserve"> </w:t>
      </w:r>
      <w:r>
        <w:rPr>
          <w:rFonts w:hint="eastAsia" w:ascii="仿宋" w:hAnsi="仿宋" w:eastAsia="仿宋" w:cs="仿宋"/>
          <w:color w:val="auto"/>
          <w:spacing w:val="3"/>
          <w:sz w:val="24"/>
          <w:szCs w:val="24"/>
          <w:highlight w:val="none"/>
        </w:rPr>
        <w:t>日</w:t>
      </w:r>
    </w:p>
    <w:p w14:paraId="126D906C">
      <w:pPr>
        <w:spacing w:line="296" w:lineRule="auto"/>
        <w:rPr>
          <w:rFonts w:hint="eastAsia" w:ascii="仿宋" w:hAnsi="仿宋" w:eastAsia="仿宋" w:cs="仿宋"/>
          <w:color w:val="auto"/>
          <w:sz w:val="21"/>
          <w:highlight w:val="none"/>
        </w:rPr>
      </w:pPr>
    </w:p>
    <w:p w14:paraId="70D9AD49">
      <w:pPr>
        <w:spacing w:line="296" w:lineRule="auto"/>
        <w:rPr>
          <w:rFonts w:hint="eastAsia" w:ascii="仿宋" w:hAnsi="仿宋" w:eastAsia="仿宋" w:cs="仿宋"/>
          <w:color w:val="auto"/>
          <w:sz w:val="21"/>
          <w:highlight w:val="none"/>
        </w:rPr>
      </w:pPr>
    </w:p>
    <w:p w14:paraId="2160CAB0">
      <w:pPr>
        <w:spacing w:line="297" w:lineRule="auto"/>
        <w:rPr>
          <w:rFonts w:hint="eastAsia" w:ascii="仿宋" w:hAnsi="仿宋" w:eastAsia="仿宋" w:cs="仿宋"/>
          <w:color w:val="auto"/>
          <w:sz w:val="21"/>
          <w:highlight w:val="none"/>
        </w:rPr>
      </w:pPr>
    </w:p>
    <w:p w14:paraId="74525199">
      <w:pPr>
        <w:spacing w:line="297" w:lineRule="auto"/>
        <w:rPr>
          <w:rFonts w:hint="eastAsia" w:ascii="仿宋" w:hAnsi="仿宋" w:eastAsia="仿宋" w:cs="仿宋"/>
          <w:color w:val="auto"/>
          <w:sz w:val="21"/>
          <w:highlight w:val="none"/>
        </w:rPr>
      </w:pPr>
    </w:p>
    <w:p w14:paraId="38272B89">
      <w:pPr>
        <w:spacing w:line="57" w:lineRule="exact"/>
        <w:rPr>
          <w:rFonts w:hint="eastAsia" w:ascii="仿宋" w:hAnsi="仿宋" w:eastAsia="仿宋" w:cs="仿宋"/>
          <w:color w:val="auto"/>
          <w:highlight w:val="none"/>
        </w:rPr>
      </w:pPr>
    </w:p>
    <w:p w14:paraId="613843C4">
      <w:pPr>
        <w:spacing w:line="57" w:lineRule="exact"/>
        <w:rPr>
          <w:rFonts w:hint="eastAsia" w:ascii="仿宋" w:hAnsi="仿宋" w:eastAsia="仿宋" w:cs="仿宋"/>
          <w:color w:val="auto"/>
          <w:highlight w:val="none"/>
        </w:rPr>
        <w:sectPr>
          <w:headerReference r:id="rId12" w:type="default"/>
          <w:footerReference r:id="rId13" w:type="default"/>
          <w:pgSz w:w="11907" w:h="16840"/>
          <w:pgMar w:top="1440" w:right="1080" w:bottom="1440" w:left="1080" w:header="1117" w:footer="1076" w:gutter="0"/>
          <w:cols w:space="720" w:num="1"/>
        </w:sectPr>
      </w:pPr>
    </w:p>
    <w:p w14:paraId="1E6C6293">
      <w:pPr>
        <w:spacing w:line="340" w:lineRule="auto"/>
        <w:rPr>
          <w:rFonts w:hint="eastAsia" w:ascii="仿宋" w:hAnsi="仿宋" w:eastAsia="仿宋" w:cs="仿宋"/>
          <w:color w:val="auto"/>
          <w:sz w:val="24"/>
          <w:szCs w:val="24"/>
          <w:highlight w:val="none"/>
        </w:rPr>
      </w:pPr>
    </w:p>
    <w:p w14:paraId="13930B3F">
      <w:pPr>
        <w:pStyle w:val="9"/>
        <w:tabs>
          <w:tab w:val="left" w:pos="1260"/>
        </w:tabs>
        <w:spacing w:before="65" w:line="360" w:lineRule="auto"/>
        <w:ind w:left="7" w:right="47" w:firstLine="41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91"/>
          <w:sz w:val="24"/>
          <w:szCs w:val="24"/>
          <w:highlight w:val="none"/>
        </w:rPr>
        <w:t xml:space="preserve"> </w:t>
      </w:r>
      <w:r>
        <w:rPr>
          <w:rFonts w:hint="eastAsia" w:ascii="仿宋" w:hAnsi="仿宋" w:eastAsia="仿宋" w:cs="仿宋"/>
          <w:color w:val="auto"/>
          <w:spacing w:val="5"/>
          <w:sz w:val="24"/>
          <w:szCs w:val="24"/>
          <w:highlight w:val="none"/>
        </w:rPr>
        <w:t>年</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86"/>
          <w:sz w:val="24"/>
          <w:szCs w:val="24"/>
          <w:highlight w:val="none"/>
        </w:rPr>
        <w:t xml:space="preserve"> </w:t>
      </w:r>
      <w:r>
        <w:rPr>
          <w:rFonts w:hint="eastAsia" w:ascii="仿宋" w:hAnsi="仿宋" w:eastAsia="仿宋" w:cs="仿宋"/>
          <w:color w:val="auto"/>
          <w:spacing w:val="5"/>
          <w:sz w:val="24"/>
          <w:szCs w:val="24"/>
          <w:highlight w:val="none"/>
        </w:rPr>
        <w:t>月</w:t>
      </w:r>
      <w:r>
        <w:rPr>
          <w:rFonts w:hint="eastAsia" w:ascii="仿宋" w:hAnsi="仿宋" w:eastAsia="仿宋" w:cs="仿宋"/>
          <w:color w:val="auto"/>
          <w:spacing w:val="-99"/>
          <w:sz w:val="24"/>
          <w:szCs w:val="24"/>
          <w:highlight w:val="none"/>
        </w:rPr>
        <w:t xml:space="preserve"> </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51"/>
          <w:sz w:val="24"/>
          <w:szCs w:val="24"/>
          <w:highlight w:val="none"/>
        </w:rPr>
        <w:t xml:space="preserve"> </w:t>
      </w:r>
      <w:r>
        <w:rPr>
          <w:rFonts w:hint="eastAsia" w:ascii="仿宋" w:hAnsi="仿宋" w:eastAsia="仿宋" w:cs="仿宋"/>
          <w:color w:val="auto"/>
          <w:spacing w:val="5"/>
          <w:sz w:val="24"/>
          <w:szCs w:val="24"/>
          <w:highlight w:val="none"/>
        </w:rPr>
        <w:t>日，</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lang w:val="en-US" w:eastAsia="zh-CN"/>
        </w:rPr>
        <w:t>荥阳市园林中心</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69"/>
          <w:sz w:val="24"/>
          <w:szCs w:val="24"/>
          <w:highlight w:val="none"/>
        </w:rPr>
        <w:t xml:space="preserve"> </w:t>
      </w:r>
      <w:r>
        <w:rPr>
          <w:rFonts w:hint="eastAsia" w:ascii="仿宋" w:hAnsi="仿宋" w:eastAsia="仿宋" w:cs="仿宋"/>
          <w:color w:val="auto"/>
          <w:spacing w:val="5"/>
          <w:sz w:val="24"/>
          <w:szCs w:val="24"/>
          <w:highlight w:val="none"/>
        </w:rPr>
        <w:t>以</w:t>
      </w:r>
      <w:r>
        <w:rPr>
          <w:rFonts w:hint="eastAsia" w:ascii="仿宋" w:hAnsi="仿宋" w:eastAsia="仿宋" w:cs="仿宋"/>
          <w:color w:val="auto"/>
          <w:spacing w:val="11"/>
          <w:sz w:val="24"/>
          <w:szCs w:val="24"/>
          <w:highlight w:val="none"/>
          <w:u w:val="single" w:color="auto"/>
        </w:rPr>
        <w:t xml:space="preserve">  </w:t>
      </w:r>
      <w:r>
        <w:rPr>
          <w:rFonts w:hint="eastAsia" w:ascii="仿宋" w:hAnsi="仿宋" w:eastAsia="仿宋" w:cs="仿宋"/>
          <w:color w:val="auto"/>
          <w:spacing w:val="4"/>
          <w:sz w:val="24"/>
          <w:szCs w:val="24"/>
          <w:highlight w:val="none"/>
          <w:u w:val="single" w:color="auto"/>
        </w:rPr>
        <w:t xml:space="preserve">竞争性磋商方式   </w:t>
      </w:r>
      <w:r>
        <w:rPr>
          <w:rFonts w:hint="eastAsia" w:ascii="仿宋" w:hAnsi="仿宋" w:eastAsia="仿宋" w:cs="仿宋"/>
          <w:color w:val="auto"/>
          <w:spacing w:val="-92"/>
          <w:sz w:val="24"/>
          <w:szCs w:val="24"/>
          <w:highlight w:val="none"/>
        </w:rPr>
        <w:t xml:space="preserve"> </w:t>
      </w:r>
      <w:r>
        <w:rPr>
          <w:rFonts w:hint="eastAsia" w:ascii="仿宋" w:hAnsi="仿宋" w:eastAsia="仿宋" w:cs="仿宋"/>
          <w:color w:val="auto"/>
          <w:spacing w:val="4"/>
          <w:sz w:val="24"/>
          <w:szCs w:val="24"/>
          <w:highlight w:val="none"/>
        </w:rPr>
        <w:t>对</w:t>
      </w:r>
      <w:r>
        <w:rPr>
          <w:rFonts w:hint="eastAsia" w:ascii="仿宋" w:hAnsi="仿宋" w:eastAsia="仿宋" w:cs="仿宋"/>
          <w:color w:val="auto"/>
          <w:spacing w:val="8"/>
          <w:sz w:val="24"/>
          <w:szCs w:val="24"/>
          <w:highlight w:val="none"/>
          <w:u w:val="single" w:color="auto"/>
        </w:rPr>
        <w:t xml:space="preserve">   </w:t>
      </w:r>
      <w:r>
        <w:rPr>
          <w:rFonts w:hint="eastAsia" w:ascii="仿宋" w:hAnsi="仿宋" w:eastAsia="仿宋" w:cs="仿宋"/>
          <w:color w:val="auto"/>
          <w:spacing w:val="8"/>
          <w:sz w:val="24"/>
          <w:szCs w:val="24"/>
          <w:highlight w:val="none"/>
          <w:u w:val="single" w:color="auto"/>
          <w:lang w:val="en-US" w:eastAsia="zh-CN"/>
        </w:rPr>
        <w:t>荥阳市园林中心园林管护工人雇主责任险服务项目</w:t>
      </w:r>
      <w:r>
        <w:rPr>
          <w:rFonts w:hint="eastAsia" w:ascii="仿宋" w:hAnsi="仿宋" w:eastAsia="仿宋" w:cs="仿宋"/>
          <w:color w:val="auto"/>
          <w:spacing w:val="9"/>
          <w:sz w:val="24"/>
          <w:szCs w:val="24"/>
          <w:highlight w:val="none"/>
          <w:u w:val="single" w:color="auto"/>
        </w:rPr>
        <w:t xml:space="preserve"> </w:t>
      </w:r>
      <w:r>
        <w:rPr>
          <w:rFonts w:hint="eastAsia" w:ascii="仿宋" w:hAnsi="仿宋" w:eastAsia="仿宋" w:cs="仿宋"/>
          <w:color w:val="auto"/>
          <w:spacing w:val="9"/>
          <w:sz w:val="24"/>
          <w:szCs w:val="24"/>
          <w:highlight w:val="none"/>
        </w:rPr>
        <w:t>进行了采购。经</w:t>
      </w:r>
      <w:r>
        <w:rPr>
          <w:rFonts w:hint="eastAsia" w:ascii="仿宋" w:hAnsi="仿宋" w:eastAsia="仿宋" w:cs="仿宋"/>
          <w:color w:val="auto"/>
          <w:spacing w:val="9"/>
          <w:sz w:val="24"/>
          <w:szCs w:val="24"/>
          <w:highlight w:val="none"/>
          <w:u w:val="single" w:color="auto"/>
        </w:rPr>
        <w:t xml:space="preserve">   （相关</w:t>
      </w:r>
      <w:r>
        <w:rPr>
          <w:rFonts w:hint="eastAsia" w:ascii="仿宋" w:hAnsi="仿宋" w:eastAsia="仿宋" w:cs="仿宋"/>
          <w:color w:val="auto"/>
          <w:spacing w:val="10"/>
          <w:sz w:val="24"/>
          <w:szCs w:val="24"/>
          <w:highlight w:val="none"/>
          <w:u w:val="single" w:color="auto"/>
        </w:rPr>
        <w:t xml:space="preserve">评定主体名称）   </w:t>
      </w:r>
      <w:r>
        <w:rPr>
          <w:rFonts w:hint="eastAsia" w:ascii="仿宋" w:hAnsi="仿宋" w:eastAsia="仿宋" w:cs="仿宋"/>
          <w:color w:val="auto"/>
          <w:spacing w:val="-91"/>
          <w:sz w:val="24"/>
          <w:szCs w:val="24"/>
          <w:highlight w:val="none"/>
        </w:rPr>
        <w:t xml:space="preserve"> </w:t>
      </w:r>
      <w:r>
        <w:rPr>
          <w:rFonts w:hint="eastAsia" w:ascii="仿宋" w:hAnsi="仿宋" w:eastAsia="仿宋" w:cs="仿宋"/>
          <w:color w:val="auto"/>
          <w:spacing w:val="10"/>
          <w:sz w:val="24"/>
          <w:szCs w:val="24"/>
          <w:highlight w:val="none"/>
        </w:rPr>
        <w:t>评定</w:t>
      </w:r>
      <w:r>
        <w:rPr>
          <w:rFonts w:hint="eastAsia" w:ascii="仿宋" w:hAnsi="仿宋" w:eastAsia="仿宋" w:cs="仿宋"/>
          <w:color w:val="auto"/>
          <w:spacing w:val="-19"/>
          <w:sz w:val="24"/>
          <w:szCs w:val="24"/>
          <w:highlight w:val="none"/>
        </w:rPr>
        <w:t>，</w:t>
      </w:r>
      <w:r>
        <w:rPr>
          <w:rFonts w:hint="eastAsia" w:ascii="仿宋" w:hAnsi="仿宋" w:eastAsia="仿宋" w:cs="仿宋"/>
          <w:color w:val="auto"/>
          <w:spacing w:val="11"/>
          <w:sz w:val="24"/>
          <w:szCs w:val="24"/>
          <w:highlight w:val="none"/>
          <w:u w:val="single" w:color="auto"/>
        </w:rPr>
        <w:t xml:space="preserve"> </w:t>
      </w:r>
      <w:r>
        <w:rPr>
          <w:rFonts w:hint="eastAsia" w:ascii="仿宋" w:hAnsi="仿宋" w:eastAsia="仿宋" w:cs="仿宋"/>
          <w:color w:val="auto"/>
          <w:spacing w:val="-19"/>
          <w:sz w:val="24"/>
          <w:szCs w:val="24"/>
          <w:highlight w:val="none"/>
          <w:u w:val="single" w:color="auto"/>
        </w:rPr>
        <w:t>（</w:t>
      </w:r>
      <w:r>
        <w:rPr>
          <w:rFonts w:hint="eastAsia" w:ascii="仿宋" w:hAnsi="仿宋" w:eastAsia="仿宋" w:cs="仿宋"/>
          <w:color w:val="auto"/>
          <w:spacing w:val="10"/>
          <w:sz w:val="24"/>
          <w:szCs w:val="24"/>
          <w:highlight w:val="none"/>
          <w:u w:val="single" w:color="auto"/>
        </w:rPr>
        <w:t xml:space="preserve">中标或者成交供应商名称） </w:t>
      </w:r>
      <w:r>
        <w:rPr>
          <w:rFonts w:hint="eastAsia" w:ascii="仿宋" w:hAnsi="仿宋" w:eastAsia="仿宋" w:cs="仿宋"/>
          <w:color w:val="auto"/>
          <w:spacing w:val="-89"/>
          <w:sz w:val="24"/>
          <w:szCs w:val="24"/>
          <w:highlight w:val="none"/>
        </w:rPr>
        <w:t xml:space="preserve"> </w:t>
      </w:r>
      <w:r>
        <w:rPr>
          <w:rFonts w:hint="eastAsia" w:ascii="仿宋" w:hAnsi="仿宋" w:eastAsia="仿宋" w:cs="仿宋"/>
          <w:color w:val="auto"/>
          <w:spacing w:val="10"/>
          <w:sz w:val="24"/>
          <w:szCs w:val="24"/>
          <w:highlight w:val="none"/>
        </w:rPr>
        <w:t>为该项目中标或者成交供应商。现于</w:t>
      </w:r>
      <w:r>
        <w:rPr>
          <w:rFonts w:hint="eastAsia" w:ascii="仿宋" w:hAnsi="仿宋" w:eastAsia="仿宋" w:cs="仿宋"/>
          <w:color w:val="auto"/>
          <w:spacing w:val="8"/>
          <w:sz w:val="24"/>
          <w:szCs w:val="24"/>
          <w:highlight w:val="none"/>
        </w:rPr>
        <w:t>中标或者成交通知书发出之日起</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pacing w:val="8"/>
          <w:sz w:val="24"/>
          <w:szCs w:val="24"/>
          <w:highlight w:val="none"/>
        </w:rPr>
        <w:t>1</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8"/>
          <w:sz w:val="24"/>
          <w:szCs w:val="24"/>
          <w:highlight w:val="none"/>
        </w:rPr>
        <w:t>个工作日内，按照采购文件确定的事项签订本合同。</w:t>
      </w:r>
    </w:p>
    <w:p w14:paraId="56722BA2">
      <w:pPr>
        <w:pStyle w:val="9"/>
        <w:tabs>
          <w:tab w:val="left" w:pos="118"/>
          <w:tab w:val="left" w:pos="8819"/>
        </w:tabs>
        <w:spacing w:before="2" w:line="360" w:lineRule="auto"/>
        <w:ind w:right="45" w:firstLine="428"/>
        <w:jc w:val="both"/>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根据《中华人民共和国民法典》《中华人民共和国政府采购法》</w:t>
      </w:r>
      <w:r>
        <w:rPr>
          <w:rFonts w:hint="eastAsia" w:ascii="仿宋" w:hAnsi="仿宋" w:eastAsia="仿宋" w:cs="仿宋"/>
          <w:color w:val="auto"/>
          <w:spacing w:val="9"/>
          <w:sz w:val="24"/>
          <w:szCs w:val="24"/>
          <w:highlight w:val="none"/>
        </w:rPr>
        <w:t>等相关法律法规之规定，按</w:t>
      </w:r>
      <w:r>
        <w:rPr>
          <w:rFonts w:hint="eastAsia" w:ascii="仿宋" w:hAnsi="仿宋" w:eastAsia="仿宋" w:cs="仿宋"/>
          <w:color w:val="auto"/>
          <w:spacing w:val="6"/>
          <w:sz w:val="24"/>
          <w:szCs w:val="24"/>
          <w:highlight w:val="none"/>
        </w:rPr>
        <w:t>照平等、</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pacing w:val="6"/>
          <w:sz w:val="24"/>
          <w:szCs w:val="24"/>
          <w:highlight w:val="none"/>
        </w:rPr>
        <w:t>自愿、公平和诚实信用的原则，经</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u w:val="single" w:color="auto"/>
          <w:lang w:val="en-US" w:eastAsia="zh-CN"/>
        </w:rPr>
        <w:t>荥阳市园林中心</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54"/>
          <w:sz w:val="24"/>
          <w:szCs w:val="24"/>
          <w:highlight w:val="none"/>
        </w:rPr>
        <w:t xml:space="preserve"> </w:t>
      </w:r>
      <w:r>
        <w:rPr>
          <w:rFonts w:hint="eastAsia" w:ascii="仿宋" w:hAnsi="仿宋" w:eastAsia="仿宋" w:cs="仿宋"/>
          <w:color w:val="auto"/>
          <w:spacing w:val="5"/>
          <w:sz w:val="24"/>
          <w:szCs w:val="24"/>
          <w:highlight w:val="none"/>
        </w:rPr>
        <w:t>(以下简称：</w:t>
      </w:r>
      <w:r>
        <w:rPr>
          <w:rFonts w:hint="eastAsia" w:ascii="仿宋" w:hAnsi="仿宋" w:eastAsia="仿宋" w:cs="仿宋"/>
          <w:color w:val="auto"/>
          <w:spacing w:val="-54"/>
          <w:sz w:val="24"/>
          <w:szCs w:val="24"/>
          <w:highlight w:val="none"/>
        </w:rPr>
        <w:t xml:space="preserve"> </w:t>
      </w:r>
      <w:r>
        <w:rPr>
          <w:rFonts w:hint="eastAsia" w:ascii="仿宋" w:hAnsi="仿宋" w:eastAsia="仿宋" w:cs="仿宋"/>
          <w:color w:val="auto"/>
          <w:spacing w:val="5"/>
          <w:sz w:val="24"/>
          <w:szCs w:val="24"/>
          <w:highlight w:val="none"/>
        </w:rPr>
        <w:t>甲方)和</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u w:val="single" w:color="auto"/>
        </w:rPr>
        <w:t xml:space="preserve">（中或者成交标供应商名称）   </w:t>
      </w:r>
      <w:r>
        <w:rPr>
          <w:rFonts w:hint="eastAsia" w:ascii="仿宋" w:hAnsi="仿宋" w:eastAsia="仿宋" w:cs="仿宋"/>
          <w:color w:val="auto"/>
          <w:spacing w:val="-54"/>
          <w:sz w:val="24"/>
          <w:szCs w:val="24"/>
          <w:highlight w:val="none"/>
        </w:rPr>
        <w:t xml:space="preserve"> </w:t>
      </w:r>
      <w:r>
        <w:rPr>
          <w:rFonts w:hint="eastAsia" w:ascii="仿宋" w:hAnsi="仿宋" w:eastAsia="仿宋" w:cs="仿宋"/>
          <w:color w:val="auto"/>
          <w:spacing w:val="6"/>
          <w:sz w:val="24"/>
          <w:szCs w:val="24"/>
          <w:highlight w:val="none"/>
        </w:rPr>
        <w:t>(以下简称：乙方)协商</w:t>
      </w:r>
      <w:r>
        <w:rPr>
          <w:rFonts w:hint="eastAsia" w:ascii="仿宋" w:hAnsi="仿宋" w:eastAsia="仿宋" w:cs="仿宋"/>
          <w:color w:val="auto"/>
          <w:spacing w:val="5"/>
          <w:sz w:val="24"/>
          <w:szCs w:val="24"/>
          <w:highlight w:val="none"/>
        </w:rPr>
        <w:t>一致，约定以下合同条款，以兹共同遵</w:t>
      </w:r>
      <w:r>
        <w:rPr>
          <w:rFonts w:hint="eastAsia" w:ascii="仿宋" w:hAnsi="仿宋" w:eastAsia="仿宋" w:cs="仿宋"/>
          <w:color w:val="auto"/>
          <w:spacing w:val="8"/>
          <w:sz w:val="24"/>
          <w:szCs w:val="24"/>
          <w:highlight w:val="none"/>
        </w:rPr>
        <w:t>守、全面履行。</w:t>
      </w:r>
    </w:p>
    <w:p w14:paraId="570A1179">
      <w:pPr>
        <w:pStyle w:val="9"/>
        <w:spacing w:line="360" w:lineRule="auto"/>
        <w:ind w:left="443"/>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1.1</w:t>
      </w:r>
      <w:r>
        <w:rPr>
          <w:rFonts w:hint="eastAsia" w:ascii="仿宋" w:hAnsi="仿宋" w:eastAsia="仿宋" w:cs="仿宋"/>
          <w:color w:val="auto"/>
          <w:spacing w:val="4"/>
          <w:sz w:val="24"/>
          <w:szCs w:val="24"/>
          <w:highlight w:val="none"/>
        </w:rPr>
        <w:t xml:space="preserve"> </w:t>
      </w:r>
      <w:r>
        <w:rPr>
          <w:rFonts w:hint="eastAsia" w:ascii="仿宋" w:hAnsi="仿宋" w:eastAsia="仿宋" w:cs="仿宋"/>
          <w:b/>
          <w:bCs/>
          <w:color w:val="auto"/>
          <w:spacing w:val="4"/>
          <w:sz w:val="24"/>
          <w:szCs w:val="24"/>
          <w:highlight w:val="none"/>
        </w:rPr>
        <w:t>合同组成部分</w:t>
      </w:r>
    </w:p>
    <w:p w14:paraId="40AF0E8D">
      <w:pPr>
        <w:pStyle w:val="9"/>
        <w:spacing w:before="130" w:line="360" w:lineRule="auto"/>
        <w:ind w:left="7" w:right="47" w:firstLine="427"/>
        <w:jc w:val="both"/>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下列文件为本合同的组成部分，并构成一个整体</w:t>
      </w:r>
      <w:r>
        <w:rPr>
          <w:rFonts w:hint="eastAsia" w:ascii="仿宋" w:hAnsi="仿宋" w:eastAsia="仿宋" w:cs="仿宋"/>
          <w:color w:val="auto"/>
          <w:spacing w:val="9"/>
          <w:sz w:val="24"/>
          <w:szCs w:val="24"/>
          <w:highlight w:val="none"/>
        </w:rPr>
        <w:t>，需综合解释、相互补充。如果下列文件内</w:t>
      </w:r>
      <w:r>
        <w:rPr>
          <w:rFonts w:hint="eastAsia" w:ascii="仿宋" w:hAnsi="仿宋" w:eastAsia="仿宋" w:cs="仿宋"/>
          <w:color w:val="auto"/>
          <w:spacing w:val="10"/>
          <w:sz w:val="24"/>
          <w:szCs w:val="24"/>
          <w:highlight w:val="none"/>
        </w:rPr>
        <w:t>容出现不一致的情形，那么在保证按照采购文件确定的事项的前提下，</w:t>
      </w:r>
      <w:r>
        <w:rPr>
          <w:rFonts w:hint="eastAsia" w:ascii="仿宋" w:hAnsi="仿宋" w:eastAsia="仿宋" w:cs="仿宋"/>
          <w:color w:val="auto"/>
          <w:spacing w:val="9"/>
          <w:sz w:val="24"/>
          <w:szCs w:val="24"/>
          <w:highlight w:val="none"/>
        </w:rPr>
        <w:t>组成本合同的多个文件的</w:t>
      </w:r>
      <w:r>
        <w:rPr>
          <w:rFonts w:hint="eastAsia" w:ascii="仿宋" w:hAnsi="仿宋" w:eastAsia="仿宋" w:cs="仿宋"/>
          <w:color w:val="auto"/>
          <w:spacing w:val="7"/>
          <w:sz w:val="24"/>
          <w:szCs w:val="24"/>
          <w:highlight w:val="none"/>
        </w:rPr>
        <w:t>优先适用顺序如下：</w:t>
      </w:r>
    </w:p>
    <w:p w14:paraId="657CFAAA">
      <w:pPr>
        <w:pStyle w:val="9"/>
        <w:spacing w:before="1" w:line="360" w:lineRule="auto"/>
        <w:ind w:left="443"/>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1.1.1 本合同及其补充合同、变更协议；</w:t>
      </w:r>
    </w:p>
    <w:p w14:paraId="7D76425F">
      <w:pPr>
        <w:pStyle w:val="9"/>
        <w:spacing w:before="135" w:line="360" w:lineRule="auto"/>
        <w:ind w:left="443"/>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1.1.2</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4"/>
          <w:sz w:val="24"/>
          <w:szCs w:val="24"/>
          <w:highlight w:val="none"/>
        </w:rPr>
        <w:t>中标或者成交通知书；</w:t>
      </w:r>
    </w:p>
    <w:p w14:paraId="2C199452">
      <w:pPr>
        <w:pStyle w:val="9"/>
        <w:spacing w:before="133" w:line="360" w:lineRule="auto"/>
        <w:ind w:left="443"/>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1.1.3 投标或者响应文件（含澄清或者说明文件</w:t>
      </w:r>
      <w:r>
        <w:rPr>
          <w:rFonts w:hint="eastAsia" w:ascii="仿宋" w:hAnsi="仿宋" w:eastAsia="仿宋" w:cs="仿宋"/>
          <w:color w:val="auto"/>
          <w:spacing w:val="6"/>
          <w:sz w:val="24"/>
          <w:szCs w:val="24"/>
          <w:highlight w:val="none"/>
        </w:rPr>
        <w:t>）；</w:t>
      </w:r>
    </w:p>
    <w:p w14:paraId="46B0C96B">
      <w:pPr>
        <w:pStyle w:val="9"/>
        <w:spacing w:before="131" w:line="360" w:lineRule="auto"/>
        <w:ind w:left="443"/>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1.1.4 采购文件（含澄清或者修改文件</w:t>
      </w:r>
      <w:r>
        <w:rPr>
          <w:rFonts w:hint="eastAsia" w:ascii="仿宋" w:hAnsi="仿宋" w:eastAsia="仿宋" w:cs="仿宋"/>
          <w:color w:val="auto"/>
          <w:sz w:val="24"/>
          <w:szCs w:val="24"/>
          <w:highlight w:val="none"/>
        </w:rPr>
        <w:t>）；</w:t>
      </w:r>
    </w:p>
    <w:p w14:paraId="2FD833A1">
      <w:pPr>
        <w:pStyle w:val="9"/>
        <w:spacing w:before="135" w:line="360" w:lineRule="auto"/>
        <w:ind w:left="443"/>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1.1.5 其他相关采购文件。</w:t>
      </w:r>
    </w:p>
    <w:p w14:paraId="28735C57">
      <w:pPr>
        <w:pStyle w:val="9"/>
        <w:spacing w:before="132" w:line="360" w:lineRule="auto"/>
        <w:ind w:left="443"/>
        <w:rPr>
          <w:rFonts w:hint="eastAsia" w:ascii="仿宋" w:hAnsi="仿宋" w:eastAsia="仿宋" w:cs="仿宋"/>
          <w:color w:val="auto"/>
          <w:sz w:val="24"/>
          <w:szCs w:val="24"/>
          <w:highlight w:val="none"/>
        </w:rPr>
      </w:pPr>
      <w:r>
        <w:rPr>
          <w:rFonts w:hint="eastAsia" w:ascii="仿宋" w:hAnsi="仿宋" w:eastAsia="仿宋" w:cs="仿宋"/>
          <w:b/>
          <w:bCs/>
          <w:color w:val="auto"/>
          <w:spacing w:val="-1"/>
          <w:sz w:val="24"/>
          <w:szCs w:val="24"/>
          <w:highlight w:val="none"/>
        </w:rPr>
        <w:t>1.2</w:t>
      </w:r>
      <w:r>
        <w:rPr>
          <w:rFonts w:hint="eastAsia" w:ascii="仿宋" w:hAnsi="仿宋" w:eastAsia="仿宋" w:cs="仿宋"/>
          <w:color w:val="auto"/>
          <w:spacing w:val="13"/>
          <w:sz w:val="24"/>
          <w:szCs w:val="24"/>
          <w:highlight w:val="none"/>
        </w:rPr>
        <w:t xml:space="preserve"> </w:t>
      </w:r>
      <w:r>
        <w:rPr>
          <w:rFonts w:hint="eastAsia" w:ascii="仿宋" w:hAnsi="仿宋" w:eastAsia="仿宋" w:cs="仿宋"/>
          <w:b/>
          <w:bCs/>
          <w:color w:val="auto"/>
          <w:spacing w:val="-1"/>
          <w:sz w:val="24"/>
          <w:szCs w:val="24"/>
          <w:highlight w:val="none"/>
        </w:rPr>
        <w:t>标的</w:t>
      </w:r>
    </w:p>
    <w:p w14:paraId="204B94D5">
      <w:pPr>
        <w:pStyle w:val="9"/>
        <w:spacing w:before="132" w:line="360" w:lineRule="auto"/>
        <w:ind w:left="443"/>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1.2.1 服务内容</w:t>
      </w:r>
      <w:r>
        <w:rPr>
          <w:rFonts w:hint="eastAsia" w:ascii="仿宋" w:hAnsi="仿宋" w:eastAsia="仿宋" w:cs="仿宋"/>
          <w:color w:val="auto"/>
          <w:spacing w:val="7"/>
          <w:sz w:val="24"/>
          <w:szCs w:val="24"/>
          <w:highlight w:val="none"/>
        </w:rPr>
        <w:t>：</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7"/>
          <w:sz w:val="24"/>
          <w:szCs w:val="24"/>
          <w:highlight w:val="none"/>
        </w:rPr>
        <w:t>；</w:t>
      </w:r>
    </w:p>
    <w:p w14:paraId="1075B9D7">
      <w:pPr>
        <w:pStyle w:val="9"/>
        <w:spacing w:before="134" w:line="360" w:lineRule="auto"/>
        <w:ind w:left="443"/>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1.2.2 服务标准</w:t>
      </w:r>
      <w:r>
        <w:rPr>
          <w:rFonts w:hint="eastAsia" w:ascii="仿宋" w:hAnsi="仿宋" w:eastAsia="仿宋" w:cs="仿宋"/>
          <w:color w:val="auto"/>
          <w:spacing w:val="7"/>
          <w:sz w:val="24"/>
          <w:szCs w:val="24"/>
          <w:highlight w:val="none"/>
        </w:rPr>
        <w:t>：</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7"/>
          <w:sz w:val="24"/>
          <w:szCs w:val="24"/>
          <w:highlight w:val="none"/>
        </w:rPr>
        <w:t>；</w:t>
      </w:r>
    </w:p>
    <w:p w14:paraId="1EAC0B3E">
      <w:pPr>
        <w:pStyle w:val="9"/>
        <w:spacing w:before="132" w:line="360" w:lineRule="auto"/>
        <w:ind w:left="443"/>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1.2.3 技术保障</w:t>
      </w:r>
      <w:r>
        <w:rPr>
          <w:rFonts w:hint="eastAsia" w:ascii="仿宋" w:hAnsi="仿宋" w:eastAsia="仿宋" w:cs="仿宋"/>
          <w:color w:val="auto"/>
          <w:spacing w:val="7"/>
          <w:sz w:val="24"/>
          <w:szCs w:val="24"/>
          <w:highlight w:val="none"/>
        </w:rPr>
        <w:t>：</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7"/>
          <w:sz w:val="24"/>
          <w:szCs w:val="24"/>
          <w:highlight w:val="none"/>
          <w:u w:val="none" w:color="auto"/>
        </w:rPr>
        <w:t>；</w:t>
      </w:r>
    </w:p>
    <w:p w14:paraId="510DECEC">
      <w:pPr>
        <w:pStyle w:val="9"/>
        <w:spacing w:before="133" w:line="360" w:lineRule="auto"/>
        <w:ind w:left="443"/>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1.2.4 服务人员组成</w:t>
      </w:r>
      <w:r>
        <w:rPr>
          <w:rFonts w:hint="eastAsia" w:ascii="仿宋" w:hAnsi="仿宋" w:eastAsia="仿宋" w:cs="仿宋"/>
          <w:color w:val="auto"/>
          <w:spacing w:val="7"/>
          <w:sz w:val="24"/>
          <w:szCs w:val="24"/>
          <w:highlight w:val="none"/>
        </w:rPr>
        <w:t>：</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lang w:val="en-US" w:eastAsia="zh-CN"/>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7"/>
          <w:sz w:val="24"/>
          <w:szCs w:val="24"/>
          <w:highlight w:val="none"/>
        </w:rPr>
        <w:t>；</w:t>
      </w:r>
    </w:p>
    <w:p w14:paraId="14EDBB03">
      <w:pPr>
        <w:pStyle w:val="9"/>
        <w:spacing w:before="134" w:line="360" w:lineRule="auto"/>
        <w:ind w:left="503"/>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1.2.5</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7"/>
          <w:sz w:val="24"/>
          <w:szCs w:val="24"/>
          <w:highlight w:val="none"/>
        </w:rPr>
        <w:t>合同</w:t>
      </w:r>
      <w:r>
        <w:rPr>
          <w:rFonts w:hint="eastAsia" w:ascii="仿宋" w:hAnsi="仿宋" w:eastAsia="仿宋" w:cs="仿宋"/>
          <w:color w:val="auto"/>
          <w:spacing w:val="7"/>
          <w:sz w:val="24"/>
          <w:szCs w:val="24"/>
          <w:highlight w:val="none"/>
          <w:u w:val="single" w:color="auto"/>
        </w:rPr>
        <w:t xml:space="preserve">  否   </w:t>
      </w:r>
      <w:r>
        <w:rPr>
          <w:rFonts w:hint="eastAsia" w:ascii="仿宋" w:hAnsi="仿宋" w:eastAsia="仿宋" w:cs="仿宋"/>
          <w:color w:val="auto"/>
          <w:spacing w:val="7"/>
          <w:sz w:val="24"/>
          <w:szCs w:val="24"/>
          <w:highlight w:val="none"/>
        </w:rPr>
        <w:t>（是/否）涉及货物</w:t>
      </w:r>
      <w:r>
        <w:rPr>
          <w:rFonts w:hint="eastAsia" w:ascii="仿宋" w:hAnsi="仿宋" w:eastAsia="仿宋" w:cs="仿宋"/>
          <w:color w:val="auto"/>
          <w:spacing w:val="6"/>
          <w:sz w:val="24"/>
          <w:szCs w:val="24"/>
          <w:highlight w:val="none"/>
        </w:rPr>
        <w:t>。若涉及货物的的。</w:t>
      </w:r>
    </w:p>
    <w:p w14:paraId="08442410">
      <w:pPr>
        <w:pStyle w:val="9"/>
        <w:spacing w:before="132" w:line="360" w:lineRule="auto"/>
        <w:ind w:left="443"/>
        <w:rPr>
          <w:rFonts w:hint="eastAsia" w:ascii="仿宋" w:hAnsi="仿宋" w:eastAsia="仿宋" w:cs="仿宋"/>
          <w:color w:val="auto"/>
          <w:sz w:val="24"/>
          <w:szCs w:val="24"/>
          <w:highlight w:val="none"/>
        </w:rPr>
      </w:pPr>
      <w:r>
        <w:rPr>
          <w:rFonts w:hint="eastAsia" w:ascii="仿宋" w:hAnsi="仿宋" w:eastAsia="仿宋" w:cs="仿宋"/>
          <w:b/>
          <w:bCs/>
          <w:color w:val="auto"/>
          <w:spacing w:val="-1"/>
          <w:sz w:val="24"/>
          <w:szCs w:val="24"/>
          <w:highlight w:val="none"/>
        </w:rPr>
        <w:t>1.3</w:t>
      </w:r>
      <w:r>
        <w:rPr>
          <w:rFonts w:hint="eastAsia" w:ascii="仿宋" w:hAnsi="仿宋" w:eastAsia="仿宋" w:cs="仿宋"/>
          <w:color w:val="auto"/>
          <w:spacing w:val="13"/>
          <w:sz w:val="24"/>
          <w:szCs w:val="24"/>
          <w:highlight w:val="none"/>
        </w:rPr>
        <w:t xml:space="preserve"> </w:t>
      </w:r>
      <w:r>
        <w:rPr>
          <w:rFonts w:hint="eastAsia" w:ascii="仿宋" w:hAnsi="仿宋" w:eastAsia="仿宋" w:cs="仿宋"/>
          <w:b/>
          <w:bCs/>
          <w:color w:val="auto"/>
          <w:spacing w:val="-1"/>
          <w:sz w:val="24"/>
          <w:szCs w:val="24"/>
          <w:highlight w:val="none"/>
        </w:rPr>
        <w:t>价款</w:t>
      </w:r>
    </w:p>
    <w:p w14:paraId="412250E3">
      <w:pPr>
        <w:pStyle w:val="9"/>
        <w:spacing w:before="133" w:line="360" w:lineRule="auto"/>
        <w:ind w:left="42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本项目采用以下第</w:t>
      </w:r>
      <w:r>
        <w:rPr>
          <w:rFonts w:hint="eastAsia" w:ascii="仿宋" w:hAnsi="仿宋" w:eastAsia="仿宋" w:cs="仿宋"/>
          <w:color w:val="auto"/>
          <w:spacing w:val="7"/>
          <w:sz w:val="24"/>
          <w:szCs w:val="24"/>
          <w:highlight w:val="none"/>
          <w:u w:val="single" w:color="auto"/>
        </w:rPr>
        <w:t xml:space="preserve">   2  </w:t>
      </w:r>
      <w:r>
        <w:rPr>
          <w:rFonts w:hint="eastAsia" w:ascii="仿宋" w:hAnsi="仿宋" w:eastAsia="仿宋" w:cs="仿宋"/>
          <w:color w:val="auto"/>
          <w:spacing w:val="-75"/>
          <w:sz w:val="24"/>
          <w:szCs w:val="24"/>
          <w:highlight w:val="none"/>
        </w:rPr>
        <w:t xml:space="preserve"> </w:t>
      </w:r>
      <w:r>
        <w:rPr>
          <w:rFonts w:hint="eastAsia" w:ascii="仿宋" w:hAnsi="仿宋" w:eastAsia="仿宋" w:cs="仿宋"/>
          <w:color w:val="auto"/>
          <w:spacing w:val="7"/>
          <w:sz w:val="24"/>
          <w:szCs w:val="24"/>
          <w:highlight w:val="none"/>
        </w:rPr>
        <w:t>条款规定的计价方式计价。</w:t>
      </w:r>
    </w:p>
    <w:p w14:paraId="7DD843F2">
      <w:pPr>
        <w:pStyle w:val="9"/>
        <w:spacing w:before="136" w:line="360" w:lineRule="auto"/>
        <w:ind w:left="10" w:right="99" w:firstLine="433"/>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1.3.1</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5"/>
          <w:sz w:val="24"/>
          <w:szCs w:val="24"/>
          <w:highlight w:val="none"/>
        </w:rPr>
        <w:t>总价合同，本合同总价（含税）为：</w:t>
      </w:r>
      <w:r>
        <w:rPr>
          <w:rFonts w:hint="eastAsia" w:ascii="仿宋" w:hAnsi="仿宋" w:eastAsia="仿宋" w:cs="仿宋"/>
          <w:color w:val="auto"/>
          <w:spacing w:val="-71"/>
          <w:sz w:val="24"/>
          <w:szCs w:val="24"/>
          <w:highlight w:val="none"/>
        </w:rPr>
        <w:t xml:space="preserve"> </w:t>
      </w:r>
      <w:r>
        <w:rPr>
          <w:rFonts w:hint="eastAsia" w:ascii="仿宋" w:hAnsi="仿宋" w:eastAsia="仿宋" w:cs="仿宋"/>
          <w:color w:val="auto"/>
          <w:spacing w:val="5"/>
          <w:sz w:val="24"/>
          <w:szCs w:val="24"/>
          <w:highlight w:val="none"/>
        </w:rPr>
        <w:t>￥</w:t>
      </w:r>
      <w:r>
        <w:rPr>
          <w:rFonts w:hint="eastAsia" w:ascii="仿宋" w:hAnsi="仿宋" w:eastAsia="仿宋" w:cs="仿宋"/>
          <w:color w:val="auto"/>
          <w:spacing w:val="-77"/>
          <w:sz w:val="24"/>
          <w:szCs w:val="24"/>
          <w:highlight w:val="none"/>
        </w:rPr>
        <w:t xml:space="preserve"> </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79"/>
          <w:sz w:val="24"/>
          <w:szCs w:val="24"/>
          <w:highlight w:val="none"/>
        </w:rPr>
        <w:t xml:space="preserve"> </w:t>
      </w:r>
      <w:r>
        <w:rPr>
          <w:rFonts w:hint="eastAsia" w:ascii="仿宋" w:hAnsi="仿宋" w:eastAsia="仿宋" w:cs="仿宋"/>
          <w:color w:val="auto"/>
          <w:spacing w:val="5"/>
          <w:sz w:val="24"/>
          <w:szCs w:val="24"/>
          <w:highlight w:val="none"/>
        </w:rPr>
        <w:t>元（大写：</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90"/>
          <w:sz w:val="24"/>
          <w:szCs w:val="24"/>
          <w:highlight w:val="none"/>
        </w:rPr>
        <w:t xml:space="preserve"> </w:t>
      </w:r>
      <w:r>
        <w:rPr>
          <w:rFonts w:hint="eastAsia" w:ascii="仿宋" w:hAnsi="仿宋" w:eastAsia="仿宋" w:cs="仿宋"/>
          <w:color w:val="auto"/>
          <w:spacing w:val="5"/>
          <w:sz w:val="24"/>
          <w:szCs w:val="24"/>
          <w:highlight w:val="none"/>
        </w:rPr>
        <w:t>元</w:t>
      </w:r>
      <w:r>
        <w:rPr>
          <w:rFonts w:hint="eastAsia" w:ascii="仿宋" w:hAnsi="仿宋" w:eastAsia="仿宋" w:cs="仿宋"/>
          <w:color w:val="auto"/>
          <w:spacing w:val="3"/>
          <w:sz w:val="24"/>
          <w:szCs w:val="24"/>
          <w:highlight w:val="none"/>
        </w:rPr>
        <w:t>人民币）。</w:t>
      </w:r>
    </w:p>
    <w:p w14:paraId="43C1554E">
      <w:pPr>
        <w:pStyle w:val="9"/>
        <w:spacing w:before="1" w:line="360" w:lineRule="auto"/>
        <w:ind w:left="430"/>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分项价格：</w:t>
      </w:r>
    </w:p>
    <w:p w14:paraId="3E16D291">
      <w:pPr>
        <w:keepNext w:val="0"/>
        <w:keepLines w:val="0"/>
        <w:widowControl/>
        <w:suppressLineNumbers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①参保内容及最低保额（18-65岁）</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873"/>
        <w:gridCol w:w="1647"/>
        <w:gridCol w:w="5794"/>
      </w:tblGrid>
      <w:tr w14:paraId="4B52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noWrap w:val="0"/>
            <w:vAlign w:val="center"/>
          </w:tcPr>
          <w:p w14:paraId="23E7BC7B">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928" w:type="dxa"/>
            <w:noWrap w:val="0"/>
            <w:vAlign w:val="center"/>
          </w:tcPr>
          <w:p w14:paraId="25A1D064">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保障内容</w:t>
            </w:r>
          </w:p>
        </w:tc>
        <w:tc>
          <w:tcPr>
            <w:tcW w:w="1693" w:type="dxa"/>
            <w:noWrap w:val="0"/>
            <w:vAlign w:val="center"/>
          </w:tcPr>
          <w:p w14:paraId="2A7A0BBD">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保障内容保险金额</w:t>
            </w:r>
          </w:p>
        </w:tc>
        <w:tc>
          <w:tcPr>
            <w:tcW w:w="5907" w:type="dxa"/>
            <w:noWrap w:val="0"/>
            <w:vAlign w:val="center"/>
          </w:tcPr>
          <w:p w14:paraId="3072BD2B">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保险责任简介</w:t>
            </w:r>
          </w:p>
        </w:tc>
      </w:tr>
      <w:tr w14:paraId="1E85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noWrap w:val="0"/>
            <w:vAlign w:val="center"/>
          </w:tcPr>
          <w:p w14:paraId="109B23D4">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928" w:type="dxa"/>
            <w:noWrap w:val="0"/>
            <w:vAlign w:val="center"/>
          </w:tcPr>
          <w:p w14:paraId="30D3285A">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意外伤害身故</w:t>
            </w:r>
          </w:p>
        </w:tc>
        <w:tc>
          <w:tcPr>
            <w:tcW w:w="1693" w:type="dxa"/>
            <w:noWrap w:val="0"/>
            <w:vAlign w:val="center"/>
          </w:tcPr>
          <w:p w14:paraId="488354AC">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  万元/人</w:t>
            </w:r>
          </w:p>
        </w:tc>
        <w:tc>
          <w:tcPr>
            <w:tcW w:w="5907" w:type="dxa"/>
            <w:noWrap w:val="0"/>
            <w:vAlign w:val="center"/>
          </w:tcPr>
          <w:p w14:paraId="31D3E3F3">
            <w:pPr>
              <w:spacing w:line="360"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在工作时间和工作场所内：因意外身故（遭受外来的、突发的、非本意的、非疾病的等意外情况）</w:t>
            </w:r>
          </w:p>
        </w:tc>
      </w:tr>
      <w:tr w14:paraId="6132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noWrap w:val="0"/>
            <w:vAlign w:val="center"/>
          </w:tcPr>
          <w:p w14:paraId="76A021B1">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1928" w:type="dxa"/>
            <w:noWrap w:val="0"/>
            <w:vAlign w:val="center"/>
          </w:tcPr>
          <w:p w14:paraId="164C5439">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疾病身故</w:t>
            </w:r>
          </w:p>
        </w:tc>
        <w:tc>
          <w:tcPr>
            <w:tcW w:w="1693" w:type="dxa"/>
            <w:noWrap w:val="0"/>
            <w:vAlign w:val="center"/>
          </w:tcPr>
          <w:p w14:paraId="37B08B6E">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万元/人</w:t>
            </w:r>
          </w:p>
        </w:tc>
        <w:tc>
          <w:tcPr>
            <w:tcW w:w="5907" w:type="dxa"/>
            <w:noWrap w:val="0"/>
            <w:vAlign w:val="center"/>
          </w:tcPr>
          <w:p w14:paraId="3D9386B3">
            <w:pPr>
              <w:spacing w:line="360"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在工作时间和工作岗位，突发疾病死亡或者在48小时之内经抢救无效死亡。</w:t>
            </w:r>
          </w:p>
        </w:tc>
      </w:tr>
      <w:tr w14:paraId="4859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noWrap w:val="0"/>
            <w:vAlign w:val="center"/>
          </w:tcPr>
          <w:p w14:paraId="27299591">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w:t>
            </w:r>
          </w:p>
        </w:tc>
        <w:tc>
          <w:tcPr>
            <w:tcW w:w="1928" w:type="dxa"/>
            <w:noWrap w:val="0"/>
            <w:vAlign w:val="center"/>
          </w:tcPr>
          <w:p w14:paraId="3108627F">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意外伤害致残</w:t>
            </w:r>
          </w:p>
        </w:tc>
        <w:tc>
          <w:tcPr>
            <w:tcW w:w="1693" w:type="dxa"/>
            <w:noWrap w:val="0"/>
            <w:vAlign w:val="center"/>
          </w:tcPr>
          <w:p w14:paraId="2FB9CE8E">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万元/人</w:t>
            </w:r>
          </w:p>
        </w:tc>
        <w:tc>
          <w:tcPr>
            <w:tcW w:w="5907" w:type="dxa"/>
            <w:noWrap w:val="0"/>
            <w:vAlign w:val="center"/>
          </w:tcPr>
          <w:p w14:paraId="1B3D4F68">
            <w:pPr>
              <w:keepNext w:val="0"/>
              <w:keepLines w:val="0"/>
              <w:widowControl/>
              <w:suppressLineNumbers w:val="0"/>
              <w:spacing w:line="360"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在保险责任内因意外导致身体残疾，伤残鉴定依据标准《劳动能力坚定职工工伤与职业病致残等级（GB/T16080-2014）》。</w:t>
            </w:r>
          </w:p>
        </w:tc>
      </w:tr>
      <w:tr w14:paraId="1E66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noWrap w:val="0"/>
            <w:vAlign w:val="center"/>
          </w:tcPr>
          <w:p w14:paraId="4E818AC2">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1928" w:type="dxa"/>
            <w:noWrap w:val="0"/>
            <w:vAlign w:val="center"/>
          </w:tcPr>
          <w:p w14:paraId="078722CA">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意外伤害医疗</w:t>
            </w:r>
          </w:p>
        </w:tc>
        <w:tc>
          <w:tcPr>
            <w:tcW w:w="1693" w:type="dxa"/>
            <w:noWrap w:val="0"/>
            <w:vAlign w:val="center"/>
          </w:tcPr>
          <w:p w14:paraId="40279A76">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万元/人</w:t>
            </w:r>
          </w:p>
        </w:tc>
        <w:tc>
          <w:tcPr>
            <w:tcW w:w="5907" w:type="dxa"/>
            <w:noWrap w:val="0"/>
            <w:vAlign w:val="center"/>
          </w:tcPr>
          <w:p w14:paraId="2F56D628">
            <w:pPr>
              <w:spacing w:line="360"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在工作时间和工作场所内，因工作原因受到事故伤害，每次事故每人医疗费用绝对免赔200元或核定赔偿金额的 10%，两者以高者为准。</w:t>
            </w:r>
          </w:p>
        </w:tc>
      </w:tr>
      <w:tr w14:paraId="1859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noWrap w:val="0"/>
            <w:vAlign w:val="center"/>
          </w:tcPr>
          <w:p w14:paraId="3EBDBED4">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p>
        </w:tc>
        <w:tc>
          <w:tcPr>
            <w:tcW w:w="1928" w:type="dxa"/>
            <w:noWrap w:val="0"/>
            <w:vAlign w:val="center"/>
          </w:tcPr>
          <w:p w14:paraId="18C6D230">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误工费</w:t>
            </w:r>
          </w:p>
        </w:tc>
        <w:tc>
          <w:tcPr>
            <w:tcW w:w="1693" w:type="dxa"/>
            <w:noWrap w:val="0"/>
            <w:vAlign w:val="center"/>
          </w:tcPr>
          <w:p w14:paraId="57A817A4">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元/人/天</w:t>
            </w:r>
          </w:p>
        </w:tc>
        <w:tc>
          <w:tcPr>
            <w:tcW w:w="5907" w:type="dxa"/>
            <w:noWrap w:val="0"/>
            <w:vAlign w:val="center"/>
          </w:tcPr>
          <w:p w14:paraId="62685829">
            <w:pPr>
              <w:spacing w:line="360"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因意外导致误工，每人每天100元，每次事故免赔3天，单次最高赔付90天。</w:t>
            </w:r>
          </w:p>
        </w:tc>
      </w:tr>
    </w:tbl>
    <w:p w14:paraId="469168F4">
      <w:pPr>
        <w:keepNext w:val="0"/>
        <w:keepLines w:val="0"/>
        <w:widowControl/>
        <w:suppressLineNumbers w:val="0"/>
        <w:spacing w:line="360" w:lineRule="auto"/>
        <w:ind w:firstLine="482" w:firstLineChars="200"/>
        <w:jc w:val="left"/>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sz w:val="24"/>
          <w:szCs w:val="24"/>
          <w:highlight w:val="none"/>
          <w:vertAlign w:val="baseline"/>
          <w:lang w:val="en-US" w:eastAsia="zh-CN"/>
        </w:rPr>
        <w:t>本项目18-65周岁为约1686名工作人员提供服务范围内的保险服务，每位员工每年保费为400元，保险期限为一年，具体以采购人实际承保人数和天数为准。</w:t>
      </w:r>
    </w:p>
    <w:p w14:paraId="20AD5FE4">
      <w:pPr>
        <w:keepNext w:val="0"/>
        <w:keepLines w:val="0"/>
        <w:widowControl/>
        <w:suppressLineNumbers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②参保内容及最低保额（66-70岁）</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527"/>
        <w:gridCol w:w="1660"/>
        <w:gridCol w:w="5549"/>
      </w:tblGrid>
      <w:tr w14:paraId="281B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5326127D">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527" w:type="dxa"/>
            <w:noWrap w:val="0"/>
            <w:vAlign w:val="center"/>
          </w:tcPr>
          <w:p w14:paraId="6E71A392">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保障内容</w:t>
            </w:r>
          </w:p>
        </w:tc>
        <w:tc>
          <w:tcPr>
            <w:tcW w:w="1660" w:type="dxa"/>
            <w:noWrap w:val="0"/>
            <w:vAlign w:val="center"/>
          </w:tcPr>
          <w:p w14:paraId="2E40FB4B">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保障内容保险金额</w:t>
            </w:r>
          </w:p>
        </w:tc>
        <w:tc>
          <w:tcPr>
            <w:tcW w:w="5549" w:type="dxa"/>
            <w:noWrap w:val="0"/>
            <w:vAlign w:val="center"/>
          </w:tcPr>
          <w:p w14:paraId="6BBAAAA1">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保险责任简介</w:t>
            </w:r>
          </w:p>
        </w:tc>
      </w:tr>
      <w:tr w14:paraId="2EA9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34" w:type="dxa"/>
            <w:noWrap w:val="0"/>
            <w:vAlign w:val="center"/>
          </w:tcPr>
          <w:p w14:paraId="0A8ABD95">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527" w:type="dxa"/>
            <w:noWrap w:val="0"/>
            <w:vAlign w:val="center"/>
          </w:tcPr>
          <w:p w14:paraId="0FDC1B38">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意外伤害身故</w:t>
            </w:r>
          </w:p>
        </w:tc>
        <w:tc>
          <w:tcPr>
            <w:tcW w:w="1660" w:type="dxa"/>
            <w:noWrap w:val="0"/>
            <w:vAlign w:val="center"/>
          </w:tcPr>
          <w:p w14:paraId="434BF369">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  万元/人</w:t>
            </w:r>
          </w:p>
        </w:tc>
        <w:tc>
          <w:tcPr>
            <w:tcW w:w="5549" w:type="dxa"/>
            <w:noWrap w:val="0"/>
            <w:vAlign w:val="center"/>
          </w:tcPr>
          <w:p w14:paraId="50A38719">
            <w:pPr>
              <w:numPr>
                <w:ilvl w:val="0"/>
                <w:numId w:val="0"/>
              </w:numPr>
              <w:ind w:left="0" w:lef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在工作时间和工作场所内:因意外身故(遭受外来的、突发的、非本意的、非疾病的等意外情况)</w:t>
            </w:r>
          </w:p>
        </w:tc>
      </w:tr>
      <w:tr w14:paraId="4288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34" w:type="dxa"/>
            <w:noWrap w:val="0"/>
            <w:vAlign w:val="center"/>
          </w:tcPr>
          <w:p w14:paraId="40E348E4">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1527" w:type="dxa"/>
            <w:noWrap w:val="0"/>
            <w:vAlign w:val="center"/>
          </w:tcPr>
          <w:p w14:paraId="49C15120">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疾病身故</w:t>
            </w:r>
          </w:p>
        </w:tc>
        <w:tc>
          <w:tcPr>
            <w:tcW w:w="1660" w:type="dxa"/>
            <w:noWrap w:val="0"/>
            <w:vAlign w:val="center"/>
          </w:tcPr>
          <w:p w14:paraId="22384536">
            <w:pPr>
              <w:spacing w:line="360" w:lineRule="auto"/>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万元/人</w:t>
            </w:r>
          </w:p>
        </w:tc>
        <w:tc>
          <w:tcPr>
            <w:tcW w:w="5549" w:type="dxa"/>
            <w:noWrap w:val="0"/>
            <w:vAlign w:val="center"/>
          </w:tcPr>
          <w:p w14:paraId="0A161088">
            <w:pPr>
              <w:numPr>
                <w:ilvl w:val="0"/>
                <w:numId w:val="0"/>
              </w:numPr>
              <w:ind w:left="0" w:lef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在工作期间因疾病突发死亡或48小时抢救无效死亡</w:t>
            </w:r>
          </w:p>
        </w:tc>
      </w:tr>
      <w:tr w14:paraId="5683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34" w:type="dxa"/>
            <w:noWrap w:val="0"/>
            <w:vAlign w:val="center"/>
          </w:tcPr>
          <w:p w14:paraId="32FB8B78">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w:t>
            </w:r>
          </w:p>
        </w:tc>
        <w:tc>
          <w:tcPr>
            <w:tcW w:w="1527" w:type="dxa"/>
            <w:noWrap w:val="0"/>
            <w:vAlign w:val="center"/>
          </w:tcPr>
          <w:p w14:paraId="30F2D18A">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意外伤害致残</w:t>
            </w:r>
          </w:p>
        </w:tc>
        <w:tc>
          <w:tcPr>
            <w:tcW w:w="1660" w:type="dxa"/>
            <w:noWrap w:val="0"/>
            <w:vAlign w:val="center"/>
          </w:tcPr>
          <w:p w14:paraId="0BC198E0">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万元/人</w:t>
            </w:r>
          </w:p>
        </w:tc>
        <w:tc>
          <w:tcPr>
            <w:tcW w:w="5549" w:type="dxa"/>
            <w:noWrap w:val="0"/>
            <w:vAlign w:val="center"/>
          </w:tcPr>
          <w:p w14:paraId="523C0DD3">
            <w:pPr>
              <w:keepNext w:val="0"/>
              <w:keepLines w:val="0"/>
              <w:widowControl/>
              <w:suppressLineNumbers w:val="0"/>
              <w:spacing w:line="360"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在保险责任内因意外导致身体残疾，伤残鉴定依据标准《劳动能力坚定职工工伤与职业病致残等级（GB/T16080-2014）》。</w:t>
            </w:r>
          </w:p>
        </w:tc>
      </w:tr>
      <w:tr w14:paraId="11E12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34" w:type="dxa"/>
            <w:noWrap w:val="0"/>
            <w:vAlign w:val="center"/>
          </w:tcPr>
          <w:p w14:paraId="47BD2171">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1527" w:type="dxa"/>
            <w:noWrap w:val="0"/>
            <w:vAlign w:val="center"/>
          </w:tcPr>
          <w:p w14:paraId="2C3BAA34">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意外伤害医疗</w:t>
            </w:r>
          </w:p>
        </w:tc>
        <w:tc>
          <w:tcPr>
            <w:tcW w:w="1660" w:type="dxa"/>
            <w:noWrap w:val="0"/>
            <w:vAlign w:val="center"/>
          </w:tcPr>
          <w:p w14:paraId="644974DC">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万元/人</w:t>
            </w:r>
          </w:p>
        </w:tc>
        <w:tc>
          <w:tcPr>
            <w:tcW w:w="5549" w:type="dxa"/>
            <w:noWrap w:val="0"/>
            <w:vAlign w:val="center"/>
          </w:tcPr>
          <w:p w14:paraId="19EDAA0F">
            <w:pPr>
              <w:spacing w:line="360"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在工作时间和工作场所内，因工作原因受到事故伤害，每次事故每人医疗费用绝对免赔200元或核定赔偿金额的 10%，两者以高者为准。</w:t>
            </w:r>
          </w:p>
        </w:tc>
      </w:tr>
      <w:tr w14:paraId="4CED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34" w:type="dxa"/>
            <w:noWrap w:val="0"/>
            <w:vAlign w:val="center"/>
          </w:tcPr>
          <w:p w14:paraId="5E8FE62B">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p>
        </w:tc>
        <w:tc>
          <w:tcPr>
            <w:tcW w:w="1527" w:type="dxa"/>
            <w:noWrap w:val="0"/>
            <w:vAlign w:val="center"/>
          </w:tcPr>
          <w:p w14:paraId="68744F2E">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误工费</w:t>
            </w:r>
          </w:p>
        </w:tc>
        <w:tc>
          <w:tcPr>
            <w:tcW w:w="1660" w:type="dxa"/>
            <w:noWrap w:val="0"/>
            <w:vAlign w:val="center"/>
          </w:tcPr>
          <w:p w14:paraId="31128CDF">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元/人/天</w:t>
            </w:r>
          </w:p>
        </w:tc>
        <w:tc>
          <w:tcPr>
            <w:tcW w:w="5549" w:type="dxa"/>
            <w:noWrap w:val="0"/>
            <w:vAlign w:val="center"/>
          </w:tcPr>
          <w:p w14:paraId="42E9A3EE">
            <w:pPr>
              <w:spacing w:line="360"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因意外导致误工，每人每天100元，每次事故免赔3天，单次最高赔付90天。</w:t>
            </w:r>
          </w:p>
        </w:tc>
      </w:tr>
    </w:tbl>
    <w:p w14:paraId="30B9F05F">
      <w:pPr>
        <w:numPr>
          <w:ilvl w:val="0"/>
          <w:numId w:val="0"/>
        </w:numPr>
        <w:spacing w:line="360" w:lineRule="auto"/>
        <w:ind w:firstLine="482" w:firstLineChars="200"/>
        <w:jc w:val="left"/>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本项目66-70周岁为约300名工作人员提供服务范围内的保险服务，每位员工每年保费为400元，保险期限为一年，具体以采购人实际承保人数和天数为准。</w:t>
      </w:r>
    </w:p>
    <w:p w14:paraId="3FA447BC">
      <w:pPr>
        <w:pStyle w:val="9"/>
        <w:spacing w:before="139" w:line="360" w:lineRule="auto"/>
        <w:ind w:left="43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备注:1.本次投保</w:t>
      </w:r>
      <w:r>
        <w:rPr>
          <w:rFonts w:hint="eastAsia" w:ascii="仿宋" w:hAnsi="仿宋" w:eastAsia="仿宋" w:cs="仿宋"/>
          <w:color w:val="auto"/>
          <w:spacing w:val="6"/>
          <w:sz w:val="24"/>
          <w:szCs w:val="24"/>
          <w:highlight w:val="none"/>
          <w:lang w:val="en-US" w:eastAsia="zh-CN"/>
        </w:rPr>
        <w:t>人数</w:t>
      </w:r>
      <w:r>
        <w:rPr>
          <w:rFonts w:hint="eastAsia" w:ascii="仿宋" w:hAnsi="仿宋" w:eastAsia="仿宋" w:cs="仿宋"/>
          <w:color w:val="auto"/>
          <w:spacing w:val="6"/>
          <w:sz w:val="24"/>
          <w:szCs w:val="24"/>
          <w:highlight w:val="none"/>
        </w:rPr>
        <w:t>以实际投保人数为准。</w:t>
      </w:r>
    </w:p>
    <w:p w14:paraId="5EC1054F">
      <w:pPr>
        <w:pStyle w:val="9"/>
        <w:spacing w:before="153" w:line="360" w:lineRule="auto"/>
        <w:ind w:left="12" w:right="258" w:firstLine="418"/>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2.雇主责任险需实名投保。在保险期间内离职人员可以更换为新进人员，出险理赔过的除</w:t>
      </w:r>
      <w:r>
        <w:rPr>
          <w:rFonts w:hint="eastAsia" w:ascii="仿宋" w:hAnsi="仿宋" w:eastAsia="仿宋" w:cs="仿宋"/>
          <w:color w:val="auto"/>
          <w:spacing w:val="-2"/>
          <w:sz w:val="24"/>
          <w:szCs w:val="24"/>
          <w:highlight w:val="none"/>
        </w:rPr>
        <w:t>外。</w:t>
      </w:r>
    </w:p>
    <w:p w14:paraId="300FC401">
      <w:pPr>
        <w:pStyle w:val="9"/>
        <w:spacing w:before="153" w:line="360" w:lineRule="auto"/>
        <w:ind w:left="12" w:right="258" w:firstLine="418"/>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3.发生赔款时赔偿款项转至投保人</w:t>
      </w:r>
      <w:r>
        <w:rPr>
          <w:rFonts w:hint="eastAsia" w:ascii="仿宋" w:hAnsi="仿宋" w:eastAsia="仿宋" w:cs="仿宋"/>
          <w:color w:val="auto"/>
          <w:spacing w:val="9"/>
          <w:sz w:val="24"/>
          <w:szCs w:val="24"/>
          <w:highlight w:val="none"/>
          <w:lang w:eastAsia="zh-CN"/>
        </w:rPr>
        <w:t>荥阳市园林中心</w:t>
      </w:r>
      <w:r>
        <w:rPr>
          <w:rFonts w:hint="eastAsia" w:ascii="仿宋" w:hAnsi="仿宋" w:eastAsia="仿宋" w:cs="仿宋"/>
          <w:color w:val="auto"/>
          <w:spacing w:val="9"/>
          <w:sz w:val="24"/>
          <w:szCs w:val="24"/>
          <w:highlight w:val="none"/>
        </w:rPr>
        <w:t>单位账户，若需转给个人，由</w:t>
      </w:r>
      <w:r>
        <w:rPr>
          <w:rFonts w:hint="eastAsia" w:ascii="仿宋" w:hAnsi="仿宋" w:eastAsia="仿宋" w:cs="仿宋"/>
          <w:color w:val="auto"/>
          <w:spacing w:val="9"/>
          <w:sz w:val="24"/>
          <w:szCs w:val="24"/>
          <w:highlight w:val="none"/>
          <w:lang w:eastAsia="zh-CN"/>
        </w:rPr>
        <w:t>荥阳市园林中心</w:t>
      </w:r>
      <w:r>
        <w:rPr>
          <w:rFonts w:hint="eastAsia" w:ascii="仿宋" w:hAnsi="仿宋" w:eastAsia="仿宋" w:cs="仿宋"/>
          <w:color w:val="auto"/>
          <w:spacing w:val="9"/>
          <w:sz w:val="24"/>
          <w:szCs w:val="24"/>
          <w:highlight w:val="none"/>
        </w:rPr>
        <w:t>出具委托书。</w:t>
      </w:r>
    </w:p>
    <w:p w14:paraId="6C0FE2A2">
      <w:pPr>
        <w:pStyle w:val="9"/>
        <w:spacing w:before="153" w:line="360" w:lineRule="auto"/>
        <w:ind w:left="12" w:right="258" w:firstLine="418"/>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4.保险人收到被保险人或者受</w:t>
      </w:r>
      <w:r>
        <w:rPr>
          <w:rFonts w:hint="eastAsia" w:ascii="仿宋" w:hAnsi="仿宋" w:eastAsia="仿宋" w:cs="仿宋"/>
          <w:color w:val="auto"/>
          <w:spacing w:val="10"/>
          <w:sz w:val="24"/>
          <w:szCs w:val="24"/>
          <w:highlight w:val="none"/>
        </w:rPr>
        <w:t>益人的赔偿或</w:t>
      </w:r>
      <w:r>
        <w:rPr>
          <w:rFonts w:hint="eastAsia" w:ascii="仿宋" w:hAnsi="仿宋" w:eastAsia="仿宋" w:cs="仿宋"/>
          <w:color w:val="auto"/>
          <w:spacing w:val="9"/>
          <w:sz w:val="24"/>
          <w:szCs w:val="24"/>
          <w:highlight w:val="none"/>
        </w:rPr>
        <w:t>者给付保险金的请求后，应当在三十日内作出核定，并将结果书面通知客户。保险公司在赔付协议达成后10天内应支付赔款。逾期未赔付的，</w:t>
      </w:r>
      <w:r>
        <w:rPr>
          <w:rFonts w:hint="eastAsia" w:ascii="仿宋" w:hAnsi="仿宋" w:eastAsia="仿宋" w:cs="仿宋"/>
          <w:color w:val="auto"/>
          <w:spacing w:val="4"/>
          <w:sz w:val="24"/>
          <w:szCs w:val="24"/>
          <w:highlight w:val="none"/>
        </w:rPr>
        <w:t>每天支付1%的滞纳金。</w:t>
      </w:r>
    </w:p>
    <w:p w14:paraId="1A8A8D34">
      <w:pPr>
        <w:pStyle w:val="9"/>
        <w:spacing w:before="153" w:line="360" w:lineRule="auto"/>
        <w:ind w:left="10" w:right="47" w:firstLine="422"/>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5.保险人自收到赔偿或者给付保险金的请求和有关证明、资料之日起三十日内，对其赔偿或</w:t>
      </w:r>
      <w:r>
        <w:rPr>
          <w:rFonts w:hint="eastAsia" w:ascii="仿宋" w:hAnsi="仿宋" w:eastAsia="仿宋" w:cs="仿宋"/>
          <w:color w:val="auto"/>
          <w:spacing w:val="10"/>
          <w:sz w:val="24"/>
          <w:szCs w:val="24"/>
          <w:highlight w:val="none"/>
        </w:rPr>
        <w:t>者给付保险金的数额不能确定的，应当根据已有证</w:t>
      </w:r>
      <w:r>
        <w:rPr>
          <w:rFonts w:hint="eastAsia" w:ascii="仿宋" w:hAnsi="仿宋" w:eastAsia="仿宋" w:cs="仿宋"/>
          <w:color w:val="auto"/>
          <w:spacing w:val="9"/>
          <w:sz w:val="24"/>
          <w:szCs w:val="24"/>
          <w:highlight w:val="none"/>
        </w:rPr>
        <w:t>明和资料可以确定的数额先予支付；保险人最终确定赔偿或者给付保险金的数额后，应当支付相应的差额。</w:t>
      </w:r>
    </w:p>
    <w:p w14:paraId="1A6E2124">
      <w:pPr>
        <w:pStyle w:val="9"/>
        <w:spacing w:before="153" w:line="360" w:lineRule="auto"/>
        <w:ind w:left="10" w:right="47" w:firstLine="433"/>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1.3.2</w:t>
      </w:r>
      <w:r>
        <w:rPr>
          <w:rFonts w:hint="eastAsia" w:ascii="仿宋" w:hAnsi="仿宋" w:eastAsia="仿宋" w:cs="仿宋"/>
          <w:color w:val="auto"/>
          <w:spacing w:val="-27"/>
          <w:sz w:val="24"/>
          <w:szCs w:val="24"/>
          <w:highlight w:val="none"/>
        </w:rPr>
        <w:t xml:space="preserve"> </w:t>
      </w:r>
      <w:r>
        <w:rPr>
          <w:rFonts w:hint="eastAsia" w:ascii="仿宋" w:hAnsi="仿宋" w:eastAsia="仿宋" w:cs="仿宋"/>
          <w:color w:val="auto"/>
          <w:spacing w:val="7"/>
          <w:sz w:val="24"/>
          <w:szCs w:val="24"/>
          <w:highlight w:val="none"/>
        </w:rPr>
        <w:t>单价合同，本合同单价（含税）标准为：</w:t>
      </w:r>
      <w:r>
        <w:rPr>
          <w:rFonts w:hint="eastAsia" w:ascii="仿宋" w:hAnsi="仿宋" w:eastAsia="仿宋" w:cs="仿宋"/>
          <w:color w:val="auto"/>
          <w:spacing w:val="7"/>
          <w:sz w:val="24"/>
          <w:szCs w:val="24"/>
          <w:highlight w:val="none"/>
          <w:u w:val="single" w:color="auto"/>
        </w:rPr>
        <w:t xml:space="preserve">  本次投保保费为</w:t>
      </w:r>
      <w:r>
        <w:rPr>
          <w:rFonts w:hint="eastAsia" w:ascii="仿宋" w:hAnsi="仿宋" w:eastAsia="仿宋" w:cs="仿宋"/>
          <w:color w:val="auto"/>
          <w:spacing w:val="7"/>
          <w:sz w:val="24"/>
          <w:szCs w:val="24"/>
          <w:highlight w:val="none"/>
          <w:u w:val="single" w:color="auto"/>
          <w:lang w:val="en-US" w:eastAsia="zh-CN"/>
        </w:rPr>
        <w:t>400</w:t>
      </w:r>
      <w:r>
        <w:rPr>
          <w:rFonts w:hint="eastAsia" w:ascii="仿宋" w:hAnsi="仿宋" w:eastAsia="仿宋" w:cs="仿宋"/>
          <w:color w:val="auto"/>
          <w:spacing w:val="7"/>
          <w:sz w:val="24"/>
          <w:szCs w:val="24"/>
          <w:highlight w:val="none"/>
          <w:u w:val="single" w:color="auto"/>
        </w:rPr>
        <w:t>元/人/年，以实际投保人数</w:t>
      </w:r>
      <w:r>
        <w:rPr>
          <w:rFonts w:hint="eastAsia" w:ascii="仿宋" w:hAnsi="仿宋" w:eastAsia="仿宋" w:cs="仿宋"/>
          <w:color w:val="auto"/>
          <w:spacing w:val="7"/>
          <w:sz w:val="24"/>
          <w:szCs w:val="24"/>
          <w:highlight w:val="none"/>
          <w:u w:val="single" w:color="auto"/>
          <w:lang w:val="en-US" w:eastAsia="zh-CN"/>
        </w:rPr>
        <w:t>和天数</w:t>
      </w:r>
      <w:r>
        <w:rPr>
          <w:rFonts w:hint="eastAsia" w:ascii="仿宋" w:hAnsi="仿宋" w:eastAsia="仿宋" w:cs="仿宋"/>
          <w:color w:val="auto"/>
          <w:spacing w:val="7"/>
          <w:sz w:val="24"/>
          <w:szCs w:val="24"/>
          <w:highlight w:val="none"/>
          <w:u w:val="single" w:color="auto"/>
        </w:rPr>
        <w:t xml:space="preserve">为准  </w:t>
      </w:r>
      <w:r>
        <w:rPr>
          <w:rFonts w:hint="eastAsia" w:ascii="仿宋" w:hAnsi="仿宋" w:eastAsia="仿宋" w:cs="仿宋"/>
          <w:color w:val="auto"/>
          <w:spacing w:val="-71"/>
          <w:sz w:val="24"/>
          <w:szCs w:val="24"/>
          <w:highlight w:val="none"/>
        </w:rPr>
        <w:t xml:space="preserve"> </w:t>
      </w:r>
      <w:r>
        <w:rPr>
          <w:rFonts w:hint="eastAsia" w:ascii="仿宋" w:hAnsi="仿宋" w:eastAsia="仿宋" w:cs="仿宋"/>
          <w:color w:val="auto"/>
          <w:spacing w:val="7"/>
          <w:sz w:val="24"/>
          <w:szCs w:val="24"/>
          <w:highlight w:val="none"/>
        </w:rPr>
        <w:t>。服务工作量的计量方式为：</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b/>
          <w:bCs/>
          <w:color w:val="auto"/>
          <w:spacing w:val="7"/>
          <w:sz w:val="24"/>
          <w:szCs w:val="24"/>
          <w:highlight w:val="none"/>
          <w:u w:val="single" w:color="auto"/>
        </w:rPr>
        <w:t>合同专用条款</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pacing w:val="-71"/>
          <w:sz w:val="24"/>
          <w:szCs w:val="24"/>
          <w:highlight w:val="none"/>
        </w:rPr>
        <w:t xml:space="preserve"> </w:t>
      </w:r>
      <w:r>
        <w:rPr>
          <w:rFonts w:hint="eastAsia" w:ascii="仿宋" w:hAnsi="仿宋" w:eastAsia="仿宋" w:cs="仿宋"/>
          <w:color w:val="auto"/>
          <w:spacing w:val="6"/>
          <w:sz w:val="24"/>
          <w:szCs w:val="24"/>
          <w:highlight w:val="none"/>
        </w:rPr>
        <w:t>。单价合同，在合同履</w:t>
      </w:r>
      <w:r>
        <w:rPr>
          <w:rFonts w:hint="eastAsia" w:ascii="仿宋" w:hAnsi="仿宋" w:eastAsia="仿宋" w:cs="仿宋"/>
          <w:color w:val="auto"/>
          <w:spacing w:val="10"/>
          <w:sz w:val="24"/>
          <w:szCs w:val="24"/>
          <w:highlight w:val="none"/>
        </w:rPr>
        <w:t>行期间内，根据实际完成的工作量据实结算，但结算总价上限不</w:t>
      </w:r>
      <w:r>
        <w:rPr>
          <w:rFonts w:hint="eastAsia" w:ascii="仿宋" w:hAnsi="仿宋" w:eastAsia="仿宋" w:cs="仿宋"/>
          <w:color w:val="auto"/>
          <w:spacing w:val="9"/>
          <w:sz w:val="24"/>
          <w:szCs w:val="24"/>
          <w:highlight w:val="none"/>
        </w:rPr>
        <w:t>得超过预算金额或者双方确定的</w:t>
      </w:r>
      <w:r>
        <w:rPr>
          <w:rFonts w:hint="eastAsia" w:ascii="仿宋" w:hAnsi="仿宋" w:eastAsia="仿宋" w:cs="仿宋"/>
          <w:color w:val="auto"/>
          <w:spacing w:val="4"/>
          <w:sz w:val="24"/>
          <w:szCs w:val="24"/>
          <w:highlight w:val="none"/>
        </w:rPr>
        <w:t>金额￥</w:t>
      </w:r>
      <w:r>
        <w:rPr>
          <w:rFonts w:hint="eastAsia" w:ascii="仿宋" w:hAnsi="仿宋" w:eastAsia="仿宋" w:cs="仿宋"/>
          <w:color w:val="auto"/>
          <w:spacing w:val="-72"/>
          <w:sz w:val="24"/>
          <w:szCs w:val="24"/>
          <w:highlight w:val="none"/>
        </w:rPr>
        <w:t xml:space="preserve">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89"/>
          <w:sz w:val="24"/>
          <w:szCs w:val="24"/>
          <w:highlight w:val="none"/>
        </w:rPr>
        <w:t xml:space="preserve"> </w:t>
      </w:r>
      <w:r>
        <w:rPr>
          <w:rFonts w:hint="eastAsia" w:ascii="仿宋" w:hAnsi="仿宋" w:eastAsia="仿宋" w:cs="仿宋"/>
          <w:color w:val="auto"/>
          <w:spacing w:val="4"/>
          <w:sz w:val="24"/>
          <w:szCs w:val="24"/>
          <w:highlight w:val="none"/>
        </w:rPr>
        <w:t>元（大写：</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89"/>
          <w:sz w:val="24"/>
          <w:szCs w:val="24"/>
          <w:highlight w:val="none"/>
        </w:rPr>
        <w:t xml:space="preserve"> </w:t>
      </w:r>
      <w:r>
        <w:rPr>
          <w:rFonts w:hint="eastAsia" w:ascii="仿宋" w:hAnsi="仿宋" w:eastAsia="仿宋" w:cs="仿宋"/>
          <w:color w:val="auto"/>
          <w:spacing w:val="4"/>
          <w:sz w:val="24"/>
          <w:szCs w:val="24"/>
          <w:highlight w:val="none"/>
        </w:rPr>
        <w:t>元人民币）。</w:t>
      </w:r>
    </w:p>
    <w:p w14:paraId="60AB6A39">
      <w:pPr>
        <w:pStyle w:val="9"/>
        <w:spacing w:before="154" w:line="360" w:lineRule="auto"/>
        <w:ind w:left="338"/>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1.3.3</w:t>
      </w:r>
      <w:r>
        <w:rPr>
          <w:rFonts w:hint="eastAsia" w:ascii="仿宋" w:hAnsi="仿宋" w:eastAsia="仿宋" w:cs="仿宋"/>
          <w:color w:val="auto"/>
          <w:spacing w:val="-31"/>
          <w:sz w:val="24"/>
          <w:szCs w:val="24"/>
          <w:highlight w:val="none"/>
        </w:rPr>
        <w:t xml:space="preserve"> </w:t>
      </w:r>
      <w:r>
        <w:rPr>
          <w:rFonts w:hint="eastAsia" w:ascii="仿宋" w:hAnsi="仿宋" w:eastAsia="仿宋" w:cs="仿宋"/>
          <w:color w:val="auto"/>
          <w:spacing w:val="4"/>
          <w:sz w:val="24"/>
          <w:szCs w:val="24"/>
          <w:highlight w:val="none"/>
        </w:rPr>
        <w:t>其他计价方式：</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4"/>
          <w:sz w:val="24"/>
          <w:szCs w:val="24"/>
          <w:highlight w:val="none"/>
        </w:rPr>
        <w:t>。</w:t>
      </w:r>
    </w:p>
    <w:p w14:paraId="4685F317">
      <w:pPr>
        <w:pStyle w:val="9"/>
        <w:spacing w:before="153" w:line="360" w:lineRule="auto"/>
        <w:ind w:left="503"/>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1.4</w:t>
      </w:r>
      <w:r>
        <w:rPr>
          <w:rFonts w:hint="eastAsia" w:ascii="仿宋" w:hAnsi="仿宋" w:eastAsia="仿宋" w:cs="仿宋"/>
          <w:color w:val="auto"/>
          <w:spacing w:val="-37"/>
          <w:sz w:val="24"/>
          <w:szCs w:val="24"/>
          <w:highlight w:val="none"/>
        </w:rPr>
        <w:t xml:space="preserve"> </w:t>
      </w:r>
      <w:r>
        <w:rPr>
          <w:rFonts w:hint="eastAsia" w:ascii="仿宋" w:hAnsi="仿宋" w:eastAsia="仿宋" w:cs="仿宋"/>
          <w:b/>
          <w:bCs/>
          <w:color w:val="auto"/>
          <w:spacing w:val="2"/>
          <w:sz w:val="24"/>
          <w:szCs w:val="24"/>
          <w:highlight w:val="none"/>
        </w:rPr>
        <w:t>履约保证金</w:t>
      </w:r>
    </w:p>
    <w:p w14:paraId="76A654C1">
      <w:pPr>
        <w:pStyle w:val="9"/>
        <w:spacing w:before="153" w:line="360" w:lineRule="auto"/>
        <w:ind w:left="50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8"/>
          <w:sz w:val="24"/>
          <w:szCs w:val="24"/>
          <w:highlight w:val="none"/>
        </w:rPr>
        <w:t>乙方</w:t>
      </w:r>
      <w:r>
        <w:rPr>
          <w:rFonts w:hint="eastAsia" w:ascii="仿宋" w:hAnsi="仿宋" w:eastAsia="仿宋" w:cs="仿宋"/>
          <w:color w:val="auto"/>
          <w:spacing w:val="8"/>
          <w:sz w:val="24"/>
          <w:szCs w:val="24"/>
          <w:highlight w:val="none"/>
          <w:u w:val="single" w:color="auto"/>
        </w:rPr>
        <w:t xml:space="preserve">  否  </w:t>
      </w:r>
      <w:r>
        <w:rPr>
          <w:rFonts w:hint="eastAsia" w:ascii="仿宋" w:hAnsi="仿宋" w:eastAsia="仿宋" w:cs="仿宋"/>
          <w:color w:val="auto"/>
          <w:spacing w:val="8"/>
          <w:sz w:val="24"/>
          <w:szCs w:val="24"/>
          <w:highlight w:val="none"/>
        </w:rPr>
        <w:t>（是/否）需要支付履约保证金。若需要支付履约保证金的，则</w:t>
      </w:r>
      <w:r>
        <w:rPr>
          <w:rFonts w:hint="eastAsia" w:ascii="仿宋" w:hAnsi="仿宋" w:eastAsia="仿宋" w:cs="仿宋"/>
          <w:color w:val="auto"/>
          <w:spacing w:val="8"/>
          <w:sz w:val="24"/>
          <w:szCs w:val="24"/>
          <w:highlight w:val="none"/>
          <w:lang w:val="en-US" w:eastAsia="zh-CN"/>
        </w:rPr>
        <w:t>详见专用条款。</w:t>
      </w:r>
    </w:p>
    <w:p w14:paraId="0287EA00">
      <w:pPr>
        <w:pStyle w:val="9"/>
        <w:spacing w:before="154" w:line="360" w:lineRule="auto"/>
        <w:ind w:left="443"/>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1.5</w:t>
      </w:r>
      <w:r>
        <w:rPr>
          <w:rFonts w:hint="eastAsia" w:ascii="仿宋" w:hAnsi="仿宋" w:eastAsia="仿宋" w:cs="仿宋"/>
          <w:color w:val="auto"/>
          <w:spacing w:val="-37"/>
          <w:sz w:val="24"/>
          <w:szCs w:val="24"/>
          <w:highlight w:val="none"/>
        </w:rPr>
        <w:t xml:space="preserve"> </w:t>
      </w:r>
      <w:r>
        <w:rPr>
          <w:rFonts w:hint="eastAsia" w:ascii="仿宋" w:hAnsi="仿宋" w:eastAsia="仿宋" w:cs="仿宋"/>
          <w:b/>
          <w:bCs/>
          <w:color w:val="auto"/>
          <w:sz w:val="24"/>
          <w:szCs w:val="24"/>
          <w:highlight w:val="none"/>
        </w:rPr>
        <w:t>预付款</w:t>
      </w:r>
    </w:p>
    <w:p w14:paraId="17A23A0F">
      <w:pPr>
        <w:pStyle w:val="9"/>
        <w:spacing w:before="151" w:line="360" w:lineRule="auto"/>
        <w:ind w:left="515"/>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甲方</w:t>
      </w:r>
      <w:r>
        <w:rPr>
          <w:rFonts w:hint="eastAsia" w:ascii="仿宋" w:hAnsi="仿宋" w:eastAsia="仿宋" w:cs="仿宋"/>
          <w:color w:val="auto"/>
          <w:spacing w:val="8"/>
          <w:sz w:val="24"/>
          <w:szCs w:val="24"/>
          <w:highlight w:val="none"/>
          <w:u w:val="single" w:color="auto"/>
        </w:rPr>
        <w:t xml:space="preserve"> 否 </w:t>
      </w:r>
      <w:r>
        <w:rPr>
          <w:rFonts w:hint="eastAsia" w:ascii="仿宋" w:hAnsi="仿宋" w:eastAsia="仿宋" w:cs="仿宋"/>
          <w:color w:val="auto"/>
          <w:spacing w:val="8"/>
          <w:sz w:val="24"/>
          <w:szCs w:val="24"/>
          <w:highlight w:val="none"/>
        </w:rPr>
        <w:t>（是/否）需要支付预付款。若需要支</w:t>
      </w:r>
      <w:r>
        <w:rPr>
          <w:rFonts w:hint="eastAsia" w:ascii="仿宋" w:hAnsi="仿宋" w:eastAsia="仿宋" w:cs="仿宋"/>
          <w:color w:val="auto"/>
          <w:spacing w:val="7"/>
          <w:sz w:val="24"/>
          <w:szCs w:val="24"/>
          <w:highlight w:val="none"/>
        </w:rPr>
        <w:t>付预付款的。</w:t>
      </w:r>
    </w:p>
    <w:p w14:paraId="202075C2">
      <w:pPr>
        <w:pStyle w:val="9"/>
        <w:spacing w:before="65" w:line="360" w:lineRule="auto"/>
        <w:ind w:left="443"/>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1.5.1</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6"/>
          <w:sz w:val="24"/>
          <w:szCs w:val="24"/>
          <w:highlight w:val="none"/>
        </w:rPr>
        <w:t>预付款比例、支付方式、时间详见</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b/>
          <w:bCs/>
          <w:color w:val="auto"/>
          <w:spacing w:val="6"/>
          <w:sz w:val="24"/>
          <w:szCs w:val="24"/>
          <w:highlight w:val="none"/>
          <w:u w:val="single" w:color="auto"/>
        </w:rPr>
        <w:t>合同专用条款</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3E55BC46">
      <w:pPr>
        <w:pStyle w:val="9"/>
        <w:spacing w:before="153" w:line="360" w:lineRule="auto"/>
        <w:ind w:left="503"/>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1.5.2</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6"/>
          <w:sz w:val="24"/>
          <w:szCs w:val="24"/>
          <w:highlight w:val="none"/>
        </w:rPr>
        <w:t>预付款的扣回方式详见</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b/>
          <w:bCs/>
          <w:color w:val="auto"/>
          <w:spacing w:val="6"/>
          <w:sz w:val="24"/>
          <w:szCs w:val="24"/>
          <w:highlight w:val="none"/>
          <w:u w:val="single" w:color="auto"/>
        </w:rPr>
        <w:t>合同专用条款</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rPr>
        <w:t>；</w:t>
      </w:r>
    </w:p>
    <w:p w14:paraId="4F05645A">
      <w:pPr>
        <w:pStyle w:val="9"/>
        <w:spacing w:before="151" w:line="360" w:lineRule="auto"/>
        <w:ind w:left="503"/>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1.5.3</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6"/>
          <w:sz w:val="24"/>
          <w:szCs w:val="24"/>
          <w:highlight w:val="none"/>
        </w:rPr>
        <w:t>预付款的担保措施详见</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b/>
          <w:bCs/>
          <w:color w:val="auto"/>
          <w:spacing w:val="6"/>
          <w:sz w:val="24"/>
          <w:szCs w:val="24"/>
          <w:highlight w:val="none"/>
          <w:u w:val="single" w:color="auto"/>
        </w:rPr>
        <w:t>合同专用条款</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rPr>
        <w:t>。</w:t>
      </w:r>
    </w:p>
    <w:p w14:paraId="045BFABD">
      <w:pPr>
        <w:pStyle w:val="9"/>
        <w:spacing w:before="153" w:line="360" w:lineRule="auto"/>
        <w:ind w:left="503"/>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1.6</w:t>
      </w:r>
      <w:r>
        <w:rPr>
          <w:rFonts w:hint="eastAsia" w:ascii="仿宋" w:hAnsi="仿宋" w:eastAsia="仿宋" w:cs="仿宋"/>
          <w:color w:val="auto"/>
          <w:spacing w:val="-28"/>
          <w:sz w:val="24"/>
          <w:szCs w:val="24"/>
          <w:highlight w:val="none"/>
        </w:rPr>
        <w:t xml:space="preserve"> </w:t>
      </w:r>
      <w:r>
        <w:rPr>
          <w:rFonts w:hint="eastAsia" w:ascii="仿宋" w:hAnsi="仿宋" w:eastAsia="仿宋" w:cs="仿宋"/>
          <w:b/>
          <w:bCs/>
          <w:color w:val="auto"/>
          <w:sz w:val="24"/>
          <w:szCs w:val="24"/>
          <w:highlight w:val="none"/>
        </w:rPr>
        <w:t>资金支付</w:t>
      </w:r>
    </w:p>
    <w:p w14:paraId="43C296AB">
      <w:pPr>
        <w:pStyle w:val="9"/>
        <w:spacing w:before="153" w:line="360" w:lineRule="auto"/>
        <w:ind w:left="44" w:right="203" w:firstLine="39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lang w:val="en-US" w:eastAsia="zh-CN"/>
        </w:rPr>
        <w:t>保险协议签订后，甲方向乙方提供园林养护工人名单及有关信息，乙方在三个工作日内出具保单及发票，甲方在收到保单和发票后按程序支付相应保险费用。</w:t>
      </w:r>
    </w:p>
    <w:p w14:paraId="37479FD2">
      <w:pPr>
        <w:pStyle w:val="9"/>
        <w:spacing w:before="154" w:line="360" w:lineRule="auto"/>
        <w:ind w:left="443"/>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1.7</w:t>
      </w:r>
      <w:r>
        <w:rPr>
          <w:rFonts w:hint="eastAsia" w:ascii="仿宋" w:hAnsi="仿宋" w:eastAsia="仿宋" w:cs="仿宋"/>
          <w:color w:val="auto"/>
          <w:spacing w:val="5"/>
          <w:sz w:val="24"/>
          <w:szCs w:val="24"/>
          <w:highlight w:val="none"/>
        </w:rPr>
        <w:t xml:space="preserve"> </w:t>
      </w:r>
      <w:r>
        <w:rPr>
          <w:rFonts w:hint="eastAsia" w:ascii="仿宋" w:hAnsi="仿宋" w:eastAsia="仿宋" w:cs="仿宋"/>
          <w:b/>
          <w:bCs/>
          <w:color w:val="auto"/>
          <w:spacing w:val="5"/>
          <w:sz w:val="24"/>
          <w:szCs w:val="24"/>
          <w:highlight w:val="none"/>
        </w:rPr>
        <w:t>履行期限、地点和方式</w:t>
      </w:r>
    </w:p>
    <w:p w14:paraId="441525DA">
      <w:pPr>
        <w:pStyle w:val="9"/>
        <w:spacing w:before="150" w:line="360" w:lineRule="auto"/>
        <w:ind w:left="443"/>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1.7.1 服务交付（实施）的时间（期限</w:t>
      </w:r>
      <w:r>
        <w:rPr>
          <w:rFonts w:hint="eastAsia" w:ascii="仿宋" w:hAnsi="仿宋" w:eastAsia="仿宋" w:cs="仿宋"/>
          <w:color w:val="auto"/>
          <w:spacing w:val="16"/>
          <w:sz w:val="24"/>
          <w:szCs w:val="24"/>
          <w:highlight w:val="none"/>
        </w:rPr>
        <w:t>）：</w:t>
      </w:r>
      <w:r>
        <w:rPr>
          <w:rFonts w:hint="eastAsia" w:ascii="仿宋" w:hAnsi="仿宋" w:eastAsia="仿宋" w:cs="仿宋"/>
          <w:b/>
          <w:bCs/>
          <w:color w:val="auto"/>
          <w:spacing w:val="6"/>
          <w:sz w:val="24"/>
          <w:szCs w:val="24"/>
          <w:highlight w:val="none"/>
          <w:u w:val="single" w:color="auto"/>
        </w:rPr>
        <w:t>合同专用条款</w:t>
      </w:r>
      <w:r>
        <w:rPr>
          <w:rFonts w:hint="eastAsia" w:ascii="仿宋" w:hAnsi="仿宋" w:eastAsia="仿宋" w:cs="仿宋"/>
          <w:color w:val="auto"/>
          <w:spacing w:val="6"/>
          <w:sz w:val="24"/>
          <w:szCs w:val="24"/>
          <w:highlight w:val="none"/>
        </w:rPr>
        <w:t>；</w:t>
      </w:r>
    </w:p>
    <w:p w14:paraId="1D8F97CE">
      <w:pPr>
        <w:pStyle w:val="9"/>
        <w:spacing w:before="154" w:line="360" w:lineRule="auto"/>
        <w:ind w:left="443"/>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1.7.2 服务交付（实施）的地点（地域范围</w:t>
      </w:r>
      <w:r>
        <w:rPr>
          <w:rFonts w:hint="eastAsia" w:ascii="仿宋" w:hAnsi="仿宋" w:eastAsia="仿宋" w:cs="仿宋"/>
          <w:color w:val="auto"/>
          <w:spacing w:val="15"/>
          <w:sz w:val="24"/>
          <w:szCs w:val="24"/>
          <w:highlight w:val="none"/>
        </w:rPr>
        <w:t>）：</w:t>
      </w:r>
      <w:r>
        <w:rPr>
          <w:rFonts w:hint="eastAsia" w:ascii="仿宋" w:hAnsi="仿宋" w:eastAsia="仿宋" w:cs="仿宋"/>
          <w:b/>
          <w:bCs/>
          <w:color w:val="auto"/>
          <w:spacing w:val="7"/>
          <w:sz w:val="24"/>
          <w:szCs w:val="24"/>
          <w:highlight w:val="none"/>
          <w:u w:val="single" w:color="auto"/>
        </w:rPr>
        <w:t>合同专用条款</w:t>
      </w:r>
      <w:r>
        <w:rPr>
          <w:rFonts w:hint="eastAsia" w:ascii="仿宋" w:hAnsi="仿宋" w:eastAsia="仿宋" w:cs="仿宋"/>
          <w:color w:val="auto"/>
          <w:spacing w:val="7"/>
          <w:sz w:val="24"/>
          <w:szCs w:val="24"/>
          <w:highlight w:val="none"/>
        </w:rPr>
        <w:t>；</w:t>
      </w:r>
    </w:p>
    <w:p w14:paraId="4C551A7C">
      <w:pPr>
        <w:pStyle w:val="9"/>
        <w:spacing w:before="154" w:line="360" w:lineRule="auto"/>
        <w:ind w:left="443"/>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1.7.3 服务交付（实施）的方式：</w:t>
      </w:r>
      <w:r>
        <w:rPr>
          <w:rFonts w:hint="eastAsia" w:ascii="仿宋" w:hAnsi="仿宋" w:eastAsia="仿宋" w:cs="仿宋"/>
          <w:b/>
          <w:bCs/>
          <w:color w:val="auto"/>
          <w:spacing w:val="7"/>
          <w:sz w:val="24"/>
          <w:szCs w:val="24"/>
          <w:highlight w:val="none"/>
          <w:u w:val="single" w:color="auto"/>
        </w:rPr>
        <w:t>合同专用条款</w:t>
      </w:r>
      <w:r>
        <w:rPr>
          <w:rFonts w:hint="eastAsia" w:ascii="仿宋" w:hAnsi="仿宋" w:eastAsia="仿宋" w:cs="仿宋"/>
          <w:color w:val="auto"/>
          <w:spacing w:val="7"/>
          <w:sz w:val="24"/>
          <w:szCs w:val="24"/>
          <w:highlight w:val="none"/>
        </w:rPr>
        <w:t>。</w:t>
      </w:r>
    </w:p>
    <w:p w14:paraId="70799214">
      <w:pPr>
        <w:pStyle w:val="9"/>
        <w:spacing w:before="151" w:line="360" w:lineRule="auto"/>
        <w:ind w:left="443"/>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1.8</w:t>
      </w:r>
      <w:r>
        <w:rPr>
          <w:rFonts w:hint="eastAsia" w:ascii="仿宋" w:hAnsi="仿宋" w:eastAsia="仿宋" w:cs="仿宋"/>
          <w:color w:val="auto"/>
          <w:spacing w:val="-41"/>
          <w:sz w:val="24"/>
          <w:szCs w:val="24"/>
          <w:highlight w:val="none"/>
        </w:rPr>
        <w:t xml:space="preserve"> </w:t>
      </w:r>
      <w:r>
        <w:rPr>
          <w:rFonts w:hint="eastAsia" w:ascii="仿宋" w:hAnsi="仿宋" w:eastAsia="仿宋" w:cs="仿宋"/>
          <w:b/>
          <w:bCs/>
          <w:color w:val="auto"/>
          <w:spacing w:val="2"/>
          <w:sz w:val="24"/>
          <w:szCs w:val="24"/>
          <w:highlight w:val="none"/>
        </w:rPr>
        <w:t>违约责任</w:t>
      </w:r>
    </w:p>
    <w:p w14:paraId="2063B596">
      <w:pPr>
        <w:pStyle w:val="9"/>
        <w:spacing w:before="153" w:line="360" w:lineRule="auto"/>
        <w:ind w:left="8" w:right="47" w:firstLine="435"/>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1.8.1 除不可抗力外，如果乙方没有按照本合同约定的期</w:t>
      </w:r>
      <w:r>
        <w:rPr>
          <w:rFonts w:hint="eastAsia" w:ascii="仿宋" w:hAnsi="仿宋" w:eastAsia="仿宋" w:cs="仿宋"/>
          <w:color w:val="auto"/>
          <w:spacing w:val="8"/>
          <w:sz w:val="24"/>
          <w:szCs w:val="24"/>
          <w:highlight w:val="none"/>
        </w:rPr>
        <w:t>限、地点和方式交付服务成果或者</w:t>
      </w:r>
      <w:r>
        <w:rPr>
          <w:rFonts w:hint="eastAsia" w:ascii="仿宋" w:hAnsi="仿宋" w:eastAsia="仿宋" w:cs="仿宋"/>
          <w:color w:val="auto"/>
          <w:spacing w:val="10"/>
          <w:sz w:val="24"/>
          <w:szCs w:val="24"/>
          <w:highlight w:val="none"/>
        </w:rPr>
        <w:t>实施服务，那么甲方可要求乙方支付违约金，迟延履行违约金按每迟</w:t>
      </w:r>
      <w:r>
        <w:rPr>
          <w:rFonts w:hint="eastAsia" w:ascii="仿宋" w:hAnsi="仿宋" w:eastAsia="仿宋" w:cs="仿宋"/>
          <w:color w:val="auto"/>
          <w:spacing w:val="9"/>
          <w:sz w:val="24"/>
          <w:szCs w:val="24"/>
          <w:highlight w:val="none"/>
        </w:rPr>
        <w:t>延履行一日的应提供而未提</w:t>
      </w:r>
      <w:r>
        <w:rPr>
          <w:rFonts w:hint="eastAsia" w:ascii="仿宋" w:hAnsi="仿宋" w:eastAsia="仿宋" w:cs="仿宋"/>
          <w:color w:val="auto"/>
          <w:spacing w:val="8"/>
          <w:sz w:val="24"/>
          <w:szCs w:val="24"/>
          <w:highlight w:val="none"/>
        </w:rPr>
        <w:t>供服务价格的</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8"/>
          <w:sz w:val="24"/>
          <w:szCs w:val="24"/>
          <w:highlight w:val="none"/>
          <w:u w:val="single" w:color="auto"/>
        </w:rPr>
        <w:t xml:space="preserve">0.05 </w:t>
      </w:r>
      <w:r>
        <w:rPr>
          <w:rFonts w:hint="eastAsia" w:ascii="仿宋" w:hAnsi="仿宋" w:eastAsia="仿宋" w:cs="仿宋"/>
          <w:color w:val="auto"/>
          <w:spacing w:val="8"/>
          <w:sz w:val="24"/>
          <w:szCs w:val="24"/>
          <w:highlight w:val="none"/>
        </w:rPr>
        <w:t>%计算，最高限额为本合同总价的</w:t>
      </w:r>
      <w:r>
        <w:rPr>
          <w:rFonts w:hint="eastAsia" w:ascii="仿宋" w:hAnsi="仿宋" w:eastAsia="仿宋" w:cs="仿宋"/>
          <w:color w:val="auto"/>
          <w:spacing w:val="8"/>
          <w:sz w:val="24"/>
          <w:szCs w:val="24"/>
          <w:highlight w:val="none"/>
          <w:u w:val="single" w:color="auto"/>
        </w:rPr>
        <w:t xml:space="preserve">  20   </w:t>
      </w:r>
      <w:r>
        <w:rPr>
          <w:rFonts w:hint="eastAsia" w:ascii="仿宋" w:hAnsi="仿宋" w:eastAsia="仿宋" w:cs="仿宋"/>
          <w:color w:val="auto"/>
          <w:spacing w:val="-97"/>
          <w:sz w:val="24"/>
          <w:szCs w:val="24"/>
          <w:highlight w:val="none"/>
        </w:rPr>
        <w:t xml:space="preserve"> </w:t>
      </w:r>
      <w:r>
        <w:rPr>
          <w:rFonts w:hint="eastAsia" w:ascii="仿宋" w:hAnsi="仿宋" w:eastAsia="仿宋" w:cs="仿宋"/>
          <w:color w:val="auto"/>
          <w:spacing w:val="8"/>
          <w:sz w:val="24"/>
          <w:szCs w:val="24"/>
          <w:highlight w:val="none"/>
        </w:rPr>
        <w:t>%；迟延履行的违约金计算数</w:t>
      </w:r>
      <w:r>
        <w:rPr>
          <w:rFonts w:hint="eastAsia" w:ascii="仿宋" w:hAnsi="仿宋" w:eastAsia="仿宋" w:cs="仿宋"/>
          <w:color w:val="auto"/>
          <w:spacing w:val="7"/>
          <w:sz w:val="24"/>
          <w:szCs w:val="24"/>
          <w:highlight w:val="none"/>
        </w:rPr>
        <w:t>额达</w:t>
      </w:r>
      <w:r>
        <w:rPr>
          <w:rFonts w:hint="eastAsia" w:ascii="仿宋" w:hAnsi="仿宋" w:eastAsia="仿宋" w:cs="仿宋"/>
          <w:color w:val="auto"/>
          <w:spacing w:val="10"/>
          <w:sz w:val="24"/>
          <w:szCs w:val="24"/>
          <w:highlight w:val="none"/>
        </w:rPr>
        <w:t>到前述最高限额之日起，甲方有权在要求乙</w:t>
      </w:r>
      <w:r>
        <w:rPr>
          <w:rFonts w:hint="eastAsia" w:ascii="仿宋" w:hAnsi="仿宋" w:eastAsia="仿宋" w:cs="仿宋"/>
          <w:color w:val="auto"/>
          <w:spacing w:val="9"/>
          <w:sz w:val="24"/>
          <w:szCs w:val="24"/>
          <w:highlight w:val="none"/>
        </w:rPr>
        <w:t>方支付违约金的同时，书面通知乙方解除本合同；</w:t>
      </w:r>
    </w:p>
    <w:p w14:paraId="115ABDC9">
      <w:pPr>
        <w:pStyle w:val="9"/>
        <w:spacing w:before="153" w:line="360" w:lineRule="auto"/>
        <w:ind w:left="7" w:right="47" w:firstLine="436"/>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1.8.2</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9"/>
          <w:sz w:val="24"/>
          <w:szCs w:val="24"/>
          <w:highlight w:val="none"/>
        </w:rPr>
        <w:t>服务中涉及的货物，除不可抗力外，如果乙</w:t>
      </w:r>
      <w:r>
        <w:rPr>
          <w:rFonts w:hint="eastAsia" w:ascii="仿宋" w:hAnsi="仿宋" w:eastAsia="仿宋" w:cs="仿宋"/>
          <w:color w:val="auto"/>
          <w:spacing w:val="8"/>
          <w:sz w:val="24"/>
          <w:szCs w:val="24"/>
          <w:highlight w:val="none"/>
        </w:rPr>
        <w:t>方没有按照本合同约定的期限、地点和方</w:t>
      </w:r>
      <w:r>
        <w:rPr>
          <w:rFonts w:hint="eastAsia" w:ascii="仿宋" w:hAnsi="仿宋" w:eastAsia="仿宋" w:cs="仿宋"/>
          <w:color w:val="auto"/>
          <w:spacing w:val="10"/>
          <w:sz w:val="24"/>
          <w:szCs w:val="24"/>
          <w:highlight w:val="none"/>
        </w:rPr>
        <w:t>式交付货物，那么甲方可要求乙方支付违约金，违约金按每迟延交付货</w:t>
      </w:r>
      <w:r>
        <w:rPr>
          <w:rFonts w:hint="eastAsia" w:ascii="仿宋" w:hAnsi="仿宋" w:eastAsia="仿宋" w:cs="仿宋"/>
          <w:color w:val="auto"/>
          <w:spacing w:val="9"/>
          <w:sz w:val="24"/>
          <w:szCs w:val="24"/>
          <w:highlight w:val="none"/>
        </w:rPr>
        <w:t>物一日的应交付而未交付</w:t>
      </w:r>
      <w:r>
        <w:rPr>
          <w:rFonts w:hint="eastAsia" w:ascii="仿宋" w:hAnsi="仿宋" w:eastAsia="仿宋" w:cs="仿宋"/>
          <w:color w:val="auto"/>
          <w:spacing w:val="8"/>
          <w:sz w:val="24"/>
          <w:szCs w:val="24"/>
          <w:highlight w:val="none"/>
        </w:rPr>
        <w:t>货物价格的</w:t>
      </w:r>
      <w:r>
        <w:rPr>
          <w:rFonts w:hint="eastAsia" w:ascii="仿宋" w:hAnsi="仿宋" w:eastAsia="仿宋" w:cs="仿宋"/>
          <w:color w:val="auto"/>
          <w:spacing w:val="8"/>
          <w:sz w:val="24"/>
          <w:szCs w:val="24"/>
          <w:highlight w:val="none"/>
          <w:u w:val="single" w:color="auto"/>
        </w:rPr>
        <w:t xml:space="preserve"> </w:t>
      </w:r>
      <w:r>
        <w:rPr>
          <w:rFonts w:hint="eastAsia" w:ascii="仿宋" w:hAnsi="仿宋" w:eastAsia="仿宋" w:cs="仿宋"/>
          <w:color w:val="auto"/>
          <w:spacing w:val="8"/>
          <w:sz w:val="24"/>
          <w:szCs w:val="24"/>
          <w:highlight w:val="none"/>
          <w:u w:val="single" w:color="auto"/>
          <w:lang w:val="en-US" w:eastAsia="zh-CN"/>
        </w:rPr>
        <w:t>/</w:t>
      </w:r>
      <w:r>
        <w:rPr>
          <w:rFonts w:hint="eastAsia" w:ascii="仿宋" w:hAnsi="仿宋" w:eastAsia="仿宋" w:cs="仿宋"/>
          <w:color w:val="auto"/>
          <w:spacing w:val="8"/>
          <w:sz w:val="24"/>
          <w:szCs w:val="24"/>
          <w:highlight w:val="none"/>
          <w:u w:val="single" w:color="auto"/>
        </w:rPr>
        <w:t xml:space="preserve">  </w:t>
      </w:r>
      <w:r>
        <w:rPr>
          <w:rFonts w:hint="eastAsia" w:ascii="仿宋" w:hAnsi="仿宋" w:eastAsia="仿宋" w:cs="仿宋"/>
          <w:color w:val="auto"/>
          <w:spacing w:val="-94"/>
          <w:sz w:val="24"/>
          <w:szCs w:val="24"/>
          <w:highlight w:val="none"/>
        </w:rPr>
        <w:t xml:space="preserve"> </w:t>
      </w:r>
      <w:r>
        <w:rPr>
          <w:rFonts w:hint="eastAsia" w:ascii="仿宋" w:hAnsi="仿宋" w:eastAsia="仿宋" w:cs="仿宋"/>
          <w:color w:val="auto"/>
          <w:spacing w:val="8"/>
          <w:sz w:val="24"/>
          <w:szCs w:val="24"/>
          <w:highlight w:val="none"/>
        </w:rPr>
        <w:t>% 计算，最高限额为本合同总价的</w:t>
      </w:r>
      <w:r>
        <w:rPr>
          <w:rFonts w:hint="eastAsia" w:ascii="仿宋" w:hAnsi="仿宋" w:eastAsia="仿宋" w:cs="仿宋"/>
          <w:color w:val="auto"/>
          <w:spacing w:val="8"/>
          <w:sz w:val="24"/>
          <w:szCs w:val="24"/>
          <w:highlight w:val="none"/>
          <w:u w:val="single" w:color="auto"/>
        </w:rPr>
        <w:t xml:space="preserve">  </w:t>
      </w:r>
      <w:r>
        <w:rPr>
          <w:rFonts w:hint="eastAsia" w:ascii="仿宋" w:hAnsi="仿宋" w:eastAsia="仿宋" w:cs="仿宋"/>
          <w:color w:val="auto"/>
          <w:spacing w:val="8"/>
          <w:sz w:val="24"/>
          <w:szCs w:val="24"/>
          <w:highlight w:val="none"/>
          <w:u w:val="single" w:color="auto"/>
          <w:lang w:val="en-US" w:eastAsia="zh-CN"/>
        </w:rPr>
        <w:t>/</w:t>
      </w:r>
      <w:r>
        <w:rPr>
          <w:rFonts w:hint="eastAsia" w:ascii="仿宋" w:hAnsi="仿宋" w:eastAsia="仿宋" w:cs="仿宋"/>
          <w:color w:val="auto"/>
          <w:spacing w:val="8"/>
          <w:sz w:val="24"/>
          <w:szCs w:val="24"/>
          <w:highlight w:val="none"/>
          <w:u w:val="single" w:color="auto"/>
        </w:rPr>
        <w:t xml:space="preserve">  </w:t>
      </w:r>
      <w:r>
        <w:rPr>
          <w:rFonts w:hint="eastAsia" w:ascii="仿宋" w:hAnsi="仿宋" w:eastAsia="仿宋" w:cs="仿宋"/>
          <w:color w:val="auto"/>
          <w:spacing w:val="-97"/>
          <w:sz w:val="24"/>
          <w:szCs w:val="24"/>
          <w:highlight w:val="none"/>
        </w:rPr>
        <w:t xml:space="preserve"> </w:t>
      </w:r>
      <w:r>
        <w:rPr>
          <w:rFonts w:hint="eastAsia" w:ascii="仿宋" w:hAnsi="仿宋" w:eastAsia="仿宋" w:cs="仿宋"/>
          <w:color w:val="auto"/>
          <w:spacing w:val="8"/>
          <w:sz w:val="24"/>
          <w:szCs w:val="24"/>
          <w:highlight w:val="none"/>
        </w:rPr>
        <w:t>%；迟延交付货物的违约金计算数额</w:t>
      </w:r>
      <w:r>
        <w:rPr>
          <w:rFonts w:hint="eastAsia" w:ascii="仿宋" w:hAnsi="仿宋" w:eastAsia="仿宋" w:cs="仿宋"/>
          <w:color w:val="auto"/>
          <w:spacing w:val="9"/>
          <w:sz w:val="24"/>
          <w:szCs w:val="24"/>
          <w:highlight w:val="none"/>
        </w:rPr>
        <w:t>达到前述最高限额之日起，</w:t>
      </w:r>
      <w:r>
        <w:rPr>
          <w:rFonts w:hint="eastAsia" w:ascii="仿宋" w:hAnsi="仿宋" w:eastAsia="仿宋" w:cs="仿宋"/>
          <w:color w:val="auto"/>
          <w:spacing w:val="-58"/>
          <w:sz w:val="24"/>
          <w:szCs w:val="24"/>
          <w:highlight w:val="none"/>
        </w:rPr>
        <w:t xml:space="preserve"> </w:t>
      </w:r>
      <w:r>
        <w:rPr>
          <w:rFonts w:hint="eastAsia" w:ascii="仿宋" w:hAnsi="仿宋" w:eastAsia="仿宋" w:cs="仿宋"/>
          <w:color w:val="auto"/>
          <w:spacing w:val="9"/>
          <w:sz w:val="24"/>
          <w:szCs w:val="24"/>
          <w:highlight w:val="none"/>
        </w:rPr>
        <w:t>甲方有权在要求乙方支</w:t>
      </w:r>
      <w:r>
        <w:rPr>
          <w:rFonts w:hint="eastAsia" w:ascii="仿宋" w:hAnsi="仿宋" w:eastAsia="仿宋" w:cs="仿宋"/>
          <w:color w:val="auto"/>
          <w:spacing w:val="8"/>
          <w:sz w:val="24"/>
          <w:szCs w:val="24"/>
          <w:highlight w:val="none"/>
        </w:rPr>
        <w:t>付违约金的同时，书面通知乙方解除本合同；</w:t>
      </w:r>
    </w:p>
    <w:p w14:paraId="6AFAC9BE">
      <w:pPr>
        <w:pStyle w:val="9"/>
        <w:spacing w:before="138" w:line="360" w:lineRule="auto"/>
        <w:ind w:left="8" w:right="47" w:firstLine="435"/>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1.8.3</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8"/>
          <w:sz w:val="24"/>
          <w:szCs w:val="24"/>
          <w:highlight w:val="none"/>
        </w:rPr>
        <w:t>除不可抗力外，如果甲方没有按照本合同约定的付款方式付款，那么乙方可要求甲方</w:t>
      </w:r>
      <w:r>
        <w:rPr>
          <w:rFonts w:hint="eastAsia" w:ascii="仿宋" w:hAnsi="仿宋" w:eastAsia="仿宋" w:cs="仿宋"/>
          <w:color w:val="auto"/>
          <w:spacing w:val="9"/>
          <w:sz w:val="24"/>
          <w:szCs w:val="24"/>
          <w:highlight w:val="none"/>
        </w:rPr>
        <w:t>支付违约金，违约金按每迟延付款一日的应付而未付款的</w:t>
      </w:r>
      <w:r>
        <w:rPr>
          <w:rFonts w:hint="eastAsia" w:ascii="仿宋" w:hAnsi="仿宋" w:eastAsia="仿宋" w:cs="仿宋"/>
          <w:color w:val="auto"/>
          <w:spacing w:val="9"/>
          <w:sz w:val="24"/>
          <w:szCs w:val="24"/>
          <w:highlight w:val="none"/>
          <w:u w:val="single" w:color="auto"/>
        </w:rPr>
        <w:t xml:space="preserve"> </w:t>
      </w:r>
      <w:r>
        <w:rPr>
          <w:rFonts w:hint="eastAsia" w:ascii="仿宋" w:hAnsi="仿宋" w:eastAsia="仿宋" w:cs="仿宋"/>
          <w:color w:val="auto"/>
          <w:spacing w:val="8"/>
          <w:sz w:val="24"/>
          <w:szCs w:val="24"/>
          <w:highlight w:val="none"/>
          <w:u w:val="single" w:color="auto"/>
        </w:rPr>
        <w:t xml:space="preserve">  0.05   </w:t>
      </w:r>
      <w:r>
        <w:rPr>
          <w:rFonts w:hint="eastAsia" w:ascii="仿宋" w:hAnsi="仿宋" w:eastAsia="仿宋" w:cs="仿宋"/>
          <w:color w:val="auto"/>
          <w:spacing w:val="-97"/>
          <w:sz w:val="24"/>
          <w:szCs w:val="24"/>
          <w:highlight w:val="none"/>
        </w:rPr>
        <w:t xml:space="preserve"> </w:t>
      </w:r>
      <w:r>
        <w:rPr>
          <w:rFonts w:hint="eastAsia" w:ascii="仿宋" w:hAnsi="仿宋" w:eastAsia="仿宋" w:cs="仿宋"/>
          <w:color w:val="auto"/>
          <w:spacing w:val="8"/>
          <w:sz w:val="24"/>
          <w:szCs w:val="24"/>
          <w:highlight w:val="none"/>
        </w:rPr>
        <w:t>%计算，最高限额为本合同</w:t>
      </w:r>
      <w:r>
        <w:rPr>
          <w:rFonts w:hint="eastAsia" w:ascii="仿宋" w:hAnsi="仿宋" w:eastAsia="仿宋" w:cs="仿宋"/>
          <w:color w:val="auto"/>
          <w:spacing w:val="9"/>
          <w:sz w:val="24"/>
          <w:szCs w:val="24"/>
          <w:highlight w:val="none"/>
        </w:rPr>
        <w:t>总价的</w:t>
      </w:r>
      <w:r>
        <w:rPr>
          <w:rFonts w:hint="eastAsia" w:ascii="仿宋" w:hAnsi="仿宋" w:eastAsia="仿宋" w:cs="仿宋"/>
          <w:color w:val="auto"/>
          <w:spacing w:val="9"/>
          <w:sz w:val="24"/>
          <w:szCs w:val="24"/>
          <w:highlight w:val="none"/>
          <w:u w:val="single" w:color="auto"/>
        </w:rPr>
        <w:t xml:space="preserve">   20  </w:t>
      </w:r>
      <w:r>
        <w:rPr>
          <w:rFonts w:hint="eastAsia" w:ascii="仿宋" w:hAnsi="仿宋" w:eastAsia="仿宋" w:cs="仿宋"/>
          <w:color w:val="auto"/>
          <w:spacing w:val="-97"/>
          <w:sz w:val="24"/>
          <w:szCs w:val="24"/>
          <w:highlight w:val="none"/>
        </w:rPr>
        <w:t xml:space="preserve"> </w:t>
      </w:r>
      <w:r>
        <w:rPr>
          <w:rFonts w:hint="eastAsia" w:ascii="仿宋" w:hAnsi="仿宋" w:eastAsia="仿宋" w:cs="仿宋"/>
          <w:color w:val="auto"/>
          <w:spacing w:val="9"/>
          <w:sz w:val="24"/>
          <w:szCs w:val="24"/>
          <w:highlight w:val="none"/>
        </w:rPr>
        <w:t>%；迟延付款的违约金计算数额达到前述最高限额之日起，乙</w:t>
      </w:r>
      <w:r>
        <w:rPr>
          <w:rFonts w:hint="eastAsia" w:ascii="仿宋" w:hAnsi="仿宋" w:eastAsia="仿宋" w:cs="仿宋"/>
          <w:color w:val="auto"/>
          <w:spacing w:val="8"/>
          <w:sz w:val="24"/>
          <w:szCs w:val="24"/>
          <w:highlight w:val="none"/>
        </w:rPr>
        <w:t>方有权在要求甲方支</w:t>
      </w:r>
      <w:r>
        <w:rPr>
          <w:rFonts w:hint="eastAsia" w:ascii="仿宋" w:hAnsi="仿宋" w:eastAsia="仿宋" w:cs="仿宋"/>
          <w:color w:val="auto"/>
          <w:spacing w:val="9"/>
          <w:sz w:val="24"/>
          <w:szCs w:val="24"/>
          <w:highlight w:val="none"/>
        </w:rPr>
        <w:t>付违约金的同时，书面通知甲方解除本合同；</w:t>
      </w:r>
    </w:p>
    <w:p w14:paraId="0BBC0C9A">
      <w:pPr>
        <w:pStyle w:val="9"/>
        <w:spacing w:before="132" w:line="360" w:lineRule="auto"/>
        <w:ind w:left="7" w:right="47" w:firstLine="436"/>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1.8.4 除不可抗力外，任何一方未能履行本合同约定的其</w:t>
      </w:r>
      <w:r>
        <w:rPr>
          <w:rFonts w:hint="eastAsia" w:ascii="仿宋" w:hAnsi="仿宋" w:eastAsia="仿宋" w:cs="仿宋"/>
          <w:color w:val="auto"/>
          <w:spacing w:val="8"/>
          <w:sz w:val="24"/>
          <w:szCs w:val="24"/>
          <w:highlight w:val="none"/>
        </w:rPr>
        <w:t>他主要义务，经催告后在合理期限</w:t>
      </w:r>
      <w:r>
        <w:rPr>
          <w:rFonts w:hint="eastAsia" w:ascii="仿宋" w:hAnsi="仿宋" w:eastAsia="仿宋" w:cs="仿宋"/>
          <w:color w:val="auto"/>
          <w:spacing w:val="10"/>
          <w:sz w:val="24"/>
          <w:szCs w:val="24"/>
          <w:highlight w:val="none"/>
        </w:rPr>
        <w:t>内仍未履行的，或者任何一方有其他违约行为致使不能实现合同目的的</w:t>
      </w:r>
      <w:r>
        <w:rPr>
          <w:rFonts w:hint="eastAsia" w:ascii="仿宋" w:hAnsi="仿宋" w:eastAsia="仿宋" w:cs="仿宋"/>
          <w:color w:val="auto"/>
          <w:spacing w:val="9"/>
          <w:sz w:val="24"/>
          <w:szCs w:val="24"/>
          <w:highlight w:val="none"/>
        </w:rPr>
        <w:t>，或者任何一方有腐败行</w:t>
      </w:r>
      <w:r>
        <w:rPr>
          <w:rFonts w:hint="eastAsia" w:ascii="仿宋" w:hAnsi="仿宋" w:eastAsia="仿宋" w:cs="仿宋"/>
          <w:color w:val="auto"/>
          <w:spacing w:val="10"/>
          <w:sz w:val="24"/>
          <w:szCs w:val="24"/>
          <w:highlight w:val="none"/>
        </w:rPr>
        <w:t>为（即：提供或给予或接受或索取任何财物或其他好处或者采取其他不</w:t>
      </w:r>
      <w:r>
        <w:rPr>
          <w:rFonts w:hint="eastAsia" w:ascii="仿宋" w:hAnsi="仿宋" w:eastAsia="仿宋" w:cs="仿宋"/>
          <w:color w:val="auto"/>
          <w:spacing w:val="9"/>
          <w:sz w:val="24"/>
          <w:szCs w:val="24"/>
          <w:highlight w:val="none"/>
        </w:rPr>
        <w:t>正当手段影响对方当事人在合同签订、履行过程中的行为）或者欺诈行为（即：</w:t>
      </w:r>
      <w:r>
        <w:rPr>
          <w:rFonts w:hint="eastAsia" w:ascii="仿宋" w:hAnsi="仿宋" w:eastAsia="仿宋" w:cs="仿宋"/>
          <w:color w:val="auto"/>
          <w:spacing w:val="-57"/>
          <w:sz w:val="24"/>
          <w:szCs w:val="24"/>
          <w:highlight w:val="none"/>
        </w:rPr>
        <w:t xml:space="preserve"> </w:t>
      </w:r>
      <w:r>
        <w:rPr>
          <w:rFonts w:hint="eastAsia" w:ascii="仿宋" w:hAnsi="仿宋" w:eastAsia="仿宋" w:cs="仿宋"/>
          <w:color w:val="auto"/>
          <w:spacing w:val="9"/>
          <w:sz w:val="24"/>
          <w:szCs w:val="24"/>
          <w:highlight w:val="none"/>
        </w:rPr>
        <w:t>以谎报事实或</w:t>
      </w:r>
      <w:r>
        <w:rPr>
          <w:rFonts w:hint="eastAsia" w:ascii="仿宋" w:hAnsi="仿宋" w:eastAsia="仿宋" w:cs="仿宋"/>
          <w:color w:val="auto"/>
          <w:spacing w:val="8"/>
          <w:sz w:val="24"/>
          <w:szCs w:val="24"/>
          <w:highlight w:val="none"/>
        </w:rPr>
        <w:t>者隐瞒真相的方法来影响对</w:t>
      </w:r>
      <w:r>
        <w:rPr>
          <w:rFonts w:hint="eastAsia" w:ascii="仿宋" w:hAnsi="仿宋" w:eastAsia="仿宋" w:cs="仿宋"/>
          <w:color w:val="auto"/>
          <w:spacing w:val="10"/>
          <w:sz w:val="24"/>
          <w:szCs w:val="24"/>
          <w:highlight w:val="none"/>
        </w:rPr>
        <w:t>方当事人在合同签订、履行过程中的行为）的</w:t>
      </w:r>
      <w:r>
        <w:rPr>
          <w:rFonts w:hint="eastAsia" w:ascii="仿宋" w:hAnsi="仿宋" w:eastAsia="仿宋" w:cs="仿宋"/>
          <w:color w:val="auto"/>
          <w:spacing w:val="9"/>
          <w:sz w:val="24"/>
          <w:szCs w:val="24"/>
          <w:highlight w:val="none"/>
        </w:rPr>
        <w:t>，对方当事人可以书面通知违约方解除本合同；</w:t>
      </w:r>
    </w:p>
    <w:p w14:paraId="38DDE84B">
      <w:pPr>
        <w:pStyle w:val="9"/>
        <w:spacing w:before="137" w:line="360" w:lineRule="auto"/>
        <w:ind w:left="8" w:right="47" w:firstLine="435"/>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1.8.5 除前述约定外，任何一方未能履行本合同约定的义</w:t>
      </w:r>
      <w:r>
        <w:rPr>
          <w:rFonts w:hint="eastAsia" w:ascii="仿宋" w:hAnsi="仿宋" w:eastAsia="仿宋" w:cs="仿宋"/>
          <w:color w:val="auto"/>
          <w:spacing w:val="8"/>
          <w:sz w:val="24"/>
          <w:szCs w:val="24"/>
          <w:highlight w:val="none"/>
        </w:rPr>
        <w:t>务，对方当事人均有权要求继续履</w:t>
      </w:r>
      <w:r>
        <w:rPr>
          <w:rFonts w:hint="eastAsia" w:ascii="仿宋" w:hAnsi="仿宋" w:eastAsia="仿宋" w:cs="仿宋"/>
          <w:color w:val="auto"/>
          <w:spacing w:val="10"/>
          <w:sz w:val="24"/>
          <w:szCs w:val="24"/>
          <w:highlight w:val="none"/>
        </w:rPr>
        <w:t>行、采取补救措施或者赔偿损失等，且对方当事人行使的任何权利救</w:t>
      </w:r>
      <w:r>
        <w:rPr>
          <w:rFonts w:hint="eastAsia" w:ascii="仿宋" w:hAnsi="仿宋" w:eastAsia="仿宋" w:cs="仿宋"/>
          <w:color w:val="auto"/>
          <w:spacing w:val="9"/>
          <w:sz w:val="24"/>
          <w:szCs w:val="24"/>
          <w:highlight w:val="none"/>
        </w:rPr>
        <w:t>济方式均不视为其放弃了其</w:t>
      </w:r>
      <w:r>
        <w:rPr>
          <w:rFonts w:hint="eastAsia" w:ascii="仿宋" w:hAnsi="仿宋" w:eastAsia="仿宋" w:cs="仿宋"/>
          <w:color w:val="auto"/>
          <w:spacing w:val="8"/>
          <w:sz w:val="24"/>
          <w:szCs w:val="24"/>
          <w:highlight w:val="none"/>
        </w:rPr>
        <w:t>他法定或者约定的权利救济方式；</w:t>
      </w:r>
    </w:p>
    <w:p w14:paraId="4D12BF6F">
      <w:pPr>
        <w:pStyle w:val="9"/>
        <w:spacing w:before="133" w:line="360" w:lineRule="auto"/>
        <w:ind w:left="6" w:right="47" w:firstLine="437"/>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1.8.6</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9"/>
          <w:sz w:val="24"/>
          <w:szCs w:val="24"/>
          <w:highlight w:val="none"/>
        </w:rPr>
        <w:t>如果出现政府采购监督管理部门在处</w:t>
      </w:r>
      <w:r>
        <w:rPr>
          <w:rFonts w:hint="eastAsia" w:ascii="仿宋" w:hAnsi="仿宋" w:eastAsia="仿宋" w:cs="仿宋"/>
          <w:color w:val="auto"/>
          <w:spacing w:val="8"/>
          <w:sz w:val="24"/>
          <w:szCs w:val="24"/>
          <w:highlight w:val="none"/>
        </w:rPr>
        <w:t>理投诉事项期间，书面通知甲方暂停采购活动的</w:t>
      </w:r>
      <w:r>
        <w:rPr>
          <w:rFonts w:hint="eastAsia" w:ascii="仿宋" w:hAnsi="仿宋" w:eastAsia="仿宋" w:cs="仿宋"/>
          <w:color w:val="auto"/>
          <w:spacing w:val="10"/>
          <w:sz w:val="24"/>
          <w:szCs w:val="24"/>
          <w:highlight w:val="none"/>
        </w:rPr>
        <w:t>情形，或者询问或质疑事项可能影响中标或者成交结果的，导致甲方中止</w:t>
      </w:r>
      <w:r>
        <w:rPr>
          <w:rFonts w:hint="eastAsia" w:ascii="仿宋" w:hAnsi="仿宋" w:eastAsia="仿宋" w:cs="仿宋"/>
          <w:color w:val="auto"/>
          <w:spacing w:val="9"/>
          <w:sz w:val="24"/>
          <w:szCs w:val="24"/>
          <w:highlight w:val="none"/>
        </w:rPr>
        <w:t>履行合同的情形，均不</w:t>
      </w:r>
      <w:r>
        <w:rPr>
          <w:rFonts w:hint="eastAsia" w:ascii="仿宋" w:hAnsi="仿宋" w:eastAsia="仿宋" w:cs="仿宋"/>
          <w:color w:val="auto"/>
          <w:spacing w:val="7"/>
          <w:sz w:val="24"/>
          <w:szCs w:val="24"/>
          <w:highlight w:val="none"/>
        </w:rPr>
        <w:t>视为甲方违约。</w:t>
      </w:r>
    </w:p>
    <w:p w14:paraId="1C26477A">
      <w:pPr>
        <w:pStyle w:val="9"/>
        <w:spacing w:before="133" w:line="360" w:lineRule="auto"/>
        <w:ind w:left="498"/>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1.8.7</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7"/>
          <w:sz w:val="24"/>
          <w:szCs w:val="24"/>
          <w:highlight w:val="none"/>
        </w:rPr>
        <w:t>违约责任</w:t>
      </w:r>
      <w:r>
        <w:rPr>
          <w:rFonts w:hint="eastAsia" w:ascii="仿宋" w:hAnsi="仿宋" w:eastAsia="仿宋" w:cs="仿宋"/>
          <w:b/>
          <w:bCs/>
          <w:color w:val="auto"/>
          <w:spacing w:val="7"/>
          <w:sz w:val="24"/>
          <w:szCs w:val="24"/>
          <w:highlight w:val="none"/>
          <w:u w:val="single" w:color="auto"/>
        </w:rPr>
        <w:t>合同专用条款</w:t>
      </w:r>
      <w:r>
        <w:rPr>
          <w:rFonts w:hint="eastAsia" w:ascii="仿宋" w:hAnsi="仿宋" w:eastAsia="仿宋" w:cs="仿宋"/>
          <w:color w:val="auto"/>
          <w:spacing w:val="7"/>
          <w:sz w:val="24"/>
          <w:szCs w:val="24"/>
          <w:highlight w:val="none"/>
        </w:rPr>
        <w:t>另有约定的，从其约定。</w:t>
      </w:r>
    </w:p>
    <w:p w14:paraId="040678F0">
      <w:pPr>
        <w:pStyle w:val="9"/>
        <w:spacing w:before="132" w:line="360" w:lineRule="auto"/>
        <w:ind w:left="498"/>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1.9</w:t>
      </w:r>
      <w:r>
        <w:rPr>
          <w:rFonts w:hint="eastAsia" w:ascii="仿宋" w:hAnsi="仿宋" w:eastAsia="仿宋" w:cs="仿宋"/>
          <w:color w:val="auto"/>
          <w:spacing w:val="-33"/>
          <w:sz w:val="24"/>
          <w:szCs w:val="24"/>
          <w:highlight w:val="none"/>
        </w:rPr>
        <w:t xml:space="preserve"> </w:t>
      </w:r>
      <w:r>
        <w:rPr>
          <w:rFonts w:hint="eastAsia" w:ascii="仿宋" w:hAnsi="仿宋" w:eastAsia="仿宋" w:cs="仿宋"/>
          <w:b/>
          <w:bCs/>
          <w:color w:val="auto"/>
          <w:spacing w:val="3"/>
          <w:sz w:val="24"/>
          <w:szCs w:val="24"/>
          <w:highlight w:val="none"/>
        </w:rPr>
        <w:t>合同争议的解决</w:t>
      </w:r>
    </w:p>
    <w:p w14:paraId="332B2E6D">
      <w:pPr>
        <w:pStyle w:val="9"/>
        <w:spacing w:before="132" w:line="360" w:lineRule="auto"/>
        <w:ind w:firstLine="41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本合同履行过程中发生的任何争议，双方当事人均可通过和解或者</w:t>
      </w:r>
      <w:r>
        <w:rPr>
          <w:rFonts w:hint="eastAsia" w:ascii="仿宋" w:hAnsi="仿宋" w:eastAsia="仿宋" w:cs="仿宋"/>
          <w:color w:val="auto"/>
          <w:spacing w:val="9"/>
          <w:sz w:val="24"/>
          <w:szCs w:val="24"/>
          <w:highlight w:val="none"/>
        </w:rPr>
        <w:t>调解解决；不愿和解、调解或者和解、调解不成的，可以选择以下第</w:t>
      </w:r>
      <w:r>
        <w:rPr>
          <w:rFonts w:hint="eastAsia" w:ascii="仿宋" w:hAnsi="仿宋" w:eastAsia="仿宋" w:cs="仿宋"/>
          <w:color w:val="auto"/>
          <w:spacing w:val="-99"/>
          <w:sz w:val="24"/>
          <w:szCs w:val="24"/>
          <w:highlight w:val="none"/>
        </w:rPr>
        <w:t xml:space="preserve">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9"/>
          <w:sz w:val="24"/>
          <w:szCs w:val="24"/>
          <w:highlight w:val="none"/>
        </w:rPr>
        <w:t>条款规定</w:t>
      </w:r>
      <w:r>
        <w:rPr>
          <w:rFonts w:hint="eastAsia" w:ascii="仿宋" w:hAnsi="仿宋" w:eastAsia="仿宋" w:cs="仿宋"/>
          <w:color w:val="auto"/>
          <w:spacing w:val="8"/>
          <w:sz w:val="24"/>
          <w:szCs w:val="24"/>
          <w:highlight w:val="none"/>
        </w:rPr>
        <w:t>的方式解决：</w:t>
      </w:r>
    </w:p>
    <w:p w14:paraId="1CC2C10E">
      <w:pPr>
        <w:pStyle w:val="9"/>
        <w:spacing w:line="360" w:lineRule="auto"/>
        <w:ind w:left="162"/>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1.9.1 将争议提交</w:t>
      </w:r>
      <w:r>
        <w:rPr>
          <w:rFonts w:hint="eastAsia" w:ascii="仿宋" w:hAnsi="仿宋" w:eastAsia="仿宋" w:cs="仿宋"/>
          <w:b/>
          <w:bCs/>
          <w:color w:val="auto"/>
          <w:spacing w:val="8"/>
          <w:sz w:val="24"/>
          <w:szCs w:val="24"/>
          <w:highlight w:val="none"/>
          <w:u w:val="single" w:color="auto"/>
        </w:rPr>
        <w:t>合同专用条款</w:t>
      </w:r>
      <w:r>
        <w:rPr>
          <w:rFonts w:hint="eastAsia" w:ascii="仿宋" w:hAnsi="仿宋" w:eastAsia="仿宋" w:cs="仿宋"/>
          <w:color w:val="auto"/>
          <w:spacing w:val="8"/>
          <w:sz w:val="24"/>
          <w:szCs w:val="24"/>
          <w:highlight w:val="none"/>
        </w:rPr>
        <w:t>仲裁委员会依申请仲裁时其现行有效的仲裁规则裁决；</w:t>
      </w:r>
    </w:p>
    <w:p w14:paraId="6F721749">
      <w:pPr>
        <w:pStyle w:val="9"/>
        <w:spacing w:before="133" w:line="360" w:lineRule="auto"/>
        <w:ind w:left="162"/>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1.9.2</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4"/>
          <w:sz w:val="24"/>
          <w:szCs w:val="24"/>
          <w:highlight w:val="none"/>
        </w:rPr>
        <w:t>向</w:t>
      </w:r>
      <w:r>
        <w:rPr>
          <w:rFonts w:hint="eastAsia" w:ascii="仿宋" w:hAnsi="仿宋" w:eastAsia="仿宋" w:cs="仿宋"/>
          <w:b/>
          <w:bCs/>
          <w:color w:val="auto"/>
          <w:spacing w:val="4"/>
          <w:sz w:val="24"/>
          <w:szCs w:val="24"/>
          <w:highlight w:val="none"/>
          <w:u w:val="single" w:color="auto"/>
        </w:rPr>
        <w:t>合同专用条款</w:t>
      </w:r>
      <w:r>
        <w:rPr>
          <w:rFonts w:hint="eastAsia" w:ascii="仿宋" w:hAnsi="仿宋" w:eastAsia="仿宋" w:cs="仿宋"/>
          <w:color w:val="auto"/>
          <w:spacing w:val="4"/>
          <w:sz w:val="24"/>
          <w:szCs w:val="24"/>
          <w:highlight w:val="none"/>
        </w:rPr>
        <w:t>人民法院起诉。</w:t>
      </w:r>
    </w:p>
    <w:p w14:paraId="0227D707">
      <w:pPr>
        <w:pStyle w:val="9"/>
        <w:spacing w:before="134" w:line="360" w:lineRule="auto"/>
        <w:ind w:left="485"/>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2.0</w:t>
      </w:r>
      <w:r>
        <w:rPr>
          <w:rFonts w:hint="eastAsia" w:ascii="仿宋" w:hAnsi="仿宋" w:eastAsia="仿宋" w:cs="仿宋"/>
          <w:color w:val="auto"/>
          <w:spacing w:val="4"/>
          <w:sz w:val="24"/>
          <w:szCs w:val="24"/>
          <w:highlight w:val="none"/>
        </w:rPr>
        <w:t xml:space="preserve"> </w:t>
      </w:r>
      <w:r>
        <w:rPr>
          <w:rFonts w:hint="eastAsia" w:ascii="仿宋" w:hAnsi="仿宋" w:eastAsia="仿宋" w:cs="仿宋"/>
          <w:b/>
          <w:bCs/>
          <w:color w:val="auto"/>
          <w:spacing w:val="4"/>
          <w:sz w:val="24"/>
          <w:szCs w:val="24"/>
          <w:highlight w:val="none"/>
        </w:rPr>
        <w:t>合同生效</w:t>
      </w:r>
    </w:p>
    <w:p w14:paraId="5FE85AA0">
      <w:pPr>
        <w:pStyle w:val="9"/>
        <w:spacing w:before="131" w:line="360" w:lineRule="auto"/>
        <w:ind w:left="483"/>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本合同自双方当事人盖章签字时生效。</w:t>
      </w:r>
    </w:p>
    <w:p w14:paraId="0A10946B">
      <w:pPr>
        <w:pStyle w:val="9"/>
        <w:spacing w:before="132" w:line="360" w:lineRule="auto"/>
        <w:ind w:left="90"/>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甲方</w:t>
      </w:r>
      <w:r>
        <w:rPr>
          <w:rFonts w:hint="eastAsia" w:ascii="仿宋" w:hAnsi="仿宋" w:eastAsia="仿宋" w:cs="仿宋"/>
          <w:color w:val="auto"/>
          <w:spacing w:val="-5"/>
          <w:sz w:val="24"/>
          <w:szCs w:val="24"/>
          <w:highlight w:val="none"/>
        </w:rPr>
        <w:t>：</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pacing w:val="-5"/>
          <w:sz w:val="24"/>
          <w:szCs w:val="24"/>
          <w:highlight w:val="none"/>
        </w:rPr>
        <w:t>乙方</w:t>
      </w:r>
      <w:r>
        <w:rPr>
          <w:rFonts w:hint="eastAsia" w:ascii="仿宋" w:hAnsi="仿宋" w:eastAsia="仿宋" w:cs="仿宋"/>
          <w:color w:val="auto"/>
          <w:spacing w:val="-5"/>
          <w:sz w:val="24"/>
          <w:szCs w:val="24"/>
          <w:highlight w:val="none"/>
        </w:rPr>
        <w:t>：</w:t>
      </w:r>
    </w:p>
    <w:p w14:paraId="15119430">
      <w:pPr>
        <w:pStyle w:val="9"/>
        <w:spacing w:before="132" w:line="360" w:lineRule="auto"/>
        <w:ind w:left="68"/>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统一社会信用代码：                        统一社会信用代码或身份</w:t>
      </w:r>
      <w:r>
        <w:rPr>
          <w:rFonts w:hint="eastAsia" w:ascii="仿宋" w:hAnsi="仿宋" w:eastAsia="仿宋" w:cs="仿宋"/>
          <w:color w:val="auto"/>
          <w:spacing w:val="6"/>
          <w:sz w:val="24"/>
          <w:szCs w:val="24"/>
          <w:highlight w:val="none"/>
        </w:rPr>
        <w:t>证号码：</w:t>
      </w:r>
    </w:p>
    <w:p w14:paraId="5489C711">
      <w:pPr>
        <w:pStyle w:val="9"/>
        <w:spacing w:before="133" w:line="360" w:lineRule="auto"/>
        <w:ind w:left="62"/>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 xml:space="preserve">住所：                            </w:t>
      </w:r>
      <w:r>
        <w:rPr>
          <w:rFonts w:hint="eastAsia" w:ascii="仿宋" w:hAnsi="仿宋" w:eastAsia="仿宋" w:cs="仿宋"/>
          <w:color w:val="auto"/>
          <w:spacing w:val="2"/>
          <w:sz w:val="24"/>
          <w:szCs w:val="24"/>
          <w:highlight w:val="none"/>
        </w:rPr>
        <w:t xml:space="preserve">        住所：</w:t>
      </w:r>
    </w:p>
    <w:p w14:paraId="1FA32ABB">
      <w:pPr>
        <w:pStyle w:val="9"/>
        <w:spacing w:before="131" w:line="360" w:lineRule="auto"/>
        <w:ind w:left="63"/>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法定代表人或                             法定代表人或</w:t>
      </w:r>
    </w:p>
    <w:p w14:paraId="69E54335">
      <w:pPr>
        <w:pStyle w:val="9"/>
        <w:spacing w:before="135" w:line="360" w:lineRule="auto"/>
        <w:ind w:left="62"/>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授权代表（签字</w:t>
      </w:r>
      <w:r>
        <w:rPr>
          <w:rFonts w:hint="eastAsia" w:ascii="仿宋" w:hAnsi="仿宋" w:eastAsia="仿宋" w:cs="仿宋"/>
          <w:color w:val="auto"/>
          <w:spacing w:val="11"/>
          <w:sz w:val="24"/>
          <w:szCs w:val="24"/>
          <w:highlight w:val="none"/>
        </w:rPr>
        <w:t>）：</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7"/>
          <w:sz w:val="24"/>
          <w:szCs w:val="24"/>
          <w:highlight w:val="none"/>
        </w:rPr>
        <w:t>授权代表（签字）</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7"/>
          <w:sz w:val="24"/>
          <w:szCs w:val="24"/>
          <w:highlight w:val="none"/>
        </w:rPr>
        <w:t>:</w:t>
      </w:r>
    </w:p>
    <w:p w14:paraId="22EBF635">
      <w:pPr>
        <w:pStyle w:val="9"/>
        <w:spacing w:before="131" w:line="360" w:lineRule="auto"/>
        <w:ind w:left="63"/>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联系人：                                  联系</w:t>
      </w:r>
      <w:r>
        <w:rPr>
          <w:rFonts w:hint="eastAsia" w:ascii="仿宋" w:hAnsi="仿宋" w:eastAsia="仿宋" w:cs="仿宋"/>
          <w:color w:val="auto"/>
          <w:spacing w:val="2"/>
          <w:sz w:val="24"/>
          <w:szCs w:val="24"/>
          <w:highlight w:val="none"/>
        </w:rPr>
        <w:t>人：</w:t>
      </w:r>
    </w:p>
    <w:p w14:paraId="66DF0F59">
      <w:pPr>
        <w:pStyle w:val="9"/>
        <w:spacing w:before="130" w:line="360" w:lineRule="auto"/>
        <w:ind w:left="68"/>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约定送达地址：</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6"/>
          <w:sz w:val="24"/>
          <w:szCs w:val="24"/>
          <w:highlight w:val="none"/>
        </w:rPr>
        <w:t>约定送达地址：</w:t>
      </w:r>
    </w:p>
    <w:p w14:paraId="7E8E21A3">
      <w:pPr>
        <w:pStyle w:val="9"/>
        <w:spacing w:before="134" w:line="360" w:lineRule="auto"/>
        <w:ind w:left="78"/>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 xml:space="preserve">邮政编码：                             </w:t>
      </w:r>
      <w:r>
        <w:rPr>
          <w:rFonts w:hint="eastAsia" w:ascii="仿宋" w:hAnsi="仿宋" w:eastAsia="仿宋" w:cs="仿宋"/>
          <w:color w:val="auto"/>
          <w:spacing w:val="2"/>
          <w:sz w:val="24"/>
          <w:szCs w:val="24"/>
          <w:highlight w:val="none"/>
        </w:rPr>
        <w:t xml:space="preserve">   邮政编码：</w:t>
      </w:r>
    </w:p>
    <w:p w14:paraId="78BF8AB8">
      <w:pPr>
        <w:pStyle w:val="9"/>
        <w:spacing w:before="131" w:line="360" w:lineRule="auto"/>
        <w:ind w:left="87"/>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电话</w:t>
      </w:r>
      <w:r>
        <w:rPr>
          <w:rFonts w:hint="eastAsia" w:ascii="仿宋" w:hAnsi="仿宋" w:eastAsia="仿宋" w:cs="仿宋"/>
          <w:color w:val="auto"/>
          <w:spacing w:val="-58"/>
          <w:sz w:val="24"/>
          <w:szCs w:val="24"/>
          <w:highlight w:val="none"/>
        </w:rPr>
        <w:t xml:space="preserve"> </w:t>
      </w:r>
      <w:r>
        <w:rPr>
          <w:rFonts w:hint="eastAsia" w:ascii="仿宋" w:hAnsi="仿宋" w:eastAsia="仿宋" w:cs="仿宋"/>
          <w:color w:val="auto"/>
          <w:spacing w:val="-11"/>
          <w:sz w:val="24"/>
          <w:szCs w:val="24"/>
          <w:highlight w:val="none"/>
        </w:rPr>
        <w:t>:</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1"/>
          <w:sz w:val="24"/>
          <w:szCs w:val="24"/>
          <w:highlight w:val="none"/>
        </w:rPr>
        <w:t>电话</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pacing w:val="-11"/>
          <w:sz w:val="24"/>
          <w:szCs w:val="24"/>
          <w:highlight w:val="none"/>
        </w:rPr>
        <w:t>:</w:t>
      </w:r>
    </w:p>
    <w:p w14:paraId="7157EAB8">
      <w:pPr>
        <w:pStyle w:val="9"/>
        <w:spacing w:before="129" w:line="360" w:lineRule="auto"/>
        <w:ind w:left="6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传真</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1"/>
          <w:sz w:val="24"/>
          <w:szCs w:val="24"/>
          <w:highlight w:val="none"/>
        </w:rPr>
        <w:t>:                                      传真</w:t>
      </w:r>
      <w:r>
        <w:rPr>
          <w:rFonts w:hint="eastAsia" w:ascii="仿宋" w:hAnsi="仿宋" w:eastAsia="仿宋" w:cs="仿宋"/>
          <w:color w:val="auto"/>
          <w:spacing w:val="-58"/>
          <w:sz w:val="24"/>
          <w:szCs w:val="24"/>
          <w:highlight w:val="none"/>
        </w:rPr>
        <w:t xml:space="preserve"> </w:t>
      </w:r>
      <w:r>
        <w:rPr>
          <w:rFonts w:hint="eastAsia" w:ascii="仿宋" w:hAnsi="仿宋" w:eastAsia="仿宋" w:cs="仿宋"/>
          <w:color w:val="auto"/>
          <w:spacing w:val="-1"/>
          <w:sz w:val="24"/>
          <w:szCs w:val="24"/>
          <w:highlight w:val="none"/>
        </w:rPr>
        <w:t>:</w:t>
      </w:r>
    </w:p>
    <w:p w14:paraId="5950A3A8">
      <w:pPr>
        <w:pStyle w:val="9"/>
        <w:spacing w:before="135" w:line="360" w:lineRule="auto"/>
        <w:ind w:left="87"/>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电子邮箱：</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电子邮箱：</w:t>
      </w:r>
    </w:p>
    <w:p w14:paraId="5EBFCE59">
      <w:pPr>
        <w:pStyle w:val="9"/>
        <w:spacing w:before="131" w:line="360" w:lineRule="auto"/>
        <w:ind w:left="63"/>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开户银行：</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5"/>
          <w:sz w:val="24"/>
          <w:szCs w:val="24"/>
          <w:highlight w:val="none"/>
        </w:rPr>
        <w:t>开户银行：</w:t>
      </w:r>
    </w:p>
    <w:p w14:paraId="3228386C">
      <w:pPr>
        <w:pStyle w:val="9"/>
        <w:spacing w:before="131" w:line="360" w:lineRule="auto"/>
        <w:ind w:left="63"/>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开户名称：</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5"/>
          <w:sz w:val="24"/>
          <w:szCs w:val="24"/>
          <w:highlight w:val="none"/>
        </w:rPr>
        <w:t>开户名称：</w:t>
      </w:r>
    </w:p>
    <w:p w14:paraId="3B917126">
      <w:pPr>
        <w:pStyle w:val="9"/>
        <w:spacing w:before="134" w:line="360" w:lineRule="auto"/>
        <w:ind w:left="63"/>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开户账号：</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5"/>
          <w:sz w:val="24"/>
          <w:szCs w:val="24"/>
          <w:highlight w:val="none"/>
        </w:rPr>
        <w:t>开户账号：</w:t>
      </w:r>
    </w:p>
    <w:p w14:paraId="2FBF06D4">
      <w:pPr>
        <w:spacing w:line="252" w:lineRule="auto"/>
        <w:rPr>
          <w:rFonts w:hint="eastAsia" w:ascii="仿宋" w:hAnsi="仿宋" w:eastAsia="仿宋" w:cs="仿宋"/>
          <w:color w:val="auto"/>
          <w:sz w:val="24"/>
          <w:szCs w:val="24"/>
          <w:highlight w:val="none"/>
        </w:rPr>
      </w:pPr>
    </w:p>
    <w:p w14:paraId="5864FDB2">
      <w:pPr>
        <w:spacing w:line="252" w:lineRule="auto"/>
        <w:rPr>
          <w:rFonts w:hint="eastAsia" w:ascii="仿宋" w:hAnsi="仿宋" w:eastAsia="仿宋" w:cs="仿宋"/>
          <w:color w:val="auto"/>
          <w:sz w:val="24"/>
          <w:szCs w:val="24"/>
          <w:highlight w:val="none"/>
        </w:rPr>
      </w:pPr>
    </w:p>
    <w:p w14:paraId="75D865D8">
      <w:pPr>
        <w:spacing w:line="252" w:lineRule="auto"/>
        <w:rPr>
          <w:rFonts w:hint="eastAsia" w:ascii="仿宋" w:hAnsi="仿宋" w:eastAsia="仿宋" w:cs="仿宋"/>
          <w:color w:val="auto"/>
          <w:sz w:val="24"/>
          <w:szCs w:val="24"/>
          <w:highlight w:val="none"/>
        </w:rPr>
      </w:pPr>
    </w:p>
    <w:p w14:paraId="7555B879">
      <w:pPr>
        <w:spacing w:line="252" w:lineRule="auto"/>
        <w:rPr>
          <w:rFonts w:hint="eastAsia" w:ascii="仿宋" w:hAnsi="仿宋" w:eastAsia="仿宋" w:cs="仿宋"/>
          <w:color w:val="auto"/>
          <w:sz w:val="24"/>
          <w:szCs w:val="24"/>
          <w:highlight w:val="none"/>
        </w:rPr>
      </w:pPr>
    </w:p>
    <w:p w14:paraId="54F4D1E2">
      <w:pPr>
        <w:spacing w:line="252" w:lineRule="auto"/>
        <w:rPr>
          <w:rFonts w:hint="eastAsia" w:ascii="仿宋" w:hAnsi="仿宋" w:eastAsia="仿宋" w:cs="仿宋"/>
          <w:color w:val="auto"/>
          <w:sz w:val="24"/>
          <w:szCs w:val="24"/>
          <w:highlight w:val="none"/>
        </w:rPr>
      </w:pPr>
    </w:p>
    <w:p w14:paraId="14BF20DF">
      <w:pPr>
        <w:spacing w:line="252" w:lineRule="auto"/>
        <w:rPr>
          <w:rFonts w:hint="eastAsia" w:ascii="仿宋" w:hAnsi="仿宋" w:eastAsia="仿宋" w:cs="仿宋"/>
          <w:color w:val="auto"/>
          <w:sz w:val="24"/>
          <w:szCs w:val="24"/>
          <w:highlight w:val="none"/>
        </w:rPr>
      </w:pPr>
    </w:p>
    <w:p w14:paraId="0533DDE0">
      <w:pPr>
        <w:spacing w:line="252" w:lineRule="auto"/>
        <w:rPr>
          <w:rFonts w:hint="eastAsia" w:ascii="仿宋" w:hAnsi="仿宋" w:eastAsia="仿宋" w:cs="仿宋"/>
          <w:color w:val="auto"/>
          <w:sz w:val="24"/>
          <w:szCs w:val="24"/>
          <w:highlight w:val="none"/>
        </w:rPr>
      </w:pPr>
    </w:p>
    <w:p w14:paraId="7833298E">
      <w:pPr>
        <w:spacing w:line="252" w:lineRule="auto"/>
        <w:rPr>
          <w:rFonts w:hint="eastAsia" w:ascii="仿宋" w:hAnsi="仿宋" w:eastAsia="仿宋" w:cs="仿宋"/>
          <w:color w:val="auto"/>
          <w:sz w:val="24"/>
          <w:szCs w:val="24"/>
          <w:highlight w:val="none"/>
        </w:rPr>
      </w:pPr>
    </w:p>
    <w:p w14:paraId="3ED8D81C">
      <w:pPr>
        <w:spacing w:line="252" w:lineRule="auto"/>
        <w:rPr>
          <w:rFonts w:hint="eastAsia" w:ascii="仿宋" w:hAnsi="仿宋" w:eastAsia="仿宋" w:cs="仿宋"/>
          <w:color w:val="auto"/>
          <w:sz w:val="24"/>
          <w:szCs w:val="24"/>
          <w:highlight w:val="none"/>
        </w:rPr>
      </w:pPr>
    </w:p>
    <w:p w14:paraId="500CEFC9">
      <w:pPr>
        <w:spacing w:line="252" w:lineRule="auto"/>
        <w:rPr>
          <w:rFonts w:hint="eastAsia" w:ascii="仿宋" w:hAnsi="仿宋" w:eastAsia="仿宋" w:cs="仿宋"/>
          <w:color w:val="auto"/>
          <w:sz w:val="24"/>
          <w:szCs w:val="24"/>
          <w:highlight w:val="none"/>
        </w:rPr>
      </w:pPr>
    </w:p>
    <w:p w14:paraId="7B663A61">
      <w:pPr>
        <w:rPr>
          <w:rFonts w:hint="eastAsia" w:ascii="仿宋" w:hAnsi="仿宋" w:eastAsia="仿宋" w:cs="仿宋"/>
          <w:b/>
          <w:bCs/>
          <w:color w:val="auto"/>
          <w:spacing w:val="7"/>
          <w:sz w:val="24"/>
          <w:szCs w:val="24"/>
          <w:highlight w:val="none"/>
        </w:rPr>
      </w:pPr>
      <w:r>
        <w:rPr>
          <w:rFonts w:hint="eastAsia" w:ascii="仿宋" w:hAnsi="仿宋" w:eastAsia="仿宋" w:cs="仿宋"/>
          <w:b/>
          <w:bCs/>
          <w:color w:val="auto"/>
          <w:spacing w:val="7"/>
          <w:sz w:val="24"/>
          <w:szCs w:val="24"/>
          <w:highlight w:val="none"/>
        </w:rPr>
        <w:br w:type="page"/>
      </w:r>
    </w:p>
    <w:p w14:paraId="0528938A">
      <w:pPr>
        <w:pStyle w:val="9"/>
        <w:spacing w:before="65" w:line="360" w:lineRule="auto"/>
        <w:ind w:left="3322"/>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第二部分</w:t>
      </w:r>
      <w:r>
        <w:rPr>
          <w:rFonts w:hint="eastAsia" w:ascii="仿宋" w:hAnsi="仿宋" w:eastAsia="仿宋" w:cs="仿宋"/>
          <w:color w:val="auto"/>
          <w:spacing w:val="7"/>
          <w:sz w:val="24"/>
          <w:szCs w:val="24"/>
          <w:highlight w:val="none"/>
        </w:rPr>
        <w:t xml:space="preserve"> </w:t>
      </w:r>
      <w:r>
        <w:rPr>
          <w:rFonts w:hint="eastAsia" w:ascii="仿宋" w:hAnsi="仿宋" w:eastAsia="仿宋" w:cs="仿宋"/>
          <w:b/>
          <w:bCs/>
          <w:color w:val="auto"/>
          <w:spacing w:val="7"/>
          <w:sz w:val="24"/>
          <w:szCs w:val="24"/>
          <w:highlight w:val="none"/>
        </w:rPr>
        <w:t>合同一般条款</w:t>
      </w:r>
    </w:p>
    <w:p w14:paraId="706444B1">
      <w:pPr>
        <w:pStyle w:val="9"/>
        <w:spacing w:before="153" w:line="360" w:lineRule="auto"/>
        <w:ind w:left="43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2.1</w:t>
      </w:r>
      <w:r>
        <w:rPr>
          <w:rFonts w:hint="eastAsia" w:ascii="仿宋" w:hAnsi="仿宋" w:eastAsia="仿宋" w:cs="仿宋"/>
          <w:color w:val="auto"/>
          <w:spacing w:val="20"/>
          <w:sz w:val="24"/>
          <w:szCs w:val="24"/>
          <w:highlight w:val="none"/>
        </w:rPr>
        <w:t xml:space="preserve"> </w:t>
      </w:r>
      <w:r>
        <w:rPr>
          <w:rFonts w:hint="eastAsia" w:ascii="仿宋" w:hAnsi="仿宋" w:eastAsia="仿宋" w:cs="仿宋"/>
          <w:b/>
          <w:bCs/>
          <w:color w:val="auto"/>
          <w:sz w:val="24"/>
          <w:szCs w:val="24"/>
          <w:highlight w:val="none"/>
        </w:rPr>
        <w:t>定义</w:t>
      </w:r>
    </w:p>
    <w:p w14:paraId="0F49F8B3">
      <w:pPr>
        <w:pStyle w:val="9"/>
        <w:spacing w:before="149" w:line="360" w:lineRule="auto"/>
        <w:ind w:left="42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本合同中的下列词语应按以下内容进行解释：</w:t>
      </w:r>
    </w:p>
    <w:p w14:paraId="557C1593">
      <w:pPr>
        <w:pStyle w:val="9"/>
        <w:spacing w:before="153" w:line="360" w:lineRule="auto"/>
        <w:ind w:left="8" w:right="47" w:firstLine="422"/>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2.1.1 “合同</w:t>
      </w:r>
      <w:r>
        <w:rPr>
          <w:rFonts w:hint="eastAsia" w:ascii="仿宋" w:hAnsi="仿宋" w:eastAsia="仿宋" w:cs="仿宋"/>
          <w:color w:val="auto"/>
          <w:spacing w:val="-59"/>
          <w:sz w:val="24"/>
          <w:szCs w:val="24"/>
          <w:highlight w:val="none"/>
        </w:rPr>
        <w:t xml:space="preserve"> </w:t>
      </w:r>
      <w:r>
        <w:rPr>
          <w:rFonts w:hint="eastAsia" w:ascii="仿宋" w:hAnsi="仿宋" w:eastAsia="仿宋" w:cs="仿宋"/>
          <w:color w:val="auto"/>
          <w:spacing w:val="8"/>
          <w:sz w:val="24"/>
          <w:szCs w:val="24"/>
          <w:highlight w:val="none"/>
        </w:rPr>
        <w:t>”系指采购人和中标或成交供应商签订的载明双方当事人所达成的协议，并包</w:t>
      </w:r>
      <w:r>
        <w:rPr>
          <w:rFonts w:hint="eastAsia" w:ascii="仿宋" w:hAnsi="仿宋" w:eastAsia="仿宋" w:cs="仿宋"/>
          <w:color w:val="auto"/>
          <w:spacing w:val="9"/>
          <w:sz w:val="24"/>
          <w:szCs w:val="24"/>
          <w:highlight w:val="none"/>
        </w:rPr>
        <w:t>括所有的附件、附录和构成合同的其他文件。</w:t>
      </w:r>
    </w:p>
    <w:p w14:paraId="675B7428">
      <w:pPr>
        <w:pStyle w:val="9"/>
        <w:spacing w:before="153" w:line="360" w:lineRule="auto"/>
        <w:ind w:left="9" w:right="47" w:firstLine="421"/>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2.1.2 “合同价</w:t>
      </w:r>
      <w:r>
        <w:rPr>
          <w:rFonts w:hint="eastAsia" w:ascii="仿宋" w:hAnsi="仿宋" w:eastAsia="仿宋" w:cs="仿宋"/>
          <w:color w:val="auto"/>
          <w:spacing w:val="-59"/>
          <w:sz w:val="24"/>
          <w:szCs w:val="24"/>
          <w:highlight w:val="none"/>
        </w:rPr>
        <w:t xml:space="preserve"> </w:t>
      </w:r>
      <w:r>
        <w:rPr>
          <w:rFonts w:hint="eastAsia" w:ascii="仿宋" w:hAnsi="仿宋" w:eastAsia="仿宋" w:cs="仿宋"/>
          <w:color w:val="auto"/>
          <w:spacing w:val="8"/>
          <w:sz w:val="24"/>
          <w:szCs w:val="24"/>
          <w:highlight w:val="none"/>
        </w:rPr>
        <w:t>”系指根据合同约定，中标或成交供应商在完全履行合同义务后，采购人应支付给中标或成交供应商的价格。</w:t>
      </w:r>
    </w:p>
    <w:p w14:paraId="0D3EB3CD">
      <w:pPr>
        <w:pStyle w:val="9"/>
        <w:spacing w:before="154" w:line="360" w:lineRule="auto"/>
        <w:ind w:left="9" w:right="47" w:firstLine="421"/>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2.1.3 “服务</w:t>
      </w:r>
      <w:r>
        <w:rPr>
          <w:rFonts w:hint="eastAsia" w:ascii="仿宋" w:hAnsi="仿宋" w:eastAsia="仿宋" w:cs="仿宋"/>
          <w:color w:val="auto"/>
          <w:spacing w:val="-59"/>
          <w:sz w:val="24"/>
          <w:szCs w:val="24"/>
          <w:highlight w:val="none"/>
        </w:rPr>
        <w:t xml:space="preserve"> </w:t>
      </w:r>
      <w:r>
        <w:rPr>
          <w:rFonts w:hint="eastAsia" w:ascii="仿宋" w:hAnsi="仿宋" w:eastAsia="仿宋" w:cs="仿宋"/>
          <w:color w:val="auto"/>
          <w:spacing w:val="8"/>
          <w:sz w:val="24"/>
          <w:szCs w:val="24"/>
          <w:highlight w:val="none"/>
        </w:rPr>
        <w:t>”系指中标或成交供应商根据合同约定应向采购人履行的除货物和工程以外的</w:t>
      </w:r>
      <w:r>
        <w:rPr>
          <w:rFonts w:hint="eastAsia" w:ascii="仿宋" w:hAnsi="仿宋" w:eastAsia="仿宋" w:cs="仿宋"/>
          <w:color w:val="auto"/>
          <w:spacing w:val="9"/>
          <w:sz w:val="24"/>
          <w:szCs w:val="24"/>
          <w:highlight w:val="none"/>
        </w:rPr>
        <w:t>其他政府采购对象，包括采购人自身需要的服务和向社会公众提供的公共服务。</w:t>
      </w:r>
    </w:p>
    <w:p w14:paraId="6D7E5082">
      <w:pPr>
        <w:pStyle w:val="9"/>
        <w:spacing w:before="154" w:line="360" w:lineRule="auto"/>
        <w:ind w:left="9" w:right="47" w:firstLine="421"/>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2.1.4 “</w:t>
      </w:r>
      <w:r>
        <w:rPr>
          <w:rFonts w:hint="eastAsia" w:ascii="仿宋" w:hAnsi="仿宋" w:eastAsia="仿宋" w:cs="仿宋"/>
          <w:color w:val="auto"/>
          <w:spacing w:val="-46"/>
          <w:sz w:val="24"/>
          <w:szCs w:val="24"/>
          <w:highlight w:val="none"/>
        </w:rPr>
        <w:t xml:space="preserve"> </w:t>
      </w:r>
      <w:r>
        <w:rPr>
          <w:rFonts w:hint="eastAsia" w:ascii="仿宋" w:hAnsi="仿宋" w:eastAsia="仿宋" w:cs="仿宋"/>
          <w:color w:val="auto"/>
          <w:spacing w:val="7"/>
          <w:sz w:val="24"/>
          <w:szCs w:val="24"/>
          <w:highlight w:val="none"/>
        </w:rPr>
        <w:t>甲方</w:t>
      </w:r>
      <w:r>
        <w:rPr>
          <w:rFonts w:hint="eastAsia" w:ascii="仿宋" w:hAnsi="仿宋" w:eastAsia="仿宋" w:cs="仿宋"/>
          <w:color w:val="auto"/>
          <w:spacing w:val="-70"/>
          <w:sz w:val="24"/>
          <w:szCs w:val="24"/>
          <w:highlight w:val="none"/>
        </w:rPr>
        <w:t xml:space="preserve"> </w:t>
      </w:r>
      <w:r>
        <w:rPr>
          <w:rFonts w:hint="eastAsia" w:ascii="仿宋" w:hAnsi="仿宋" w:eastAsia="仿宋" w:cs="仿宋"/>
          <w:color w:val="auto"/>
          <w:spacing w:val="7"/>
          <w:sz w:val="24"/>
          <w:szCs w:val="24"/>
          <w:highlight w:val="none"/>
        </w:rPr>
        <w:t>”系指与中标或成交供应商签署合同的采购人；采购人委托采购代理机构代表</w:t>
      </w:r>
      <w:r>
        <w:rPr>
          <w:rFonts w:hint="eastAsia" w:ascii="仿宋" w:hAnsi="仿宋" w:eastAsia="仿宋" w:cs="仿宋"/>
          <w:color w:val="auto"/>
          <w:spacing w:val="9"/>
          <w:sz w:val="24"/>
          <w:szCs w:val="24"/>
          <w:highlight w:val="none"/>
        </w:rPr>
        <w:t>其与乙方签订合同的，采购人的授权委托书作为合同附件。</w:t>
      </w:r>
    </w:p>
    <w:p w14:paraId="40C81D8F">
      <w:pPr>
        <w:pStyle w:val="9"/>
        <w:spacing w:before="151" w:line="360" w:lineRule="auto"/>
        <w:ind w:left="9" w:right="47" w:firstLine="421"/>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2.1.5 “</w:t>
      </w:r>
      <w:r>
        <w:rPr>
          <w:rFonts w:hint="eastAsia" w:ascii="仿宋" w:hAnsi="仿宋" w:eastAsia="仿宋" w:cs="仿宋"/>
          <w:color w:val="auto"/>
          <w:spacing w:val="-73"/>
          <w:sz w:val="24"/>
          <w:szCs w:val="24"/>
          <w:highlight w:val="none"/>
        </w:rPr>
        <w:t xml:space="preserve"> </w:t>
      </w:r>
      <w:r>
        <w:rPr>
          <w:rFonts w:hint="eastAsia" w:ascii="仿宋" w:hAnsi="仿宋" w:eastAsia="仿宋" w:cs="仿宋"/>
          <w:color w:val="auto"/>
          <w:spacing w:val="8"/>
          <w:sz w:val="24"/>
          <w:szCs w:val="24"/>
          <w:highlight w:val="none"/>
        </w:rPr>
        <w:t>乙方</w:t>
      </w:r>
      <w:r>
        <w:rPr>
          <w:rFonts w:hint="eastAsia" w:ascii="仿宋" w:hAnsi="仿宋" w:eastAsia="仿宋" w:cs="仿宋"/>
          <w:color w:val="auto"/>
          <w:spacing w:val="-70"/>
          <w:sz w:val="24"/>
          <w:szCs w:val="24"/>
          <w:highlight w:val="none"/>
        </w:rPr>
        <w:t xml:space="preserve"> </w:t>
      </w:r>
      <w:r>
        <w:rPr>
          <w:rFonts w:hint="eastAsia" w:ascii="仿宋" w:hAnsi="仿宋" w:eastAsia="仿宋" w:cs="仿宋"/>
          <w:color w:val="auto"/>
          <w:spacing w:val="8"/>
          <w:sz w:val="24"/>
          <w:szCs w:val="24"/>
          <w:highlight w:val="none"/>
        </w:rPr>
        <w:t>”系指根据合同约定提供服务的中标或成</w:t>
      </w:r>
      <w:r>
        <w:rPr>
          <w:rFonts w:hint="eastAsia" w:ascii="仿宋" w:hAnsi="仿宋" w:eastAsia="仿宋" w:cs="仿宋"/>
          <w:color w:val="auto"/>
          <w:spacing w:val="7"/>
          <w:sz w:val="24"/>
          <w:szCs w:val="24"/>
          <w:highlight w:val="none"/>
        </w:rPr>
        <w:t>交供应商；两个以上的自然人、法人</w:t>
      </w:r>
      <w:r>
        <w:rPr>
          <w:rFonts w:hint="eastAsia" w:ascii="仿宋" w:hAnsi="仿宋" w:eastAsia="仿宋" w:cs="仿宋"/>
          <w:color w:val="auto"/>
          <w:spacing w:val="10"/>
          <w:sz w:val="24"/>
          <w:szCs w:val="24"/>
          <w:highlight w:val="none"/>
        </w:rPr>
        <w:t>或者其他组织组成一个联合体，以一个供应商的身份共同参加政府</w:t>
      </w:r>
      <w:r>
        <w:rPr>
          <w:rFonts w:hint="eastAsia" w:ascii="仿宋" w:hAnsi="仿宋" w:eastAsia="仿宋" w:cs="仿宋"/>
          <w:color w:val="auto"/>
          <w:spacing w:val="9"/>
          <w:sz w:val="24"/>
          <w:szCs w:val="24"/>
          <w:highlight w:val="none"/>
        </w:rPr>
        <w:t>采购的，联合体各方均应为乙方或者与乙方相同地位的合同当事人，并就合同约定的事项对甲方承担连带责任。</w:t>
      </w:r>
    </w:p>
    <w:p w14:paraId="5473CF47">
      <w:pPr>
        <w:pStyle w:val="9"/>
        <w:spacing w:before="150" w:line="360" w:lineRule="auto"/>
        <w:ind w:left="43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2.1.6 “现场</w:t>
      </w:r>
      <w:r>
        <w:rPr>
          <w:rFonts w:hint="eastAsia" w:ascii="仿宋" w:hAnsi="仿宋" w:eastAsia="仿宋" w:cs="仿宋"/>
          <w:color w:val="auto"/>
          <w:spacing w:val="-58"/>
          <w:sz w:val="24"/>
          <w:szCs w:val="24"/>
          <w:highlight w:val="none"/>
        </w:rPr>
        <w:t xml:space="preserve"> </w:t>
      </w:r>
      <w:r>
        <w:rPr>
          <w:rFonts w:hint="eastAsia" w:ascii="仿宋" w:hAnsi="仿宋" w:eastAsia="仿宋" w:cs="仿宋"/>
          <w:color w:val="auto"/>
          <w:spacing w:val="6"/>
          <w:sz w:val="24"/>
          <w:szCs w:val="24"/>
          <w:highlight w:val="none"/>
        </w:rPr>
        <w:t>”系指合同约定提供服务的地点。</w:t>
      </w:r>
    </w:p>
    <w:p w14:paraId="2B644A89">
      <w:pPr>
        <w:pStyle w:val="9"/>
        <w:spacing w:before="155" w:line="360" w:lineRule="auto"/>
        <w:ind w:left="430"/>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2.2</w:t>
      </w:r>
      <w:r>
        <w:rPr>
          <w:rFonts w:hint="eastAsia" w:ascii="仿宋" w:hAnsi="仿宋" w:eastAsia="仿宋" w:cs="仿宋"/>
          <w:color w:val="auto"/>
          <w:spacing w:val="4"/>
          <w:sz w:val="24"/>
          <w:szCs w:val="24"/>
          <w:highlight w:val="none"/>
        </w:rPr>
        <w:t xml:space="preserve"> </w:t>
      </w:r>
      <w:r>
        <w:rPr>
          <w:rFonts w:hint="eastAsia" w:ascii="仿宋" w:hAnsi="仿宋" w:eastAsia="仿宋" w:cs="仿宋"/>
          <w:b/>
          <w:bCs/>
          <w:color w:val="auto"/>
          <w:spacing w:val="4"/>
          <w:sz w:val="24"/>
          <w:szCs w:val="24"/>
          <w:highlight w:val="none"/>
        </w:rPr>
        <w:t>技术规范</w:t>
      </w:r>
    </w:p>
    <w:p w14:paraId="535FA270">
      <w:pPr>
        <w:pStyle w:val="9"/>
        <w:spacing w:before="154" w:line="360" w:lineRule="auto"/>
        <w:ind w:left="10" w:right="47" w:firstLine="418"/>
        <w:jc w:val="both"/>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服务所应遵守的技术规范应与采购文件规定</w:t>
      </w:r>
      <w:r>
        <w:rPr>
          <w:rFonts w:hint="eastAsia" w:ascii="仿宋" w:hAnsi="仿宋" w:eastAsia="仿宋" w:cs="仿宋"/>
          <w:color w:val="auto"/>
          <w:spacing w:val="9"/>
          <w:sz w:val="24"/>
          <w:szCs w:val="24"/>
          <w:highlight w:val="none"/>
        </w:rPr>
        <w:t>的技术规范和技术规范附件(如果有的话)及其技</w:t>
      </w:r>
      <w:r>
        <w:rPr>
          <w:rFonts w:hint="eastAsia" w:ascii="仿宋" w:hAnsi="仿宋" w:eastAsia="仿宋" w:cs="仿宋"/>
          <w:color w:val="auto"/>
          <w:spacing w:val="10"/>
          <w:sz w:val="24"/>
          <w:szCs w:val="24"/>
          <w:highlight w:val="none"/>
        </w:rPr>
        <w:t>术规范偏差表(如果被甲方接受的话)相一</w:t>
      </w:r>
      <w:r>
        <w:rPr>
          <w:rFonts w:hint="eastAsia" w:ascii="仿宋" w:hAnsi="仿宋" w:eastAsia="仿宋" w:cs="仿宋"/>
          <w:color w:val="auto"/>
          <w:spacing w:val="9"/>
          <w:sz w:val="24"/>
          <w:szCs w:val="24"/>
          <w:highlight w:val="none"/>
        </w:rPr>
        <w:t>致；如果采购文件中没有技术规范的相应说明，那么应以国家有关部门最新颁布的相应标准和规范为准。</w:t>
      </w:r>
    </w:p>
    <w:p w14:paraId="77FEAEEA">
      <w:pPr>
        <w:pStyle w:val="9"/>
        <w:spacing w:before="1" w:line="360" w:lineRule="auto"/>
        <w:ind w:left="430"/>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2.3</w:t>
      </w:r>
      <w:r>
        <w:rPr>
          <w:rFonts w:hint="eastAsia" w:ascii="仿宋" w:hAnsi="仿宋" w:eastAsia="仿宋" w:cs="仿宋"/>
          <w:color w:val="auto"/>
          <w:spacing w:val="17"/>
          <w:sz w:val="24"/>
          <w:szCs w:val="24"/>
          <w:highlight w:val="none"/>
        </w:rPr>
        <w:t xml:space="preserve"> </w:t>
      </w:r>
      <w:r>
        <w:rPr>
          <w:rFonts w:hint="eastAsia" w:ascii="仿宋" w:hAnsi="仿宋" w:eastAsia="仿宋" w:cs="仿宋"/>
          <w:b/>
          <w:bCs/>
          <w:color w:val="auto"/>
          <w:spacing w:val="3"/>
          <w:sz w:val="24"/>
          <w:szCs w:val="24"/>
          <w:highlight w:val="none"/>
        </w:rPr>
        <w:t>知识产权</w:t>
      </w:r>
    </w:p>
    <w:p w14:paraId="4FD4B7F9">
      <w:pPr>
        <w:pStyle w:val="9"/>
        <w:spacing w:before="151" w:line="360" w:lineRule="auto"/>
        <w:ind w:left="7" w:right="47" w:firstLine="423"/>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2.3.1 乙方应保证其提供的服务不受任何第三方提出的侵犯其著作权、商标权、专利权</w:t>
      </w:r>
      <w:r>
        <w:rPr>
          <w:rFonts w:hint="eastAsia" w:ascii="仿宋" w:hAnsi="仿宋" w:eastAsia="仿宋" w:cs="仿宋"/>
          <w:color w:val="auto"/>
          <w:spacing w:val="8"/>
          <w:sz w:val="24"/>
          <w:szCs w:val="24"/>
          <w:highlight w:val="none"/>
        </w:rPr>
        <w:t>等知</w:t>
      </w:r>
      <w:r>
        <w:rPr>
          <w:rFonts w:hint="eastAsia" w:ascii="仿宋" w:hAnsi="仿宋" w:eastAsia="仿宋" w:cs="仿宋"/>
          <w:color w:val="auto"/>
          <w:spacing w:val="10"/>
          <w:sz w:val="24"/>
          <w:szCs w:val="24"/>
          <w:highlight w:val="none"/>
        </w:rPr>
        <w:t>识产权方面的起诉；如果任何第三方提出侵权指控，那么乙方须与该第</w:t>
      </w:r>
      <w:r>
        <w:rPr>
          <w:rFonts w:hint="eastAsia" w:ascii="仿宋" w:hAnsi="仿宋" w:eastAsia="仿宋" w:cs="仿宋"/>
          <w:color w:val="auto"/>
          <w:spacing w:val="9"/>
          <w:sz w:val="24"/>
          <w:szCs w:val="24"/>
          <w:highlight w:val="none"/>
        </w:rPr>
        <w:t>三方交涉并承担由此发生</w:t>
      </w:r>
      <w:r>
        <w:rPr>
          <w:rFonts w:hint="eastAsia" w:ascii="仿宋" w:hAnsi="仿宋" w:eastAsia="仿宋" w:cs="仿宋"/>
          <w:color w:val="auto"/>
          <w:spacing w:val="10"/>
          <w:sz w:val="24"/>
          <w:szCs w:val="24"/>
          <w:highlight w:val="none"/>
        </w:rPr>
        <w:t>的一切责任、费用和赔偿，乙方还应及时澄清相关信息，使甲方声誉免</w:t>
      </w:r>
      <w:r>
        <w:rPr>
          <w:rFonts w:hint="eastAsia" w:ascii="仿宋" w:hAnsi="仿宋" w:eastAsia="仿宋" w:cs="仿宋"/>
          <w:color w:val="auto"/>
          <w:spacing w:val="9"/>
          <w:sz w:val="24"/>
          <w:szCs w:val="24"/>
          <w:highlight w:val="none"/>
        </w:rPr>
        <w:t>受损害，甲方保留追责的</w:t>
      </w:r>
      <w:r>
        <w:rPr>
          <w:rFonts w:hint="eastAsia" w:ascii="仿宋" w:hAnsi="仿宋" w:eastAsia="仿宋" w:cs="仿宋"/>
          <w:color w:val="auto"/>
          <w:spacing w:val="3"/>
          <w:sz w:val="24"/>
          <w:szCs w:val="24"/>
          <w:highlight w:val="none"/>
        </w:rPr>
        <w:t>权利。</w:t>
      </w:r>
    </w:p>
    <w:p w14:paraId="269BF57E">
      <w:pPr>
        <w:pStyle w:val="9"/>
        <w:spacing w:before="153" w:line="360" w:lineRule="auto"/>
        <w:ind w:left="430"/>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2.3.2 合同涉及技术成果的归属和收益的分成办法的，详见</w:t>
      </w:r>
      <w:r>
        <w:rPr>
          <w:rFonts w:hint="eastAsia" w:ascii="仿宋" w:hAnsi="仿宋" w:eastAsia="仿宋" w:cs="仿宋"/>
          <w:b/>
          <w:bCs/>
          <w:color w:val="auto"/>
          <w:spacing w:val="8"/>
          <w:sz w:val="24"/>
          <w:szCs w:val="24"/>
          <w:highlight w:val="none"/>
          <w:u w:val="single" w:color="auto"/>
        </w:rPr>
        <w:t>合同专用条款</w:t>
      </w:r>
      <w:r>
        <w:rPr>
          <w:rFonts w:hint="eastAsia" w:ascii="仿宋" w:hAnsi="仿宋" w:eastAsia="仿宋" w:cs="仿宋"/>
          <w:color w:val="auto"/>
          <w:spacing w:val="8"/>
          <w:sz w:val="24"/>
          <w:szCs w:val="24"/>
          <w:highlight w:val="none"/>
        </w:rPr>
        <w:t>。</w:t>
      </w:r>
    </w:p>
    <w:p w14:paraId="210062BC">
      <w:pPr>
        <w:pStyle w:val="9"/>
        <w:spacing w:before="154" w:line="360" w:lineRule="auto"/>
        <w:ind w:left="430"/>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2.4</w:t>
      </w:r>
      <w:r>
        <w:rPr>
          <w:rFonts w:hint="eastAsia" w:ascii="仿宋" w:hAnsi="仿宋" w:eastAsia="仿宋" w:cs="仿宋"/>
          <w:color w:val="auto"/>
          <w:spacing w:val="6"/>
          <w:sz w:val="24"/>
          <w:szCs w:val="24"/>
          <w:highlight w:val="none"/>
        </w:rPr>
        <w:t xml:space="preserve"> </w:t>
      </w:r>
      <w:r>
        <w:rPr>
          <w:rFonts w:hint="eastAsia" w:ascii="仿宋" w:hAnsi="仿宋" w:eastAsia="仿宋" w:cs="仿宋"/>
          <w:b/>
          <w:bCs/>
          <w:color w:val="auto"/>
          <w:spacing w:val="6"/>
          <w:sz w:val="24"/>
          <w:szCs w:val="24"/>
          <w:highlight w:val="none"/>
        </w:rPr>
        <w:t>履约检查和问题反馈</w:t>
      </w:r>
    </w:p>
    <w:p w14:paraId="3A5C946F">
      <w:pPr>
        <w:pStyle w:val="9"/>
        <w:spacing w:before="151" w:line="360" w:lineRule="auto"/>
        <w:ind w:left="8" w:right="96" w:firstLine="422"/>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2.4.1</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8"/>
          <w:sz w:val="24"/>
          <w:szCs w:val="24"/>
          <w:highlight w:val="none"/>
        </w:rPr>
        <w:t>甲方有权在其认为必要时，对乙方是否能够按照合同约定提供服务进行履约检查，以</w:t>
      </w:r>
      <w:r>
        <w:rPr>
          <w:rFonts w:hint="eastAsia" w:ascii="仿宋" w:hAnsi="仿宋" w:eastAsia="仿宋" w:cs="仿宋"/>
          <w:color w:val="auto"/>
          <w:spacing w:val="9"/>
          <w:sz w:val="24"/>
          <w:szCs w:val="24"/>
          <w:highlight w:val="none"/>
        </w:rPr>
        <w:t>确保乙方所提供的服务能够依约满足甲方之项目需</w:t>
      </w:r>
      <w:r>
        <w:rPr>
          <w:rFonts w:hint="eastAsia" w:ascii="仿宋" w:hAnsi="仿宋" w:eastAsia="仿宋" w:cs="仿宋"/>
          <w:color w:val="auto"/>
          <w:spacing w:val="8"/>
          <w:sz w:val="24"/>
          <w:szCs w:val="24"/>
          <w:highlight w:val="none"/>
        </w:rPr>
        <w:t>求，但不得因履约检查妨碍乙方的正常工作，</w:t>
      </w:r>
      <w:r>
        <w:rPr>
          <w:rFonts w:hint="eastAsia" w:ascii="仿宋" w:hAnsi="仿宋" w:eastAsia="仿宋" w:cs="仿宋"/>
          <w:color w:val="auto"/>
          <w:spacing w:val="7"/>
          <w:sz w:val="24"/>
          <w:szCs w:val="24"/>
          <w:highlight w:val="none"/>
        </w:rPr>
        <w:t>乙方应予积极配合；</w:t>
      </w:r>
    </w:p>
    <w:p w14:paraId="4DDEB842">
      <w:pPr>
        <w:pStyle w:val="9"/>
        <w:spacing w:before="151" w:line="360" w:lineRule="auto"/>
        <w:ind w:left="10" w:right="47" w:firstLine="420"/>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2.4.2 合同履行期间，甲方有权将履行过程中出现的问题反馈给乙方，双方当事人应以</w:t>
      </w:r>
      <w:r>
        <w:rPr>
          <w:rFonts w:hint="eastAsia" w:ascii="仿宋" w:hAnsi="仿宋" w:eastAsia="仿宋" w:cs="仿宋"/>
          <w:color w:val="auto"/>
          <w:spacing w:val="8"/>
          <w:sz w:val="24"/>
          <w:szCs w:val="24"/>
          <w:highlight w:val="none"/>
        </w:rPr>
        <w:t>书面形式约定需要完善和改进的内容。</w:t>
      </w:r>
    </w:p>
    <w:p w14:paraId="3603535C">
      <w:pPr>
        <w:pStyle w:val="9"/>
        <w:spacing w:before="154" w:line="360" w:lineRule="auto"/>
        <w:ind w:left="430"/>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2.5</w:t>
      </w:r>
      <w:r>
        <w:rPr>
          <w:rFonts w:hint="eastAsia" w:ascii="仿宋" w:hAnsi="仿宋" w:eastAsia="仿宋" w:cs="仿宋"/>
          <w:color w:val="auto"/>
          <w:spacing w:val="6"/>
          <w:sz w:val="24"/>
          <w:szCs w:val="24"/>
          <w:highlight w:val="none"/>
        </w:rPr>
        <w:t xml:space="preserve"> </w:t>
      </w:r>
      <w:r>
        <w:rPr>
          <w:rFonts w:hint="eastAsia" w:ascii="仿宋" w:hAnsi="仿宋" w:eastAsia="仿宋" w:cs="仿宋"/>
          <w:b/>
          <w:bCs/>
          <w:color w:val="auto"/>
          <w:spacing w:val="6"/>
          <w:sz w:val="24"/>
          <w:szCs w:val="24"/>
          <w:highlight w:val="none"/>
        </w:rPr>
        <w:t>结算方式和付款条件</w:t>
      </w:r>
    </w:p>
    <w:p w14:paraId="54C7E76B">
      <w:pPr>
        <w:pStyle w:val="9"/>
        <w:spacing w:before="140" w:line="360" w:lineRule="auto"/>
        <w:ind w:firstLine="512" w:firstLineChars="200"/>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lang w:val="en-US" w:eastAsia="zh-CN"/>
        </w:rPr>
        <w:t>保险协议签订后，甲方向乙方提供园林养护工人名单及有关信息，乙方在三个工作日内出具保单及发票，甲方在收到保单和发票后内按程序支付相应保险费用。</w:t>
      </w:r>
    </w:p>
    <w:p w14:paraId="6F22AF20">
      <w:pPr>
        <w:pStyle w:val="9"/>
        <w:spacing w:before="65" w:line="360" w:lineRule="auto"/>
        <w:ind w:left="430"/>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2.6</w:t>
      </w:r>
      <w:r>
        <w:rPr>
          <w:rFonts w:hint="eastAsia" w:ascii="仿宋" w:hAnsi="仿宋" w:eastAsia="仿宋" w:cs="仿宋"/>
          <w:color w:val="auto"/>
          <w:spacing w:val="6"/>
          <w:sz w:val="24"/>
          <w:szCs w:val="24"/>
          <w:highlight w:val="none"/>
        </w:rPr>
        <w:t xml:space="preserve"> </w:t>
      </w:r>
      <w:r>
        <w:rPr>
          <w:rFonts w:hint="eastAsia" w:ascii="仿宋" w:hAnsi="仿宋" w:eastAsia="仿宋" w:cs="仿宋"/>
          <w:b/>
          <w:bCs/>
          <w:color w:val="auto"/>
          <w:spacing w:val="6"/>
          <w:sz w:val="24"/>
          <w:szCs w:val="24"/>
          <w:highlight w:val="none"/>
        </w:rPr>
        <w:t>技术资料和保密义务</w:t>
      </w:r>
    </w:p>
    <w:p w14:paraId="5A4E3D70">
      <w:pPr>
        <w:pStyle w:val="9"/>
        <w:spacing w:before="141" w:line="360" w:lineRule="auto"/>
        <w:ind w:left="14" w:right="47" w:firstLine="416"/>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2.6.1 乙方有权依据合同约定和项目需要，向甲方了解有关情况，调阅有关资料等，</w:t>
      </w:r>
      <w:r>
        <w:rPr>
          <w:rFonts w:hint="eastAsia" w:ascii="仿宋" w:hAnsi="仿宋" w:eastAsia="仿宋" w:cs="仿宋"/>
          <w:color w:val="auto"/>
          <w:spacing w:val="-58"/>
          <w:sz w:val="24"/>
          <w:szCs w:val="24"/>
          <w:highlight w:val="none"/>
        </w:rPr>
        <w:t xml:space="preserve"> </w:t>
      </w:r>
      <w:r>
        <w:rPr>
          <w:rFonts w:hint="eastAsia" w:ascii="仿宋" w:hAnsi="仿宋" w:eastAsia="仿宋" w:cs="仿宋"/>
          <w:color w:val="auto"/>
          <w:spacing w:val="8"/>
          <w:sz w:val="24"/>
          <w:szCs w:val="24"/>
          <w:highlight w:val="none"/>
        </w:rPr>
        <w:t>甲方应</w:t>
      </w:r>
      <w:r>
        <w:rPr>
          <w:rFonts w:hint="eastAsia" w:ascii="仿宋" w:hAnsi="仿宋" w:eastAsia="仿宋" w:cs="仿宋"/>
          <w:color w:val="auto"/>
          <w:spacing w:val="5"/>
          <w:sz w:val="24"/>
          <w:szCs w:val="24"/>
          <w:highlight w:val="none"/>
        </w:rPr>
        <w:t>予积极配合；</w:t>
      </w:r>
    </w:p>
    <w:p w14:paraId="4CC2B44C">
      <w:pPr>
        <w:pStyle w:val="9"/>
        <w:spacing w:before="140" w:line="360" w:lineRule="auto"/>
        <w:ind w:left="430"/>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2.6.2 乙方有义务妥善保管和保护由甲方提供的前款信息和资料等；</w:t>
      </w:r>
    </w:p>
    <w:p w14:paraId="13C3DA51">
      <w:pPr>
        <w:pStyle w:val="9"/>
        <w:spacing w:before="143" w:line="360" w:lineRule="auto"/>
        <w:ind w:left="8" w:right="47" w:firstLine="422"/>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2.6.3 除非依照法律规定或者对方当事人的书面同意，任何一方均应保证不向任何第三</w:t>
      </w:r>
      <w:r>
        <w:rPr>
          <w:rFonts w:hint="eastAsia" w:ascii="仿宋" w:hAnsi="仿宋" w:eastAsia="仿宋" w:cs="仿宋"/>
          <w:color w:val="auto"/>
          <w:spacing w:val="8"/>
          <w:sz w:val="24"/>
          <w:szCs w:val="24"/>
          <w:highlight w:val="none"/>
        </w:rPr>
        <w:t>方提</w:t>
      </w:r>
      <w:r>
        <w:rPr>
          <w:rFonts w:hint="eastAsia" w:ascii="仿宋" w:hAnsi="仿宋" w:eastAsia="仿宋" w:cs="仿宋"/>
          <w:color w:val="auto"/>
          <w:spacing w:val="10"/>
          <w:sz w:val="24"/>
          <w:szCs w:val="24"/>
          <w:highlight w:val="none"/>
        </w:rPr>
        <w:t>供或披露有关合同的或者履行合同过程中知悉的对方当事人任何未公</w:t>
      </w:r>
      <w:r>
        <w:rPr>
          <w:rFonts w:hint="eastAsia" w:ascii="仿宋" w:hAnsi="仿宋" w:eastAsia="仿宋" w:cs="仿宋"/>
          <w:color w:val="auto"/>
          <w:spacing w:val="9"/>
          <w:sz w:val="24"/>
          <w:szCs w:val="24"/>
          <w:highlight w:val="none"/>
        </w:rPr>
        <w:t>开的信息和资料，包括但不</w:t>
      </w:r>
      <w:r>
        <w:rPr>
          <w:rFonts w:hint="eastAsia" w:ascii="仿宋" w:hAnsi="仿宋" w:eastAsia="仿宋" w:cs="仿宋"/>
          <w:color w:val="auto"/>
          <w:spacing w:val="10"/>
          <w:sz w:val="24"/>
          <w:szCs w:val="24"/>
          <w:highlight w:val="none"/>
        </w:rPr>
        <w:t>限于技术情报、技术资料、商业秘密和商业信息等，并采取一切合理</w:t>
      </w:r>
      <w:r>
        <w:rPr>
          <w:rFonts w:hint="eastAsia" w:ascii="仿宋" w:hAnsi="仿宋" w:eastAsia="仿宋" w:cs="仿宋"/>
          <w:color w:val="auto"/>
          <w:spacing w:val="9"/>
          <w:sz w:val="24"/>
          <w:szCs w:val="24"/>
          <w:highlight w:val="none"/>
        </w:rPr>
        <w:t>和必要措施和方式防止任何第三方接触到对方当事人的上述保密信息和资料。</w:t>
      </w:r>
    </w:p>
    <w:p w14:paraId="2F160229">
      <w:pPr>
        <w:pStyle w:val="9"/>
        <w:spacing w:before="143" w:line="360" w:lineRule="auto"/>
        <w:ind w:left="430"/>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2.7</w:t>
      </w:r>
      <w:r>
        <w:rPr>
          <w:rFonts w:hint="eastAsia" w:ascii="仿宋" w:hAnsi="仿宋" w:eastAsia="仿宋" w:cs="仿宋"/>
          <w:color w:val="auto"/>
          <w:spacing w:val="4"/>
          <w:sz w:val="24"/>
          <w:szCs w:val="24"/>
          <w:highlight w:val="none"/>
        </w:rPr>
        <w:t xml:space="preserve"> </w:t>
      </w:r>
      <w:r>
        <w:rPr>
          <w:rFonts w:hint="eastAsia" w:ascii="仿宋" w:hAnsi="仿宋" w:eastAsia="仿宋" w:cs="仿宋"/>
          <w:b/>
          <w:bCs/>
          <w:color w:val="auto"/>
          <w:spacing w:val="4"/>
          <w:sz w:val="24"/>
          <w:szCs w:val="24"/>
          <w:highlight w:val="none"/>
        </w:rPr>
        <w:t>质量保证</w:t>
      </w:r>
    </w:p>
    <w:p w14:paraId="5E03C8F4">
      <w:pPr>
        <w:pStyle w:val="9"/>
        <w:spacing w:before="140" w:line="360" w:lineRule="auto"/>
        <w:ind w:left="31" w:right="96" w:firstLine="398"/>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2.7.1 乙方应建立和完善履行合同的内部质量保证体系，并提供相关内部</w:t>
      </w:r>
      <w:r>
        <w:rPr>
          <w:rFonts w:hint="eastAsia" w:ascii="仿宋" w:hAnsi="仿宋" w:eastAsia="仿宋" w:cs="仿宋"/>
          <w:color w:val="auto"/>
          <w:spacing w:val="7"/>
          <w:sz w:val="24"/>
          <w:szCs w:val="24"/>
          <w:highlight w:val="none"/>
        </w:rPr>
        <w:t>规章制度给甲方，</w:t>
      </w:r>
      <w:r>
        <w:rPr>
          <w:rFonts w:hint="eastAsia" w:ascii="仿宋" w:hAnsi="仿宋" w:eastAsia="仿宋" w:cs="仿宋"/>
          <w:color w:val="auto"/>
          <w:spacing w:val="5"/>
          <w:sz w:val="24"/>
          <w:szCs w:val="24"/>
          <w:highlight w:val="none"/>
        </w:rPr>
        <w:t>以便甲方进行监督检查；</w:t>
      </w:r>
    </w:p>
    <w:p w14:paraId="6FC6198A">
      <w:pPr>
        <w:pStyle w:val="9"/>
        <w:spacing w:before="141" w:line="360" w:lineRule="auto"/>
        <w:ind w:left="10" w:right="47" w:firstLine="420"/>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2.7.2 乙方应保证履行合同的人员数量和素质、软件和硬件设备的配置、场地、环境和</w:t>
      </w:r>
      <w:r>
        <w:rPr>
          <w:rFonts w:hint="eastAsia" w:ascii="仿宋" w:hAnsi="仿宋" w:eastAsia="仿宋" w:cs="仿宋"/>
          <w:color w:val="auto"/>
          <w:spacing w:val="8"/>
          <w:sz w:val="24"/>
          <w:szCs w:val="24"/>
          <w:highlight w:val="none"/>
        </w:rPr>
        <w:t>设施</w:t>
      </w:r>
      <w:r>
        <w:rPr>
          <w:rFonts w:hint="eastAsia" w:ascii="仿宋" w:hAnsi="仿宋" w:eastAsia="仿宋" w:cs="仿宋"/>
          <w:color w:val="auto"/>
          <w:spacing w:val="9"/>
          <w:sz w:val="24"/>
          <w:szCs w:val="24"/>
          <w:highlight w:val="none"/>
        </w:rPr>
        <w:t>等满足全面履行合同的要求，并应接受甲方的监督检查。</w:t>
      </w:r>
    </w:p>
    <w:p w14:paraId="1DC7C0C5">
      <w:pPr>
        <w:pStyle w:val="9"/>
        <w:spacing w:before="142" w:line="360" w:lineRule="auto"/>
        <w:ind w:left="430"/>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2.8</w:t>
      </w:r>
      <w:r>
        <w:rPr>
          <w:rFonts w:hint="eastAsia" w:ascii="仿宋" w:hAnsi="仿宋" w:eastAsia="仿宋" w:cs="仿宋"/>
          <w:color w:val="auto"/>
          <w:spacing w:val="4"/>
          <w:sz w:val="24"/>
          <w:szCs w:val="24"/>
          <w:highlight w:val="none"/>
        </w:rPr>
        <w:t xml:space="preserve"> </w:t>
      </w:r>
      <w:r>
        <w:rPr>
          <w:rFonts w:hint="eastAsia" w:ascii="仿宋" w:hAnsi="仿宋" w:eastAsia="仿宋" w:cs="仿宋"/>
          <w:b/>
          <w:bCs/>
          <w:color w:val="auto"/>
          <w:spacing w:val="4"/>
          <w:sz w:val="24"/>
          <w:szCs w:val="24"/>
          <w:highlight w:val="none"/>
        </w:rPr>
        <w:t>延迟履行</w:t>
      </w:r>
    </w:p>
    <w:p w14:paraId="46A544AE">
      <w:pPr>
        <w:pStyle w:val="9"/>
        <w:spacing w:before="143" w:line="360" w:lineRule="auto"/>
        <w:ind w:left="11" w:right="47" w:firstLine="443"/>
        <w:jc w:val="both"/>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甲乙双方签订合同后，乙方应按照合同约定履行合同义务，除不可抗力外，乙方不得延迟履</w:t>
      </w:r>
      <w:r>
        <w:rPr>
          <w:rFonts w:hint="eastAsia" w:ascii="仿宋" w:hAnsi="仿宋" w:eastAsia="仿宋" w:cs="仿宋"/>
          <w:color w:val="auto"/>
          <w:spacing w:val="10"/>
          <w:sz w:val="24"/>
          <w:szCs w:val="24"/>
          <w:highlight w:val="none"/>
        </w:rPr>
        <w:t>行。在合同履行过程中，如果因不可抗力，乙方遇到不能按</w:t>
      </w:r>
      <w:r>
        <w:rPr>
          <w:rFonts w:hint="eastAsia" w:ascii="仿宋" w:hAnsi="仿宋" w:eastAsia="仿宋" w:cs="仿宋"/>
          <w:color w:val="auto"/>
          <w:spacing w:val="9"/>
          <w:sz w:val="24"/>
          <w:szCs w:val="24"/>
          <w:highlight w:val="none"/>
        </w:rPr>
        <w:t>时提供服务的情况，应及时以书面形式将不能按时提供服务的理由、预期延误时间通知</w:t>
      </w:r>
      <w:r>
        <w:rPr>
          <w:rFonts w:hint="eastAsia" w:ascii="仿宋" w:hAnsi="仿宋" w:eastAsia="仿宋" w:cs="仿宋"/>
          <w:color w:val="auto"/>
          <w:spacing w:val="8"/>
          <w:sz w:val="24"/>
          <w:szCs w:val="24"/>
          <w:highlight w:val="none"/>
        </w:rPr>
        <w:t>甲方；</w:t>
      </w:r>
      <w:r>
        <w:rPr>
          <w:rFonts w:hint="eastAsia" w:ascii="仿宋" w:hAnsi="仿宋" w:eastAsia="仿宋" w:cs="仿宋"/>
          <w:color w:val="auto"/>
          <w:spacing w:val="-54"/>
          <w:sz w:val="24"/>
          <w:szCs w:val="24"/>
          <w:highlight w:val="none"/>
        </w:rPr>
        <w:t xml:space="preserve"> </w:t>
      </w:r>
      <w:r>
        <w:rPr>
          <w:rFonts w:hint="eastAsia" w:ascii="仿宋" w:hAnsi="仿宋" w:eastAsia="仿宋" w:cs="仿宋"/>
          <w:color w:val="auto"/>
          <w:spacing w:val="8"/>
          <w:sz w:val="24"/>
          <w:szCs w:val="24"/>
          <w:highlight w:val="none"/>
        </w:rPr>
        <w:t>甲方收到乙方通知后，认为其理由正当</w:t>
      </w:r>
      <w:r>
        <w:rPr>
          <w:rFonts w:hint="eastAsia" w:ascii="仿宋" w:hAnsi="仿宋" w:eastAsia="仿宋" w:cs="仿宋"/>
          <w:color w:val="auto"/>
          <w:spacing w:val="9"/>
          <w:sz w:val="24"/>
          <w:szCs w:val="24"/>
          <w:highlight w:val="none"/>
        </w:rPr>
        <w:t>的，可以书面形式酌情同意乙方可以延长履行的具体时间。</w:t>
      </w:r>
    </w:p>
    <w:p w14:paraId="33592E9F">
      <w:pPr>
        <w:pStyle w:val="9"/>
        <w:spacing w:line="360" w:lineRule="auto"/>
        <w:ind w:left="430"/>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2.9</w:t>
      </w:r>
      <w:r>
        <w:rPr>
          <w:rFonts w:hint="eastAsia" w:ascii="仿宋" w:hAnsi="仿宋" w:eastAsia="仿宋" w:cs="仿宋"/>
          <w:color w:val="auto"/>
          <w:spacing w:val="4"/>
          <w:sz w:val="24"/>
          <w:szCs w:val="24"/>
          <w:highlight w:val="none"/>
        </w:rPr>
        <w:t xml:space="preserve"> </w:t>
      </w:r>
      <w:r>
        <w:rPr>
          <w:rFonts w:hint="eastAsia" w:ascii="仿宋" w:hAnsi="仿宋" w:eastAsia="仿宋" w:cs="仿宋"/>
          <w:b/>
          <w:bCs/>
          <w:color w:val="auto"/>
          <w:spacing w:val="4"/>
          <w:sz w:val="24"/>
          <w:szCs w:val="24"/>
          <w:highlight w:val="none"/>
        </w:rPr>
        <w:t>合同变更</w:t>
      </w:r>
    </w:p>
    <w:p w14:paraId="0B27E6F6">
      <w:pPr>
        <w:pStyle w:val="9"/>
        <w:spacing w:before="140" w:line="360" w:lineRule="auto"/>
        <w:ind w:left="9" w:right="47" w:firstLine="420"/>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合同继续履行将损害国家利益和社会公共利益的，双方当事人</w:t>
      </w:r>
      <w:r>
        <w:rPr>
          <w:rFonts w:hint="eastAsia" w:ascii="仿宋" w:hAnsi="仿宋" w:eastAsia="仿宋" w:cs="仿宋"/>
          <w:color w:val="auto"/>
          <w:spacing w:val="9"/>
          <w:sz w:val="24"/>
          <w:szCs w:val="24"/>
          <w:highlight w:val="none"/>
        </w:rPr>
        <w:t>应当以书面形式变更合同。有过错的一方应当承担赔偿责任，双方当事人都有过错的，各自承担相应的责任。</w:t>
      </w:r>
    </w:p>
    <w:p w14:paraId="63A404C4">
      <w:pPr>
        <w:pStyle w:val="9"/>
        <w:spacing w:line="360" w:lineRule="auto"/>
        <w:ind w:left="430"/>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2.10</w:t>
      </w:r>
      <w:r>
        <w:rPr>
          <w:rFonts w:hint="eastAsia" w:ascii="仿宋" w:hAnsi="仿宋" w:eastAsia="仿宋" w:cs="仿宋"/>
          <w:color w:val="auto"/>
          <w:spacing w:val="5"/>
          <w:sz w:val="24"/>
          <w:szCs w:val="24"/>
          <w:highlight w:val="none"/>
        </w:rPr>
        <w:t xml:space="preserve"> </w:t>
      </w:r>
      <w:r>
        <w:rPr>
          <w:rFonts w:hint="eastAsia" w:ascii="仿宋" w:hAnsi="仿宋" w:eastAsia="仿宋" w:cs="仿宋"/>
          <w:b/>
          <w:bCs/>
          <w:color w:val="auto"/>
          <w:spacing w:val="5"/>
          <w:sz w:val="24"/>
          <w:szCs w:val="24"/>
          <w:highlight w:val="none"/>
        </w:rPr>
        <w:t>合同转让和分包</w:t>
      </w:r>
    </w:p>
    <w:p w14:paraId="63DE9029">
      <w:pPr>
        <w:pStyle w:val="9"/>
        <w:spacing w:before="143" w:line="360" w:lineRule="auto"/>
        <w:ind w:left="10" w:right="47" w:firstLine="41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合同的权利义务依法不得转让，但经甲方同意，乙方可以依法</w:t>
      </w:r>
      <w:r>
        <w:rPr>
          <w:rFonts w:hint="eastAsia" w:ascii="仿宋" w:hAnsi="仿宋" w:eastAsia="仿宋" w:cs="仿宋"/>
          <w:color w:val="auto"/>
          <w:spacing w:val="9"/>
          <w:sz w:val="24"/>
          <w:szCs w:val="24"/>
          <w:highlight w:val="none"/>
        </w:rPr>
        <w:t>采取分包方式履行合同，即：</w:t>
      </w:r>
      <w:r>
        <w:rPr>
          <w:rFonts w:hint="eastAsia" w:ascii="仿宋" w:hAnsi="仿宋" w:eastAsia="仿宋" w:cs="仿宋"/>
          <w:color w:val="auto"/>
          <w:spacing w:val="10"/>
          <w:sz w:val="24"/>
          <w:szCs w:val="24"/>
          <w:highlight w:val="none"/>
        </w:rPr>
        <w:t>依法可以将合同项下的部分非主体、非关键性工作分包给他人完</w:t>
      </w:r>
      <w:r>
        <w:rPr>
          <w:rFonts w:hint="eastAsia" w:ascii="仿宋" w:hAnsi="仿宋" w:eastAsia="仿宋" w:cs="仿宋"/>
          <w:color w:val="auto"/>
          <w:spacing w:val="9"/>
          <w:sz w:val="24"/>
          <w:szCs w:val="24"/>
          <w:highlight w:val="none"/>
        </w:rPr>
        <w:t>成，接受分包的人应当具备相应</w:t>
      </w:r>
      <w:r>
        <w:rPr>
          <w:rFonts w:hint="eastAsia" w:ascii="仿宋" w:hAnsi="仿宋" w:eastAsia="仿宋" w:cs="仿宋"/>
          <w:color w:val="auto"/>
          <w:spacing w:val="10"/>
          <w:sz w:val="24"/>
          <w:szCs w:val="24"/>
          <w:highlight w:val="none"/>
        </w:rPr>
        <w:t>的资格条件，并不得再次分包，且乙方应就分包项目向甲方负责</w:t>
      </w:r>
      <w:r>
        <w:rPr>
          <w:rFonts w:hint="eastAsia" w:ascii="仿宋" w:hAnsi="仿宋" w:eastAsia="仿宋" w:cs="仿宋"/>
          <w:color w:val="auto"/>
          <w:spacing w:val="9"/>
          <w:sz w:val="24"/>
          <w:szCs w:val="24"/>
          <w:highlight w:val="none"/>
        </w:rPr>
        <w:t>，并与分包供应商就分包项目向</w:t>
      </w:r>
      <w:r>
        <w:rPr>
          <w:rFonts w:hint="eastAsia" w:ascii="仿宋" w:hAnsi="仿宋" w:eastAsia="仿宋" w:cs="仿宋"/>
          <w:color w:val="auto"/>
          <w:spacing w:val="7"/>
          <w:sz w:val="24"/>
          <w:szCs w:val="24"/>
          <w:highlight w:val="none"/>
        </w:rPr>
        <w:t>甲方承担连带责任。</w:t>
      </w:r>
    </w:p>
    <w:p w14:paraId="0C497536">
      <w:pPr>
        <w:pStyle w:val="9"/>
        <w:spacing w:before="1" w:line="360" w:lineRule="auto"/>
        <w:ind w:left="430"/>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2.11</w:t>
      </w:r>
      <w:r>
        <w:rPr>
          <w:rFonts w:hint="eastAsia" w:ascii="仿宋" w:hAnsi="仿宋" w:eastAsia="仿宋" w:cs="仿宋"/>
          <w:color w:val="auto"/>
          <w:spacing w:val="18"/>
          <w:sz w:val="24"/>
          <w:szCs w:val="24"/>
          <w:highlight w:val="none"/>
        </w:rPr>
        <w:t xml:space="preserve"> </w:t>
      </w:r>
      <w:r>
        <w:rPr>
          <w:rFonts w:hint="eastAsia" w:ascii="仿宋" w:hAnsi="仿宋" w:eastAsia="仿宋" w:cs="仿宋"/>
          <w:b/>
          <w:bCs/>
          <w:color w:val="auto"/>
          <w:spacing w:val="3"/>
          <w:sz w:val="24"/>
          <w:szCs w:val="24"/>
          <w:highlight w:val="none"/>
        </w:rPr>
        <w:t>不可抗力</w:t>
      </w:r>
    </w:p>
    <w:p w14:paraId="4C264AF1">
      <w:pPr>
        <w:pStyle w:val="9"/>
        <w:spacing w:before="141" w:line="360" w:lineRule="auto"/>
        <w:ind w:left="14" w:right="205" w:firstLine="416"/>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2.11.1</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9"/>
          <w:sz w:val="24"/>
          <w:szCs w:val="24"/>
          <w:highlight w:val="none"/>
        </w:rPr>
        <w:t>如果任何一方遭遇法律规定的不可抗力，致使合同</w:t>
      </w:r>
      <w:r>
        <w:rPr>
          <w:rFonts w:hint="eastAsia" w:ascii="仿宋" w:hAnsi="仿宋" w:eastAsia="仿宋" w:cs="仿宋"/>
          <w:color w:val="auto"/>
          <w:spacing w:val="8"/>
          <w:sz w:val="24"/>
          <w:szCs w:val="24"/>
          <w:highlight w:val="none"/>
        </w:rPr>
        <w:t>履行受阻时，履行合同的期限应</w:t>
      </w:r>
      <w:r>
        <w:rPr>
          <w:rFonts w:hint="eastAsia" w:ascii="仿宋" w:hAnsi="仿宋" w:eastAsia="仿宋" w:cs="仿宋"/>
          <w:color w:val="auto"/>
          <w:spacing w:val="9"/>
          <w:sz w:val="24"/>
          <w:szCs w:val="24"/>
          <w:highlight w:val="none"/>
        </w:rPr>
        <w:t>予延长，延长的期限应相当于不可抗力所影响的</w:t>
      </w:r>
      <w:r>
        <w:rPr>
          <w:rFonts w:hint="eastAsia" w:ascii="仿宋" w:hAnsi="仿宋" w:eastAsia="仿宋" w:cs="仿宋"/>
          <w:color w:val="auto"/>
          <w:spacing w:val="8"/>
          <w:sz w:val="24"/>
          <w:szCs w:val="24"/>
          <w:highlight w:val="none"/>
        </w:rPr>
        <w:t>时间；</w:t>
      </w:r>
    </w:p>
    <w:p w14:paraId="115F17A8">
      <w:pPr>
        <w:pStyle w:val="9"/>
        <w:spacing w:before="141" w:line="360" w:lineRule="auto"/>
        <w:ind w:left="430"/>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2.11.2 因不可抗力致使不能实现合同目的的，当事人可以解除合同；</w:t>
      </w:r>
    </w:p>
    <w:p w14:paraId="595CC3F5">
      <w:pPr>
        <w:pStyle w:val="9"/>
        <w:spacing w:before="145" w:line="360" w:lineRule="auto"/>
        <w:ind w:left="9" w:right="147" w:firstLine="421"/>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2.11.3 因不可抗力致使合同有变更必要的，双方当事人</w:t>
      </w:r>
      <w:r>
        <w:rPr>
          <w:rFonts w:hint="eastAsia" w:ascii="仿宋" w:hAnsi="仿宋" w:eastAsia="仿宋" w:cs="仿宋"/>
          <w:color w:val="auto"/>
          <w:spacing w:val="8"/>
          <w:sz w:val="24"/>
          <w:szCs w:val="24"/>
          <w:highlight w:val="none"/>
        </w:rPr>
        <w:t>应在</w:t>
      </w:r>
      <w:r>
        <w:rPr>
          <w:rFonts w:hint="eastAsia" w:ascii="仿宋" w:hAnsi="仿宋" w:eastAsia="仿宋" w:cs="仿宋"/>
          <w:b/>
          <w:bCs/>
          <w:color w:val="auto"/>
          <w:spacing w:val="8"/>
          <w:sz w:val="24"/>
          <w:szCs w:val="24"/>
          <w:highlight w:val="none"/>
          <w:u w:val="single" w:color="auto"/>
        </w:rPr>
        <w:t>合同专用条款</w:t>
      </w:r>
      <w:r>
        <w:rPr>
          <w:rFonts w:hint="eastAsia" w:ascii="仿宋" w:hAnsi="仿宋" w:eastAsia="仿宋" w:cs="仿宋"/>
          <w:color w:val="auto"/>
          <w:spacing w:val="8"/>
          <w:sz w:val="24"/>
          <w:szCs w:val="24"/>
          <w:highlight w:val="none"/>
        </w:rPr>
        <w:t>约定时间内以书</w:t>
      </w:r>
      <w:r>
        <w:rPr>
          <w:rFonts w:hint="eastAsia" w:ascii="仿宋" w:hAnsi="仿宋" w:eastAsia="仿宋" w:cs="仿宋"/>
          <w:color w:val="auto"/>
          <w:spacing w:val="7"/>
          <w:sz w:val="24"/>
          <w:szCs w:val="24"/>
          <w:highlight w:val="none"/>
        </w:rPr>
        <w:t>面形式变更合同；</w:t>
      </w:r>
    </w:p>
    <w:p w14:paraId="0FC84891">
      <w:pPr>
        <w:pStyle w:val="9"/>
        <w:spacing w:before="141" w:line="360" w:lineRule="auto"/>
        <w:ind w:left="12" w:right="198" w:firstLine="418"/>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2.11.4</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9"/>
          <w:sz w:val="24"/>
          <w:szCs w:val="24"/>
          <w:highlight w:val="none"/>
        </w:rPr>
        <w:t>受不可抗力影响的一方在不可抗力发</w:t>
      </w:r>
      <w:r>
        <w:rPr>
          <w:rFonts w:hint="eastAsia" w:ascii="仿宋" w:hAnsi="仿宋" w:eastAsia="仿宋" w:cs="仿宋"/>
          <w:color w:val="auto"/>
          <w:spacing w:val="8"/>
          <w:sz w:val="24"/>
          <w:szCs w:val="24"/>
          <w:highlight w:val="none"/>
        </w:rPr>
        <w:t>生后，应在</w:t>
      </w:r>
      <w:r>
        <w:rPr>
          <w:rFonts w:hint="eastAsia" w:ascii="仿宋" w:hAnsi="仿宋" w:eastAsia="仿宋" w:cs="仿宋"/>
          <w:b/>
          <w:bCs/>
          <w:color w:val="auto"/>
          <w:spacing w:val="8"/>
          <w:sz w:val="24"/>
          <w:szCs w:val="24"/>
          <w:highlight w:val="none"/>
          <w:u w:val="single" w:color="auto"/>
        </w:rPr>
        <w:t>合同专用条款</w:t>
      </w:r>
      <w:r>
        <w:rPr>
          <w:rFonts w:hint="eastAsia" w:ascii="仿宋" w:hAnsi="仿宋" w:eastAsia="仿宋" w:cs="仿宋"/>
          <w:color w:val="auto"/>
          <w:spacing w:val="8"/>
          <w:sz w:val="24"/>
          <w:szCs w:val="24"/>
          <w:highlight w:val="none"/>
        </w:rPr>
        <w:t>约定时间内以书面形</w:t>
      </w:r>
      <w:r>
        <w:rPr>
          <w:rFonts w:hint="eastAsia" w:ascii="仿宋" w:hAnsi="仿宋" w:eastAsia="仿宋" w:cs="仿宋"/>
          <w:color w:val="auto"/>
          <w:spacing w:val="9"/>
          <w:sz w:val="24"/>
          <w:szCs w:val="24"/>
          <w:highlight w:val="none"/>
        </w:rPr>
        <w:t>式通知对方当事人，并在</w:t>
      </w:r>
      <w:r>
        <w:rPr>
          <w:rFonts w:hint="eastAsia" w:ascii="仿宋" w:hAnsi="仿宋" w:eastAsia="仿宋" w:cs="仿宋"/>
          <w:b/>
          <w:bCs/>
          <w:color w:val="auto"/>
          <w:spacing w:val="9"/>
          <w:sz w:val="24"/>
          <w:szCs w:val="24"/>
          <w:highlight w:val="none"/>
          <w:u w:val="single" w:color="auto"/>
        </w:rPr>
        <w:t>合同专用条款</w:t>
      </w:r>
      <w:r>
        <w:rPr>
          <w:rFonts w:hint="eastAsia" w:ascii="仿宋" w:hAnsi="仿宋" w:eastAsia="仿宋" w:cs="仿宋"/>
          <w:color w:val="auto"/>
          <w:spacing w:val="9"/>
          <w:sz w:val="24"/>
          <w:szCs w:val="24"/>
          <w:highlight w:val="none"/>
        </w:rPr>
        <w:t>约定时间内，将有关部门出具的证明文件送达对方当事</w:t>
      </w:r>
      <w:r>
        <w:rPr>
          <w:rFonts w:hint="eastAsia" w:ascii="仿宋" w:hAnsi="仿宋" w:eastAsia="仿宋" w:cs="仿宋"/>
          <w:color w:val="auto"/>
          <w:spacing w:val="-1"/>
          <w:sz w:val="24"/>
          <w:szCs w:val="24"/>
          <w:highlight w:val="none"/>
        </w:rPr>
        <w:t>人。</w:t>
      </w:r>
    </w:p>
    <w:p w14:paraId="70C2F5D9">
      <w:pPr>
        <w:pStyle w:val="9"/>
        <w:spacing w:before="138" w:line="360" w:lineRule="auto"/>
        <w:ind w:left="430"/>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2.12</w:t>
      </w:r>
      <w:r>
        <w:rPr>
          <w:rFonts w:hint="eastAsia" w:ascii="仿宋" w:hAnsi="仿宋" w:eastAsia="仿宋" w:cs="仿宋"/>
          <w:color w:val="auto"/>
          <w:spacing w:val="11"/>
          <w:sz w:val="24"/>
          <w:szCs w:val="24"/>
          <w:highlight w:val="none"/>
        </w:rPr>
        <w:t xml:space="preserve"> </w:t>
      </w:r>
      <w:r>
        <w:rPr>
          <w:rFonts w:hint="eastAsia" w:ascii="仿宋" w:hAnsi="仿宋" w:eastAsia="仿宋" w:cs="仿宋"/>
          <w:b/>
          <w:bCs/>
          <w:color w:val="auto"/>
          <w:spacing w:val="2"/>
          <w:sz w:val="24"/>
          <w:szCs w:val="24"/>
          <w:highlight w:val="none"/>
        </w:rPr>
        <w:t>税费</w:t>
      </w:r>
    </w:p>
    <w:p w14:paraId="7CDB2594">
      <w:pPr>
        <w:pStyle w:val="9"/>
        <w:spacing w:before="143" w:line="360" w:lineRule="auto"/>
        <w:ind w:left="432"/>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与合同有关的一切税费，均按照中华人民共和国法律的相关规定缴纳。</w:t>
      </w:r>
    </w:p>
    <w:p w14:paraId="1012715C">
      <w:pPr>
        <w:pStyle w:val="9"/>
        <w:spacing w:before="141" w:line="360" w:lineRule="auto"/>
        <w:ind w:left="430"/>
        <w:rPr>
          <w:rFonts w:hint="eastAsia" w:ascii="仿宋" w:hAnsi="仿宋" w:eastAsia="仿宋" w:cs="仿宋"/>
          <w:color w:val="auto"/>
          <w:sz w:val="24"/>
          <w:szCs w:val="24"/>
          <w:highlight w:val="none"/>
        </w:rPr>
      </w:pPr>
      <w:r>
        <w:rPr>
          <w:rFonts w:hint="eastAsia" w:ascii="仿宋" w:hAnsi="仿宋" w:eastAsia="仿宋" w:cs="仿宋"/>
          <w:b/>
          <w:bCs/>
          <w:color w:val="auto"/>
          <w:spacing w:val="1"/>
          <w:sz w:val="24"/>
          <w:szCs w:val="24"/>
          <w:highlight w:val="none"/>
        </w:rPr>
        <w:t>2.13</w:t>
      </w:r>
      <w:r>
        <w:rPr>
          <w:rFonts w:hint="eastAsia" w:ascii="仿宋" w:hAnsi="仿宋" w:eastAsia="仿宋" w:cs="仿宋"/>
          <w:color w:val="auto"/>
          <w:spacing w:val="34"/>
          <w:sz w:val="24"/>
          <w:szCs w:val="24"/>
          <w:highlight w:val="none"/>
        </w:rPr>
        <w:t xml:space="preserve"> </w:t>
      </w:r>
      <w:r>
        <w:rPr>
          <w:rFonts w:hint="eastAsia" w:ascii="仿宋" w:hAnsi="仿宋" w:eastAsia="仿宋" w:cs="仿宋"/>
          <w:b/>
          <w:bCs/>
          <w:color w:val="auto"/>
          <w:spacing w:val="1"/>
          <w:sz w:val="24"/>
          <w:szCs w:val="24"/>
          <w:highlight w:val="none"/>
        </w:rPr>
        <w:t>乙方破产</w:t>
      </w:r>
    </w:p>
    <w:p w14:paraId="1544922D">
      <w:pPr>
        <w:pStyle w:val="9"/>
        <w:spacing w:before="143" w:line="360" w:lineRule="auto"/>
        <w:ind w:left="8" w:right="47" w:firstLine="423"/>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如果乙方破产导致合同无法履行时，</w:t>
      </w:r>
      <w:r>
        <w:rPr>
          <w:rFonts w:hint="eastAsia" w:ascii="仿宋" w:hAnsi="仿宋" w:eastAsia="仿宋" w:cs="仿宋"/>
          <w:color w:val="auto"/>
          <w:spacing w:val="-57"/>
          <w:sz w:val="24"/>
          <w:szCs w:val="24"/>
          <w:highlight w:val="none"/>
        </w:rPr>
        <w:t xml:space="preserve"> </w:t>
      </w:r>
      <w:r>
        <w:rPr>
          <w:rFonts w:hint="eastAsia" w:ascii="仿宋" w:hAnsi="仿宋" w:eastAsia="仿宋" w:cs="仿宋"/>
          <w:color w:val="auto"/>
          <w:spacing w:val="9"/>
          <w:sz w:val="24"/>
          <w:szCs w:val="24"/>
          <w:highlight w:val="none"/>
        </w:rPr>
        <w:t>甲方可以书面</w:t>
      </w:r>
      <w:r>
        <w:rPr>
          <w:rFonts w:hint="eastAsia" w:ascii="仿宋" w:hAnsi="仿宋" w:eastAsia="仿宋" w:cs="仿宋"/>
          <w:color w:val="auto"/>
          <w:spacing w:val="8"/>
          <w:sz w:val="24"/>
          <w:szCs w:val="24"/>
          <w:highlight w:val="none"/>
        </w:rPr>
        <w:t>形式通知乙方终止合同且不给予乙方任何</w:t>
      </w:r>
      <w:r>
        <w:rPr>
          <w:rFonts w:hint="eastAsia" w:ascii="仿宋" w:hAnsi="仿宋" w:eastAsia="仿宋" w:cs="仿宋"/>
          <w:color w:val="auto"/>
          <w:spacing w:val="10"/>
          <w:sz w:val="24"/>
          <w:szCs w:val="24"/>
          <w:highlight w:val="none"/>
        </w:rPr>
        <w:t>补偿和赔偿，但合同的终止不损害或不影响甲方已经采取或将要采取</w:t>
      </w:r>
      <w:r>
        <w:rPr>
          <w:rFonts w:hint="eastAsia" w:ascii="仿宋" w:hAnsi="仿宋" w:eastAsia="仿宋" w:cs="仿宋"/>
          <w:color w:val="auto"/>
          <w:spacing w:val="9"/>
          <w:sz w:val="24"/>
          <w:szCs w:val="24"/>
          <w:highlight w:val="none"/>
        </w:rPr>
        <w:t>的任何要求乙方支付违约</w:t>
      </w:r>
    </w:p>
    <w:p w14:paraId="5CB4FDCA">
      <w:pPr>
        <w:pStyle w:val="9"/>
        <w:spacing w:line="360" w:lineRule="auto"/>
        <w:ind w:left="10"/>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金、赔偿损失等的行动或补救措施的权利。</w:t>
      </w:r>
    </w:p>
    <w:p w14:paraId="672AE422">
      <w:pPr>
        <w:pStyle w:val="9"/>
        <w:spacing w:before="142" w:line="360" w:lineRule="auto"/>
        <w:ind w:left="430"/>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2.14</w:t>
      </w:r>
      <w:r>
        <w:rPr>
          <w:rFonts w:hint="eastAsia" w:ascii="仿宋" w:hAnsi="仿宋" w:eastAsia="仿宋" w:cs="仿宋"/>
          <w:color w:val="auto"/>
          <w:spacing w:val="5"/>
          <w:sz w:val="24"/>
          <w:szCs w:val="24"/>
          <w:highlight w:val="none"/>
        </w:rPr>
        <w:t xml:space="preserve"> </w:t>
      </w:r>
      <w:r>
        <w:rPr>
          <w:rFonts w:hint="eastAsia" w:ascii="仿宋" w:hAnsi="仿宋" w:eastAsia="仿宋" w:cs="仿宋"/>
          <w:b/>
          <w:bCs/>
          <w:color w:val="auto"/>
          <w:spacing w:val="5"/>
          <w:sz w:val="24"/>
          <w:szCs w:val="24"/>
          <w:highlight w:val="none"/>
        </w:rPr>
        <w:t>合同中止、终止</w:t>
      </w:r>
    </w:p>
    <w:p w14:paraId="7CBF7162">
      <w:pPr>
        <w:pStyle w:val="9"/>
        <w:spacing w:before="143" w:line="360" w:lineRule="auto"/>
        <w:ind w:left="430"/>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2.14.1 双方当事人不得擅自中止或者终止合同；</w:t>
      </w:r>
    </w:p>
    <w:p w14:paraId="1D3C3F7E">
      <w:pPr>
        <w:pStyle w:val="9"/>
        <w:spacing w:before="142" w:line="360" w:lineRule="auto"/>
        <w:ind w:left="28" w:right="205" w:firstLine="402"/>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2.14.2</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9"/>
          <w:sz w:val="24"/>
          <w:szCs w:val="24"/>
          <w:highlight w:val="none"/>
        </w:rPr>
        <w:t>合同继续履行将损害国家利益和社会公共利益的，双方</w:t>
      </w:r>
      <w:r>
        <w:rPr>
          <w:rFonts w:hint="eastAsia" w:ascii="仿宋" w:hAnsi="仿宋" w:eastAsia="仿宋" w:cs="仿宋"/>
          <w:color w:val="auto"/>
          <w:spacing w:val="8"/>
          <w:sz w:val="24"/>
          <w:szCs w:val="24"/>
          <w:highlight w:val="none"/>
        </w:rPr>
        <w:t>当事人应当中止或者终止合</w:t>
      </w:r>
      <w:r>
        <w:rPr>
          <w:rFonts w:hint="eastAsia" w:ascii="仿宋" w:hAnsi="仿宋" w:eastAsia="仿宋" w:cs="仿宋"/>
          <w:color w:val="auto"/>
          <w:spacing w:val="9"/>
          <w:sz w:val="24"/>
          <w:szCs w:val="24"/>
          <w:highlight w:val="none"/>
        </w:rPr>
        <w:t>同。有过错的一方应当承担赔偿责任，双方当事人都有过错的，各自承担相应的</w:t>
      </w:r>
      <w:r>
        <w:rPr>
          <w:rFonts w:hint="eastAsia" w:ascii="仿宋" w:hAnsi="仿宋" w:eastAsia="仿宋" w:cs="仿宋"/>
          <w:color w:val="auto"/>
          <w:spacing w:val="8"/>
          <w:sz w:val="24"/>
          <w:szCs w:val="24"/>
          <w:highlight w:val="none"/>
        </w:rPr>
        <w:t>责任。</w:t>
      </w:r>
    </w:p>
    <w:p w14:paraId="52B8FDF0">
      <w:pPr>
        <w:pStyle w:val="9"/>
        <w:spacing w:line="360" w:lineRule="auto"/>
        <w:ind w:left="430"/>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2.15</w:t>
      </w:r>
      <w:r>
        <w:rPr>
          <w:rFonts w:hint="eastAsia" w:ascii="仿宋" w:hAnsi="仿宋" w:eastAsia="仿宋" w:cs="仿宋"/>
          <w:color w:val="auto"/>
          <w:spacing w:val="4"/>
          <w:sz w:val="24"/>
          <w:szCs w:val="24"/>
          <w:highlight w:val="none"/>
        </w:rPr>
        <w:t xml:space="preserve"> </w:t>
      </w:r>
      <w:r>
        <w:rPr>
          <w:rFonts w:hint="eastAsia" w:ascii="仿宋" w:hAnsi="仿宋" w:eastAsia="仿宋" w:cs="仿宋"/>
          <w:b/>
          <w:bCs/>
          <w:color w:val="auto"/>
          <w:spacing w:val="4"/>
          <w:sz w:val="24"/>
          <w:szCs w:val="24"/>
          <w:highlight w:val="none"/>
        </w:rPr>
        <w:t>检验和验收</w:t>
      </w:r>
    </w:p>
    <w:p w14:paraId="100C9047">
      <w:pPr>
        <w:pStyle w:val="9"/>
        <w:spacing w:before="143" w:line="360" w:lineRule="auto"/>
        <w:ind w:left="6" w:right="143" w:firstLine="424"/>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2.15.1 乙方按照</w:t>
      </w:r>
      <w:r>
        <w:rPr>
          <w:rFonts w:hint="eastAsia" w:ascii="仿宋" w:hAnsi="仿宋" w:eastAsia="仿宋" w:cs="仿宋"/>
          <w:b/>
          <w:bCs/>
          <w:color w:val="auto"/>
          <w:spacing w:val="9"/>
          <w:sz w:val="24"/>
          <w:szCs w:val="24"/>
          <w:highlight w:val="none"/>
          <w:u w:val="single" w:color="auto"/>
        </w:rPr>
        <w:t>合同专用条款</w:t>
      </w:r>
      <w:r>
        <w:rPr>
          <w:rFonts w:hint="eastAsia" w:ascii="仿宋" w:hAnsi="仿宋" w:eastAsia="仿宋" w:cs="仿宋"/>
          <w:color w:val="auto"/>
          <w:spacing w:val="9"/>
          <w:sz w:val="24"/>
          <w:szCs w:val="24"/>
          <w:highlight w:val="none"/>
        </w:rPr>
        <w:t>的约定</w:t>
      </w:r>
      <w:r>
        <w:rPr>
          <w:rFonts w:hint="eastAsia" w:ascii="仿宋" w:hAnsi="仿宋" w:eastAsia="仿宋" w:cs="仿宋"/>
          <w:color w:val="auto"/>
          <w:spacing w:val="8"/>
          <w:sz w:val="24"/>
          <w:szCs w:val="24"/>
          <w:highlight w:val="none"/>
        </w:rPr>
        <w:t>，定期提交服务报告，甲方按照</w:t>
      </w:r>
      <w:r>
        <w:rPr>
          <w:rFonts w:hint="eastAsia" w:ascii="仿宋" w:hAnsi="仿宋" w:eastAsia="仿宋" w:cs="仿宋"/>
          <w:b/>
          <w:bCs/>
          <w:color w:val="auto"/>
          <w:spacing w:val="8"/>
          <w:sz w:val="24"/>
          <w:szCs w:val="24"/>
          <w:highlight w:val="none"/>
          <w:u w:val="single" w:color="auto"/>
        </w:rPr>
        <w:t>合同专用条款</w:t>
      </w:r>
      <w:r>
        <w:rPr>
          <w:rFonts w:hint="eastAsia" w:ascii="仿宋" w:hAnsi="仿宋" w:eastAsia="仿宋" w:cs="仿宋"/>
          <w:color w:val="auto"/>
          <w:spacing w:val="8"/>
          <w:sz w:val="24"/>
          <w:szCs w:val="24"/>
          <w:highlight w:val="none"/>
        </w:rPr>
        <w:t>的约定</w:t>
      </w:r>
      <w:r>
        <w:rPr>
          <w:rFonts w:hint="eastAsia" w:ascii="仿宋" w:hAnsi="仿宋" w:eastAsia="仿宋" w:cs="仿宋"/>
          <w:color w:val="auto"/>
          <w:spacing w:val="7"/>
          <w:sz w:val="24"/>
          <w:szCs w:val="24"/>
          <w:highlight w:val="none"/>
        </w:rPr>
        <w:t>进行定期验收；</w:t>
      </w:r>
    </w:p>
    <w:p w14:paraId="43A4832C">
      <w:pPr>
        <w:pStyle w:val="9"/>
        <w:spacing w:before="146" w:line="360" w:lineRule="auto"/>
        <w:ind w:left="10" w:right="47" w:firstLine="420"/>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2.15.2 合同期满或者履行完毕后，</w:t>
      </w:r>
      <w:r>
        <w:rPr>
          <w:rFonts w:hint="eastAsia" w:ascii="仿宋" w:hAnsi="仿宋" w:eastAsia="仿宋" w:cs="仿宋"/>
          <w:color w:val="auto"/>
          <w:spacing w:val="-58"/>
          <w:sz w:val="24"/>
          <w:szCs w:val="24"/>
          <w:highlight w:val="none"/>
        </w:rPr>
        <w:t xml:space="preserve"> </w:t>
      </w:r>
      <w:r>
        <w:rPr>
          <w:rFonts w:hint="eastAsia" w:ascii="仿宋" w:hAnsi="仿宋" w:eastAsia="仿宋" w:cs="仿宋"/>
          <w:color w:val="auto"/>
          <w:spacing w:val="8"/>
          <w:sz w:val="24"/>
          <w:szCs w:val="24"/>
          <w:highlight w:val="none"/>
        </w:rPr>
        <w:t>甲方有权组织（包括依法邀请国家认可的</w:t>
      </w:r>
      <w:r>
        <w:rPr>
          <w:rFonts w:hint="eastAsia" w:ascii="仿宋" w:hAnsi="仿宋" w:eastAsia="仿宋" w:cs="仿宋"/>
          <w:color w:val="auto"/>
          <w:spacing w:val="7"/>
          <w:sz w:val="24"/>
          <w:szCs w:val="24"/>
          <w:highlight w:val="none"/>
        </w:rPr>
        <w:t>质量检测机构</w:t>
      </w:r>
      <w:r>
        <w:rPr>
          <w:rFonts w:hint="eastAsia" w:ascii="仿宋" w:hAnsi="仿宋" w:eastAsia="仿宋" w:cs="仿宋"/>
          <w:color w:val="auto"/>
          <w:spacing w:val="10"/>
          <w:sz w:val="24"/>
          <w:szCs w:val="24"/>
          <w:highlight w:val="none"/>
        </w:rPr>
        <w:t>参加）对乙方履约的验收，即：按照合同约定的标准，组织对乙</w:t>
      </w:r>
      <w:r>
        <w:rPr>
          <w:rFonts w:hint="eastAsia" w:ascii="仿宋" w:hAnsi="仿宋" w:eastAsia="仿宋" w:cs="仿宋"/>
          <w:color w:val="auto"/>
          <w:spacing w:val="9"/>
          <w:sz w:val="24"/>
          <w:szCs w:val="24"/>
          <w:highlight w:val="none"/>
        </w:rPr>
        <w:t>方履约情况的验收，并出具验收</w:t>
      </w:r>
      <w:r>
        <w:rPr>
          <w:rFonts w:hint="eastAsia" w:ascii="仿宋" w:hAnsi="仿宋" w:eastAsia="仿宋" w:cs="仿宋"/>
          <w:color w:val="auto"/>
          <w:spacing w:val="10"/>
          <w:sz w:val="24"/>
          <w:szCs w:val="24"/>
          <w:highlight w:val="none"/>
        </w:rPr>
        <w:t>书；向社会公众提供的公共服务项目，验收时应当邀请服务对象</w:t>
      </w:r>
      <w:r>
        <w:rPr>
          <w:rFonts w:hint="eastAsia" w:ascii="仿宋" w:hAnsi="仿宋" w:eastAsia="仿宋" w:cs="仿宋"/>
          <w:color w:val="auto"/>
          <w:spacing w:val="9"/>
          <w:sz w:val="24"/>
          <w:szCs w:val="24"/>
          <w:highlight w:val="none"/>
        </w:rPr>
        <w:t>参与并出具意见，验收结果应当</w:t>
      </w:r>
      <w:r>
        <w:rPr>
          <w:rFonts w:hint="eastAsia" w:ascii="仿宋" w:hAnsi="仿宋" w:eastAsia="仿宋" w:cs="仿宋"/>
          <w:color w:val="auto"/>
          <w:spacing w:val="6"/>
          <w:sz w:val="24"/>
          <w:szCs w:val="24"/>
          <w:highlight w:val="none"/>
        </w:rPr>
        <w:t>向社会公告；</w:t>
      </w:r>
    </w:p>
    <w:p w14:paraId="550A0020">
      <w:pPr>
        <w:pStyle w:val="9"/>
        <w:spacing w:before="146" w:line="360" w:lineRule="auto"/>
        <w:ind w:left="430"/>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2.15.3 检验和验收标准、程序等具体内容以及前述验收书的效力详见</w:t>
      </w:r>
      <w:r>
        <w:rPr>
          <w:rFonts w:hint="eastAsia" w:ascii="仿宋" w:hAnsi="仿宋" w:eastAsia="仿宋" w:cs="仿宋"/>
          <w:b/>
          <w:bCs/>
          <w:color w:val="auto"/>
          <w:spacing w:val="8"/>
          <w:sz w:val="24"/>
          <w:szCs w:val="24"/>
          <w:highlight w:val="none"/>
          <w:u w:val="single" w:color="auto"/>
        </w:rPr>
        <w:t>合同专用条款</w:t>
      </w:r>
      <w:r>
        <w:rPr>
          <w:rFonts w:hint="eastAsia" w:ascii="仿宋" w:hAnsi="仿宋" w:eastAsia="仿宋" w:cs="仿宋"/>
          <w:i/>
          <w:iCs/>
          <w:color w:val="auto"/>
          <w:spacing w:val="8"/>
          <w:sz w:val="24"/>
          <w:szCs w:val="24"/>
          <w:highlight w:val="none"/>
        </w:rPr>
        <w:t>。</w:t>
      </w:r>
    </w:p>
    <w:p w14:paraId="29DC7456">
      <w:pPr>
        <w:pStyle w:val="9"/>
        <w:spacing w:before="138" w:line="360" w:lineRule="auto"/>
        <w:ind w:left="430"/>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2.16</w:t>
      </w:r>
      <w:r>
        <w:rPr>
          <w:rFonts w:hint="eastAsia" w:ascii="仿宋" w:hAnsi="仿宋" w:eastAsia="仿宋" w:cs="仿宋"/>
          <w:color w:val="auto"/>
          <w:spacing w:val="4"/>
          <w:sz w:val="24"/>
          <w:szCs w:val="24"/>
          <w:highlight w:val="none"/>
        </w:rPr>
        <w:t xml:space="preserve"> </w:t>
      </w:r>
      <w:r>
        <w:rPr>
          <w:rFonts w:hint="eastAsia" w:ascii="仿宋" w:hAnsi="仿宋" w:eastAsia="仿宋" w:cs="仿宋"/>
          <w:b/>
          <w:bCs/>
          <w:color w:val="auto"/>
          <w:spacing w:val="4"/>
          <w:sz w:val="24"/>
          <w:szCs w:val="24"/>
          <w:highlight w:val="none"/>
        </w:rPr>
        <w:t>通知和送达</w:t>
      </w:r>
    </w:p>
    <w:p w14:paraId="305BC9E1">
      <w:pPr>
        <w:pStyle w:val="9"/>
        <w:spacing w:before="142" w:line="360" w:lineRule="auto"/>
        <w:ind w:left="25" w:right="205" w:firstLine="405"/>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2.17.1</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8"/>
          <w:sz w:val="24"/>
          <w:szCs w:val="24"/>
          <w:highlight w:val="none"/>
        </w:rPr>
        <w:t>任何一方因履行合同而以合同第一部分尾部所列明的传真或电子</w:t>
      </w:r>
      <w:r>
        <w:rPr>
          <w:rFonts w:hint="eastAsia" w:ascii="仿宋" w:hAnsi="仿宋" w:eastAsia="仿宋" w:cs="仿宋"/>
          <w:color w:val="auto"/>
          <w:spacing w:val="7"/>
          <w:sz w:val="24"/>
          <w:szCs w:val="24"/>
          <w:highlight w:val="none"/>
        </w:rPr>
        <w:t xml:space="preserve">邮件 </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7"/>
          <w:sz w:val="24"/>
          <w:szCs w:val="24"/>
          <w:highlight w:val="none"/>
        </w:rPr>
        <w:t>发出</w:t>
      </w:r>
      <w:r>
        <w:rPr>
          <w:rFonts w:hint="eastAsia" w:ascii="仿宋" w:hAnsi="仿宋" w:eastAsia="仿宋" w:cs="仿宋"/>
          <w:color w:val="auto"/>
          <w:spacing w:val="9"/>
          <w:sz w:val="24"/>
          <w:szCs w:val="24"/>
          <w:highlight w:val="none"/>
        </w:rPr>
        <w:t>的所有通知、文件、材料，均视为已向对方当事人送达；任何一方变更上述送达方式或者地址</w:t>
      </w:r>
    </w:p>
    <w:p w14:paraId="6D1385D2">
      <w:pPr>
        <w:pStyle w:val="9"/>
        <w:spacing w:before="144" w:line="360" w:lineRule="auto"/>
        <w:ind w:left="13" w:right="47" w:firstLine="12"/>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的，应于</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9"/>
          <w:sz w:val="24"/>
          <w:szCs w:val="24"/>
          <w:highlight w:val="none"/>
          <w:u w:val="single" w:color="auto"/>
        </w:rPr>
        <w:t>3</w:t>
      </w:r>
      <w:r>
        <w:rPr>
          <w:rFonts w:hint="eastAsia" w:ascii="仿宋" w:hAnsi="仿宋" w:eastAsia="仿宋" w:cs="仿宋"/>
          <w:color w:val="auto"/>
          <w:spacing w:val="-40"/>
          <w:sz w:val="24"/>
          <w:szCs w:val="24"/>
          <w:highlight w:val="none"/>
          <w:u w:val="single" w:color="auto"/>
        </w:rPr>
        <w:t xml:space="preserve"> </w:t>
      </w:r>
      <w:r>
        <w:rPr>
          <w:rFonts w:hint="eastAsia" w:ascii="仿宋" w:hAnsi="仿宋" w:eastAsia="仿宋" w:cs="仿宋"/>
          <w:color w:val="auto"/>
          <w:spacing w:val="9"/>
          <w:sz w:val="24"/>
          <w:szCs w:val="24"/>
          <w:highlight w:val="none"/>
        </w:rPr>
        <w:t>个工作日内书面通知对方当事人，在对方当事人收到</w:t>
      </w:r>
      <w:r>
        <w:rPr>
          <w:rFonts w:hint="eastAsia" w:ascii="仿宋" w:hAnsi="仿宋" w:eastAsia="仿宋" w:cs="仿宋"/>
          <w:color w:val="auto"/>
          <w:spacing w:val="8"/>
          <w:sz w:val="24"/>
          <w:szCs w:val="24"/>
          <w:highlight w:val="none"/>
        </w:rPr>
        <w:t>有关变更通知之前，变更前的约定送达方式或者地址仍视为有效。</w:t>
      </w:r>
    </w:p>
    <w:p w14:paraId="77598BA5">
      <w:pPr>
        <w:pStyle w:val="9"/>
        <w:spacing w:before="144" w:line="360" w:lineRule="auto"/>
        <w:ind w:left="7" w:right="47" w:firstLine="423"/>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2.17.2</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7"/>
          <w:sz w:val="24"/>
          <w:szCs w:val="24"/>
          <w:highlight w:val="none"/>
        </w:rPr>
        <w:t>以当面交付方式送达的，交付之时视为送达；</w:t>
      </w:r>
      <w:r>
        <w:rPr>
          <w:rFonts w:hint="eastAsia" w:ascii="仿宋" w:hAnsi="仿宋" w:eastAsia="仿宋" w:cs="仿宋"/>
          <w:color w:val="auto"/>
          <w:spacing w:val="-57"/>
          <w:sz w:val="24"/>
          <w:szCs w:val="24"/>
          <w:highlight w:val="none"/>
        </w:rPr>
        <w:t xml:space="preserve"> </w:t>
      </w:r>
      <w:r>
        <w:rPr>
          <w:rFonts w:hint="eastAsia" w:ascii="仿宋" w:hAnsi="仿宋" w:eastAsia="仿宋" w:cs="仿宋"/>
          <w:color w:val="auto"/>
          <w:spacing w:val="7"/>
          <w:sz w:val="24"/>
          <w:szCs w:val="24"/>
          <w:highlight w:val="none"/>
        </w:rPr>
        <w:t>以电子邮件方式送达的，发出电子邮</w:t>
      </w:r>
      <w:r>
        <w:rPr>
          <w:rFonts w:hint="eastAsia" w:ascii="仿宋" w:hAnsi="仿宋" w:eastAsia="仿宋" w:cs="仿宋"/>
          <w:color w:val="auto"/>
          <w:spacing w:val="8"/>
          <w:sz w:val="24"/>
          <w:szCs w:val="24"/>
          <w:highlight w:val="none"/>
        </w:rPr>
        <w:t>件之时视为送达；</w:t>
      </w:r>
      <w:r>
        <w:rPr>
          <w:rFonts w:hint="eastAsia" w:ascii="仿宋" w:hAnsi="仿宋" w:eastAsia="仿宋" w:cs="仿宋"/>
          <w:color w:val="auto"/>
          <w:spacing w:val="-57"/>
          <w:sz w:val="24"/>
          <w:szCs w:val="24"/>
          <w:highlight w:val="none"/>
        </w:rPr>
        <w:t xml:space="preserve"> </w:t>
      </w:r>
      <w:r>
        <w:rPr>
          <w:rFonts w:hint="eastAsia" w:ascii="仿宋" w:hAnsi="仿宋" w:eastAsia="仿宋" w:cs="仿宋"/>
          <w:color w:val="auto"/>
          <w:spacing w:val="8"/>
          <w:sz w:val="24"/>
          <w:szCs w:val="24"/>
          <w:highlight w:val="none"/>
        </w:rPr>
        <w:t>以传真方式送达的，发出传真之时视为送达；</w:t>
      </w:r>
      <w:r>
        <w:rPr>
          <w:rFonts w:hint="eastAsia" w:ascii="仿宋" w:hAnsi="仿宋" w:eastAsia="仿宋" w:cs="仿宋"/>
          <w:color w:val="auto"/>
          <w:spacing w:val="-57"/>
          <w:sz w:val="24"/>
          <w:szCs w:val="24"/>
          <w:highlight w:val="none"/>
        </w:rPr>
        <w:t xml:space="preserve"> </w:t>
      </w:r>
      <w:r>
        <w:rPr>
          <w:rFonts w:hint="eastAsia" w:ascii="仿宋" w:hAnsi="仿宋" w:eastAsia="仿宋" w:cs="仿宋"/>
          <w:color w:val="auto"/>
          <w:spacing w:val="8"/>
          <w:sz w:val="24"/>
          <w:szCs w:val="24"/>
          <w:highlight w:val="none"/>
        </w:rPr>
        <w:t>以</w:t>
      </w:r>
      <w:r>
        <w:rPr>
          <w:rFonts w:hint="eastAsia" w:ascii="仿宋" w:hAnsi="仿宋" w:eastAsia="仿宋" w:cs="仿宋"/>
          <w:color w:val="auto"/>
          <w:spacing w:val="7"/>
          <w:sz w:val="24"/>
          <w:szCs w:val="24"/>
          <w:highlight w:val="none"/>
        </w:rPr>
        <w:t>邮寄方式送达的，邮件挂号寄</w:t>
      </w:r>
      <w:r>
        <w:rPr>
          <w:rFonts w:hint="eastAsia" w:ascii="仿宋" w:hAnsi="仿宋" w:eastAsia="仿宋" w:cs="仿宋"/>
          <w:color w:val="auto"/>
          <w:spacing w:val="8"/>
          <w:sz w:val="24"/>
          <w:szCs w:val="24"/>
          <w:highlight w:val="none"/>
        </w:rPr>
        <w:t>出或者交邮之日之次日视为送达。</w:t>
      </w:r>
    </w:p>
    <w:p w14:paraId="304E2978">
      <w:pPr>
        <w:pStyle w:val="9"/>
        <w:spacing w:before="142" w:line="360" w:lineRule="auto"/>
        <w:ind w:left="430"/>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2.17</w:t>
      </w:r>
      <w:r>
        <w:rPr>
          <w:rFonts w:hint="eastAsia" w:ascii="仿宋" w:hAnsi="仿宋" w:eastAsia="仿宋" w:cs="仿宋"/>
          <w:color w:val="auto"/>
          <w:spacing w:val="6"/>
          <w:sz w:val="24"/>
          <w:szCs w:val="24"/>
          <w:highlight w:val="none"/>
        </w:rPr>
        <w:t xml:space="preserve"> </w:t>
      </w:r>
      <w:r>
        <w:rPr>
          <w:rFonts w:hint="eastAsia" w:ascii="仿宋" w:hAnsi="仿宋" w:eastAsia="仿宋" w:cs="仿宋"/>
          <w:b/>
          <w:bCs/>
          <w:color w:val="auto"/>
          <w:spacing w:val="6"/>
          <w:sz w:val="24"/>
          <w:szCs w:val="24"/>
          <w:highlight w:val="none"/>
        </w:rPr>
        <w:t>合同使用的文字和适用的法律</w:t>
      </w:r>
    </w:p>
    <w:p w14:paraId="17D93D42">
      <w:pPr>
        <w:pStyle w:val="9"/>
        <w:spacing w:before="144" w:line="360" w:lineRule="auto"/>
        <w:ind w:left="430"/>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2.17.1 合同使用汉语书就、变更和解释；</w:t>
      </w:r>
    </w:p>
    <w:p w14:paraId="3BB63BFF">
      <w:pPr>
        <w:pStyle w:val="9"/>
        <w:spacing w:before="142" w:line="360" w:lineRule="auto"/>
        <w:ind w:left="430"/>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2.17.2 合同适用中华人民共和国法律。</w:t>
      </w:r>
    </w:p>
    <w:p w14:paraId="2EAEEFEE">
      <w:pPr>
        <w:pStyle w:val="9"/>
        <w:spacing w:before="144" w:line="360" w:lineRule="auto"/>
        <w:ind w:left="430"/>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2.18</w:t>
      </w:r>
      <w:r>
        <w:rPr>
          <w:rFonts w:hint="eastAsia" w:ascii="仿宋" w:hAnsi="仿宋" w:eastAsia="仿宋" w:cs="仿宋"/>
          <w:color w:val="auto"/>
          <w:spacing w:val="4"/>
          <w:sz w:val="24"/>
          <w:szCs w:val="24"/>
          <w:highlight w:val="none"/>
        </w:rPr>
        <w:t xml:space="preserve"> </w:t>
      </w:r>
      <w:r>
        <w:rPr>
          <w:rFonts w:hint="eastAsia" w:ascii="仿宋" w:hAnsi="仿宋" w:eastAsia="仿宋" w:cs="仿宋"/>
          <w:b/>
          <w:bCs/>
          <w:color w:val="auto"/>
          <w:spacing w:val="4"/>
          <w:sz w:val="24"/>
          <w:szCs w:val="24"/>
          <w:highlight w:val="none"/>
        </w:rPr>
        <w:t>计量单位</w:t>
      </w:r>
    </w:p>
    <w:p w14:paraId="106272DE">
      <w:pPr>
        <w:pStyle w:val="9"/>
        <w:spacing w:before="140" w:line="360" w:lineRule="auto"/>
        <w:ind w:left="440"/>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除技术规范中另有规定外,合同的计量单位均使用</w:t>
      </w:r>
      <w:r>
        <w:rPr>
          <w:rFonts w:hint="eastAsia" w:ascii="仿宋" w:hAnsi="仿宋" w:eastAsia="仿宋" w:cs="仿宋"/>
          <w:color w:val="auto"/>
          <w:spacing w:val="8"/>
          <w:sz w:val="24"/>
          <w:szCs w:val="24"/>
          <w:highlight w:val="none"/>
        </w:rPr>
        <w:t>国家法定计量单位。</w:t>
      </w:r>
    </w:p>
    <w:p w14:paraId="1BB363B0">
      <w:pPr>
        <w:pStyle w:val="9"/>
        <w:spacing w:before="147" w:line="360" w:lineRule="auto"/>
        <w:ind w:left="430"/>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2.19</w:t>
      </w:r>
      <w:r>
        <w:rPr>
          <w:rFonts w:hint="eastAsia" w:ascii="仿宋" w:hAnsi="仿宋" w:eastAsia="仿宋" w:cs="仿宋"/>
          <w:color w:val="auto"/>
          <w:spacing w:val="-35"/>
          <w:sz w:val="24"/>
          <w:szCs w:val="24"/>
          <w:highlight w:val="none"/>
        </w:rPr>
        <w:t xml:space="preserve"> </w:t>
      </w:r>
      <w:r>
        <w:rPr>
          <w:rFonts w:hint="eastAsia" w:ascii="仿宋" w:hAnsi="仿宋" w:eastAsia="仿宋" w:cs="仿宋"/>
          <w:b/>
          <w:bCs/>
          <w:color w:val="auto"/>
          <w:spacing w:val="3"/>
          <w:sz w:val="24"/>
          <w:szCs w:val="24"/>
          <w:highlight w:val="none"/>
        </w:rPr>
        <w:t>合同份数</w:t>
      </w:r>
    </w:p>
    <w:p w14:paraId="35699543">
      <w:pPr>
        <w:pStyle w:val="9"/>
        <w:spacing w:before="142" w:line="360" w:lineRule="auto"/>
        <w:ind w:left="42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合同份数按</w:t>
      </w:r>
      <w:r>
        <w:rPr>
          <w:rFonts w:hint="eastAsia" w:ascii="仿宋" w:hAnsi="仿宋" w:eastAsia="仿宋" w:cs="仿宋"/>
          <w:b/>
          <w:bCs/>
          <w:color w:val="auto"/>
          <w:spacing w:val="9"/>
          <w:sz w:val="24"/>
          <w:szCs w:val="24"/>
          <w:highlight w:val="none"/>
          <w:u w:val="single" w:color="auto"/>
        </w:rPr>
        <w:t>合同专用条款</w:t>
      </w:r>
      <w:r>
        <w:rPr>
          <w:rFonts w:hint="eastAsia" w:ascii="仿宋" w:hAnsi="仿宋" w:eastAsia="仿宋" w:cs="仿宋"/>
          <w:color w:val="auto"/>
          <w:spacing w:val="9"/>
          <w:sz w:val="24"/>
          <w:szCs w:val="24"/>
          <w:highlight w:val="none"/>
        </w:rPr>
        <w:t>规定，每份均具有同</w:t>
      </w:r>
      <w:r>
        <w:rPr>
          <w:rFonts w:hint="eastAsia" w:ascii="仿宋" w:hAnsi="仿宋" w:eastAsia="仿宋" w:cs="仿宋"/>
          <w:color w:val="auto"/>
          <w:spacing w:val="8"/>
          <w:sz w:val="24"/>
          <w:szCs w:val="24"/>
          <w:highlight w:val="none"/>
        </w:rPr>
        <w:t>等法律效力。</w:t>
      </w:r>
    </w:p>
    <w:p w14:paraId="77875FCF">
      <w:pPr>
        <w:spacing w:line="307" w:lineRule="auto"/>
        <w:rPr>
          <w:rFonts w:hint="eastAsia" w:ascii="仿宋" w:hAnsi="仿宋" w:eastAsia="仿宋" w:cs="仿宋"/>
          <w:color w:val="auto"/>
          <w:sz w:val="24"/>
          <w:szCs w:val="24"/>
          <w:highlight w:val="none"/>
        </w:rPr>
      </w:pPr>
    </w:p>
    <w:p w14:paraId="2BE28C7A">
      <w:pPr>
        <w:spacing w:before="1" w:line="57" w:lineRule="exact"/>
        <w:rPr>
          <w:rFonts w:hint="eastAsia" w:ascii="仿宋" w:hAnsi="仿宋" w:eastAsia="仿宋" w:cs="仿宋"/>
          <w:color w:val="auto"/>
          <w:sz w:val="24"/>
          <w:szCs w:val="24"/>
          <w:highlight w:val="none"/>
        </w:rPr>
      </w:pPr>
    </w:p>
    <w:p w14:paraId="0033F446">
      <w:pPr>
        <w:spacing w:line="57" w:lineRule="exact"/>
        <w:rPr>
          <w:rFonts w:hint="eastAsia" w:ascii="仿宋" w:hAnsi="仿宋" w:eastAsia="仿宋" w:cs="仿宋"/>
          <w:color w:val="auto"/>
          <w:sz w:val="24"/>
          <w:szCs w:val="24"/>
          <w:highlight w:val="none"/>
        </w:rPr>
        <w:sectPr>
          <w:headerReference r:id="rId14" w:type="default"/>
          <w:footerReference r:id="rId15" w:type="default"/>
          <w:pgSz w:w="11907" w:h="16840"/>
          <w:pgMar w:top="1440" w:right="1080" w:bottom="1440" w:left="1080" w:header="1117" w:footer="1076" w:gutter="0"/>
          <w:cols w:space="720" w:num="1"/>
        </w:sectPr>
      </w:pPr>
    </w:p>
    <w:p w14:paraId="761A499B">
      <w:pPr>
        <w:pStyle w:val="9"/>
        <w:spacing w:before="65" w:line="360" w:lineRule="auto"/>
        <w:ind w:left="3302"/>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第三部分</w:t>
      </w:r>
      <w:r>
        <w:rPr>
          <w:rFonts w:hint="eastAsia" w:ascii="仿宋" w:hAnsi="仿宋" w:eastAsia="仿宋" w:cs="仿宋"/>
          <w:color w:val="auto"/>
          <w:spacing w:val="7"/>
          <w:sz w:val="24"/>
          <w:szCs w:val="24"/>
          <w:highlight w:val="none"/>
        </w:rPr>
        <w:t xml:space="preserve">  </w:t>
      </w:r>
      <w:r>
        <w:rPr>
          <w:rFonts w:hint="eastAsia" w:ascii="仿宋" w:hAnsi="仿宋" w:eastAsia="仿宋" w:cs="仿宋"/>
          <w:b/>
          <w:bCs/>
          <w:color w:val="auto"/>
          <w:spacing w:val="7"/>
          <w:sz w:val="24"/>
          <w:szCs w:val="24"/>
          <w:highlight w:val="none"/>
        </w:rPr>
        <w:t>合同专用条款</w:t>
      </w:r>
    </w:p>
    <w:p w14:paraId="25BD0E41">
      <w:pPr>
        <w:pStyle w:val="9"/>
        <w:spacing w:before="152" w:line="360" w:lineRule="auto"/>
        <w:ind w:left="42" w:right="21" w:firstLine="419"/>
        <w:jc w:val="both"/>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w:t>
      </w:r>
      <w:r>
        <w:rPr>
          <w:rFonts w:hint="eastAsia" w:ascii="仿宋" w:hAnsi="仿宋" w:eastAsia="仿宋" w:cs="仿宋"/>
          <w:color w:val="auto"/>
          <w:spacing w:val="6"/>
          <w:sz w:val="24"/>
          <w:szCs w:val="24"/>
          <w:highlight w:val="none"/>
        </w:rPr>
        <w:t>编制条款号。</w:t>
      </w:r>
    </w:p>
    <w:tbl>
      <w:tblPr>
        <w:tblStyle w:val="66"/>
        <w:tblW w:w="1001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4"/>
        <w:gridCol w:w="8535"/>
      </w:tblGrid>
      <w:tr w14:paraId="67D5D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484" w:type="dxa"/>
            <w:tcBorders>
              <w:left w:val="single" w:color="000000" w:sz="2" w:space="0"/>
            </w:tcBorders>
            <w:vAlign w:val="top"/>
          </w:tcPr>
          <w:p w14:paraId="7CFEB6FF">
            <w:pPr>
              <w:spacing w:before="146" w:line="360" w:lineRule="auto"/>
              <w:ind w:left="141"/>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条款号</w:t>
            </w:r>
          </w:p>
        </w:tc>
        <w:tc>
          <w:tcPr>
            <w:tcW w:w="8535" w:type="dxa"/>
            <w:vAlign w:val="top"/>
          </w:tcPr>
          <w:p w14:paraId="2350AF4B">
            <w:pPr>
              <w:spacing w:before="146" w:line="360" w:lineRule="auto"/>
              <w:ind w:left="3317"/>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约定内容</w:t>
            </w:r>
          </w:p>
        </w:tc>
      </w:tr>
      <w:tr w14:paraId="2955F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484" w:type="dxa"/>
            <w:tcBorders>
              <w:left w:val="single" w:color="000000" w:sz="2" w:space="0"/>
            </w:tcBorders>
            <w:vAlign w:val="center"/>
          </w:tcPr>
          <w:p w14:paraId="6693A7E1">
            <w:pPr>
              <w:spacing w:before="138" w:line="360" w:lineRule="auto"/>
              <w:ind w:left="5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w:t>
            </w:r>
          </w:p>
        </w:tc>
        <w:tc>
          <w:tcPr>
            <w:tcW w:w="8535" w:type="dxa"/>
            <w:vAlign w:val="top"/>
          </w:tcPr>
          <w:p w14:paraId="3611B46B">
            <w:pPr>
              <w:spacing w:before="138" w:line="360" w:lineRule="auto"/>
              <w:ind w:left="52"/>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以采购人实际提供人员信息为准</w:t>
            </w:r>
          </w:p>
        </w:tc>
      </w:tr>
      <w:tr w14:paraId="1ED34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484" w:type="dxa"/>
            <w:tcBorders>
              <w:left w:val="single" w:color="000000" w:sz="2" w:space="0"/>
            </w:tcBorders>
            <w:vAlign w:val="center"/>
          </w:tcPr>
          <w:p w14:paraId="29346EE6">
            <w:pPr>
              <w:spacing w:before="140" w:line="360" w:lineRule="auto"/>
              <w:ind w:left="51"/>
              <w:jc w:val="center"/>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w:t>
            </w:r>
          </w:p>
        </w:tc>
        <w:tc>
          <w:tcPr>
            <w:tcW w:w="8535" w:type="dxa"/>
            <w:vAlign w:val="top"/>
          </w:tcPr>
          <w:p w14:paraId="310DB4ED">
            <w:pPr>
              <w:spacing w:before="139" w:line="360" w:lineRule="auto"/>
              <w:ind w:left="2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本项目不要求</w:t>
            </w:r>
          </w:p>
        </w:tc>
      </w:tr>
      <w:tr w14:paraId="37876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484" w:type="dxa"/>
            <w:tcBorders>
              <w:left w:val="single" w:color="000000" w:sz="2" w:space="0"/>
            </w:tcBorders>
            <w:vAlign w:val="center"/>
          </w:tcPr>
          <w:p w14:paraId="5E95B4BB">
            <w:pPr>
              <w:spacing w:before="141" w:line="360" w:lineRule="auto"/>
              <w:ind w:left="5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w:t>
            </w:r>
          </w:p>
        </w:tc>
        <w:tc>
          <w:tcPr>
            <w:tcW w:w="8535" w:type="dxa"/>
            <w:vAlign w:val="top"/>
          </w:tcPr>
          <w:p w14:paraId="211B2681">
            <w:pPr>
              <w:spacing w:before="141" w:line="360" w:lineRule="auto"/>
              <w:ind w:left="3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无预付款</w:t>
            </w:r>
          </w:p>
        </w:tc>
      </w:tr>
      <w:tr w14:paraId="3D2D7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484" w:type="dxa"/>
            <w:tcBorders>
              <w:left w:val="single" w:color="000000" w:sz="2" w:space="0"/>
            </w:tcBorders>
            <w:vAlign w:val="center"/>
          </w:tcPr>
          <w:p w14:paraId="5F85BA8B">
            <w:pPr>
              <w:spacing w:before="108" w:line="360" w:lineRule="auto"/>
              <w:ind w:left="5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w:t>
            </w:r>
          </w:p>
        </w:tc>
        <w:tc>
          <w:tcPr>
            <w:tcW w:w="8535" w:type="dxa"/>
            <w:vAlign w:val="top"/>
          </w:tcPr>
          <w:p w14:paraId="2532A010">
            <w:pPr>
              <w:spacing w:before="83" w:line="360" w:lineRule="auto"/>
              <w:ind w:left="2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r>
      <w:tr w14:paraId="21D87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484" w:type="dxa"/>
            <w:tcBorders>
              <w:left w:val="single" w:color="000000" w:sz="2" w:space="0"/>
            </w:tcBorders>
            <w:vAlign w:val="center"/>
          </w:tcPr>
          <w:p w14:paraId="2FAC2AD2">
            <w:pPr>
              <w:spacing w:before="106" w:line="360" w:lineRule="auto"/>
              <w:ind w:left="5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w:t>
            </w:r>
          </w:p>
        </w:tc>
        <w:tc>
          <w:tcPr>
            <w:tcW w:w="8535" w:type="dxa"/>
            <w:vAlign w:val="top"/>
          </w:tcPr>
          <w:p w14:paraId="10A8DEA3">
            <w:pPr>
              <w:spacing w:before="83" w:line="360" w:lineRule="auto"/>
              <w:ind w:left="2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r>
      <w:tr w14:paraId="02469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484" w:type="dxa"/>
            <w:tcBorders>
              <w:left w:val="single" w:color="000000" w:sz="2" w:space="0"/>
            </w:tcBorders>
            <w:vAlign w:val="center"/>
          </w:tcPr>
          <w:p w14:paraId="3933B6A7">
            <w:pPr>
              <w:spacing w:before="143" w:line="360" w:lineRule="auto"/>
              <w:ind w:left="5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w:t>
            </w:r>
          </w:p>
        </w:tc>
        <w:tc>
          <w:tcPr>
            <w:tcW w:w="8535" w:type="dxa"/>
            <w:vAlign w:val="top"/>
          </w:tcPr>
          <w:p w14:paraId="0632622F">
            <w:pPr>
              <w:spacing w:before="143" w:line="360" w:lineRule="auto"/>
              <w:ind w:left="44"/>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1</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pacing w:val="-10"/>
                <w:sz w:val="24"/>
                <w:szCs w:val="24"/>
                <w:highlight w:val="none"/>
              </w:rPr>
              <w:t>年</w:t>
            </w:r>
          </w:p>
        </w:tc>
      </w:tr>
      <w:tr w14:paraId="2DDBA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484" w:type="dxa"/>
            <w:tcBorders>
              <w:left w:val="single" w:color="000000" w:sz="2" w:space="0"/>
            </w:tcBorders>
            <w:vAlign w:val="center"/>
          </w:tcPr>
          <w:p w14:paraId="272575A5">
            <w:pPr>
              <w:spacing w:before="143" w:line="360" w:lineRule="auto"/>
              <w:ind w:left="5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w:t>
            </w:r>
          </w:p>
        </w:tc>
        <w:tc>
          <w:tcPr>
            <w:tcW w:w="8535" w:type="dxa"/>
            <w:vAlign w:val="top"/>
          </w:tcPr>
          <w:p w14:paraId="3AC7F004">
            <w:pPr>
              <w:spacing w:before="143" w:line="360" w:lineRule="auto"/>
              <w:ind w:left="2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val="en-US" w:eastAsia="zh-CN"/>
              </w:rPr>
              <w:t>荥阳市</w:t>
            </w:r>
          </w:p>
        </w:tc>
      </w:tr>
      <w:tr w14:paraId="5FE90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484" w:type="dxa"/>
            <w:tcBorders>
              <w:left w:val="single" w:color="000000" w:sz="2" w:space="0"/>
            </w:tcBorders>
            <w:vAlign w:val="center"/>
          </w:tcPr>
          <w:p w14:paraId="74269123">
            <w:pPr>
              <w:spacing w:before="142" w:line="360" w:lineRule="auto"/>
              <w:ind w:left="5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w:t>
            </w:r>
          </w:p>
        </w:tc>
        <w:tc>
          <w:tcPr>
            <w:tcW w:w="8535" w:type="dxa"/>
            <w:vAlign w:val="top"/>
          </w:tcPr>
          <w:p w14:paraId="6D809231">
            <w:pPr>
              <w:spacing w:before="141" w:line="360" w:lineRule="auto"/>
              <w:ind w:left="30"/>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按照采购人要求</w:t>
            </w:r>
          </w:p>
        </w:tc>
      </w:tr>
      <w:tr w14:paraId="2E7DA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484" w:type="dxa"/>
            <w:tcBorders>
              <w:left w:val="single" w:color="000000" w:sz="2" w:space="0"/>
            </w:tcBorders>
            <w:vAlign w:val="center"/>
          </w:tcPr>
          <w:p w14:paraId="1A77D6EA">
            <w:pPr>
              <w:spacing w:before="176" w:line="360" w:lineRule="auto"/>
              <w:ind w:left="51"/>
              <w:jc w:val="center"/>
              <w:rPr>
                <w:rFonts w:hint="eastAsia" w:ascii="仿宋" w:hAnsi="仿宋" w:eastAsia="仿宋" w:cs="仿宋"/>
                <w:color w:val="auto"/>
                <w:sz w:val="24"/>
                <w:szCs w:val="24"/>
                <w:highlight w:val="none"/>
              </w:rPr>
            </w:pPr>
            <w:r>
              <w:rPr>
                <w:rFonts w:hint="eastAsia" w:ascii="仿宋" w:hAnsi="仿宋" w:eastAsia="仿宋" w:cs="仿宋"/>
                <w:color w:val="auto"/>
                <w:position w:val="1"/>
                <w:sz w:val="24"/>
                <w:szCs w:val="24"/>
                <w:highlight w:val="none"/>
              </w:rPr>
              <w:t>1.8.7</w:t>
            </w:r>
          </w:p>
        </w:tc>
        <w:tc>
          <w:tcPr>
            <w:tcW w:w="8535" w:type="dxa"/>
            <w:vAlign w:val="top"/>
          </w:tcPr>
          <w:p w14:paraId="19A97A31">
            <w:pPr>
              <w:spacing w:before="39" w:line="360" w:lineRule="auto"/>
              <w:ind w:left="2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r>
      <w:tr w14:paraId="66A3C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484" w:type="dxa"/>
            <w:tcBorders>
              <w:left w:val="single" w:color="000000" w:sz="2" w:space="0"/>
            </w:tcBorders>
            <w:vAlign w:val="center"/>
          </w:tcPr>
          <w:p w14:paraId="44A045AD">
            <w:pPr>
              <w:spacing w:before="177" w:line="360" w:lineRule="auto"/>
              <w:ind w:left="51"/>
              <w:jc w:val="center"/>
              <w:rPr>
                <w:rFonts w:hint="eastAsia" w:ascii="仿宋" w:hAnsi="仿宋" w:eastAsia="仿宋" w:cs="仿宋"/>
                <w:color w:val="auto"/>
                <w:sz w:val="24"/>
                <w:szCs w:val="24"/>
                <w:highlight w:val="none"/>
              </w:rPr>
            </w:pPr>
            <w:r>
              <w:rPr>
                <w:rFonts w:hint="eastAsia" w:ascii="仿宋" w:hAnsi="仿宋" w:eastAsia="仿宋" w:cs="仿宋"/>
                <w:color w:val="auto"/>
                <w:position w:val="1"/>
                <w:sz w:val="24"/>
                <w:szCs w:val="24"/>
                <w:highlight w:val="none"/>
              </w:rPr>
              <w:t>1.9.1</w:t>
            </w:r>
          </w:p>
        </w:tc>
        <w:tc>
          <w:tcPr>
            <w:tcW w:w="8535" w:type="dxa"/>
            <w:vAlign w:val="top"/>
          </w:tcPr>
          <w:p w14:paraId="08D99CDA">
            <w:pPr>
              <w:spacing w:before="38" w:line="360" w:lineRule="auto"/>
              <w:ind w:left="2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r>
      <w:tr w14:paraId="06949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484" w:type="dxa"/>
            <w:tcBorders>
              <w:left w:val="single" w:color="000000" w:sz="2" w:space="0"/>
            </w:tcBorders>
            <w:vAlign w:val="center"/>
          </w:tcPr>
          <w:p w14:paraId="1A4BBFD1">
            <w:pPr>
              <w:spacing w:before="147" w:line="360" w:lineRule="auto"/>
              <w:ind w:left="5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w:t>
            </w:r>
          </w:p>
        </w:tc>
        <w:tc>
          <w:tcPr>
            <w:tcW w:w="8535" w:type="dxa"/>
            <w:vAlign w:val="top"/>
          </w:tcPr>
          <w:p w14:paraId="5861EA97">
            <w:pPr>
              <w:spacing w:before="35" w:line="360" w:lineRule="auto"/>
              <w:ind w:left="2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val="en-US" w:eastAsia="zh-CN"/>
              </w:rPr>
              <w:t>荥阳市</w:t>
            </w:r>
          </w:p>
        </w:tc>
      </w:tr>
      <w:tr w14:paraId="56FF3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484" w:type="dxa"/>
            <w:tcBorders>
              <w:left w:val="single" w:color="000000" w:sz="2" w:space="0"/>
            </w:tcBorders>
            <w:vAlign w:val="center"/>
          </w:tcPr>
          <w:p w14:paraId="0FAA2062">
            <w:pPr>
              <w:spacing w:before="145" w:line="360" w:lineRule="auto"/>
              <w:ind w:left="38"/>
              <w:jc w:val="center"/>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2.3.2</w:t>
            </w:r>
          </w:p>
        </w:tc>
        <w:tc>
          <w:tcPr>
            <w:tcW w:w="8535" w:type="dxa"/>
            <w:vAlign w:val="top"/>
          </w:tcPr>
          <w:p w14:paraId="38884B32">
            <w:pPr>
              <w:spacing w:before="122" w:line="360" w:lineRule="auto"/>
              <w:ind w:left="6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r>
      <w:tr w14:paraId="34CA6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484" w:type="dxa"/>
            <w:tcBorders>
              <w:left w:val="single" w:color="000000" w:sz="2" w:space="0"/>
            </w:tcBorders>
            <w:vAlign w:val="center"/>
          </w:tcPr>
          <w:p w14:paraId="3B6E815C">
            <w:pPr>
              <w:spacing w:before="146" w:line="360" w:lineRule="auto"/>
              <w:ind w:left="38"/>
              <w:jc w:val="center"/>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2.11.3</w:t>
            </w:r>
          </w:p>
        </w:tc>
        <w:tc>
          <w:tcPr>
            <w:tcW w:w="8535" w:type="dxa"/>
            <w:vAlign w:val="top"/>
          </w:tcPr>
          <w:p w14:paraId="5608FD0D">
            <w:pPr>
              <w:spacing w:before="147" w:line="360" w:lineRule="auto"/>
              <w:ind w:left="4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15</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pacing w:val="2"/>
                <w:sz w:val="24"/>
                <w:szCs w:val="24"/>
                <w:highlight w:val="none"/>
              </w:rPr>
              <w:t>个工作日</w:t>
            </w:r>
          </w:p>
        </w:tc>
      </w:tr>
      <w:tr w14:paraId="38B10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484" w:type="dxa"/>
            <w:tcBorders>
              <w:left w:val="single" w:color="000000" w:sz="2" w:space="0"/>
            </w:tcBorders>
            <w:vAlign w:val="center"/>
          </w:tcPr>
          <w:p w14:paraId="13F3F563">
            <w:pPr>
              <w:spacing w:before="146" w:line="360" w:lineRule="auto"/>
              <w:ind w:left="38"/>
              <w:jc w:val="center"/>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2.11.4</w:t>
            </w:r>
          </w:p>
        </w:tc>
        <w:tc>
          <w:tcPr>
            <w:tcW w:w="8535" w:type="dxa"/>
            <w:vAlign w:val="top"/>
          </w:tcPr>
          <w:p w14:paraId="0A3F0BF7">
            <w:pPr>
              <w:spacing w:before="147" w:line="360" w:lineRule="auto"/>
              <w:ind w:left="31"/>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24</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5"/>
                <w:sz w:val="24"/>
                <w:szCs w:val="24"/>
                <w:highlight w:val="none"/>
              </w:rPr>
              <w:t>小时，5</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pacing w:val="5"/>
                <w:sz w:val="24"/>
                <w:szCs w:val="24"/>
                <w:highlight w:val="none"/>
              </w:rPr>
              <w:t>个工作日</w:t>
            </w:r>
          </w:p>
        </w:tc>
      </w:tr>
      <w:tr w14:paraId="2A9AE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484" w:type="dxa"/>
            <w:tcBorders>
              <w:left w:val="single" w:color="000000" w:sz="2" w:space="0"/>
            </w:tcBorders>
            <w:vAlign w:val="center"/>
          </w:tcPr>
          <w:p w14:paraId="4D59B535">
            <w:pPr>
              <w:spacing w:before="65" w:line="360" w:lineRule="auto"/>
              <w:ind w:left="38"/>
              <w:jc w:val="center"/>
              <w:rPr>
                <w:rFonts w:hint="eastAsia" w:ascii="仿宋" w:hAnsi="仿宋" w:eastAsia="仿宋" w:cs="仿宋"/>
                <w:color w:val="auto"/>
                <w:sz w:val="24"/>
                <w:szCs w:val="24"/>
                <w:highlight w:val="none"/>
              </w:rPr>
            </w:pPr>
            <w:r>
              <w:rPr>
                <w:rFonts w:hint="eastAsia" w:ascii="仿宋" w:hAnsi="仿宋" w:eastAsia="仿宋" w:cs="仿宋"/>
                <w:color w:val="auto"/>
                <w:spacing w:val="3"/>
                <w:position w:val="1"/>
                <w:sz w:val="24"/>
                <w:szCs w:val="24"/>
                <w:highlight w:val="none"/>
              </w:rPr>
              <w:t>2.15.1</w:t>
            </w:r>
          </w:p>
        </w:tc>
        <w:tc>
          <w:tcPr>
            <w:tcW w:w="8535" w:type="dxa"/>
            <w:vAlign w:val="top"/>
          </w:tcPr>
          <w:p w14:paraId="311C0921">
            <w:pPr>
              <w:spacing w:before="147" w:line="360" w:lineRule="auto"/>
              <w:ind w:left="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45933DEE">
            <w:pPr>
              <w:spacing w:before="148" w:line="360" w:lineRule="auto"/>
              <w:ind w:left="28" w:right="975" w:firstLine="3"/>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如果发生事故需要理赔，甲方督促乙方按采购需求规定按照进行理</w:t>
            </w:r>
            <w:r>
              <w:rPr>
                <w:rFonts w:hint="eastAsia" w:ascii="仿宋" w:hAnsi="仿宋" w:eastAsia="仿宋" w:cs="仿宋"/>
                <w:color w:val="auto"/>
                <w:spacing w:val="7"/>
                <w:sz w:val="24"/>
                <w:szCs w:val="24"/>
                <w:highlight w:val="none"/>
              </w:rPr>
              <w:t>赔，</w:t>
            </w:r>
            <w:r>
              <w:rPr>
                <w:rFonts w:hint="eastAsia" w:ascii="仿宋" w:hAnsi="仿宋" w:eastAsia="仿宋" w:cs="仿宋"/>
                <w:color w:val="auto"/>
                <w:spacing w:val="8"/>
                <w:sz w:val="24"/>
                <w:szCs w:val="24"/>
                <w:highlight w:val="none"/>
              </w:rPr>
              <w:t>赔付符合采购文件要求的，视为验收通过。</w:t>
            </w:r>
          </w:p>
        </w:tc>
      </w:tr>
      <w:tr w14:paraId="03301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484" w:type="dxa"/>
            <w:tcBorders>
              <w:left w:val="single" w:color="000000" w:sz="2" w:space="0"/>
            </w:tcBorders>
            <w:vAlign w:val="top"/>
          </w:tcPr>
          <w:p w14:paraId="1D2368A2">
            <w:pPr>
              <w:spacing w:before="148" w:line="360" w:lineRule="auto"/>
              <w:ind w:left="38"/>
              <w:jc w:val="center"/>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2.15.3</w:t>
            </w:r>
          </w:p>
        </w:tc>
        <w:tc>
          <w:tcPr>
            <w:tcW w:w="8535" w:type="dxa"/>
            <w:vAlign w:val="top"/>
          </w:tcPr>
          <w:p w14:paraId="4A347A65">
            <w:pPr>
              <w:spacing w:before="148" w:line="360" w:lineRule="auto"/>
              <w:ind w:left="2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符合国家、地方现行相关标准，满足采购人要求。</w:t>
            </w:r>
          </w:p>
        </w:tc>
      </w:tr>
      <w:tr w14:paraId="00DDF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484" w:type="dxa"/>
            <w:tcBorders>
              <w:left w:val="single" w:color="000000" w:sz="2" w:space="0"/>
            </w:tcBorders>
            <w:vAlign w:val="top"/>
          </w:tcPr>
          <w:p w14:paraId="4C07B1DB">
            <w:pPr>
              <w:spacing w:before="147" w:line="360" w:lineRule="auto"/>
              <w:ind w:left="38"/>
              <w:jc w:val="center"/>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2.19</w:t>
            </w:r>
          </w:p>
        </w:tc>
        <w:tc>
          <w:tcPr>
            <w:tcW w:w="8535" w:type="dxa"/>
            <w:vAlign w:val="top"/>
          </w:tcPr>
          <w:p w14:paraId="538FB4C3">
            <w:pPr>
              <w:spacing w:before="147" w:line="360" w:lineRule="auto"/>
              <w:ind w:left="3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陆份，甲方肆份乙方贰份</w:t>
            </w:r>
          </w:p>
        </w:tc>
      </w:tr>
    </w:tbl>
    <w:p w14:paraId="2CC74671">
      <w:pPr>
        <w:keepNext w:val="0"/>
        <w:keepLines w:val="0"/>
        <w:widowControl/>
        <w:suppressLineNumbers w:val="0"/>
        <w:spacing w:line="360" w:lineRule="auto"/>
        <w:jc w:val="left"/>
        <w:rPr>
          <w:rFonts w:hint="eastAsia" w:ascii="仿宋" w:hAnsi="仿宋" w:eastAsia="仿宋" w:cs="仿宋"/>
          <w:color w:val="auto"/>
          <w:highlight w:val="none"/>
        </w:rPr>
      </w:pPr>
    </w:p>
    <w:p w14:paraId="452F49C3">
      <w:pPr>
        <w:rPr>
          <w:rFonts w:hint="eastAsia" w:ascii="仿宋" w:hAnsi="仿宋" w:eastAsia="仿宋" w:cs="仿宋"/>
          <w:b/>
          <w:bCs/>
          <w:color w:val="auto"/>
          <w:kern w:val="2"/>
          <w:sz w:val="32"/>
          <w:szCs w:val="32"/>
          <w:highlight w:val="none"/>
          <w:lang w:val="en-US" w:eastAsia="zh-CN" w:bidi="ar-SA"/>
        </w:rPr>
      </w:pPr>
    </w:p>
    <w:p w14:paraId="6F8CCFD6">
      <w:pPr>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br w:type="page"/>
      </w:r>
    </w:p>
    <w:p w14:paraId="40BD3892">
      <w:pPr>
        <w:numPr>
          <w:ilvl w:val="0"/>
          <w:numId w:val="0"/>
        </w:numPr>
        <w:ind w:firstLine="643" w:firstLineChars="200"/>
        <w:jc w:val="center"/>
        <w:outlineLvl w:val="0"/>
        <w:rPr>
          <w:rFonts w:hint="eastAsia" w:ascii="仿宋" w:hAnsi="仿宋" w:eastAsia="仿宋" w:cs="仿宋"/>
          <w:b/>
          <w:bCs/>
          <w:color w:val="auto"/>
          <w:sz w:val="32"/>
          <w:szCs w:val="32"/>
          <w:highlight w:val="none"/>
          <w:lang w:val="en-US" w:eastAsia="zh-CN"/>
        </w:rPr>
      </w:pPr>
      <w:bookmarkStart w:id="549" w:name="_Toc25712"/>
      <w:r>
        <w:rPr>
          <w:rFonts w:hint="eastAsia" w:ascii="仿宋" w:hAnsi="仿宋" w:eastAsia="仿宋" w:cs="仿宋"/>
          <w:b/>
          <w:bCs/>
          <w:color w:val="auto"/>
          <w:kern w:val="2"/>
          <w:sz w:val="32"/>
          <w:szCs w:val="32"/>
          <w:highlight w:val="none"/>
          <w:lang w:val="en-US" w:eastAsia="zh-CN" w:bidi="ar-SA"/>
        </w:rPr>
        <w:t>第五章</w:t>
      </w:r>
      <w:r>
        <w:rPr>
          <w:rFonts w:hint="eastAsia" w:ascii="仿宋" w:hAnsi="仿宋" w:eastAsia="仿宋" w:cs="仿宋"/>
          <w:b/>
          <w:bCs/>
          <w:color w:val="auto"/>
          <w:sz w:val="32"/>
          <w:szCs w:val="32"/>
          <w:highlight w:val="none"/>
        </w:rPr>
        <w:t xml:space="preserve">  </w:t>
      </w:r>
      <w:r>
        <w:rPr>
          <w:rFonts w:hint="eastAsia" w:ascii="仿宋" w:hAnsi="仿宋" w:eastAsia="仿宋" w:cs="仿宋"/>
          <w:b/>
          <w:bCs/>
          <w:color w:val="auto"/>
          <w:sz w:val="32"/>
          <w:szCs w:val="32"/>
          <w:highlight w:val="none"/>
          <w:lang w:val="en-US" w:eastAsia="zh-CN"/>
        </w:rPr>
        <w:t>采购需求</w:t>
      </w:r>
      <w:bookmarkEnd w:id="549"/>
    </w:p>
    <w:bookmarkEnd w:id="548"/>
    <w:p w14:paraId="18B13544">
      <w:pPr>
        <w:keepNext w:val="0"/>
        <w:keepLines w:val="0"/>
        <w:widowControl/>
        <w:suppressLineNumbers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（1）技术要求 </w:t>
      </w:r>
    </w:p>
    <w:p w14:paraId="51A48777">
      <w:pPr>
        <w:keepNext w:val="0"/>
        <w:keepLines w:val="0"/>
        <w:widowControl/>
        <w:suppressLineNumbers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1.险种:雇主责任保险 </w:t>
      </w:r>
    </w:p>
    <w:p w14:paraId="70F8F98D">
      <w:pPr>
        <w:keepNext w:val="0"/>
        <w:keepLines w:val="0"/>
        <w:widowControl/>
        <w:suppressLineNumbers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2.参保对象：18-70周岁身体健康，正常参加工作的园林绿化工人。 </w:t>
      </w:r>
    </w:p>
    <w:p w14:paraId="6F7A2FC2">
      <w:pPr>
        <w:keepNext w:val="0"/>
        <w:keepLines w:val="0"/>
        <w:widowControl/>
        <w:suppressLineNumbers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3.参保内容及最低保额（18-65周岁）</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928"/>
        <w:gridCol w:w="1693"/>
        <w:gridCol w:w="5907"/>
      </w:tblGrid>
      <w:tr w14:paraId="4E19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noWrap w:val="0"/>
            <w:vAlign w:val="center"/>
          </w:tcPr>
          <w:p w14:paraId="5BBE42E2">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928" w:type="dxa"/>
            <w:noWrap w:val="0"/>
            <w:vAlign w:val="center"/>
          </w:tcPr>
          <w:p w14:paraId="78369FAB">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保障内容</w:t>
            </w:r>
          </w:p>
        </w:tc>
        <w:tc>
          <w:tcPr>
            <w:tcW w:w="1693" w:type="dxa"/>
            <w:noWrap w:val="0"/>
            <w:vAlign w:val="center"/>
          </w:tcPr>
          <w:p w14:paraId="20A6BF4C">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保障内容最低保险金额</w:t>
            </w:r>
          </w:p>
        </w:tc>
        <w:tc>
          <w:tcPr>
            <w:tcW w:w="5907" w:type="dxa"/>
            <w:noWrap w:val="0"/>
            <w:vAlign w:val="center"/>
          </w:tcPr>
          <w:p w14:paraId="74084C8D">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保险责任简介</w:t>
            </w:r>
          </w:p>
        </w:tc>
      </w:tr>
      <w:tr w14:paraId="1959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noWrap w:val="0"/>
            <w:vAlign w:val="center"/>
          </w:tcPr>
          <w:p w14:paraId="05664B2A">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928" w:type="dxa"/>
            <w:noWrap w:val="0"/>
            <w:vAlign w:val="center"/>
          </w:tcPr>
          <w:p w14:paraId="5DE97247">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意外伤害身故</w:t>
            </w:r>
          </w:p>
        </w:tc>
        <w:tc>
          <w:tcPr>
            <w:tcW w:w="1693" w:type="dxa"/>
            <w:noWrap w:val="0"/>
            <w:vAlign w:val="center"/>
          </w:tcPr>
          <w:p w14:paraId="614994B0">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40万元/人</w:t>
            </w:r>
          </w:p>
        </w:tc>
        <w:tc>
          <w:tcPr>
            <w:tcW w:w="5907" w:type="dxa"/>
            <w:noWrap w:val="0"/>
            <w:vAlign w:val="center"/>
          </w:tcPr>
          <w:p w14:paraId="2854542A">
            <w:pPr>
              <w:spacing w:line="360"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在工作时间和工作场所内：因意外身故（遭受外来的、突发的、非本意的、非疾病的等意外情况）</w:t>
            </w:r>
          </w:p>
        </w:tc>
      </w:tr>
      <w:tr w14:paraId="7478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noWrap w:val="0"/>
            <w:vAlign w:val="center"/>
          </w:tcPr>
          <w:p w14:paraId="15E151F7">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1928" w:type="dxa"/>
            <w:noWrap w:val="0"/>
            <w:vAlign w:val="center"/>
          </w:tcPr>
          <w:p w14:paraId="20848141">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疾病身故</w:t>
            </w:r>
          </w:p>
        </w:tc>
        <w:tc>
          <w:tcPr>
            <w:tcW w:w="1693" w:type="dxa"/>
            <w:noWrap w:val="0"/>
            <w:vAlign w:val="center"/>
          </w:tcPr>
          <w:p w14:paraId="45145075">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30万元/人</w:t>
            </w:r>
          </w:p>
        </w:tc>
        <w:tc>
          <w:tcPr>
            <w:tcW w:w="5907" w:type="dxa"/>
            <w:noWrap w:val="0"/>
            <w:vAlign w:val="center"/>
          </w:tcPr>
          <w:p w14:paraId="73911BE1">
            <w:pPr>
              <w:spacing w:line="360"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在工作时间和工作岗位，突发疾病死亡或者在48小时之内经抢救无效死亡。</w:t>
            </w:r>
          </w:p>
        </w:tc>
      </w:tr>
      <w:tr w14:paraId="5B94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noWrap w:val="0"/>
            <w:vAlign w:val="center"/>
          </w:tcPr>
          <w:p w14:paraId="66046FD3">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w:t>
            </w:r>
          </w:p>
        </w:tc>
        <w:tc>
          <w:tcPr>
            <w:tcW w:w="1928" w:type="dxa"/>
            <w:noWrap w:val="0"/>
            <w:vAlign w:val="center"/>
          </w:tcPr>
          <w:p w14:paraId="5E18A800">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意外伤害致残</w:t>
            </w:r>
          </w:p>
        </w:tc>
        <w:tc>
          <w:tcPr>
            <w:tcW w:w="1693" w:type="dxa"/>
            <w:noWrap w:val="0"/>
            <w:vAlign w:val="center"/>
          </w:tcPr>
          <w:p w14:paraId="3974B574">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40万元/人</w:t>
            </w:r>
          </w:p>
        </w:tc>
        <w:tc>
          <w:tcPr>
            <w:tcW w:w="5907" w:type="dxa"/>
            <w:noWrap w:val="0"/>
            <w:vAlign w:val="center"/>
          </w:tcPr>
          <w:p w14:paraId="25779886">
            <w:pPr>
              <w:keepNext w:val="0"/>
              <w:keepLines w:val="0"/>
              <w:widowControl/>
              <w:suppressLineNumbers w:val="0"/>
              <w:spacing w:line="360"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在保险责任内因意外导致身体残疾，伤残鉴定依据标准《劳动能力坚定职工工伤与职业病致残等级（GB/T16080-2014）》。</w:t>
            </w:r>
          </w:p>
        </w:tc>
      </w:tr>
      <w:tr w14:paraId="3E54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noWrap w:val="0"/>
            <w:vAlign w:val="center"/>
          </w:tcPr>
          <w:p w14:paraId="30AE3487">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1928" w:type="dxa"/>
            <w:noWrap w:val="0"/>
            <w:vAlign w:val="center"/>
          </w:tcPr>
          <w:p w14:paraId="5FC417E8">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意外伤害医疗</w:t>
            </w:r>
          </w:p>
        </w:tc>
        <w:tc>
          <w:tcPr>
            <w:tcW w:w="1693" w:type="dxa"/>
            <w:noWrap w:val="0"/>
            <w:vAlign w:val="center"/>
          </w:tcPr>
          <w:p w14:paraId="27C43C24">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5万元/人</w:t>
            </w:r>
          </w:p>
        </w:tc>
        <w:tc>
          <w:tcPr>
            <w:tcW w:w="5907" w:type="dxa"/>
            <w:noWrap w:val="0"/>
            <w:vAlign w:val="center"/>
          </w:tcPr>
          <w:p w14:paraId="3E12AAF5">
            <w:pPr>
              <w:spacing w:line="360"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在工作时间和工作场所内，因工作原因受到事故伤害，每次事故每人医疗费用绝对免赔200元或核定赔偿金额的 10%，两者以高者为准。</w:t>
            </w:r>
          </w:p>
        </w:tc>
      </w:tr>
      <w:tr w14:paraId="64E8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noWrap w:val="0"/>
            <w:vAlign w:val="center"/>
          </w:tcPr>
          <w:p w14:paraId="494FB8B3">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p>
        </w:tc>
        <w:tc>
          <w:tcPr>
            <w:tcW w:w="1928" w:type="dxa"/>
            <w:noWrap w:val="0"/>
            <w:vAlign w:val="center"/>
          </w:tcPr>
          <w:p w14:paraId="6124D39E">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误工费</w:t>
            </w:r>
          </w:p>
        </w:tc>
        <w:tc>
          <w:tcPr>
            <w:tcW w:w="1693" w:type="dxa"/>
            <w:noWrap w:val="0"/>
            <w:vAlign w:val="center"/>
          </w:tcPr>
          <w:p w14:paraId="7B313E7F">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100元/人/天</w:t>
            </w:r>
          </w:p>
        </w:tc>
        <w:tc>
          <w:tcPr>
            <w:tcW w:w="5907" w:type="dxa"/>
            <w:noWrap w:val="0"/>
            <w:vAlign w:val="center"/>
          </w:tcPr>
          <w:p w14:paraId="17E78FE4">
            <w:pPr>
              <w:spacing w:line="360"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因意外导致误工，每人每天100元，每次事故免赔3天，单次最高赔付90天。</w:t>
            </w:r>
          </w:p>
        </w:tc>
      </w:tr>
    </w:tbl>
    <w:p w14:paraId="60B7D498">
      <w:pPr>
        <w:keepNext w:val="0"/>
        <w:keepLines w:val="0"/>
        <w:widowControl/>
        <w:suppressLineNumbers w:val="0"/>
        <w:spacing w:line="360" w:lineRule="auto"/>
        <w:ind w:firstLine="482" w:firstLineChars="20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sz w:val="24"/>
          <w:szCs w:val="24"/>
          <w:highlight w:val="none"/>
          <w:vertAlign w:val="baseline"/>
          <w:lang w:val="en-US" w:eastAsia="zh-CN"/>
        </w:rPr>
        <w:t>本项目为约1686名工作人员提供服务范围内的保险服务，每位员工每年保费为400元，保险期限为一年，具体以采购人实际承保人数和天数为准。</w:t>
      </w:r>
    </w:p>
    <w:p w14:paraId="57550F71">
      <w:pPr>
        <w:keepNext w:val="0"/>
        <w:keepLines w:val="0"/>
        <w:widowControl/>
        <w:suppressLineNumbers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4.参保内容及最低保额（66-70周岁）</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928"/>
        <w:gridCol w:w="1708"/>
        <w:gridCol w:w="5875"/>
      </w:tblGrid>
      <w:tr w14:paraId="23A0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noWrap w:val="0"/>
            <w:vAlign w:val="center"/>
          </w:tcPr>
          <w:p w14:paraId="760954BB">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928" w:type="dxa"/>
            <w:noWrap w:val="0"/>
            <w:vAlign w:val="center"/>
          </w:tcPr>
          <w:p w14:paraId="79412447">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保障内容</w:t>
            </w:r>
          </w:p>
        </w:tc>
        <w:tc>
          <w:tcPr>
            <w:tcW w:w="1708" w:type="dxa"/>
            <w:noWrap w:val="0"/>
            <w:vAlign w:val="center"/>
          </w:tcPr>
          <w:p w14:paraId="7F5A2351">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保障内容最低保险金额</w:t>
            </w:r>
          </w:p>
        </w:tc>
        <w:tc>
          <w:tcPr>
            <w:tcW w:w="5875" w:type="dxa"/>
            <w:noWrap w:val="0"/>
            <w:vAlign w:val="center"/>
          </w:tcPr>
          <w:p w14:paraId="78313F25">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保险责任简介</w:t>
            </w:r>
          </w:p>
        </w:tc>
      </w:tr>
      <w:tr w14:paraId="509A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noWrap w:val="0"/>
            <w:vAlign w:val="center"/>
          </w:tcPr>
          <w:p w14:paraId="12D9B0C1">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928" w:type="dxa"/>
            <w:noWrap w:val="0"/>
            <w:vAlign w:val="center"/>
          </w:tcPr>
          <w:p w14:paraId="7AD74C96">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意外伤害身故</w:t>
            </w:r>
          </w:p>
        </w:tc>
        <w:tc>
          <w:tcPr>
            <w:tcW w:w="1708" w:type="dxa"/>
            <w:noWrap w:val="0"/>
            <w:vAlign w:val="center"/>
          </w:tcPr>
          <w:p w14:paraId="5655A193">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20万元/人</w:t>
            </w:r>
          </w:p>
        </w:tc>
        <w:tc>
          <w:tcPr>
            <w:tcW w:w="5875" w:type="dxa"/>
            <w:noWrap w:val="0"/>
            <w:vAlign w:val="center"/>
          </w:tcPr>
          <w:p w14:paraId="203EBC75">
            <w:pPr>
              <w:spacing w:line="360"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在工作时间和工作场所内：因意外身故（遭受外来的、突发的、非本意的、非疾病的等意外情况）。</w:t>
            </w:r>
          </w:p>
        </w:tc>
      </w:tr>
      <w:tr w14:paraId="7D2E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noWrap w:val="0"/>
            <w:vAlign w:val="center"/>
          </w:tcPr>
          <w:p w14:paraId="239DD952">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1928" w:type="dxa"/>
            <w:noWrap w:val="0"/>
            <w:vAlign w:val="center"/>
          </w:tcPr>
          <w:p w14:paraId="45FC687A">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疾病身故</w:t>
            </w:r>
          </w:p>
        </w:tc>
        <w:tc>
          <w:tcPr>
            <w:tcW w:w="1708" w:type="dxa"/>
            <w:noWrap w:val="0"/>
            <w:vAlign w:val="center"/>
          </w:tcPr>
          <w:p w14:paraId="71E3ED88">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20万元/人</w:t>
            </w:r>
          </w:p>
        </w:tc>
        <w:tc>
          <w:tcPr>
            <w:tcW w:w="5875" w:type="dxa"/>
            <w:noWrap w:val="0"/>
            <w:vAlign w:val="center"/>
          </w:tcPr>
          <w:p w14:paraId="635D3CD7">
            <w:pPr>
              <w:spacing w:line="360"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在工作时间和工作岗位，突发疾病死亡或者在48小时之内经抢救无效死亡。</w:t>
            </w:r>
          </w:p>
        </w:tc>
      </w:tr>
      <w:tr w14:paraId="0597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noWrap w:val="0"/>
            <w:vAlign w:val="center"/>
          </w:tcPr>
          <w:p w14:paraId="22DE56AF">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w:t>
            </w:r>
          </w:p>
        </w:tc>
        <w:tc>
          <w:tcPr>
            <w:tcW w:w="1928" w:type="dxa"/>
            <w:noWrap w:val="0"/>
            <w:vAlign w:val="center"/>
          </w:tcPr>
          <w:p w14:paraId="743E0472">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意外伤害致残</w:t>
            </w:r>
          </w:p>
        </w:tc>
        <w:tc>
          <w:tcPr>
            <w:tcW w:w="1708" w:type="dxa"/>
            <w:noWrap w:val="0"/>
            <w:vAlign w:val="center"/>
          </w:tcPr>
          <w:p w14:paraId="6284AA64">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20万元/人</w:t>
            </w:r>
          </w:p>
        </w:tc>
        <w:tc>
          <w:tcPr>
            <w:tcW w:w="5875" w:type="dxa"/>
            <w:noWrap w:val="0"/>
            <w:vAlign w:val="center"/>
          </w:tcPr>
          <w:p w14:paraId="2ACC1D93">
            <w:pPr>
              <w:keepNext w:val="0"/>
              <w:keepLines w:val="0"/>
              <w:widowControl/>
              <w:suppressLineNumbers w:val="0"/>
              <w:spacing w:line="360"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在保险责任内因意外导致身体残疾，伤残鉴定依据标准《劳动能力坚定职工工伤与职业病致残等级（GB/T16080-2014）》。</w:t>
            </w:r>
          </w:p>
        </w:tc>
      </w:tr>
      <w:tr w14:paraId="6062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noWrap w:val="0"/>
            <w:vAlign w:val="center"/>
          </w:tcPr>
          <w:p w14:paraId="63CB2924">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1928" w:type="dxa"/>
            <w:noWrap w:val="0"/>
            <w:vAlign w:val="center"/>
          </w:tcPr>
          <w:p w14:paraId="5A231AD4">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意外伤害医疗</w:t>
            </w:r>
          </w:p>
        </w:tc>
        <w:tc>
          <w:tcPr>
            <w:tcW w:w="1708" w:type="dxa"/>
            <w:noWrap w:val="0"/>
            <w:vAlign w:val="center"/>
          </w:tcPr>
          <w:p w14:paraId="7356315C">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5万元/人</w:t>
            </w:r>
          </w:p>
        </w:tc>
        <w:tc>
          <w:tcPr>
            <w:tcW w:w="5875" w:type="dxa"/>
            <w:noWrap w:val="0"/>
            <w:vAlign w:val="center"/>
          </w:tcPr>
          <w:p w14:paraId="00E33A2E">
            <w:pPr>
              <w:spacing w:line="360"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在工作时间和工作场所内，因工作原因受到事故伤害，每次事故每人医疗费用绝对免赔200元或核定赔偿金额的 10%，两者以高者为准。</w:t>
            </w:r>
          </w:p>
        </w:tc>
      </w:tr>
      <w:tr w14:paraId="4C59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noWrap w:val="0"/>
            <w:vAlign w:val="center"/>
          </w:tcPr>
          <w:p w14:paraId="057C0E7E">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p>
        </w:tc>
        <w:tc>
          <w:tcPr>
            <w:tcW w:w="1928" w:type="dxa"/>
            <w:noWrap w:val="0"/>
            <w:vAlign w:val="center"/>
          </w:tcPr>
          <w:p w14:paraId="5CDF4F08">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误工费</w:t>
            </w:r>
          </w:p>
        </w:tc>
        <w:tc>
          <w:tcPr>
            <w:tcW w:w="1708" w:type="dxa"/>
            <w:noWrap w:val="0"/>
            <w:vAlign w:val="center"/>
          </w:tcPr>
          <w:p w14:paraId="764229EE">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100元/人/天</w:t>
            </w:r>
          </w:p>
        </w:tc>
        <w:tc>
          <w:tcPr>
            <w:tcW w:w="5875" w:type="dxa"/>
            <w:noWrap w:val="0"/>
            <w:vAlign w:val="center"/>
          </w:tcPr>
          <w:p w14:paraId="3C042A3A">
            <w:pPr>
              <w:spacing w:line="360"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因意外导致误工，每人每天100元，每次事故免赔3天，单次最高赔付90天。</w:t>
            </w:r>
          </w:p>
        </w:tc>
      </w:tr>
    </w:tbl>
    <w:p w14:paraId="5126EA46">
      <w:pPr>
        <w:keepNext w:val="0"/>
        <w:keepLines w:val="0"/>
        <w:widowControl/>
        <w:suppressLineNumbers w:val="0"/>
        <w:spacing w:line="360" w:lineRule="auto"/>
        <w:ind w:firstLine="482" w:firstLineChars="20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sz w:val="24"/>
          <w:szCs w:val="24"/>
          <w:highlight w:val="none"/>
          <w:vertAlign w:val="baseline"/>
          <w:lang w:val="en-US" w:eastAsia="zh-CN"/>
        </w:rPr>
        <w:t>本项目66-70周岁为约300名工作人员提供服务范围内的保险服务，每位员工每年保费为400元，保险期限为一年，具体以采购人实际承保人数和天数为准。</w:t>
      </w:r>
    </w:p>
    <w:p w14:paraId="5BCE9200">
      <w:pPr>
        <w:numPr>
          <w:ilvl w:val="0"/>
          <w:numId w:val="0"/>
        </w:numPr>
        <w:jc w:val="left"/>
        <w:rPr>
          <w:rFonts w:hint="eastAsia" w:ascii="仿宋" w:hAnsi="仿宋" w:eastAsia="仿宋" w:cs="仿宋"/>
          <w:b/>
          <w:bCs/>
          <w:color w:val="auto"/>
          <w:sz w:val="24"/>
          <w:szCs w:val="24"/>
          <w:highlight w:val="none"/>
          <w:vertAlign w:val="baseline"/>
          <w:lang w:val="en-US" w:eastAsia="zh-CN"/>
        </w:rPr>
      </w:pPr>
    </w:p>
    <w:p w14:paraId="0C9647EB">
      <w:pPr>
        <w:pStyle w:val="49"/>
        <w:rPr>
          <w:rFonts w:hint="eastAsia" w:ascii="仿宋" w:hAnsi="仿宋" w:eastAsia="仿宋" w:cs="仿宋"/>
          <w:color w:val="auto"/>
          <w:highlight w:val="none"/>
          <w:lang w:val="en-US" w:eastAsia="zh-CN"/>
        </w:rPr>
      </w:pPr>
    </w:p>
    <w:p w14:paraId="16AFFF92">
      <w:pPr>
        <w:snapToGrid w:val="0"/>
        <w:spacing w:before="0" w:after="0" w:line="360" w:lineRule="auto"/>
        <w:jc w:val="both"/>
        <w:outlineLvl w:val="9"/>
        <w:rPr>
          <w:rFonts w:hint="eastAsia" w:ascii="仿宋" w:hAnsi="仿宋" w:eastAsia="仿宋" w:cs="仿宋"/>
          <w:b/>
          <w:bCs/>
          <w:color w:val="auto"/>
          <w:sz w:val="24"/>
          <w:szCs w:val="24"/>
          <w:highlight w:val="none"/>
          <w:lang w:val="zh-CN"/>
        </w:rPr>
      </w:pPr>
      <w:bookmarkStart w:id="550" w:name="_Toc21206"/>
      <w:bookmarkStart w:id="551" w:name="_Toc152045785"/>
      <w:bookmarkStart w:id="552" w:name="_Toc144974854"/>
      <w:bookmarkStart w:id="553" w:name="_Toc152042574"/>
      <w:bookmarkStart w:id="554" w:name="_Toc19885"/>
    </w:p>
    <w:p w14:paraId="28878DD9">
      <w:pPr>
        <w:rPr>
          <w:rFonts w:hint="eastAsia" w:ascii="仿宋" w:hAnsi="仿宋" w:eastAsia="仿宋" w:cs="仿宋"/>
          <w:color w:val="auto"/>
          <w:highlight w:val="none"/>
          <w:lang w:val="zh-CN"/>
        </w:rPr>
        <w:sectPr>
          <w:headerReference r:id="rId16" w:type="default"/>
          <w:footerReference r:id="rId17" w:type="default"/>
          <w:pgSz w:w="12240" w:h="15840"/>
          <w:pgMar w:top="1440" w:right="1080" w:bottom="1440" w:left="1080" w:header="0" w:footer="907" w:gutter="0"/>
          <w:pgNumType w:fmt="decimal"/>
          <w:cols w:space="720" w:num="1"/>
        </w:sectPr>
      </w:pPr>
    </w:p>
    <w:bookmarkEnd w:id="550"/>
    <w:bookmarkEnd w:id="551"/>
    <w:bookmarkEnd w:id="552"/>
    <w:bookmarkEnd w:id="553"/>
    <w:bookmarkEnd w:id="554"/>
    <w:p w14:paraId="3D34907D">
      <w:pPr>
        <w:jc w:val="center"/>
        <w:outlineLvl w:val="0"/>
        <w:rPr>
          <w:rFonts w:hint="eastAsia" w:ascii="仿宋" w:hAnsi="仿宋" w:eastAsia="仿宋" w:cs="仿宋"/>
          <w:b/>
          <w:bCs/>
          <w:color w:val="auto"/>
          <w:sz w:val="32"/>
          <w:szCs w:val="32"/>
          <w:highlight w:val="none"/>
        </w:rPr>
      </w:pPr>
      <w:bookmarkStart w:id="555" w:name="_Toc15795"/>
      <w:bookmarkStart w:id="556" w:name="_Toc3310"/>
      <w:r>
        <w:rPr>
          <w:rFonts w:hint="eastAsia" w:ascii="仿宋" w:hAnsi="仿宋" w:eastAsia="仿宋" w:cs="仿宋"/>
          <w:b/>
          <w:bCs/>
          <w:color w:val="auto"/>
          <w:sz w:val="32"/>
          <w:szCs w:val="32"/>
          <w:highlight w:val="none"/>
        </w:rPr>
        <w:t>第</w:t>
      </w:r>
      <w:r>
        <w:rPr>
          <w:rFonts w:hint="eastAsia" w:ascii="仿宋" w:hAnsi="仿宋" w:eastAsia="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rPr>
        <w:t xml:space="preserve">章  </w:t>
      </w:r>
      <w:r>
        <w:rPr>
          <w:rFonts w:hint="eastAsia" w:ascii="仿宋" w:hAnsi="仿宋" w:eastAsia="仿宋" w:cs="仿宋"/>
          <w:b/>
          <w:bCs/>
          <w:color w:val="auto"/>
          <w:sz w:val="32"/>
          <w:szCs w:val="32"/>
          <w:highlight w:val="none"/>
          <w:lang w:eastAsia="zh-CN"/>
        </w:rPr>
        <w:t>响应文件</w:t>
      </w:r>
      <w:r>
        <w:rPr>
          <w:rFonts w:hint="eastAsia" w:ascii="仿宋" w:hAnsi="仿宋" w:eastAsia="仿宋" w:cs="仿宋"/>
          <w:b/>
          <w:bCs/>
          <w:color w:val="auto"/>
          <w:sz w:val="32"/>
          <w:szCs w:val="32"/>
          <w:highlight w:val="none"/>
        </w:rPr>
        <w:t>格式</w:t>
      </w:r>
      <w:bookmarkEnd w:id="555"/>
      <w:bookmarkEnd w:id="556"/>
    </w:p>
    <w:p w14:paraId="2BBE6FDA">
      <w:pPr>
        <w:spacing w:line="440" w:lineRule="exact"/>
        <w:rPr>
          <w:rFonts w:hint="eastAsia" w:ascii="仿宋" w:hAnsi="仿宋" w:eastAsia="仿宋" w:cs="仿宋"/>
          <w:color w:val="auto"/>
          <w:sz w:val="20"/>
          <w:szCs w:val="20"/>
          <w:highlight w:val="none"/>
        </w:rPr>
      </w:pPr>
    </w:p>
    <w:p w14:paraId="679E5B33">
      <w:pPr>
        <w:spacing w:line="440" w:lineRule="exact"/>
        <w:rPr>
          <w:rFonts w:hint="eastAsia" w:ascii="仿宋" w:hAnsi="仿宋" w:eastAsia="仿宋" w:cs="仿宋"/>
          <w:color w:val="auto"/>
          <w:sz w:val="20"/>
          <w:szCs w:val="20"/>
          <w:highlight w:val="none"/>
        </w:rPr>
      </w:pPr>
    </w:p>
    <w:p w14:paraId="63EFD8BB">
      <w:pPr>
        <w:jc w:val="center"/>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（项目名称）</w:t>
      </w:r>
    </w:p>
    <w:p w14:paraId="0064B3F5">
      <w:pPr>
        <w:rPr>
          <w:rFonts w:hint="eastAsia" w:ascii="仿宋" w:hAnsi="仿宋" w:eastAsia="仿宋" w:cs="仿宋"/>
          <w:color w:val="auto"/>
          <w:sz w:val="20"/>
          <w:szCs w:val="20"/>
          <w:highlight w:val="none"/>
        </w:rPr>
      </w:pPr>
    </w:p>
    <w:p w14:paraId="67162D54">
      <w:pPr>
        <w:rPr>
          <w:rFonts w:hint="eastAsia" w:ascii="仿宋" w:hAnsi="仿宋" w:eastAsia="仿宋" w:cs="仿宋"/>
          <w:color w:val="auto"/>
          <w:sz w:val="20"/>
          <w:szCs w:val="20"/>
          <w:highlight w:val="none"/>
        </w:rPr>
      </w:pPr>
    </w:p>
    <w:p w14:paraId="21B75683">
      <w:pPr>
        <w:rPr>
          <w:rFonts w:hint="eastAsia" w:ascii="仿宋" w:hAnsi="仿宋" w:eastAsia="仿宋" w:cs="仿宋"/>
          <w:color w:val="auto"/>
          <w:sz w:val="20"/>
          <w:szCs w:val="20"/>
          <w:highlight w:val="none"/>
        </w:rPr>
      </w:pPr>
    </w:p>
    <w:p w14:paraId="460DC14F">
      <w:pPr>
        <w:rPr>
          <w:rFonts w:hint="eastAsia" w:ascii="仿宋" w:hAnsi="仿宋" w:eastAsia="仿宋" w:cs="仿宋"/>
          <w:color w:val="auto"/>
          <w:sz w:val="20"/>
          <w:szCs w:val="20"/>
          <w:highlight w:val="none"/>
        </w:rPr>
      </w:pPr>
    </w:p>
    <w:p w14:paraId="606534AC">
      <w:pPr>
        <w:rPr>
          <w:rFonts w:hint="eastAsia" w:ascii="仿宋" w:hAnsi="仿宋" w:eastAsia="仿宋" w:cs="仿宋"/>
          <w:color w:val="auto"/>
          <w:sz w:val="20"/>
          <w:szCs w:val="20"/>
          <w:highlight w:val="none"/>
        </w:rPr>
      </w:pPr>
    </w:p>
    <w:p w14:paraId="3EFE7360">
      <w:pPr>
        <w:rPr>
          <w:rFonts w:hint="eastAsia" w:ascii="仿宋" w:hAnsi="仿宋" w:eastAsia="仿宋" w:cs="仿宋"/>
          <w:color w:val="auto"/>
          <w:sz w:val="20"/>
          <w:szCs w:val="20"/>
          <w:highlight w:val="none"/>
        </w:rPr>
      </w:pPr>
    </w:p>
    <w:p w14:paraId="36C9EADC">
      <w:pPr>
        <w:jc w:val="center"/>
        <w:rPr>
          <w:rFonts w:hint="eastAsia" w:ascii="仿宋" w:hAnsi="仿宋" w:eastAsia="仿宋" w:cs="仿宋"/>
          <w:color w:val="auto"/>
          <w:sz w:val="72"/>
          <w:szCs w:val="72"/>
          <w:highlight w:val="none"/>
        </w:rPr>
      </w:pPr>
      <w:r>
        <w:rPr>
          <w:rFonts w:hint="eastAsia" w:ascii="仿宋" w:hAnsi="仿宋" w:eastAsia="仿宋" w:cs="仿宋"/>
          <w:color w:val="auto"/>
          <w:sz w:val="72"/>
          <w:szCs w:val="72"/>
          <w:highlight w:val="none"/>
          <w:lang w:val="en-US" w:eastAsia="zh-CN"/>
        </w:rPr>
        <w:t>响</w:t>
      </w:r>
      <w:r>
        <w:rPr>
          <w:rFonts w:hint="eastAsia" w:ascii="仿宋" w:hAnsi="仿宋" w:eastAsia="仿宋" w:cs="仿宋"/>
          <w:color w:val="auto"/>
          <w:sz w:val="72"/>
          <w:szCs w:val="72"/>
          <w:highlight w:val="none"/>
        </w:rPr>
        <w:t xml:space="preserve">  </w:t>
      </w:r>
      <w:r>
        <w:rPr>
          <w:rFonts w:hint="eastAsia" w:ascii="仿宋" w:hAnsi="仿宋" w:eastAsia="仿宋" w:cs="仿宋"/>
          <w:color w:val="auto"/>
          <w:sz w:val="72"/>
          <w:szCs w:val="72"/>
          <w:highlight w:val="none"/>
          <w:lang w:val="en-US" w:eastAsia="zh-CN"/>
        </w:rPr>
        <w:t>应</w:t>
      </w:r>
      <w:r>
        <w:rPr>
          <w:rFonts w:hint="eastAsia" w:ascii="仿宋" w:hAnsi="仿宋" w:eastAsia="仿宋" w:cs="仿宋"/>
          <w:color w:val="auto"/>
          <w:sz w:val="72"/>
          <w:szCs w:val="72"/>
          <w:highlight w:val="none"/>
        </w:rPr>
        <w:t xml:space="preserve">  文  件</w:t>
      </w:r>
    </w:p>
    <w:p w14:paraId="69EFA25E">
      <w:pPr>
        <w:jc w:val="center"/>
        <w:rPr>
          <w:rFonts w:hint="eastAsia" w:ascii="仿宋" w:hAnsi="仿宋" w:eastAsia="仿宋" w:cs="仿宋"/>
          <w:color w:val="auto"/>
          <w:sz w:val="24"/>
          <w:highlight w:val="none"/>
        </w:rPr>
      </w:pPr>
    </w:p>
    <w:p w14:paraId="03B67209">
      <w:pPr>
        <w:spacing w:line="360" w:lineRule="auto"/>
        <w:ind w:firstLine="2640" w:firstLineChars="11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编号：</w:t>
      </w:r>
    </w:p>
    <w:p w14:paraId="471DAA6A">
      <w:pPr>
        <w:rPr>
          <w:rFonts w:hint="eastAsia" w:ascii="仿宋" w:hAnsi="仿宋" w:eastAsia="仿宋" w:cs="仿宋"/>
          <w:color w:val="auto"/>
          <w:sz w:val="28"/>
          <w:szCs w:val="28"/>
          <w:highlight w:val="none"/>
        </w:rPr>
      </w:pPr>
    </w:p>
    <w:p w14:paraId="71A669CB">
      <w:pPr>
        <w:rPr>
          <w:rFonts w:hint="eastAsia" w:ascii="仿宋" w:hAnsi="仿宋" w:eastAsia="仿宋" w:cs="仿宋"/>
          <w:color w:val="auto"/>
          <w:sz w:val="28"/>
          <w:szCs w:val="28"/>
          <w:highlight w:val="none"/>
        </w:rPr>
      </w:pPr>
    </w:p>
    <w:p w14:paraId="683A8AD0">
      <w:pPr>
        <w:pStyle w:val="49"/>
        <w:rPr>
          <w:rFonts w:hint="eastAsia" w:ascii="仿宋" w:hAnsi="仿宋" w:eastAsia="仿宋" w:cs="仿宋"/>
          <w:color w:val="auto"/>
          <w:sz w:val="28"/>
          <w:szCs w:val="28"/>
          <w:highlight w:val="none"/>
        </w:rPr>
      </w:pPr>
    </w:p>
    <w:p w14:paraId="7C502A4C">
      <w:pPr>
        <w:rPr>
          <w:rFonts w:hint="eastAsia" w:ascii="仿宋" w:hAnsi="仿宋" w:eastAsia="仿宋" w:cs="仿宋"/>
          <w:color w:val="auto"/>
          <w:highlight w:val="none"/>
        </w:rPr>
      </w:pPr>
    </w:p>
    <w:p w14:paraId="44CED6EB">
      <w:pPr>
        <w:pStyle w:val="49"/>
        <w:rPr>
          <w:rFonts w:hint="eastAsia" w:ascii="仿宋" w:hAnsi="仿宋" w:eastAsia="仿宋" w:cs="仿宋"/>
          <w:color w:val="auto"/>
          <w:sz w:val="28"/>
          <w:szCs w:val="28"/>
          <w:highlight w:val="none"/>
          <w:lang w:eastAsia="zh-CN"/>
        </w:rPr>
      </w:pPr>
    </w:p>
    <w:p w14:paraId="6BF5DE4D">
      <w:pPr>
        <w:rPr>
          <w:rFonts w:hint="eastAsia" w:ascii="仿宋" w:hAnsi="仿宋" w:eastAsia="仿宋" w:cs="仿宋"/>
          <w:color w:val="auto"/>
          <w:sz w:val="28"/>
          <w:szCs w:val="28"/>
          <w:highlight w:val="none"/>
          <w:lang w:eastAsia="zh-CN"/>
        </w:rPr>
      </w:pPr>
    </w:p>
    <w:p w14:paraId="6ADE9B13">
      <w:pPr>
        <w:rPr>
          <w:rFonts w:hint="eastAsia" w:ascii="仿宋" w:hAnsi="仿宋" w:eastAsia="仿宋" w:cs="仿宋"/>
          <w:color w:val="auto"/>
          <w:highlight w:val="none"/>
          <w:lang w:eastAsia="zh-CN"/>
        </w:rPr>
      </w:pPr>
    </w:p>
    <w:p w14:paraId="69B58DF8">
      <w:pPr>
        <w:rPr>
          <w:rFonts w:hint="eastAsia" w:ascii="仿宋" w:hAnsi="仿宋" w:eastAsia="仿宋" w:cs="仿宋"/>
          <w:color w:val="auto"/>
          <w:sz w:val="28"/>
          <w:szCs w:val="28"/>
          <w:highlight w:val="none"/>
        </w:rPr>
      </w:pPr>
    </w:p>
    <w:p w14:paraId="63C2047A">
      <w:pPr>
        <w:pStyle w:val="49"/>
        <w:rPr>
          <w:rFonts w:hint="eastAsia" w:ascii="仿宋" w:hAnsi="仿宋" w:eastAsia="仿宋" w:cs="仿宋"/>
          <w:color w:val="auto"/>
          <w:highlight w:val="none"/>
        </w:rPr>
      </w:pPr>
    </w:p>
    <w:p w14:paraId="504F0779">
      <w:pPr>
        <w:spacing w:line="360" w:lineRule="auto"/>
        <w:jc w:val="center"/>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（电子签章）</w:t>
      </w:r>
    </w:p>
    <w:p w14:paraId="2A6F514C">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法定代表人或其委托代理人：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（电子签章</w:t>
      </w:r>
      <w:r>
        <w:rPr>
          <w:rFonts w:hint="eastAsia" w:ascii="仿宋" w:hAnsi="仿宋" w:eastAsia="仿宋" w:cs="仿宋"/>
          <w:color w:val="auto"/>
          <w:sz w:val="28"/>
          <w:szCs w:val="28"/>
          <w:highlight w:val="none"/>
          <w:lang w:val="en-US" w:eastAsia="zh-CN"/>
        </w:rPr>
        <w:t>或签字</w:t>
      </w:r>
      <w:r>
        <w:rPr>
          <w:rFonts w:hint="eastAsia" w:ascii="仿宋" w:hAnsi="仿宋" w:eastAsia="仿宋" w:cs="仿宋"/>
          <w:color w:val="auto"/>
          <w:sz w:val="28"/>
          <w:szCs w:val="28"/>
          <w:highlight w:val="none"/>
        </w:rPr>
        <w:t>）</w:t>
      </w:r>
    </w:p>
    <w:p w14:paraId="73B66568">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69019D3E">
      <w:pPr>
        <w:spacing w:line="360" w:lineRule="auto"/>
        <w:jc w:val="center"/>
        <w:rPr>
          <w:rFonts w:hint="eastAsia" w:ascii="仿宋" w:hAnsi="仿宋" w:eastAsia="仿宋" w:cs="仿宋"/>
          <w:color w:val="auto"/>
          <w:sz w:val="32"/>
          <w:szCs w:val="32"/>
          <w:highlight w:val="none"/>
        </w:rPr>
      </w:pPr>
      <w:bookmarkStart w:id="557" w:name="_Toc144974856"/>
      <w:bookmarkStart w:id="558" w:name="_Toc152045787"/>
      <w:bookmarkStart w:id="559" w:name="_Toc344483714"/>
      <w:bookmarkStart w:id="560" w:name="_Toc5036"/>
      <w:bookmarkStart w:id="561" w:name="_Toc479014396"/>
      <w:bookmarkStart w:id="562" w:name="_Toc152042576"/>
    </w:p>
    <w:p w14:paraId="31B6D96E">
      <w:pPr>
        <w:spacing w:line="360" w:lineRule="auto"/>
        <w:jc w:val="center"/>
        <w:rPr>
          <w:rFonts w:hint="eastAsia" w:ascii="仿宋" w:hAnsi="仿宋" w:eastAsia="仿宋" w:cs="仿宋"/>
          <w:color w:val="auto"/>
          <w:sz w:val="32"/>
          <w:szCs w:val="32"/>
          <w:highlight w:val="none"/>
        </w:rPr>
      </w:pPr>
    </w:p>
    <w:p w14:paraId="05070E3C">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77172C1C">
      <w:pPr>
        <w:spacing w:line="480" w:lineRule="auto"/>
        <w:jc w:val="center"/>
        <w:rPr>
          <w:rFonts w:hint="eastAsia" w:ascii="仿宋" w:hAnsi="仿宋" w:eastAsia="仿宋" w:cs="仿宋"/>
          <w:color w:val="auto"/>
          <w:highlight w:val="none"/>
        </w:rPr>
      </w:pPr>
      <w:r>
        <w:rPr>
          <w:rFonts w:hint="eastAsia" w:ascii="仿宋" w:hAnsi="仿宋" w:eastAsia="仿宋" w:cs="仿宋"/>
          <w:color w:val="auto"/>
          <w:sz w:val="32"/>
          <w:szCs w:val="32"/>
          <w:highlight w:val="none"/>
        </w:rPr>
        <w:t>目    录</w:t>
      </w:r>
      <w:bookmarkEnd w:id="557"/>
      <w:bookmarkEnd w:id="558"/>
      <w:bookmarkEnd w:id="559"/>
      <w:bookmarkEnd w:id="560"/>
      <w:bookmarkEnd w:id="561"/>
      <w:bookmarkEnd w:id="562"/>
    </w:p>
    <w:p w14:paraId="4E465C2E">
      <w:pPr>
        <w:spacing w:line="480" w:lineRule="auto"/>
        <w:ind w:firstLine="972" w:firstLineChars="405"/>
        <w:rPr>
          <w:rFonts w:hint="eastAsia" w:ascii="仿宋" w:hAnsi="仿宋" w:eastAsia="仿宋" w:cs="仿宋"/>
          <w:color w:val="auto"/>
          <w:sz w:val="24"/>
          <w:szCs w:val="24"/>
          <w:highlight w:val="none"/>
        </w:rPr>
      </w:pPr>
      <w:bookmarkStart w:id="563" w:name="_Toc144974857"/>
      <w:bookmarkStart w:id="564" w:name="_Toc344483715"/>
      <w:bookmarkStart w:id="565" w:name="_Toc152045788"/>
      <w:bookmarkStart w:id="566" w:name="_Toc152042577"/>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磋商响应</w:t>
      </w:r>
      <w:r>
        <w:rPr>
          <w:rFonts w:hint="eastAsia" w:ascii="仿宋" w:hAnsi="仿宋" w:eastAsia="仿宋" w:cs="仿宋"/>
          <w:color w:val="auto"/>
          <w:sz w:val="24"/>
          <w:szCs w:val="24"/>
          <w:highlight w:val="none"/>
        </w:rPr>
        <w:t>函及</w:t>
      </w:r>
      <w:r>
        <w:rPr>
          <w:rFonts w:hint="eastAsia" w:ascii="仿宋" w:hAnsi="仿宋" w:eastAsia="仿宋" w:cs="仿宋"/>
          <w:color w:val="auto"/>
          <w:sz w:val="24"/>
          <w:szCs w:val="24"/>
          <w:highlight w:val="none"/>
          <w:lang w:eastAsia="zh-CN"/>
        </w:rPr>
        <w:t>磋商响应</w:t>
      </w:r>
      <w:r>
        <w:rPr>
          <w:rFonts w:hint="eastAsia" w:ascii="仿宋" w:hAnsi="仿宋" w:eastAsia="仿宋" w:cs="仿宋"/>
          <w:color w:val="auto"/>
          <w:sz w:val="24"/>
          <w:szCs w:val="24"/>
          <w:highlight w:val="none"/>
        </w:rPr>
        <w:t>一览表</w:t>
      </w:r>
    </w:p>
    <w:p w14:paraId="5AA27EC5">
      <w:pPr>
        <w:spacing w:line="480" w:lineRule="auto"/>
        <w:ind w:firstLine="972" w:firstLineChars="4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二、法定代表人身份证明及授权委托书</w:t>
      </w:r>
    </w:p>
    <w:p w14:paraId="6C67B7E9">
      <w:pPr>
        <w:spacing w:line="480" w:lineRule="auto"/>
        <w:ind w:firstLine="972" w:firstLineChars="40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响应承诺函</w:t>
      </w:r>
    </w:p>
    <w:p w14:paraId="3D0CF82D">
      <w:pPr>
        <w:spacing w:line="480" w:lineRule="auto"/>
        <w:ind w:firstLine="972" w:firstLineChars="40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服务方案</w:t>
      </w:r>
    </w:p>
    <w:p w14:paraId="6FEA621D">
      <w:pPr>
        <w:spacing w:line="480" w:lineRule="auto"/>
        <w:ind w:firstLine="972" w:firstLineChars="4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资格证明文件</w:t>
      </w:r>
    </w:p>
    <w:p w14:paraId="382515AB">
      <w:pPr>
        <w:spacing w:line="480" w:lineRule="auto"/>
        <w:ind w:firstLine="972" w:firstLineChars="40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近年类似项目情况表</w:t>
      </w:r>
    </w:p>
    <w:p w14:paraId="777B4EBB">
      <w:pPr>
        <w:spacing w:line="480" w:lineRule="auto"/>
        <w:ind w:firstLine="972" w:firstLineChars="40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服务承诺、优惠条件</w:t>
      </w:r>
    </w:p>
    <w:p w14:paraId="6F6F7944">
      <w:pPr>
        <w:spacing w:line="480" w:lineRule="auto"/>
        <w:ind w:firstLine="972" w:firstLineChars="4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、供应商认为与本次项目有关的其他材料</w:t>
      </w:r>
    </w:p>
    <w:p w14:paraId="6A1F4FB2">
      <w:pPr>
        <w:spacing w:line="360" w:lineRule="auto"/>
        <w:jc w:val="center"/>
        <w:outlineLvl w:val="1"/>
        <w:rPr>
          <w:rFonts w:hint="eastAsia" w:ascii="仿宋" w:hAnsi="仿宋" w:eastAsia="仿宋" w:cs="仿宋"/>
          <w:b/>
          <w:color w:val="auto"/>
          <w:sz w:val="30"/>
          <w:szCs w:val="30"/>
          <w:highlight w:val="none"/>
        </w:rPr>
      </w:pPr>
      <w:r>
        <w:rPr>
          <w:rFonts w:hint="eastAsia" w:ascii="仿宋" w:hAnsi="仿宋" w:eastAsia="仿宋" w:cs="仿宋"/>
          <w:color w:val="auto"/>
          <w:highlight w:val="none"/>
        </w:rPr>
        <w:br w:type="page"/>
      </w:r>
      <w:bookmarkEnd w:id="563"/>
      <w:bookmarkEnd w:id="564"/>
      <w:bookmarkEnd w:id="565"/>
      <w:bookmarkEnd w:id="566"/>
      <w:r>
        <w:rPr>
          <w:rFonts w:hint="eastAsia" w:ascii="仿宋" w:hAnsi="仿宋" w:eastAsia="仿宋" w:cs="仿宋"/>
          <w:color w:val="auto"/>
          <w:highlight w:val="none"/>
          <w:lang w:val="en-US" w:eastAsia="zh-CN"/>
        </w:rPr>
        <w:t>一、</w:t>
      </w:r>
      <w:r>
        <w:rPr>
          <w:rFonts w:hint="eastAsia" w:ascii="仿宋" w:hAnsi="仿宋" w:eastAsia="仿宋" w:cs="仿宋"/>
          <w:b/>
          <w:color w:val="auto"/>
          <w:sz w:val="30"/>
          <w:szCs w:val="30"/>
          <w:highlight w:val="none"/>
        </w:rPr>
        <w:t>磋商响应函及磋商</w:t>
      </w:r>
      <w:r>
        <w:rPr>
          <w:rFonts w:hint="eastAsia" w:ascii="仿宋" w:hAnsi="仿宋" w:eastAsia="仿宋" w:cs="仿宋"/>
          <w:b/>
          <w:color w:val="auto"/>
          <w:sz w:val="30"/>
          <w:szCs w:val="30"/>
          <w:highlight w:val="none"/>
          <w:lang w:eastAsia="zh-CN"/>
        </w:rPr>
        <w:t>响应</w:t>
      </w:r>
      <w:r>
        <w:rPr>
          <w:rFonts w:hint="eastAsia" w:ascii="仿宋" w:hAnsi="仿宋" w:eastAsia="仿宋" w:cs="仿宋"/>
          <w:b/>
          <w:color w:val="auto"/>
          <w:sz w:val="30"/>
          <w:szCs w:val="30"/>
          <w:highlight w:val="none"/>
        </w:rPr>
        <w:t>一览表</w:t>
      </w:r>
    </w:p>
    <w:p w14:paraId="7434B059">
      <w:pPr>
        <w:spacing w:line="360" w:lineRule="auto"/>
        <w:jc w:val="center"/>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（一）磋商响应函</w:t>
      </w:r>
    </w:p>
    <w:p w14:paraId="64C0BBAD">
      <w:pPr>
        <w:spacing w:line="360" w:lineRule="auto"/>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(采购人名称</w:t>
      </w:r>
      <w:r>
        <w:rPr>
          <w:rFonts w:hint="eastAsia" w:ascii="仿宋" w:hAnsi="仿宋" w:eastAsia="仿宋" w:cs="仿宋"/>
          <w:color w:val="auto"/>
          <w:sz w:val="24"/>
          <w:szCs w:val="24"/>
          <w:highlight w:val="none"/>
          <w:u w:val="single"/>
          <w:lang w:val="en-US" w:eastAsia="zh-CN"/>
        </w:rPr>
        <w:t>或</w:t>
      </w:r>
      <w:r>
        <w:rPr>
          <w:rFonts w:hint="eastAsia" w:ascii="仿宋" w:hAnsi="仿宋" w:eastAsia="仿宋" w:cs="仿宋"/>
          <w:color w:val="auto"/>
          <w:sz w:val="24"/>
          <w:szCs w:val="24"/>
          <w:highlight w:val="none"/>
          <w:u w:val="single"/>
        </w:rPr>
        <w:t xml:space="preserve">采购代理机构名称）   </w:t>
      </w:r>
    </w:p>
    <w:p w14:paraId="47831211">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我们收到了</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，经详细研究，我们决定参加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项目名称</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，我们郑重声明以下诸点并负法律责任。</w:t>
      </w:r>
    </w:p>
    <w:p w14:paraId="0AF13AB1">
      <w:pPr>
        <w:numPr>
          <w:ilvl w:val="0"/>
          <w:numId w:val="3"/>
        </w:num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中的条款和要求，我们愿意以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的保额合计值</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服务期限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规定），</w:t>
      </w:r>
      <w:r>
        <w:rPr>
          <w:rFonts w:hint="eastAsia" w:ascii="仿宋" w:hAnsi="仿宋" w:eastAsia="仿宋" w:cs="仿宋"/>
          <w:color w:val="auto"/>
          <w:sz w:val="24"/>
          <w:szCs w:val="24"/>
          <w:highlight w:val="none"/>
          <w:lang w:eastAsia="zh-CN"/>
        </w:rPr>
        <w:t>服务质量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，承包上述项目</w:t>
      </w:r>
      <w:r>
        <w:rPr>
          <w:rFonts w:hint="eastAsia" w:ascii="仿宋" w:hAnsi="仿宋" w:eastAsia="仿宋" w:cs="仿宋"/>
          <w:color w:val="auto"/>
          <w:sz w:val="24"/>
          <w:szCs w:val="24"/>
          <w:highlight w:val="none"/>
        </w:rPr>
        <w:t>。</w:t>
      </w:r>
    </w:p>
    <w:p w14:paraId="557A026A">
      <w:pPr>
        <w:numPr>
          <w:ilvl w:val="0"/>
          <w:numId w:val="0"/>
        </w:num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2、如果我们的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被接受，我们将履行</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中规定的各项要求。</w:t>
      </w:r>
    </w:p>
    <w:p w14:paraId="2BBCCE1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3、我们同意按</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中的规定，本</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的有效期为自投标截止之日起</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日历天。如果中标，有效期延长至合同终止日止。</w:t>
      </w:r>
    </w:p>
    <w:p w14:paraId="2E815CA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4、我们愿提供</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中要求的所有文件资料。</w:t>
      </w:r>
    </w:p>
    <w:p w14:paraId="6E5E00A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5、我们承认最低报价是中标的重要选择，但不是唯一标准。</w:t>
      </w:r>
    </w:p>
    <w:p w14:paraId="7D9027E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6、我们已经详细审核了全部</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，包括修改、补充的文件（如果有）及有关附件，我们完全理解并同意放弃对这方面有不明及误解的权利。</w:t>
      </w:r>
    </w:p>
    <w:p w14:paraId="7589D52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7、如我方中标，我方愿意按</w:t>
      </w:r>
      <w:r>
        <w:rPr>
          <w:rFonts w:hint="eastAsia" w:ascii="仿宋" w:hAnsi="仿宋" w:eastAsia="仿宋" w:cs="仿宋"/>
          <w:color w:val="auto"/>
          <w:sz w:val="24"/>
          <w:szCs w:val="24"/>
          <w:highlight w:val="none"/>
          <w:lang w:val="en-US" w:eastAsia="zh-CN"/>
        </w:rPr>
        <w:t>采购文件规定的</w:t>
      </w:r>
      <w:r>
        <w:rPr>
          <w:rFonts w:hint="eastAsia" w:ascii="仿宋" w:hAnsi="仿宋" w:eastAsia="仿宋" w:cs="仿宋"/>
          <w:bCs/>
          <w:color w:val="auto"/>
          <w:kern w:val="1"/>
          <w:sz w:val="24"/>
          <w:szCs w:val="24"/>
          <w:highlight w:val="none"/>
        </w:rPr>
        <w:t>采购代理服务费</w:t>
      </w:r>
      <w:r>
        <w:rPr>
          <w:rFonts w:hint="eastAsia" w:ascii="仿宋" w:hAnsi="仿宋" w:eastAsia="仿宋" w:cs="仿宋"/>
          <w:bCs/>
          <w:color w:val="auto"/>
          <w:kern w:val="1"/>
          <w:sz w:val="24"/>
          <w:szCs w:val="24"/>
          <w:highlight w:val="none"/>
          <w:lang w:val="en-US" w:eastAsia="zh-CN"/>
        </w:rPr>
        <w:t>收费标准</w:t>
      </w:r>
      <w:r>
        <w:rPr>
          <w:rFonts w:hint="eastAsia" w:ascii="仿宋" w:hAnsi="仿宋" w:eastAsia="仿宋" w:cs="仿宋"/>
          <w:color w:val="auto"/>
          <w:sz w:val="24"/>
          <w:szCs w:val="24"/>
          <w:highlight w:val="none"/>
        </w:rPr>
        <w:t>向采购代理机构支付本次招标代理服务费。</w:t>
      </w:r>
    </w:p>
    <w:p w14:paraId="7579AE7F">
      <w:pPr>
        <w:wordWrap w:val="0"/>
        <w:spacing w:line="450" w:lineRule="atLeast"/>
        <w:jc w:val="both"/>
        <w:rPr>
          <w:rFonts w:hint="eastAsia" w:ascii="仿宋" w:hAnsi="仿宋" w:eastAsia="仿宋" w:cs="仿宋"/>
          <w:color w:val="auto"/>
          <w:sz w:val="24"/>
          <w:szCs w:val="24"/>
          <w:highlight w:val="none"/>
        </w:rPr>
      </w:pPr>
    </w:p>
    <w:p w14:paraId="08F64EF1">
      <w:pPr>
        <w:wordWrap w:val="0"/>
        <w:spacing w:line="480" w:lineRule="auto"/>
        <w:ind w:firstLine="2640" w:firstLineChars="1100"/>
        <w:jc w:val="both"/>
        <w:rPr>
          <w:rFonts w:hint="eastAsia" w:ascii="仿宋" w:hAnsi="仿宋" w:eastAsia="仿宋" w:cs="仿宋"/>
          <w:color w:val="auto"/>
          <w:sz w:val="24"/>
          <w:szCs w:val="24"/>
          <w:highlight w:val="none"/>
        </w:rPr>
      </w:pPr>
    </w:p>
    <w:p w14:paraId="7B2398DA">
      <w:pPr>
        <w:wordWrap w:val="0"/>
        <w:spacing w:line="480" w:lineRule="auto"/>
        <w:ind w:firstLine="2640" w:firstLineChars="1100"/>
        <w:jc w:val="both"/>
        <w:rPr>
          <w:rFonts w:hint="eastAsia" w:ascii="仿宋" w:hAnsi="仿宋" w:eastAsia="仿宋" w:cs="仿宋"/>
          <w:color w:val="auto"/>
          <w:sz w:val="24"/>
          <w:szCs w:val="24"/>
          <w:highlight w:val="none"/>
        </w:rPr>
      </w:pPr>
    </w:p>
    <w:p w14:paraId="158B492B">
      <w:pPr>
        <w:wordWrap w:val="0"/>
        <w:spacing w:line="480" w:lineRule="auto"/>
        <w:ind w:firstLine="3360" w:firstLineChars="14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（电子签章）</w:t>
      </w:r>
    </w:p>
    <w:p w14:paraId="6BA2C95A">
      <w:pPr>
        <w:wordWrap w:val="0"/>
        <w:spacing w:line="48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（电子签章</w:t>
      </w:r>
      <w:r>
        <w:rPr>
          <w:rFonts w:hint="eastAsia" w:ascii="仿宋" w:hAnsi="仿宋" w:eastAsia="仿宋" w:cs="仿宋"/>
          <w:color w:val="auto"/>
          <w:sz w:val="24"/>
          <w:szCs w:val="24"/>
          <w:highlight w:val="none"/>
          <w:lang w:val="en-US" w:eastAsia="zh-CN"/>
        </w:rPr>
        <w:t>或签字</w:t>
      </w:r>
      <w:r>
        <w:rPr>
          <w:rFonts w:hint="eastAsia" w:ascii="仿宋" w:hAnsi="仿宋" w:eastAsia="仿宋" w:cs="仿宋"/>
          <w:color w:val="auto"/>
          <w:sz w:val="24"/>
          <w:szCs w:val="24"/>
          <w:highlight w:val="none"/>
        </w:rPr>
        <w:t>）</w:t>
      </w:r>
    </w:p>
    <w:p w14:paraId="5189C8D6">
      <w:pPr>
        <w:wordWrap w:val="0"/>
        <w:spacing w:line="48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B28291D">
      <w:pPr>
        <w:spacing w:line="440" w:lineRule="exact"/>
        <w:jc w:val="center"/>
        <w:outlineLvl w:val="2"/>
        <w:rPr>
          <w:rFonts w:hint="eastAsia" w:ascii="仿宋" w:hAnsi="仿宋" w:eastAsia="仿宋" w:cs="仿宋"/>
          <w:b/>
          <w:bCs/>
          <w:color w:val="auto"/>
          <w:szCs w:val="21"/>
          <w:highlight w:val="none"/>
        </w:rPr>
      </w:pPr>
      <w:r>
        <w:rPr>
          <w:rFonts w:hint="eastAsia" w:ascii="仿宋" w:hAnsi="仿宋" w:eastAsia="仿宋" w:cs="仿宋"/>
          <w:color w:val="auto"/>
          <w:sz w:val="24"/>
          <w:szCs w:val="24"/>
          <w:highlight w:val="none"/>
        </w:rPr>
        <w:br w:type="page"/>
      </w:r>
      <w:bookmarkStart w:id="567" w:name="_Toc3090"/>
      <w:r>
        <w:rPr>
          <w:rFonts w:hint="eastAsia" w:ascii="仿宋" w:hAnsi="仿宋" w:eastAsia="仿宋" w:cs="仿宋"/>
          <w:b/>
          <w:bCs/>
          <w:color w:val="auto"/>
          <w:sz w:val="24"/>
          <w:szCs w:val="24"/>
          <w:highlight w:val="none"/>
        </w:rPr>
        <w:t xml:space="preserve">（二） </w:t>
      </w:r>
      <w:bookmarkEnd w:id="567"/>
      <w:r>
        <w:rPr>
          <w:rFonts w:hint="eastAsia" w:ascii="仿宋" w:hAnsi="仿宋" w:eastAsia="仿宋" w:cs="仿宋"/>
          <w:b/>
          <w:bCs/>
          <w:color w:val="auto"/>
          <w:sz w:val="24"/>
          <w:szCs w:val="24"/>
          <w:highlight w:val="none"/>
          <w:lang w:eastAsia="zh-CN"/>
        </w:rPr>
        <w:t>磋商响应</w:t>
      </w:r>
      <w:r>
        <w:rPr>
          <w:rFonts w:hint="eastAsia" w:ascii="仿宋" w:hAnsi="仿宋" w:eastAsia="仿宋" w:cs="仿宋"/>
          <w:b/>
          <w:bCs/>
          <w:color w:val="auto"/>
          <w:sz w:val="24"/>
          <w:szCs w:val="24"/>
          <w:highlight w:val="none"/>
        </w:rPr>
        <w:t>一览表</w:t>
      </w:r>
    </w:p>
    <w:p w14:paraId="21AE3CEE">
      <w:pPr>
        <w:spacing w:line="440" w:lineRule="exact"/>
        <w:jc w:val="center"/>
        <w:rPr>
          <w:rFonts w:hint="eastAsia" w:ascii="仿宋" w:hAnsi="仿宋" w:eastAsia="仿宋" w:cs="仿宋"/>
          <w:b/>
          <w:bCs/>
          <w:color w:val="auto"/>
          <w:sz w:val="24"/>
          <w:highlight w:val="none"/>
        </w:rPr>
      </w:pPr>
    </w:p>
    <w:tbl>
      <w:tblPr>
        <w:tblStyle w:val="28"/>
        <w:tblW w:w="8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8"/>
        <w:gridCol w:w="6131"/>
      </w:tblGrid>
      <w:tr w14:paraId="7C57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148" w:type="dxa"/>
            <w:noWrap w:val="0"/>
            <w:vAlign w:val="center"/>
          </w:tcPr>
          <w:p w14:paraId="2F5FB77C">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供应商名称</w:t>
            </w:r>
          </w:p>
        </w:tc>
        <w:tc>
          <w:tcPr>
            <w:tcW w:w="6131" w:type="dxa"/>
            <w:noWrap w:val="0"/>
            <w:vAlign w:val="center"/>
          </w:tcPr>
          <w:p w14:paraId="578351CC">
            <w:pPr>
              <w:spacing w:line="440" w:lineRule="exact"/>
              <w:rPr>
                <w:rFonts w:hint="eastAsia" w:ascii="仿宋" w:hAnsi="仿宋" w:eastAsia="仿宋" w:cs="仿宋"/>
                <w:color w:val="auto"/>
                <w:sz w:val="24"/>
                <w:szCs w:val="24"/>
                <w:highlight w:val="none"/>
              </w:rPr>
            </w:pPr>
          </w:p>
        </w:tc>
      </w:tr>
      <w:tr w14:paraId="1AD8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148" w:type="dxa"/>
            <w:noWrap w:val="0"/>
            <w:vAlign w:val="center"/>
          </w:tcPr>
          <w:p w14:paraId="2D981218">
            <w:pPr>
              <w:spacing w:line="4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响应内容</w:t>
            </w:r>
          </w:p>
        </w:tc>
        <w:tc>
          <w:tcPr>
            <w:tcW w:w="6131" w:type="dxa"/>
            <w:noWrap w:val="0"/>
            <w:vAlign w:val="center"/>
          </w:tcPr>
          <w:p w14:paraId="5674E2AF">
            <w:pPr>
              <w:spacing w:line="440" w:lineRule="exact"/>
              <w:rPr>
                <w:rFonts w:hint="eastAsia" w:ascii="仿宋" w:hAnsi="仿宋" w:eastAsia="仿宋" w:cs="仿宋"/>
                <w:color w:val="auto"/>
                <w:sz w:val="24"/>
                <w:szCs w:val="24"/>
                <w:highlight w:val="none"/>
              </w:rPr>
            </w:pPr>
          </w:p>
        </w:tc>
      </w:tr>
      <w:tr w14:paraId="47CF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148" w:type="dxa"/>
            <w:noWrap w:val="0"/>
            <w:vAlign w:val="center"/>
          </w:tcPr>
          <w:p w14:paraId="60EAA34C">
            <w:pPr>
              <w:spacing w:line="440" w:lineRule="exact"/>
              <w:jc w:val="center"/>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eastAsia="zh-CN"/>
              </w:rPr>
              <w:t>项目总价</w:t>
            </w:r>
          </w:p>
          <w:p w14:paraId="4CAA8F89">
            <w:pPr>
              <w:spacing w:line="440" w:lineRule="exact"/>
              <w:jc w:val="center"/>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单位：元；此费用为固定费用，不作为竞争因素</w:t>
            </w:r>
            <w:r>
              <w:rPr>
                <w:rFonts w:hint="eastAsia" w:ascii="仿宋" w:hAnsi="仿宋" w:eastAsia="仿宋" w:cs="仿宋"/>
                <w:b w:val="0"/>
                <w:bCs w:val="0"/>
                <w:color w:val="auto"/>
                <w:sz w:val="24"/>
                <w:szCs w:val="24"/>
                <w:highlight w:val="none"/>
                <w:lang w:eastAsia="zh-CN"/>
              </w:rPr>
              <w:t>）</w:t>
            </w:r>
          </w:p>
        </w:tc>
        <w:tc>
          <w:tcPr>
            <w:tcW w:w="6131" w:type="dxa"/>
            <w:noWrap w:val="0"/>
            <w:vAlign w:val="center"/>
          </w:tcPr>
          <w:p w14:paraId="454E66D6">
            <w:pPr>
              <w:spacing w:line="44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单价：400元/人/年</w:t>
            </w:r>
          </w:p>
          <w:p w14:paraId="3AF2D6AA">
            <w:pPr>
              <w:pStyle w:val="2"/>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人数：约1986人，具体以实际承包人数和天数为准。</w:t>
            </w:r>
          </w:p>
          <w:p w14:paraId="7641CA1D">
            <w:pPr>
              <w:pStyle w:val="2"/>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lang w:val="en-US" w:eastAsia="zh-CN"/>
              </w:rPr>
              <w:t>总价：794400.00元</w:t>
            </w:r>
          </w:p>
        </w:tc>
      </w:tr>
      <w:tr w14:paraId="4AB7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48" w:type="dxa"/>
            <w:noWrap w:val="0"/>
            <w:vAlign w:val="center"/>
          </w:tcPr>
          <w:p w14:paraId="0F4CB797">
            <w:pPr>
              <w:spacing w:line="440" w:lineRule="exact"/>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投标总价</w:t>
            </w:r>
          </w:p>
          <w:p w14:paraId="30895EDA">
            <w:pPr>
              <w:spacing w:line="440" w:lineRule="exact"/>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保额合计值</w:t>
            </w:r>
          </w:p>
          <w:p w14:paraId="168CDA8C">
            <w:pPr>
              <w:spacing w:line="440" w:lineRule="exact"/>
              <w:jc w:val="center"/>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万元</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w:t>
            </w:r>
          </w:p>
        </w:tc>
        <w:tc>
          <w:tcPr>
            <w:tcW w:w="6131" w:type="dxa"/>
            <w:noWrap w:val="0"/>
            <w:vAlign w:val="center"/>
          </w:tcPr>
          <w:p w14:paraId="5C7D400B">
            <w:pPr>
              <w:spacing w:line="440" w:lineRule="exact"/>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b/>
                <w:bCs/>
                <w:color w:val="auto"/>
                <w:sz w:val="24"/>
                <w:szCs w:val="24"/>
                <w:highlight w:val="none"/>
                <w:lang w:val="en-US" w:eastAsia="zh-CN"/>
              </w:rPr>
              <w:t>、合计（</w:t>
            </w:r>
            <w:r>
              <w:rPr>
                <w:rFonts w:hint="eastAsia" w:ascii="仿宋" w:hAnsi="仿宋" w:eastAsia="仿宋" w:cs="仿宋"/>
                <w:color w:val="auto"/>
                <w:kern w:val="0"/>
                <w:sz w:val="24"/>
                <w:szCs w:val="24"/>
                <w:highlight w:val="none"/>
                <w:lang w:val="en-US" w:eastAsia="zh-CN" w:bidi="ar"/>
              </w:rPr>
              <w:t>18-65周岁</w:t>
            </w:r>
            <w:r>
              <w:rPr>
                <w:rFonts w:hint="eastAsia" w:ascii="仿宋" w:hAnsi="仿宋" w:eastAsia="仿宋" w:cs="仿宋"/>
                <w:b w:val="0"/>
                <w:bCs w:val="0"/>
                <w:color w:val="auto"/>
                <w:sz w:val="24"/>
                <w:szCs w:val="24"/>
                <w:highlight w:val="none"/>
              </w:rPr>
              <w:t>保额合计值</w:t>
            </w:r>
            <w:r>
              <w:rPr>
                <w:rFonts w:hint="eastAsia" w:ascii="仿宋" w:hAnsi="仿宋" w:eastAsia="仿宋" w:cs="仿宋"/>
                <w:b w:val="0"/>
                <w:bCs w:val="0"/>
                <w:color w:val="auto"/>
                <w:sz w:val="24"/>
                <w:szCs w:val="24"/>
                <w:highlight w:val="none"/>
                <w:lang w:val="en-US" w:eastAsia="zh-CN"/>
              </w:rPr>
              <w:t>和</w:t>
            </w:r>
            <w:r>
              <w:rPr>
                <w:rFonts w:hint="eastAsia" w:ascii="仿宋" w:hAnsi="仿宋" w:eastAsia="仿宋" w:cs="仿宋"/>
                <w:color w:val="auto"/>
                <w:kern w:val="0"/>
                <w:sz w:val="24"/>
                <w:szCs w:val="24"/>
                <w:highlight w:val="none"/>
                <w:lang w:val="en-US" w:eastAsia="zh-CN" w:bidi="ar"/>
              </w:rPr>
              <w:t>66-70周岁</w:t>
            </w:r>
            <w:r>
              <w:rPr>
                <w:rFonts w:hint="eastAsia" w:ascii="仿宋" w:hAnsi="仿宋" w:eastAsia="仿宋" w:cs="仿宋"/>
                <w:b w:val="0"/>
                <w:bCs w:val="0"/>
                <w:color w:val="auto"/>
                <w:sz w:val="24"/>
                <w:szCs w:val="24"/>
                <w:highlight w:val="none"/>
              </w:rPr>
              <w:t>保额合计值</w:t>
            </w:r>
            <w:r>
              <w:rPr>
                <w:rFonts w:hint="eastAsia" w:ascii="仿宋" w:hAnsi="仿宋" w:eastAsia="仿宋" w:cs="仿宋"/>
                <w:b/>
                <w:bCs/>
                <w:color w:val="auto"/>
                <w:sz w:val="24"/>
                <w:szCs w:val="24"/>
                <w:highlight w:val="none"/>
                <w:lang w:val="en-US" w:eastAsia="zh-CN"/>
              </w:rPr>
              <w:t>的总合计值）</w:t>
            </w:r>
          </w:p>
          <w:p w14:paraId="65F86020">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p w14:paraId="0D6A485F">
            <w:pPr>
              <w:pStyle w:val="2"/>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p w14:paraId="3FC66CC2">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注：</w:t>
            </w:r>
            <w:r>
              <w:rPr>
                <w:rFonts w:hint="eastAsia" w:ascii="仿宋" w:hAnsi="仿宋" w:eastAsia="仿宋" w:cs="仿宋"/>
                <w:color w:val="auto"/>
                <w:sz w:val="24"/>
                <w:szCs w:val="24"/>
                <w:highlight w:val="none"/>
              </w:rPr>
              <w:t>供应商应在此填列第一次报价，但以供应商最后一次的磋商报价为成交价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且第一次报价和最后一次报价均不得低于“第五章  采购需求”中的</w:t>
            </w:r>
            <w:r>
              <w:rPr>
                <w:rFonts w:hint="eastAsia" w:ascii="仿宋" w:hAnsi="仿宋" w:eastAsia="仿宋" w:cs="仿宋"/>
                <w:color w:val="auto"/>
                <w:sz w:val="24"/>
                <w:szCs w:val="24"/>
                <w:highlight w:val="none"/>
                <w:vertAlign w:val="baseline"/>
                <w:lang w:val="en-US" w:eastAsia="zh-CN"/>
              </w:rPr>
              <w:t>保障内容最低保险金额</w:t>
            </w:r>
            <w:r>
              <w:rPr>
                <w:rFonts w:hint="eastAsia" w:ascii="仿宋" w:hAnsi="仿宋" w:eastAsia="仿宋" w:cs="仿宋"/>
                <w:color w:val="auto"/>
                <w:sz w:val="24"/>
                <w:szCs w:val="24"/>
                <w:highlight w:val="none"/>
              </w:rPr>
              <w:t>）</w:t>
            </w:r>
          </w:p>
        </w:tc>
      </w:tr>
      <w:tr w14:paraId="1E36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148" w:type="dxa"/>
            <w:noWrap w:val="0"/>
            <w:vAlign w:val="center"/>
          </w:tcPr>
          <w:p w14:paraId="4F61F535">
            <w:pPr>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服务期限</w:t>
            </w:r>
          </w:p>
        </w:tc>
        <w:tc>
          <w:tcPr>
            <w:tcW w:w="6131" w:type="dxa"/>
            <w:noWrap w:val="0"/>
            <w:vAlign w:val="center"/>
          </w:tcPr>
          <w:p w14:paraId="759836D6">
            <w:pPr>
              <w:spacing w:line="440" w:lineRule="exact"/>
              <w:jc w:val="center"/>
              <w:rPr>
                <w:rFonts w:hint="eastAsia" w:ascii="仿宋" w:hAnsi="仿宋" w:eastAsia="仿宋" w:cs="仿宋"/>
                <w:color w:val="auto"/>
                <w:sz w:val="24"/>
                <w:szCs w:val="24"/>
                <w:highlight w:val="none"/>
              </w:rPr>
            </w:pPr>
          </w:p>
        </w:tc>
      </w:tr>
      <w:tr w14:paraId="1AEEC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148" w:type="dxa"/>
            <w:noWrap w:val="0"/>
            <w:vAlign w:val="center"/>
          </w:tcPr>
          <w:p w14:paraId="5211FACE">
            <w:pPr>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服务质量</w:t>
            </w:r>
          </w:p>
        </w:tc>
        <w:tc>
          <w:tcPr>
            <w:tcW w:w="6131" w:type="dxa"/>
            <w:noWrap w:val="0"/>
            <w:vAlign w:val="center"/>
          </w:tcPr>
          <w:p w14:paraId="29A2C6EA">
            <w:pPr>
              <w:spacing w:line="440" w:lineRule="exact"/>
              <w:jc w:val="center"/>
              <w:rPr>
                <w:rFonts w:hint="eastAsia" w:ascii="仿宋" w:hAnsi="仿宋" w:eastAsia="仿宋" w:cs="仿宋"/>
                <w:color w:val="auto"/>
                <w:sz w:val="24"/>
                <w:szCs w:val="24"/>
                <w:highlight w:val="none"/>
              </w:rPr>
            </w:pPr>
          </w:p>
        </w:tc>
      </w:tr>
      <w:tr w14:paraId="1C26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148" w:type="dxa"/>
            <w:noWrap w:val="0"/>
            <w:vAlign w:val="center"/>
          </w:tcPr>
          <w:p w14:paraId="556D8E1E">
            <w:pPr>
              <w:spacing w:line="4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磋商有效期</w:t>
            </w:r>
          </w:p>
        </w:tc>
        <w:tc>
          <w:tcPr>
            <w:tcW w:w="6131" w:type="dxa"/>
            <w:noWrap w:val="0"/>
            <w:vAlign w:val="center"/>
          </w:tcPr>
          <w:p w14:paraId="22E255C5">
            <w:pPr>
              <w:spacing w:line="440" w:lineRule="exact"/>
              <w:rPr>
                <w:rFonts w:hint="eastAsia" w:ascii="仿宋" w:hAnsi="仿宋" w:eastAsia="仿宋" w:cs="仿宋"/>
                <w:color w:val="auto"/>
                <w:sz w:val="24"/>
                <w:szCs w:val="24"/>
                <w:highlight w:val="none"/>
              </w:rPr>
            </w:pPr>
          </w:p>
        </w:tc>
      </w:tr>
      <w:tr w14:paraId="5891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148" w:type="dxa"/>
            <w:noWrap w:val="0"/>
            <w:vAlign w:val="center"/>
          </w:tcPr>
          <w:p w14:paraId="62D2EF72">
            <w:pPr>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项目负责人</w:t>
            </w:r>
          </w:p>
        </w:tc>
        <w:tc>
          <w:tcPr>
            <w:tcW w:w="6131" w:type="dxa"/>
            <w:noWrap w:val="0"/>
            <w:vAlign w:val="center"/>
          </w:tcPr>
          <w:p w14:paraId="57FE56B6">
            <w:pPr>
              <w:spacing w:line="440" w:lineRule="exact"/>
              <w:jc w:val="center"/>
              <w:rPr>
                <w:rFonts w:hint="eastAsia" w:ascii="仿宋" w:hAnsi="仿宋" w:eastAsia="仿宋" w:cs="仿宋"/>
                <w:color w:val="auto"/>
                <w:sz w:val="24"/>
                <w:szCs w:val="24"/>
                <w:highlight w:val="none"/>
              </w:rPr>
            </w:pPr>
          </w:p>
        </w:tc>
      </w:tr>
      <w:tr w14:paraId="173E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8279" w:type="dxa"/>
            <w:gridSpan w:val="2"/>
            <w:noWrap w:val="0"/>
            <w:vAlign w:val="center"/>
          </w:tcPr>
          <w:p w14:paraId="086E5420">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其他声明：</w:t>
            </w:r>
          </w:p>
        </w:tc>
      </w:tr>
    </w:tbl>
    <w:p w14:paraId="01AAD745">
      <w:pPr>
        <w:wordWrap w:val="0"/>
        <w:spacing w:line="480" w:lineRule="auto"/>
        <w:ind w:firstLine="2310" w:firstLineChars="1100"/>
        <w:jc w:val="both"/>
        <w:rPr>
          <w:rFonts w:hint="eastAsia" w:ascii="仿宋" w:hAnsi="仿宋" w:eastAsia="仿宋" w:cs="仿宋"/>
          <w:color w:val="auto"/>
          <w:sz w:val="24"/>
          <w:szCs w:val="24"/>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 xml:space="preserve">  </w:t>
      </w: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（电子签章）</w:t>
      </w:r>
    </w:p>
    <w:p w14:paraId="1466B9A7">
      <w:pPr>
        <w:wordWrap w:val="0"/>
        <w:spacing w:line="48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（电子签章</w:t>
      </w:r>
      <w:r>
        <w:rPr>
          <w:rFonts w:hint="eastAsia" w:ascii="仿宋" w:hAnsi="仿宋" w:eastAsia="仿宋" w:cs="仿宋"/>
          <w:color w:val="auto"/>
          <w:sz w:val="24"/>
          <w:szCs w:val="24"/>
          <w:highlight w:val="none"/>
          <w:lang w:val="en-US" w:eastAsia="zh-CN"/>
        </w:rPr>
        <w:t>或签字</w:t>
      </w:r>
      <w:r>
        <w:rPr>
          <w:rFonts w:hint="eastAsia" w:ascii="仿宋" w:hAnsi="仿宋" w:eastAsia="仿宋" w:cs="仿宋"/>
          <w:color w:val="auto"/>
          <w:sz w:val="24"/>
          <w:szCs w:val="24"/>
          <w:highlight w:val="none"/>
        </w:rPr>
        <w:t>）</w:t>
      </w:r>
    </w:p>
    <w:p w14:paraId="31664434">
      <w:pPr>
        <w:wordWrap w:val="0"/>
        <w:spacing w:line="48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7C2F2E3">
      <w:pP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br w:type="page"/>
      </w:r>
    </w:p>
    <w:p w14:paraId="55442FB5">
      <w:pPr>
        <w:numPr>
          <w:ilvl w:val="0"/>
          <w:numId w:val="0"/>
        </w:numPr>
        <w:wordWrap w:val="0"/>
        <w:spacing w:line="360" w:lineRule="auto"/>
        <w:jc w:val="center"/>
        <w:outlineLvl w:val="2"/>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（三）</w:t>
      </w:r>
      <w:r>
        <w:rPr>
          <w:rFonts w:hint="eastAsia" w:ascii="仿宋" w:hAnsi="仿宋" w:eastAsia="仿宋" w:cs="仿宋"/>
          <w:b/>
          <w:bCs/>
          <w:color w:val="auto"/>
          <w:sz w:val="24"/>
          <w:szCs w:val="24"/>
          <w:highlight w:val="none"/>
          <w:lang w:val="en-US" w:eastAsia="zh-CN"/>
        </w:rPr>
        <w:t>承诺保险金额</w:t>
      </w:r>
      <w:r>
        <w:rPr>
          <w:rFonts w:hint="eastAsia" w:ascii="仿宋" w:hAnsi="仿宋" w:eastAsia="仿宋" w:cs="仿宋"/>
          <w:b/>
          <w:bCs/>
          <w:color w:val="auto"/>
          <w:sz w:val="24"/>
          <w:szCs w:val="24"/>
          <w:highlight w:val="none"/>
        </w:rPr>
        <w:t>一览表</w:t>
      </w:r>
    </w:p>
    <w:p w14:paraId="5D4A1AE0">
      <w:pPr>
        <w:keepNext w:val="0"/>
        <w:keepLines w:val="0"/>
        <w:widowControl/>
        <w:suppressLineNumbers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1.参保内容及最低保额（18-65周岁）</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962"/>
        <w:gridCol w:w="3096"/>
        <w:gridCol w:w="948"/>
        <w:gridCol w:w="3766"/>
        <w:gridCol w:w="673"/>
      </w:tblGrid>
      <w:tr w14:paraId="18C5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5BCE98A1">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362" w:type="dxa"/>
            <w:noWrap w:val="0"/>
            <w:vAlign w:val="center"/>
          </w:tcPr>
          <w:p w14:paraId="38DABF58">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保障内容</w:t>
            </w:r>
          </w:p>
        </w:tc>
        <w:tc>
          <w:tcPr>
            <w:tcW w:w="1431" w:type="dxa"/>
            <w:noWrap w:val="0"/>
            <w:vAlign w:val="center"/>
          </w:tcPr>
          <w:p w14:paraId="0CF5FE9B">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保障内容最低保险金额</w:t>
            </w:r>
          </w:p>
        </w:tc>
        <w:tc>
          <w:tcPr>
            <w:tcW w:w="1337" w:type="dxa"/>
            <w:noWrap w:val="0"/>
            <w:vAlign w:val="center"/>
          </w:tcPr>
          <w:p w14:paraId="1C217549">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承诺保</w:t>
            </w:r>
          </w:p>
          <w:p w14:paraId="298F83A9">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险金额</w:t>
            </w:r>
          </w:p>
        </w:tc>
        <w:tc>
          <w:tcPr>
            <w:tcW w:w="4486" w:type="dxa"/>
            <w:noWrap w:val="0"/>
            <w:vAlign w:val="center"/>
          </w:tcPr>
          <w:p w14:paraId="42F6D36F">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赔付标准</w:t>
            </w:r>
          </w:p>
        </w:tc>
        <w:tc>
          <w:tcPr>
            <w:tcW w:w="750" w:type="dxa"/>
            <w:noWrap w:val="0"/>
            <w:vAlign w:val="center"/>
          </w:tcPr>
          <w:p w14:paraId="286A8AC1">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保费单价</w:t>
            </w:r>
          </w:p>
        </w:tc>
      </w:tr>
      <w:tr w14:paraId="6CFD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65" w:type="dxa"/>
            <w:noWrap w:val="0"/>
            <w:vAlign w:val="center"/>
          </w:tcPr>
          <w:p w14:paraId="662841A3">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362" w:type="dxa"/>
            <w:noWrap w:val="0"/>
            <w:vAlign w:val="center"/>
          </w:tcPr>
          <w:p w14:paraId="146ECC7F">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意外伤害身故</w:t>
            </w:r>
          </w:p>
        </w:tc>
        <w:tc>
          <w:tcPr>
            <w:tcW w:w="1431" w:type="dxa"/>
            <w:noWrap w:val="0"/>
            <w:vAlign w:val="center"/>
          </w:tcPr>
          <w:p w14:paraId="18CBBA08">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40万元/人</w:t>
            </w:r>
          </w:p>
        </w:tc>
        <w:tc>
          <w:tcPr>
            <w:tcW w:w="1337" w:type="dxa"/>
            <w:noWrap w:val="0"/>
            <w:vAlign w:val="center"/>
          </w:tcPr>
          <w:p w14:paraId="6BB91918">
            <w:pPr>
              <w:spacing w:line="360" w:lineRule="auto"/>
              <w:jc w:val="left"/>
              <w:rPr>
                <w:rFonts w:hint="eastAsia" w:ascii="仿宋" w:hAnsi="仿宋" w:eastAsia="仿宋" w:cs="仿宋"/>
                <w:color w:val="auto"/>
                <w:sz w:val="24"/>
                <w:szCs w:val="24"/>
                <w:highlight w:val="none"/>
                <w:vertAlign w:val="baseline"/>
                <w:lang w:val="en-US" w:eastAsia="zh-CN"/>
              </w:rPr>
            </w:pPr>
          </w:p>
        </w:tc>
        <w:tc>
          <w:tcPr>
            <w:tcW w:w="4486" w:type="dxa"/>
            <w:noWrap w:val="0"/>
            <w:vAlign w:val="center"/>
          </w:tcPr>
          <w:p w14:paraId="1BDF2BC0">
            <w:pPr>
              <w:spacing w:line="360"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在工作时间和工作场所内：因意外身故（遭受外来的、突发的、非本意的、非疾病的等意外情况）</w:t>
            </w:r>
          </w:p>
        </w:tc>
        <w:tc>
          <w:tcPr>
            <w:tcW w:w="750" w:type="dxa"/>
            <w:vMerge w:val="restart"/>
            <w:noWrap w:val="0"/>
            <w:vAlign w:val="center"/>
          </w:tcPr>
          <w:p w14:paraId="207834A3">
            <w:pPr>
              <w:spacing w:line="360"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color w:val="auto"/>
                <w:sz w:val="24"/>
                <w:szCs w:val="24"/>
                <w:highlight w:val="none"/>
                <w:lang w:val="en-US" w:eastAsia="zh-CN"/>
              </w:rPr>
              <w:t>400</w:t>
            </w:r>
            <w:r>
              <w:rPr>
                <w:rFonts w:hint="eastAsia" w:ascii="仿宋" w:hAnsi="仿宋" w:eastAsia="仿宋" w:cs="仿宋"/>
                <w:b w:val="0"/>
                <w:color w:val="auto"/>
                <w:sz w:val="24"/>
                <w:szCs w:val="24"/>
                <w:highlight w:val="none"/>
              </w:rPr>
              <w:t>元/人/年</w:t>
            </w:r>
          </w:p>
        </w:tc>
      </w:tr>
      <w:tr w14:paraId="5F5B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65" w:type="dxa"/>
            <w:noWrap w:val="0"/>
            <w:vAlign w:val="center"/>
          </w:tcPr>
          <w:p w14:paraId="4C9BF5E5">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1362" w:type="dxa"/>
            <w:noWrap w:val="0"/>
            <w:vAlign w:val="center"/>
          </w:tcPr>
          <w:p w14:paraId="422FE17A">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疾病身故</w:t>
            </w:r>
          </w:p>
        </w:tc>
        <w:tc>
          <w:tcPr>
            <w:tcW w:w="1431" w:type="dxa"/>
            <w:noWrap w:val="0"/>
            <w:vAlign w:val="center"/>
          </w:tcPr>
          <w:p w14:paraId="66C84E49">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30万元/人</w:t>
            </w:r>
          </w:p>
        </w:tc>
        <w:tc>
          <w:tcPr>
            <w:tcW w:w="1337" w:type="dxa"/>
            <w:noWrap w:val="0"/>
            <w:vAlign w:val="center"/>
          </w:tcPr>
          <w:p w14:paraId="05CA872B">
            <w:pPr>
              <w:spacing w:line="360" w:lineRule="auto"/>
              <w:jc w:val="left"/>
              <w:rPr>
                <w:rFonts w:hint="eastAsia" w:ascii="仿宋" w:hAnsi="仿宋" w:eastAsia="仿宋" w:cs="仿宋"/>
                <w:color w:val="auto"/>
                <w:sz w:val="24"/>
                <w:szCs w:val="24"/>
                <w:highlight w:val="none"/>
                <w:vertAlign w:val="baseline"/>
                <w:lang w:val="en-US" w:eastAsia="zh-CN"/>
              </w:rPr>
            </w:pPr>
          </w:p>
        </w:tc>
        <w:tc>
          <w:tcPr>
            <w:tcW w:w="4486" w:type="dxa"/>
            <w:noWrap w:val="0"/>
            <w:vAlign w:val="center"/>
          </w:tcPr>
          <w:p w14:paraId="4484C906">
            <w:pPr>
              <w:spacing w:line="360"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在工作时间和工作岗位，突发疾病死亡或者在48小时之内经抢救无效死亡。</w:t>
            </w:r>
          </w:p>
        </w:tc>
        <w:tc>
          <w:tcPr>
            <w:tcW w:w="750" w:type="dxa"/>
            <w:vMerge w:val="continue"/>
            <w:noWrap w:val="0"/>
            <w:vAlign w:val="center"/>
          </w:tcPr>
          <w:p w14:paraId="5C7CC62B">
            <w:pPr>
              <w:spacing w:line="360" w:lineRule="auto"/>
              <w:jc w:val="left"/>
              <w:rPr>
                <w:rFonts w:hint="eastAsia" w:ascii="仿宋" w:hAnsi="仿宋" w:eastAsia="仿宋" w:cs="仿宋"/>
                <w:color w:val="auto"/>
                <w:sz w:val="24"/>
                <w:szCs w:val="24"/>
                <w:highlight w:val="none"/>
                <w:vertAlign w:val="baseline"/>
                <w:lang w:val="en-US" w:eastAsia="zh-CN"/>
              </w:rPr>
            </w:pPr>
          </w:p>
        </w:tc>
      </w:tr>
      <w:tr w14:paraId="3D6C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65" w:type="dxa"/>
            <w:noWrap w:val="0"/>
            <w:vAlign w:val="center"/>
          </w:tcPr>
          <w:p w14:paraId="74786289">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w:t>
            </w:r>
          </w:p>
        </w:tc>
        <w:tc>
          <w:tcPr>
            <w:tcW w:w="1362" w:type="dxa"/>
            <w:noWrap w:val="0"/>
            <w:vAlign w:val="center"/>
          </w:tcPr>
          <w:p w14:paraId="0C69FD05">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意外伤害致残</w:t>
            </w:r>
          </w:p>
        </w:tc>
        <w:tc>
          <w:tcPr>
            <w:tcW w:w="1431" w:type="dxa"/>
            <w:noWrap w:val="0"/>
            <w:vAlign w:val="center"/>
          </w:tcPr>
          <w:p w14:paraId="697B37A9">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40万元/人</w:t>
            </w:r>
          </w:p>
        </w:tc>
        <w:tc>
          <w:tcPr>
            <w:tcW w:w="1337" w:type="dxa"/>
            <w:noWrap w:val="0"/>
            <w:vAlign w:val="center"/>
          </w:tcPr>
          <w:p w14:paraId="19E2DD4F">
            <w:pPr>
              <w:keepNext w:val="0"/>
              <w:keepLines w:val="0"/>
              <w:widowControl/>
              <w:suppressLineNumbers w:val="0"/>
              <w:spacing w:line="360" w:lineRule="auto"/>
              <w:jc w:val="left"/>
              <w:rPr>
                <w:rFonts w:hint="eastAsia" w:ascii="仿宋" w:hAnsi="仿宋" w:eastAsia="仿宋" w:cs="仿宋"/>
                <w:color w:val="auto"/>
                <w:sz w:val="24"/>
                <w:szCs w:val="24"/>
                <w:highlight w:val="none"/>
                <w:vertAlign w:val="baseline"/>
                <w:lang w:val="en-US" w:eastAsia="zh-CN"/>
              </w:rPr>
            </w:pPr>
          </w:p>
        </w:tc>
        <w:tc>
          <w:tcPr>
            <w:tcW w:w="4486" w:type="dxa"/>
            <w:noWrap w:val="0"/>
            <w:vAlign w:val="center"/>
          </w:tcPr>
          <w:p w14:paraId="2A335E7B">
            <w:pPr>
              <w:keepNext w:val="0"/>
              <w:keepLines w:val="0"/>
              <w:widowControl/>
              <w:suppressLineNumbers w:val="0"/>
              <w:spacing w:line="360"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在保险责任内因意外导致身体残疾，伤残鉴定依据标准《劳动能力坚定职工工伤与职业病致残等级（GB/T16080-2014）》。</w:t>
            </w:r>
          </w:p>
        </w:tc>
        <w:tc>
          <w:tcPr>
            <w:tcW w:w="750" w:type="dxa"/>
            <w:vMerge w:val="continue"/>
            <w:noWrap w:val="0"/>
            <w:vAlign w:val="center"/>
          </w:tcPr>
          <w:p w14:paraId="6A140D47">
            <w:pPr>
              <w:keepNext w:val="0"/>
              <w:keepLines w:val="0"/>
              <w:widowControl/>
              <w:suppressLineNumbers w:val="0"/>
              <w:spacing w:line="360" w:lineRule="auto"/>
              <w:jc w:val="left"/>
              <w:rPr>
                <w:rFonts w:hint="eastAsia" w:ascii="仿宋" w:hAnsi="仿宋" w:eastAsia="仿宋" w:cs="仿宋"/>
                <w:color w:val="auto"/>
                <w:sz w:val="24"/>
                <w:szCs w:val="24"/>
                <w:highlight w:val="none"/>
                <w:vertAlign w:val="baseline"/>
                <w:lang w:val="en-US" w:eastAsia="zh-CN"/>
              </w:rPr>
            </w:pPr>
          </w:p>
        </w:tc>
      </w:tr>
      <w:tr w14:paraId="3F8F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65" w:type="dxa"/>
            <w:noWrap w:val="0"/>
            <w:vAlign w:val="center"/>
          </w:tcPr>
          <w:p w14:paraId="79DD1704">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1362" w:type="dxa"/>
            <w:noWrap w:val="0"/>
            <w:vAlign w:val="center"/>
          </w:tcPr>
          <w:p w14:paraId="5F33B412">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意外伤害医疗</w:t>
            </w:r>
          </w:p>
        </w:tc>
        <w:tc>
          <w:tcPr>
            <w:tcW w:w="1431" w:type="dxa"/>
            <w:noWrap w:val="0"/>
            <w:vAlign w:val="center"/>
          </w:tcPr>
          <w:p w14:paraId="1A525067">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5万元/人</w:t>
            </w:r>
          </w:p>
        </w:tc>
        <w:tc>
          <w:tcPr>
            <w:tcW w:w="1337" w:type="dxa"/>
            <w:noWrap w:val="0"/>
            <w:vAlign w:val="center"/>
          </w:tcPr>
          <w:p w14:paraId="47FEDCAF">
            <w:pPr>
              <w:spacing w:line="360" w:lineRule="auto"/>
              <w:jc w:val="left"/>
              <w:rPr>
                <w:rFonts w:hint="eastAsia" w:ascii="仿宋" w:hAnsi="仿宋" w:eastAsia="仿宋" w:cs="仿宋"/>
                <w:color w:val="auto"/>
                <w:sz w:val="24"/>
                <w:szCs w:val="24"/>
                <w:highlight w:val="none"/>
                <w:vertAlign w:val="baseline"/>
                <w:lang w:val="en-US" w:eastAsia="zh-CN"/>
              </w:rPr>
            </w:pPr>
          </w:p>
        </w:tc>
        <w:tc>
          <w:tcPr>
            <w:tcW w:w="4486" w:type="dxa"/>
            <w:noWrap w:val="0"/>
            <w:vAlign w:val="center"/>
          </w:tcPr>
          <w:p w14:paraId="286C73EA">
            <w:pPr>
              <w:spacing w:line="360"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在工作时间和工作场所内，因工作原因受到事故伤害，每次事故每人医疗费用绝对免赔200元或核定赔偿金额的 10%，两者以高者为准。</w:t>
            </w:r>
          </w:p>
        </w:tc>
        <w:tc>
          <w:tcPr>
            <w:tcW w:w="750" w:type="dxa"/>
            <w:vMerge w:val="continue"/>
            <w:noWrap w:val="0"/>
            <w:vAlign w:val="center"/>
          </w:tcPr>
          <w:p w14:paraId="5DC071BB">
            <w:pPr>
              <w:spacing w:line="360" w:lineRule="auto"/>
              <w:jc w:val="left"/>
              <w:rPr>
                <w:rFonts w:hint="eastAsia" w:ascii="仿宋" w:hAnsi="仿宋" w:eastAsia="仿宋" w:cs="仿宋"/>
                <w:color w:val="auto"/>
                <w:sz w:val="24"/>
                <w:szCs w:val="24"/>
                <w:highlight w:val="none"/>
                <w:vertAlign w:val="baseline"/>
                <w:lang w:val="en-US" w:eastAsia="zh-CN"/>
              </w:rPr>
            </w:pPr>
          </w:p>
        </w:tc>
      </w:tr>
      <w:tr w14:paraId="4A3D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65" w:type="dxa"/>
            <w:noWrap w:val="0"/>
            <w:vAlign w:val="center"/>
          </w:tcPr>
          <w:p w14:paraId="3F9DFD08">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p>
        </w:tc>
        <w:tc>
          <w:tcPr>
            <w:tcW w:w="1362" w:type="dxa"/>
            <w:noWrap w:val="0"/>
            <w:vAlign w:val="center"/>
          </w:tcPr>
          <w:p w14:paraId="58FE6D8A">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误工费</w:t>
            </w:r>
          </w:p>
        </w:tc>
        <w:tc>
          <w:tcPr>
            <w:tcW w:w="1431" w:type="dxa"/>
            <w:noWrap w:val="0"/>
            <w:vAlign w:val="center"/>
          </w:tcPr>
          <w:p w14:paraId="318185FD">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100元/人/天</w:t>
            </w:r>
          </w:p>
        </w:tc>
        <w:tc>
          <w:tcPr>
            <w:tcW w:w="1337" w:type="dxa"/>
            <w:noWrap w:val="0"/>
            <w:vAlign w:val="center"/>
          </w:tcPr>
          <w:p w14:paraId="4181617F">
            <w:pPr>
              <w:spacing w:line="360" w:lineRule="auto"/>
              <w:jc w:val="left"/>
              <w:rPr>
                <w:rFonts w:hint="eastAsia" w:ascii="仿宋" w:hAnsi="仿宋" w:eastAsia="仿宋" w:cs="仿宋"/>
                <w:color w:val="auto"/>
                <w:sz w:val="24"/>
                <w:szCs w:val="24"/>
                <w:highlight w:val="none"/>
                <w:vertAlign w:val="baseline"/>
                <w:lang w:val="en-US" w:eastAsia="zh-CN"/>
              </w:rPr>
            </w:pPr>
          </w:p>
        </w:tc>
        <w:tc>
          <w:tcPr>
            <w:tcW w:w="4486" w:type="dxa"/>
            <w:noWrap w:val="0"/>
            <w:vAlign w:val="center"/>
          </w:tcPr>
          <w:p w14:paraId="7BFB8CC5">
            <w:pPr>
              <w:spacing w:line="360"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因意外导致误工，每人每天100元，每次事故免赔3天，单次最高赔付90天。</w:t>
            </w:r>
          </w:p>
        </w:tc>
        <w:tc>
          <w:tcPr>
            <w:tcW w:w="750" w:type="dxa"/>
            <w:vMerge w:val="continue"/>
            <w:noWrap w:val="0"/>
            <w:vAlign w:val="center"/>
          </w:tcPr>
          <w:p w14:paraId="307240F0">
            <w:pPr>
              <w:spacing w:line="360" w:lineRule="auto"/>
              <w:jc w:val="left"/>
              <w:rPr>
                <w:rFonts w:hint="eastAsia" w:ascii="仿宋" w:hAnsi="仿宋" w:eastAsia="仿宋" w:cs="仿宋"/>
                <w:color w:val="auto"/>
                <w:sz w:val="24"/>
                <w:szCs w:val="24"/>
                <w:highlight w:val="none"/>
                <w:vertAlign w:val="baseline"/>
                <w:lang w:val="en-US" w:eastAsia="zh-CN"/>
              </w:rPr>
            </w:pPr>
          </w:p>
        </w:tc>
      </w:tr>
      <w:tr w14:paraId="482E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927" w:type="dxa"/>
            <w:gridSpan w:val="2"/>
            <w:noWrap w:val="0"/>
            <w:vAlign w:val="center"/>
          </w:tcPr>
          <w:p w14:paraId="5F76487D">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lang w:val="en-US" w:eastAsia="zh-CN"/>
              </w:rPr>
              <w:t>保额合计值</w:t>
            </w:r>
          </w:p>
        </w:tc>
        <w:tc>
          <w:tcPr>
            <w:tcW w:w="1431" w:type="dxa"/>
            <w:noWrap w:val="0"/>
            <w:vAlign w:val="center"/>
          </w:tcPr>
          <w:p w14:paraId="08470F8F">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40+</w:t>
            </w:r>
            <w:r>
              <w:rPr>
                <w:rFonts w:hint="eastAsia" w:ascii="仿宋" w:hAnsi="仿宋" w:eastAsia="仿宋" w:cs="仿宋"/>
                <w:b w:val="0"/>
                <w:bCs w:val="0"/>
                <w:color w:val="auto"/>
                <w:sz w:val="24"/>
                <w:szCs w:val="24"/>
                <w:highlight w:val="none"/>
                <w:vertAlign w:val="baseline"/>
                <w:lang w:val="en-US" w:eastAsia="zh-CN"/>
              </w:rPr>
              <w:t>30+40+5+0.</w:t>
            </w:r>
            <w:r>
              <w:rPr>
                <w:rFonts w:hint="eastAsia" w:ascii="仿宋" w:hAnsi="仿宋" w:eastAsia="仿宋" w:cs="仿宋"/>
                <w:color w:val="auto"/>
                <w:sz w:val="24"/>
                <w:szCs w:val="24"/>
                <w:highlight w:val="none"/>
                <w:vertAlign w:val="baseline"/>
                <w:lang w:val="en-US" w:eastAsia="zh-CN"/>
              </w:rPr>
              <w:t>01*90=115.9万元/人</w:t>
            </w:r>
          </w:p>
        </w:tc>
        <w:tc>
          <w:tcPr>
            <w:tcW w:w="1337" w:type="dxa"/>
            <w:noWrap w:val="0"/>
            <w:vAlign w:val="center"/>
          </w:tcPr>
          <w:p w14:paraId="09D85BC9">
            <w:pPr>
              <w:spacing w:line="360" w:lineRule="auto"/>
              <w:jc w:val="left"/>
              <w:rPr>
                <w:rFonts w:hint="eastAsia" w:ascii="仿宋" w:hAnsi="仿宋" w:eastAsia="仿宋" w:cs="仿宋"/>
                <w:color w:val="auto"/>
                <w:sz w:val="24"/>
                <w:szCs w:val="24"/>
                <w:highlight w:val="none"/>
                <w:vertAlign w:val="baseline"/>
                <w:lang w:val="en-US" w:eastAsia="zh-CN"/>
              </w:rPr>
            </w:pPr>
          </w:p>
        </w:tc>
        <w:tc>
          <w:tcPr>
            <w:tcW w:w="4486" w:type="dxa"/>
            <w:noWrap w:val="0"/>
            <w:vAlign w:val="center"/>
          </w:tcPr>
          <w:p w14:paraId="016BADB7">
            <w:pPr>
              <w:spacing w:line="360"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c>
          <w:tcPr>
            <w:tcW w:w="750" w:type="dxa"/>
            <w:noWrap w:val="0"/>
            <w:vAlign w:val="center"/>
          </w:tcPr>
          <w:p w14:paraId="0630C38A">
            <w:pPr>
              <w:spacing w:line="360"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r>
    </w:tbl>
    <w:p w14:paraId="66D8224B">
      <w:pPr>
        <w:keepNext w:val="0"/>
        <w:keepLines w:val="0"/>
        <w:widowControl/>
        <w:suppressLineNumbers w:val="0"/>
        <w:spacing w:line="360" w:lineRule="auto"/>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2.参保内容及最低保额（66-70周岁）</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930"/>
        <w:gridCol w:w="2976"/>
        <w:gridCol w:w="972"/>
        <w:gridCol w:w="3813"/>
        <w:gridCol w:w="701"/>
      </w:tblGrid>
      <w:tr w14:paraId="746A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14:paraId="08F19A7E">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263" w:type="dxa"/>
            <w:noWrap w:val="0"/>
            <w:vAlign w:val="center"/>
          </w:tcPr>
          <w:p w14:paraId="229CBBC5">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保障内容</w:t>
            </w:r>
          </w:p>
        </w:tc>
        <w:tc>
          <w:tcPr>
            <w:tcW w:w="1440" w:type="dxa"/>
            <w:noWrap w:val="0"/>
            <w:vAlign w:val="center"/>
          </w:tcPr>
          <w:p w14:paraId="2C7C58B5">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保障内容最低保险金额</w:t>
            </w:r>
          </w:p>
        </w:tc>
        <w:tc>
          <w:tcPr>
            <w:tcW w:w="1335" w:type="dxa"/>
            <w:noWrap w:val="0"/>
            <w:vAlign w:val="center"/>
          </w:tcPr>
          <w:p w14:paraId="3E0E6315">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承诺保险金额</w:t>
            </w:r>
          </w:p>
        </w:tc>
        <w:tc>
          <w:tcPr>
            <w:tcW w:w="4485" w:type="dxa"/>
            <w:noWrap w:val="0"/>
            <w:vAlign w:val="center"/>
          </w:tcPr>
          <w:p w14:paraId="32083948">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赔付标准</w:t>
            </w:r>
          </w:p>
        </w:tc>
        <w:tc>
          <w:tcPr>
            <w:tcW w:w="788" w:type="dxa"/>
            <w:noWrap w:val="0"/>
            <w:vAlign w:val="center"/>
          </w:tcPr>
          <w:p w14:paraId="2B4131D7">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保费单价</w:t>
            </w:r>
          </w:p>
        </w:tc>
      </w:tr>
      <w:tr w14:paraId="055C2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51" w:type="dxa"/>
            <w:noWrap w:val="0"/>
            <w:vAlign w:val="center"/>
          </w:tcPr>
          <w:p w14:paraId="1AC66872">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263" w:type="dxa"/>
            <w:noWrap w:val="0"/>
            <w:vAlign w:val="center"/>
          </w:tcPr>
          <w:p w14:paraId="3BF58DC8">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意外伤害身故</w:t>
            </w:r>
          </w:p>
        </w:tc>
        <w:tc>
          <w:tcPr>
            <w:tcW w:w="1440" w:type="dxa"/>
            <w:noWrap w:val="0"/>
            <w:vAlign w:val="center"/>
          </w:tcPr>
          <w:p w14:paraId="72FC2B3B">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20万元/人</w:t>
            </w:r>
          </w:p>
        </w:tc>
        <w:tc>
          <w:tcPr>
            <w:tcW w:w="1335" w:type="dxa"/>
            <w:noWrap w:val="0"/>
            <w:vAlign w:val="center"/>
          </w:tcPr>
          <w:p w14:paraId="4380CD72">
            <w:pPr>
              <w:spacing w:line="360" w:lineRule="auto"/>
              <w:jc w:val="center"/>
              <w:rPr>
                <w:rFonts w:hint="eastAsia" w:ascii="仿宋" w:hAnsi="仿宋" w:eastAsia="仿宋" w:cs="仿宋"/>
                <w:color w:val="auto"/>
                <w:sz w:val="24"/>
                <w:szCs w:val="24"/>
                <w:highlight w:val="none"/>
                <w:vertAlign w:val="baseline"/>
                <w:lang w:val="en-US" w:eastAsia="zh-CN"/>
              </w:rPr>
            </w:pPr>
          </w:p>
        </w:tc>
        <w:tc>
          <w:tcPr>
            <w:tcW w:w="4485" w:type="dxa"/>
            <w:noWrap w:val="0"/>
            <w:vAlign w:val="center"/>
          </w:tcPr>
          <w:p w14:paraId="63A5E8FD">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在工作时间和工作场所内：因意外身故（遭受外来的、突发的、非本意的、非疾病的等意外情况）。</w:t>
            </w:r>
          </w:p>
        </w:tc>
        <w:tc>
          <w:tcPr>
            <w:tcW w:w="788" w:type="dxa"/>
            <w:vMerge w:val="restart"/>
            <w:noWrap w:val="0"/>
            <w:vAlign w:val="center"/>
          </w:tcPr>
          <w:p w14:paraId="7CF302C6">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color w:val="auto"/>
                <w:sz w:val="24"/>
                <w:szCs w:val="24"/>
                <w:highlight w:val="none"/>
                <w:lang w:val="en-US" w:eastAsia="zh-CN"/>
              </w:rPr>
              <w:t>400</w:t>
            </w:r>
            <w:r>
              <w:rPr>
                <w:rFonts w:hint="eastAsia" w:ascii="仿宋" w:hAnsi="仿宋" w:eastAsia="仿宋" w:cs="仿宋"/>
                <w:b w:val="0"/>
                <w:color w:val="auto"/>
                <w:sz w:val="24"/>
                <w:szCs w:val="24"/>
                <w:highlight w:val="none"/>
              </w:rPr>
              <w:t>元/人/年</w:t>
            </w:r>
          </w:p>
        </w:tc>
      </w:tr>
      <w:tr w14:paraId="670F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51" w:type="dxa"/>
            <w:noWrap w:val="0"/>
            <w:vAlign w:val="center"/>
          </w:tcPr>
          <w:p w14:paraId="19067F91">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1263" w:type="dxa"/>
            <w:noWrap w:val="0"/>
            <w:vAlign w:val="center"/>
          </w:tcPr>
          <w:p w14:paraId="3E512078">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疾病身故</w:t>
            </w:r>
          </w:p>
        </w:tc>
        <w:tc>
          <w:tcPr>
            <w:tcW w:w="1440" w:type="dxa"/>
            <w:noWrap w:val="0"/>
            <w:vAlign w:val="center"/>
          </w:tcPr>
          <w:p w14:paraId="4549CC68">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20万元/人</w:t>
            </w:r>
          </w:p>
        </w:tc>
        <w:tc>
          <w:tcPr>
            <w:tcW w:w="1335" w:type="dxa"/>
            <w:noWrap w:val="0"/>
            <w:vAlign w:val="center"/>
          </w:tcPr>
          <w:p w14:paraId="535A7288">
            <w:pPr>
              <w:spacing w:line="360" w:lineRule="auto"/>
              <w:jc w:val="both"/>
              <w:rPr>
                <w:rFonts w:hint="eastAsia" w:ascii="仿宋" w:hAnsi="仿宋" w:eastAsia="仿宋" w:cs="仿宋"/>
                <w:color w:val="auto"/>
                <w:sz w:val="24"/>
                <w:szCs w:val="24"/>
                <w:highlight w:val="none"/>
                <w:vertAlign w:val="baseline"/>
                <w:lang w:val="en-US" w:eastAsia="zh-CN"/>
              </w:rPr>
            </w:pPr>
          </w:p>
        </w:tc>
        <w:tc>
          <w:tcPr>
            <w:tcW w:w="4485" w:type="dxa"/>
            <w:noWrap w:val="0"/>
            <w:vAlign w:val="center"/>
          </w:tcPr>
          <w:p w14:paraId="757D418C">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在工作时间和工作岗位，突发疾病死亡或者在48小时之内经抢救无效死亡。</w:t>
            </w:r>
          </w:p>
        </w:tc>
        <w:tc>
          <w:tcPr>
            <w:tcW w:w="788" w:type="dxa"/>
            <w:vMerge w:val="continue"/>
            <w:noWrap w:val="0"/>
            <w:vAlign w:val="center"/>
          </w:tcPr>
          <w:p w14:paraId="3B00EF7D">
            <w:pPr>
              <w:spacing w:line="360" w:lineRule="auto"/>
              <w:jc w:val="both"/>
              <w:rPr>
                <w:rFonts w:hint="eastAsia" w:ascii="仿宋" w:hAnsi="仿宋" w:eastAsia="仿宋" w:cs="仿宋"/>
                <w:color w:val="auto"/>
                <w:sz w:val="24"/>
                <w:szCs w:val="24"/>
                <w:highlight w:val="none"/>
                <w:vertAlign w:val="baseline"/>
                <w:lang w:val="en-US" w:eastAsia="zh-CN"/>
              </w:rPr>
            </w:pPr>
          </w:p>
        </w:tc>
      </w:tr>
      <w:tr w14:paraId="347B8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51" w:type="dxa"/>
            <w:noWrap w:val="0"/>
            <w:vAlign w:val="center"/>
          </w:tcPr>
          <w:p w14:paraId="76A08293">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w:t>
            </w:r>
          </w:p>
        </w:tc>
        <w:tc>
          <w:tcPr>
            <w:tcW w:w="1263" w:type="dxa"/>
            <w:noWrap w:val="0"/>
            <w:vAlign w:val="center"/>
          </w:tcPr>
          <w:p w14:paraId="43F0FC85">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意外伤害致残</w:t>
            </w:r>
          </w:p>
        </w:tc>
        <w:tc>
          <w:tcPr>
            <w:tcW w:w="1440" w:type="dxa"/>
            <w:noWrap w:val="0"/>
            <w:vAlign w:val="center"/>
          </w:tcPr>
          <w:p w14:paraId="404B1003">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20万元/人</w:t>
            </w:r>
          </w:p>
        </w:tc>
        <w:tc>
          <w:tcPr>
            <w:tcW w:w="1335" w:type="dxa"/>
            <w:noWrap w:val="0"/>
            <w:vAlign w:val="center"/>
          </w:tcPr>
          <w:p w14:paraId="0746E6BB">
            <w:pPr>
              <w:keepNext w:val="0"/>
              <w:keepLines w:val="0"/>
              <w:widowControl/>
              <w:suppressLineNumbers w:val="0"/>
              <w:spacing w:line="360" w:lineRule="auto"/>
              <w:jc w:val="both"/>
              <w:rPr>
                <w:rFonts w:hint="eastAsia" w:ascii="仿宋" w:hAnsi="仿宋" w:eastAsia="仿宋" w:cs="仿宋"/>
                <w:color w:val="auto"/>
                <w:sz w:val="24"/>
                <w:szCs w:val="24"/>
                <w:highlight w:val="none"/>
                <w:vertAlign w:val="baseline"/>
                <w:lang w:val="en-US" w:eastAsia="zh-CN"/>
              </w:rPr>
            </w:pPr>
          </w:p>
        </w:tc>
        <w:tc>
          <w:tcPr>
            <w:tcW w:w="4485" w:type="dxa"/>
            <w:noWrap w:val="0"/>
            <w:vAlign w:val="center"/>
          </w:tcPr>
          <w:p w14:paraId="207CD029">
            <w:pPr>
              <w:keepNext w:val="0"/>
              <w:keepLines w:val="0"/>
              <w:widowControl/>
              <w:suppressLineNumbers w:val="0"/>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在保险责任内因意外导致身体残疾，伤残鉴定依据标准《劳动能力坚定职工工伤与职业病致残等级（GB/T16080-2014）》。</w:t>
            </w:r>
          </w:p>
        </w:tc>
        <w:tc>
          <w:tcPr>
            <w:tcW w:w="788" w:type="dxa"/>
            <w:vMerge w:val="continue"/>
            <w:noWrap w:val="0"/>
            <w:vAlign w:val="center"/>
          </w:tcPr>
          <w:p w14:paraId="6387FBE4">
            <w:pPr>
              <w:keepNext w:val="0"/>
              <w:keepLines w:val="0"/>
              <w:widowControl/>
              <w:suppressLineNumbers w:val="0"/>
              <w:spacing w:line="360" w:lineRule="auto"/>
              <w:jc w:val="both"/>
              <w:rPr>
                <w:rFonts w:hint="eastAsia" w:ascii="仿宋" w:hAnsi="仿宋" w:eastAsia="仿宋" w:cs="仿宋"/>
                <w:color w:val="auto"/>
                <w:sz w:val="24"/>
                <w:szCs w:val="24"/>
                <w:highlight w:val="none"/>
                <w:vertAlign w:val="baseline"/>
                <w:lang w:val="en-US" w:eastAsia="zh-CN"/>
              </w:rPr>
            </w:pPr>
          </w:p>
        </w:tc>
      </w:tr>
      <w:tr w14:paraId="5528B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51" w:type="dxa"/>
            <w:noWrap w:val="0"/>
            <w:vAlign w:val="center"/>
          </w:tcPr>
          <w:p w14:paraId="580A146E">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1263" w:type="dxa"/>
            <w:noWrap w:val="0"/>
            <w:vAlign w:val="center"/>
          </w:tcPr>
          <w:p w14:paraId="0CA3E6A0">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意外伤害医疗</w:t>
            </w:r>
          </w:p>
        </w:tc>
        <w:tc>
          <w:tcPr>
            <w:tcW w:w="1440" w:type="dxa"/>
            <w:noWrap w:val="0"/>
            <w:vAlign w:val="center"/>
          </w:tcPr>
          <w:p w14:paraId="3BE727B2">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5万元/人</w:t>
            </w:r>
          </w:p>
        </w:tc>
        <w:tc>
          <w:tcPr>
            <w:tcW w:w="1335" w:type="dxa"/>
            <w:noWrap w:val="0"/>
            <w:vAlign w:val="center"/>
          </w:tcPr>
          <w:p w14:paraId="1AFACA40">
            <w:pPr>
              <w:spacing w:line="360" w:lineRule="auto"/>
              <w:jc w:val="both"/>
              <w:rPr>
                <w:rFonts w:hint="eastAsia" w:ascii="仿宋" w:hAnsi="仿宋" w:eastAsia="仿宋" w:cs="仿宋"/>
                <w:color w:val="auto"/>
                <w:sz w:val="24"/>
                <w:szCs w:val="24"/>
                <w:highlight w:val="none"/>
                <w:vertAlign w:val="baseline"/>
                <w:lang w:val="en-US" w:eastAsia="zh-CN"/>
              </w:rPr>
            </w:pPr>
          </w:p>
        </w:tc>
        <w:tc>
          <w:tcPr>
            <w:tcW w:w="4485" w:type="dxa"/>
            <w:noWrap w:val="0"/>
            <w:vAlign w:val="center"/>
          </w:tcPr>
          <w:p w14:paraId="637DE4CF">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在工作时间和工作场所内，因工作原因受到事故伤害，每次事故每人医疗费用绝对免赔200元或核定赔偿金额的10%，两者以高者为准。</w:t>
            </w:r>
          </w:p>
        </w:tc>
        <w:tc>
          <w:tcPr>
            <w:tcW w:w="788" w:type="dxa"/>
            <w:vMerge w:val="continue"/>
            <w:noWrap w:val="0"/>
            <w:vAlign w:val="center"/>
          </w:tcPr>
          <w:p w14:paraId="27CCB40F">
            <w:pPr>
              <w:spacing w:line="360" w:lineRule="auto"/>
              <w:jc w:val="both"/>
              <w:rPr>
                <w:rFonts w:hint="eastAsia" w:ascii="仿宋" w:hAnsi="仿宋" w:eastAsia="仿宋" w:cs="仿宋"/>
                <w:color w:val="auto"/>
                <w:sz w:val="24"/>
                <w:szCs w:val="24"/>
                <w:highlight w:val="none"/>
                <w:vertAlign w:val="baseline"/>
                <w:lang w:val="en-US" w:eastAsia="zh-CN"/>
              </w:rPr>
            </w:pPr>
          </w:p>
        </w:tc>
      </w:tr>
      <w:tr w14:paraId="3C19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51" w:type="dxa"/>
            <w:noWrap w:val="0"/>
            <w:vAlign w:val="center"/>
          </w:tcPr>
          <w:p w14:paraId="0BFCE95A">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p>
        </w:tc>
        <w:tc>
          <w:tcPr>
            <w:tcW w:w="1263" w:type="dxa"/>
            <w:noWrap w:val="0"/>
            <w:vAlign w:val="center"/>
          </w:tcPr>
          <w:p w14:paraId="7901A3C7">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误工费</w:t>
            </w:r>
          </w:p>
        </w:tc>
        <w:tc>
          <w:tcPr>
            <w:tcW w:w="1440" w:type="dxa"/>
            <w:noWrap w:val="0"/>
            <w:vAlign w:val="center"/>
          </w:tcPr>
          <w:p w14:paraId="66B3AED7">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100元/人/天</w:t>
            </w:r>
          </w:p>
        </w:tc>
        <w:tc>
          <w:tcPr>
            <w:tcW w:w="1335" w:type="dxa"/>
            <w:noWrap w:val="0"/>
            <w:vAlign w:val="center"/>
          </w:tcPr>
          <w:p w14:paraId="3D60E6A8">
            <w:pPr>
              <w:spacing w:line="360" w:lineRule="auto"/>
              <w:jc w:val="both"/>
              <w:rPr>
                <w:rFonts w:hint="eastAsia" w:ascii="仿宋" w:hAnsi="仿宋" w:eastAsia="仿宋" w:cs="仿宋"/>
                <w:color w:val="auto"/>
                <w:sz w:val="24"/>
                <w:szCs w:val="24"/>
                <w:highlight w:val="none"/>
                <w:vertAlign w:val="baseline"/>
                <w:lang w:val="en-US" w:eastAsia="zh-CN"/>
              </w:rPr>
            </w:pPr>
          </w:p>
        </w:tc>
        <w:tc>
          <w:tcPr>
            <w:tcW w:w="4485" w:type="dxa"/>
            <w:noWrap w:val="0"/>
            <w:vAlign w:val="center"/>
          </w:tcPr>
          <w:p w14:paraId="2E801475">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因意外导致误工，每人每天100元，每次事故免赔3天，单次最高赔付90天。</w:t>
            </w:r>
          </w:p>
        </w:tc>
        <w:tc>
          <w:tcPr>
            <w:tcW w:w="788" w:type="dxa"/>
            <w:vMerge w:val="continue"/>
            <w:noWrap w:val="0"/>
            <w:vAlign w:val="center"/>
          </w:tcPr>
          <w:p w14:paraId="0B103962">
            <w:pPr>
              <w:spacing w:line="360" w:lineRule="auto"/>
              <w:jc w:val="both"/>
              <w:rPr>
                <w:rFonts w:hint="eastAsia" w:ascii="仿宋" w:hAnsi="仿宋" w:eastAsia="仿宋" w:cs="仿宋"/>
                <w:color w:val="auto"/>
                <w:sz w:val="24"/>
                <w:szCs w:val="24"/>
                <w:highlight w:val="none"/>
                <w:vertAlign w:val="baseline"/>
                <w:lang w:val="en-US" w:eastAsia="zh-CN"/>
              </w:rPr>
            </w:pPr>
          </w:p>
        </w:tc>
      </w:tr>
      <w:tr w14:paraId="5BD9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914" w:type="dxa"/>
            <w:gridSpan w:val="2"/>
            <w:noWrap w:val="0"/>
            <w:vAlign w:val="center"/>
          </w:tcPr>
          <w:p w14:paraId="31234447">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lang w:val="en-US" w:eastAsia="zh-CN"/>
              </w:rPr>
              <w:t>保额合计值</w:t>
            </w:r>
          </w:p>
        </w:tc>
        <w:tc>
          <w:tcPr>
            <w:tcW w:w="1440" w:type="dxa"/>
            <w:noWrap w:val="0"/>
            <w:vAlign w:val="center"/>
          </w:tcPr>
          <w:p w14:paraId="3EFFA584">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20+20+20+5+0.01*90=6</w:t>
            </w:r>
            <w:bookmarkStart w:id="626" w:name="_GoBack"/>
            <w:bookmarkEnd w:id="626"/>
            <w:r>
              <w:rPr>
                <w:rFonts w:hint="eastAsia" w:ascii="仿宋" w:hAnsi="仿宋" w:eastAsia="仿宋" w:cs="仿宋"/>
                <w:b w:val="0"/>
                <w:bCs w:val="0"/>
                <w:color w:val="auto"/>
                <w:sz w:val="24"/>
                <w:szCs w:val="24"/>
                <w:highlight w:val="none"/>
                <w:vertAlign w:val="baseline"/>
                <w:lang w:val="en-US" w:eastAsia="zh-CN"/>
              </w:rPr>
              <w:t>5.9万元/人</w:t>
            </w:r>
          </w:p>
        </w:tc>
        <w:tc>
          <w:tcPr>
            <w:tcW w:w="1335" w:type="dxa"/>
            <w:noWrap w:val="0"/>
            <w:vAlign w:val="center"/>
          </w:tcPr>
          <w:p w14:paraId="1C3E9FDF">
            <w:pPr>
              <w:spacing w:line="360" w:lineRule="auto"/>
              <w:jc w:val="left"/>
              <w:rPr>
                <w:rFonts w:hint="eastAsia" w:ascii="仿宋" w:hAnsi="仿宋" w:eastAsia="仿宋" w:cs="仿宋"/>
                <w:color w:val="auto"/>
                <w:sz w:val="24"/>
                <w:szCs w:val="24"/>
                <w:highlight w:val="none"/>
                <w:vertAlign w:val="baseline"/>
                <w:lang w:val="en-US" w:eastAsia="zh-CN"/>
              </w:rPr>
            </w:pPr>
          </w:p>
        </w:tc>
        <w:tc>
          <w:tcPr>
            <w:tcW w:w="4485" w:type="dxa"/>
            <w:noWrap w:val="0"/>
            <w:vAlign w:val="center"/>
          </w:tcPr>
          <w:p w14:paraId="7F5A3458">
            <w:pPr>
              <w:spacing w:line="360"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c>
          <w:tcPr>
            <w:tcW w:w="788" w:type="dxa"/>
            <w:noWrap w:val="0"/>
            <w:vAlign w:val="center"/>
          </w:tcPr>
          <w:p w14:paraId="64B7C13A">
            <w:pPr>
              <w:spacing w:line="360"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r>
    </w:tbl>
    <w:p w14:paraId="44B174A5">
      <w:pPr>
        <w:spacing w:line="360" w:lineRule="auto"/>
        <w:jc w:val="both"/>
        <w:outlineLvl w:val="9"/>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说明：</w:t>
      </w:r>
    </w:p>
    <w:p w14:paraId="0A3F6DDB">
      <w:pPr>
        <w:numPr>
          <w:ilvl w:val="0"/>
          <w:numId w:val="4"/>
        </w:numPr>
        <w:spacing w:line="360" w:lineRule="auto"/>
        <w:jc w:val="both"/>
        <w:outlineLvl w:val="9"/>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 xml:space="preserve">供应商可根据实际情况自行填写。 </w:t>
      </w:r>
    </w:p>
    <w:p w14:paraId="3C49A6B8">
      <w:pPr>
        <w:numPr>
          <w:ilvl w:val="0"/>
          <w:numId w:val="4"/>
        </w:numPr>
        <w:spacing w:line="360" w:lineRule="auto"/>
        <w:ind w:left="0" w:leftChars="0" w:firstLine="0" w:firstLineChars="0"/>
        <w:jc w:val="both"/>
        <w:outlineLvl w:val="9"/>
        <w:rPr>
          <w:rFonts w:hint="eastAsia" w:ascii="仿宋" w:hAnsi="仿宋" w:eastAsia="仿宋" w:cs="仿宋"/>
          <w:b w:val="0"/>
          <w:color w:val="auto"/>
          <w:sz w:val="24"/>
          <w:szCs w:val="24"/>
          <w:highlight w:val="none"/>
        </w:rPr>
      </w:pPr>
      <w:r>
        <w:rPr>
          <w:rFonts w:hint="eastAsia" w:ascii="仿宋" w:hAnsi="仿宋" w:eastAsia="仿宋" w:cs="仿宋"/>
          <w:b/>
          <w:bCs/>
          <w:color w:val="auto"/>
          <w:sz w:val="24"/>
          <w:szCs w:val="24"/>
          <w:highlight w:val="none"/>
          <w:lang w:val="en-US" w:eastAsia="zh-CN"/>
        </w:rPr>
        <w:t>供应商的保额合计值参照“保障内容最低保险金额”格式填写。</w:t>
      </w:r>
    </w:p>
    <w:p w14:paraId="0FC0AAF6">
      <w:pPr>
        <w:numPr>
          <w:ilvl w:val="0"/>
          <w:numId w:val="4"/>
        </w:numPr>
        <w:spacing w:line="360" w:lineRule="auto"/>
        <w:ind w:left="0" w:leftChars="0" w:firstLine="0" w:firstLineChars="0"/>
        <w:jc w:val="both"/>
        <w:outlineLvl w:val="9"/>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上述各项若有详细分项报价，应另页描述。</w:t>
      </w:r>
    </w:p>
    <w:p w14:paraId="1E1D18A4">
      <w:pPr>
        <w:numPr>
          <w:ilvl w:val="0"/>
          <w:numId w:val="4"/>
        </w:numPr>
        <w:spacing w:line="360" w:lineRule="auto"/>
        <w:ind w:left="0" w:leftChars="0" w:firstLine="0" w:firstLineChars="0"/>
        <w:jc w:val="both"/>
        <w:outlineLvl w:val="9"/>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以上费用表格如不能完全表达清楚供应商认为必要的费用明细，供应商可自行补充。</w:t>
      </w:r>
    </w:p>
    <w:p w14:paraId="459799F9">
      <w:pPr>
        <w:numPr>
          <w:ilvl w:val="0"/>
          <w:numId w:val="4"/>
        </w:numPr>
        <w:spacing w:line="360" w:lineRule="auto"/>
        <w:ind w:left="0" w:leftChars="0" w:firstLine="0" w:firstLineChars="0"/>
        <w:jc w:val="both"/>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二轮报价时，因交易中心系统只能填报一个价格，对于成交供应商填报的二轮报价， 与采购人签署合同时，需要完善每一项的分项报价（保额）。每项保额及保额合计值均不低于采购需求中的规定</w:t>
      </w:r>
      <w:r>
        <w:rPr>
          <w:rFonts w:hint="eastAsia" w:ascii="仿宋" w:hAnsi="仿宋" w:eastAsia="仿宋" w:cs="仿宋"/>
          <w:b/>
          <w:color w:val="auto"/>
          <w:sz w:val="24"/>
          <w:szCs w:val="24"/>
          <w:highlight w:val="none"/>
          <w:lang w:eastAsia="zh-CN"/>
        </w:rPr>
        <w:t>。</w:t>
      </w:r>
    </w:p>
    <w:p w14:paraId="626724F1">
      <w:pPr>
        <w:numPr>
          <w:ilvl w:val="0"/>
          <w:numId w:val="0"/>
        </w:numPr>
        <w:spacing w:line="360" w:lineRule="auto"/>
        <w:ind w:leftChars="0"/>
        <w:jc w:val="both"/>
        <w:outlineLvl w:val="9"/>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供应商名称：</w:t>
      </w:r>
      <w:r>
        <w:rPr>
          <w:rFonts w:hint="eastAsia" w:ascii="仿宋" w:hAnsi="仿宋" w:eastAsia="仿宋" w:cs="仿宋"/>
          <w:b w:val="0"/>
          <w:color w:val="auto"/>
          <w:sz w:val="24"/>
          <w:szCs w:val="24"/>
          <w:highlight w:val="none"/>
          <w:u w:val="single"/>
          <w:lang w:val="en-US" w:eastAsia="zh-CN"/>
        </w:rPr>
        <w:t xml:space="preserve">             </w:t>
      </w:r>
      <w:r>
        <w:rPr>
          <w:rFonts w:hint="eastAsia" w:ascii="仿宋" w:hAnsi="仿宋" w:eastAsia="仿宋" w:cs="仿宋"/>
          <w:b w:val="0"/>
          <w:color w:val="auto"/>
          <w:sz w:val="24"/>
          <w:szCs w:val="24"/>
          <w:highlight w:val="none"/>
        </w:rPr>
        <w:t xml:space="preserve">（盖章） </w:t>
      </w:r>
    </w:p>
    <w:p w14:paraId="5F6132F2">
      <w:pPr>
        <w:numPr>
          <w:ilvl w:val="0"/>
          <w:numId w:val="0"/>
        </w:numPr>
        <w:spacing w:line="360" w:lineRule="auto"/>
        <w:ind w:leftChars="0"/>
        <w:jc w:val="both"/>
        <w:outlineLvl w:val="9"/>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 xml:space="preserve">法定代表人或授权代表： </w:t>
      </w:r>
      <w:r>
        <w:rPr>
          <w:rFonts w:hint="eastAsia" w:ascii="仿宋" w:hAnsi="仿宋" w:eastAsia="仿宋" w:cs="仿宋"/>
          <w:b w:val="0"/>
          <w:color w:val="auto"/>
          <w:sz w:val="24"/>
          <w:szCs w:val="24"/>
          <w:highlight w:val="none"/>
          <w:u w:val="single"/>
          <w:lang w:val="en-US" w:eastAsia="zh-CN"/>
        </w:rPr>
        <w:t xml:space="preserve">             </w:t>
      </w:r>
      <w:r>
        <w:rPr>
          <w:rFonts w:hint="eastAsia" w:ascii="仿宋" w:hAnsi="仿宋" w:eastAsia="仿宋" w:cs="仿宋"/>
          <w:b w:val="0"/>
          <w:color w:val="auto"/>
          <w:sz w:val="24"/>
          <w:szCs w:val="24"/>
          <w:highlight w:val="none"/>
        </w:rPr>
        <w:t>（签字或盖章）</w:t>
      </w:r>
    </w:p>
    <w:p w14:paraId="1BEAED9D">
      <w:pPr>
        <w:numPr>
          <w:ilvl w:val="0"/>
          <w:numId w:val="0"/>
        </w:numPr>
        <w:spacing w:line="360" w:lineRule="auto"/>
        <w:ind w:leftChars="0"/>
        <w:jc w:val="both"/>
        <w:outlineLvl w:val="9"/>
        <w:rPr>
          <w:rFonts w:hint="eastAsia" w:ascii="仿宋" w:hAnsi="仿宋" w:eastAsia="仿宋" w:cs="仿宋"/>
          <w:b w:val="0"/>
          <w:color w:val="auto"/>
          <w:sz w:val="24"/>
          <w:szCs w:val="24"/>
          <w:highlight w:val="none"/>
          <w:u w:val="single"/>
          <w:lang w:val="en-US" w:eastAsia="zh-CN"/>
        </w:rPr>
      </w:pPr>
      <w:r>
        <w:rPr>
          <w:rFonts w:hint="eastAsia" w:ascii="仿宋" w:hAnsi="仿宋" w:eastAsia="仿宋" w:cs="仿宋"/>
          <w:b w:val="0"/>
          <w:color w:val="auto"/>
          <w:sz w:val="24"/>
          <w:szCs w:val="24"/>
          <w:highlight w:val="none"/>
        </w:rPr>
        <w:t xml:space="preserve">日 期： </w:t>
      </w:r>
      <w:r>
        <w:rPr>
          <w:rFonts w:hint="eastAsia" w:ascii="仿宋" w:hAnsi="仿宋" w:eastAsia="仿宋" w:cs="仿宋"/>
          <w:b w:val="0"/>
          <w:color w:val="auto"/>
          <w:sz w:val="24"/>
          <w:szCs w:val="24"/>
          <w:highlight w:val="none"/>
          <w:u w:val="single"/>
          <w:lang w:val="en-US" w:eastAsia="zh-CN"/>
        </w:rPr>
        <w:t xml:space="preserve">             </w:t>
      </w:r>
    </w:p>
    <w:p w14:paraId="62DBBF75">
      <w:pPr>
        <w:numPr>
          <w:ilvl w:val="0"/>
          <w:numId w:val="0"/>
        </w:numPr>
        <w:spacing w:line="360" w:lineRule="auto"/>
        <w:ind w:leftChars="0"/>
        <w:jc w:val="center"/>
        <w:outlineLvl w:val="1"/>
        <w:rPr>
          <w:rFonts w:hint="eastAsia" w:ascii="仿宋" w:hAnsi="仿宋" w:eastAsia="仿宋" w:cs="仿宋"/>
          <w:b/>
          <w:color w:val="auto"/>
          <w:sz w:val="30"/>
          <w:szCs w:val="30"/>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color w:val="auto"/>
          <w:sz w:val="30"/>
          <w:szCs w:val="30"/>
          <w:highlight w:val="none"/>
        </w:rPr>
        <w:t>二、法定代表人身份证明及授权委托书</w:t>
      </w:r>
    </w:p>
    <w:p w14:paraId="56B0ED78">
      <w:pPr>
        <w:spacing w:line="440" w:lineRule="exact"/>
        <w:jc w:val="center"/>
        <w:outlineLvl w:val="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(一)法定代表人身份证明</w:t>
      </w:r>
    </w:p>
    <w:p w14:paraId="16311EDD">
      <w:pPr>
        <w:spacing w:line="440" w:lineRule="exact"/>
        <w:jc w:val="center"/>
        <w:rPr>
          <w:rFonts w:hint="eastAsia" w:ascii="仿宋" w:hAnsi="仿宋" w:eastAsia="仿宋" w:cs="仿宋"/>
          <w:color w:val="auto"/>
          <w:sz w:val="24"/>
          <w:szCs w:val="24"/>
          <w:highlight w:val="none"/>
        </w:rPr>
      </w:pPr>
    </w:p>
    <w:p w14:paraId="6E515486">
      <w:pPr>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p>
    <w:p w14:paraId="0F25C0F6">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单位性质：</w:t>
      </w:r>
      <w:r>
        <w:rPr>
          <w:rFonts w:hint="eastAsia" w:ascii="仿宋" w:hAnsi="仿宋" w:eastAsia="仿宋" w:cs="仿宋"/>
          <w:color w:val="auto"/>
          <w:sz w:val="24"/>
          <w:szCs w:val="24"/>
          <w:highlight w:val="none"/>
          <w:u w:val="single"/>
        </w:rPr>
        <w:t xml:space="preserve">                                   </w:t>
      </w:r>
    </w:p>
    <w:p w14:paraId="5D9E2F91">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050A540B">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97FCA76">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经营期限：</w:t>
      </w:r>
      <w:r>
        <w:rPr>
          <w:rFonts w:hint="eastAsia" w:ascii="仿宋" w:hAnsi="仿宋" w:eastAsia="仿宋" w:cs="仿宋"/>
          <w:color w:val="auto"/>
          <w:sz w:val="24"/>
          <w:szCs w:val="24"/>
          <w:highlight w:val="none"/>
          <w:u w:val="single"/>
        </w:rPr>
        <w:t xml:space="preserve">                                   </w:t>
      </w:r>
    </w:p>
    <w:p w14:paraId="07A13B14">
      <w:pPr>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p>
    <w:p w14:paraId="645BC093">
      <w:pPr>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（供应商单位名称）的法定代表人。</w:t>
      </w:r>
    </w:p>
    <w:p w14:paraId="649F304E">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47FAD4ED">
      <w:pPr>
        <w:spacing w:line="44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附：法定代表人身份证复印件</w:t>
      </w:r>
    </w:p>
    <w:p w14:paraId="56CF9349">
      <w:pPr>
        <w:spacing w:line="440" w:lineRule="exact"/>
        <w:rPr>
          <w:rFonts w:hint="eastAsia" w:ascii="仿宋" w:hAnsi="仿宋" w:eastAsia="仿宋" w:cs="仿宋"/>
          <w:color w:val="auto"/>
          <w:sz w:val="24"/>
          <w:szCs w:val="24"/>
          <w:highlight w:val="none"/>
        </w:rPr>
      </w:pPr>
    </w:p>
    <w:p w14:paraId="79B62004">
      <w:pPr>
        <w:spacing w:line="440" w:lineRule="exact"/>
        <w:rPr>
          <w:rFonts w:hint="eastAsia" w:ascii="仿宋" w:hAnsi="仿宋" w:eastAsia="仿宋" w:cs="仿宋"/>
          <w:color w:val="auto"/>
          <w:sz w:val="24"/>
          <w:szCs w:val="24"/>
          <w:highlight w:val="none"/>
        </w:rPr>
      </w:pPr>
    </w:p>
    <w:p w14:paraId="285B51DB">
      <w:pPr>
        <w:spacing w:line="440" w:lineRule="exact"/>
        <w:rPr>
          <w:rFonts w:hint="eastAsia" w:ascii="仿宋" w:hAnsi="仿宋" w:eastAsia="仿宋" w:cs="仿宋"/>
          <w:color w:val="auto"/>
          <w:sz w:val="24"/>
          <w:szCs w:val="24"/>
          <w:highlight w:val="none"/>
        </w:rPr>
      </w:pPr>
    </w:p>
    <w:p w14:paraId="6054658C">
      <w:pPr>
        <w:spacing w:line="440" w:lineRule="exact"/>
        <w:rPr>
          <w:rFonts w:hint="eastAsia" w:ascii="仿宋" w:hAnsi="仿宋" w:eastAsia="仿宋" w:cs="仿宋"/>
          <w:color w:val="auto"/>
          <w:sz w:val="24"/>
          <w:szCs w:val="24"/>
          <w:highlight w:val="none"/>
        </w:rPr>
      </w:pPr>
    </w:p>
    <w:p w14:paraId="5677F313">
      <w:pPr>
        <w:wordWrap w:val="0"/>
        <w:spacing w:line="45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（电子签章）</w:t>
      </w:r>
    </w:p>
    <w:p w14:paraId="0E951A1E">
      <w:pPr>
        <w:wordWrap w:val="0"/>
        <w:spacing w:line="450" w:lineRule="atLeast"/>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（电子签章</w:t>
      </w:r>
      <w:r>
        <w:rPr>
          <w:rFonts w:hint="eastAsia" w:ascii="仿宋" w:hAnsi="仿宋" w:eastAsia="仿宋" w:cs="仿宋"/>
          <w:color w:val="auto"/>
          <w:sz w:val="24"/>
          <w:szCs w:val="24"/>
          <w:highlight w:val="none"/>
          <w:lang w:val="en-US" w:eastAsia="zh-CN"/>
        </w:rPr>
        <w:t>或签字</w:t>
      </w:r>
      <w:r>
        <w:rPr>
          <w:rFonts w:hint="eastAsia" w:ascii="仿宋" w:hAnsi="仿宋" w:eastAsia="仿宋" w:cs="仿宋"/>
          <w:color w:val="auto"/>
          <w:sz w:val="24"/>
          <w:szCs w:val="24"/>
          <w:highlight w:val="none"/>
        </w:rPr>
        <w:t>）</w:t>
      </w:r>
    </w:p>
    <w:p w14:paraId="48A9FC7E">
      <w:pPr>
        <w:wordWrap w:val="0"/>
        <w:spacing w:line="45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6E77CCC">
      <w:pPr>
        <w:spacing w:line="440" w:lineRule="exact"/>
        <w:jc w:val="center"/>
        <w:outlineLvl w:val="2"/>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sz w:val="24"/>
          <w:szCs w:val="24"/>
          <w:highlight w:val="none"/>
        </w:rPr>
        <w:t xml:space="preserve">（二）法定代表人授权委托书 </w:t>
      </w:r>
    </w:p>
    <w:p w14:paraId="25B16A2D">
      <w:pPr>
        <w:spacing w:line="440" w:lineRule="exact"/>
        <w:ind w:left="840"/>
        <w:rPr>
          <w:rFonts w:hint="eastAsia" w:ascii="仿宋" w:hAnsi="仿宋" w:eastAsia="仿宋" w:cs="仿宋"/>
          <w:b/>
          <w:bCs/>
          <w:color w:val="auto"/>
          <w:sz w:val="24"/>
          <w:szCs w:val="24"/>
          <w:highlight w:val="none"/>
        </w:rPr>
      </w:pPr>
    </w:p>
    <w:p w14:paraId="19EED659">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（姓名）系</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（供应商名称）的法定代表人，现委托</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（姓名）为我方代理人。代理人根据授权，以我方名义签署、澄清、说明、补正、递交、撤回、修改</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（项目名称）</w:t>
      </w:r>
      <w:r>
        <w:rPr>
          <w:rFonts w:hint="eastAsia" w:ascii="仿宋" w:hAnsi="仿宋" w:eastAsia="仿宋" w:cs="仿宋"/>
          <w:bCs/>
          <w:color w:val="auto"/>
          <w:sz w:val="24"/>
          <w:szCs w:val="24"/>
          <w:highlight w:val="none"/>
          <w:lang w:eastAsia="zh-CN"/>
        </w:rPr>
        <w:t>响应文件</w:t>
      </w:r>
      <w:r>
        <w:rPr>
          <w:rFonts w:hint="eastAsia" w:ascii="仿宋" w:hAnsi="仿宋" w:eastAsia="仿宋" w:cs="仿宋"/>
          <w:bCs/>
          <w:color w:val="auto"/>
          <w:sz w:val="24"/>
          <w:szCs w:val="24"/>
          <w:highlight w:val="none"/>
        </w:rPr>
        <w:t>、签订合同和处理有关事宜，其法律后果由我方承担。</w:t>
      </w:r>
    </w:p>
    <w:p w14:paraId="4F0E6932">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委托期限：</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w:t>
      </w:r>
    </w:p>
    <w:p w14:paraId="55B191B1">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代理人无转委托权。</w:t>
      </w:r>
    </w:p>
    <w:p w14:paraId="221B4C2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附：委托代理人身份证复印件</w:t>
      </w:r>
    </w:p>
    <w:p w14:paraId="765659B2">
      <w:pPr>
        <w:spacing w:line="440" w:lineRule="exact"/>
        <w:ind w:left="84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w:t>
      </w:r>
    </w:p>
    <w:p w14:paraId="792D33D2">
      <w:pPr>
        <w:spacing w:line="440" w:lineRule="exact"/>
        <w:ind w:left="84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w:t>
      </w:r>
    </w:p>
    <w:p w14:paraId="24BF9EB9">
      <w:pPr>
        <w:spacing w:line="440" w:lineRule="exact"/>
        <w:ind w:left="840"/>
        <w:rPr>
          <w:rFonts w:hint="eastAsia" w:ascii="仿宋" w:hAnsi="仿宋" w:eastAsia="仿宋" w:cs="仿宋"/>
          <w:bCs/>
          <w:color w:val="auto"/>
          <w:sz w:val="24"/>
          <w:szCs w:val="24"/>
          <w:highlight w:val="none"/>
        </w:rPr>
      </w:pPr>
    </w:p>
    <w:p w14:paraId="3D0A7998">
      <w:pPr>
        <w:spacing w:line="440" w:lineRule="exact"/>
        <w:ind w:left="840"/>
        <w:rPr>
          <w:rFonts w:hint="eastAsia" w:ascii="仿宋" w:hAnsi="仿宋" w:eastAsia="仿宋" w:cs="仿宋"/>
          <w:bCs/>
          <w:color w:val="auto"/>
          <w:sz w:val="24"/>
          <w:szCs w:val="24"/>
          <w:highlight w:val="none"/>
        </w:rPr>
      </w:pPr>
    </w:p>
    <w:p w14:paraId="2A8EA55C">
      <w:pPr>
        <w:spacing w:line="440" w:lineRule="exact"/>
        <w:ind w:left="840"/>
        <w:rPr>
          <w:rFonts w:hint="eastAsia" w:ascii="仿宋" w:hAnsi="仿宋" w:eastAsia="仿宋" w:cs="仿宋"/>
          <w:bCs/>
          <w:color w:val="auto"/>
          <w:sz w:val="24"/>
          <w:szCs w:val="24"/>
          <w:highlight w:val="none"/>
        </w:rPr>
      </w:pPr>
    </w:p>
    <w:p w14:paraId="0837F5B7">
      <w:pPr>
        <w:spacing w:line="440" w:lineRule="exact"/>
        <w:ind w:left="840"/>
        <w:rPr>
          <w:rFonts w:hint="eastAsia" w:ascii="仿宋" w:hAnsi="仿宋" w:eastAsia="仿宋" w:cs="仿宋"/>
          <w:bCs/>
          <w:color w:val="auto"/>
          <w:sz w:val="24"/>
          <w:szCs w:val="24"/>
          <w:highlight w:val="none"/>
        </w:rPr>
      </w:pPr>
    </w:p>
    <w:p w14:paraId="54A50AAE">
      <w:pPr>
        <w:spacing w:line="440" w:lineRule="exact"/>
        <w:ind w:firstLine="3600" w:firstLineChars="1500"/>
        <w:rPr>
          <w:rFonts w:hint="eastAsia" w:ascii="仿宋" w:hAnsi="仿宋" w:eastAsia="仿宋" w:cs="仿宋"/>
          <w:bCs/>
          <w:color w:val="auto"/>
          <w:sz w:val="24"/>
          <w:szCs w:val="24"/>
          <w:highlight w:val="none"/>
        </w:rPr>
      </w:pPr>
    </w:p>
    <w:p w14:paraId="5173548B">
      <w:pPr>
        <w:spacing w:line="440" w:lineRule="exact"/>
        <w:jc w:val="righ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供应商单位名称：</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电子签章</w:t>
      </w:r>
      <w:r>
        <w:rPr>
          <w:rFonts w:hint="eastAsia" w:ascii="仿宋" w:hAnsi="仿宋" w:eastAsia="仿宋" w:cs="仿宋"/>
          <w:bCs/>
          <w:color w:val="auto"/>
          <w:sz w:val="24"/>
          <w:szCs w:val="24"/>
          <w:highlight w:val="none"/>
        </w:rPr>
        <w:t>）</w:t>
      </w:r>
    </w:p>
    <w:p w14:paraId="512FDAFA">
      <w:pPr>
        <w:spacing w:line="44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法定代表人：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电子签章</w:t>
      </w:r>
      <w:r>
        <w:rPr>
          <w:rFonts w:hint="eastAsia" w:ascii="仿宋" w:hAnsi="仿宋" w:eastAsia="仿宋" w:cs="仿宋"/>
          <w:color w:val="auto"/>
          <w:sz w:val="24"/>
          <w:szCs w:val="24"/>
          <w:highlight w:val="none"/>
          <w:lang w:val="en-US" w:eastAsia="zh-CN"/>
        </w:rPr>
        <w:t>或签字</w:t>
      </w:r>
      <w:r>
        <w:rPr>
          <w:rFonts w:hint="eastAsia" w:ascii="仿宋" w:hAnsi="仿宋" w:eastAsia="仿宋" w:cs="仿宋"/>
          <w:bCs/>
          <w:color w:val="auto"/>
          <w:sz w:val="24"/>
          <w:szCs w:val="24"/>
          <w:highlight w:val="none"/>
        </w:rPr>
        <w:t>）</w:t>
      </w:r>
    </w:p>
    <w:p w14:paraId="1A7432D2">
      <w:pPr>
        <w:spacing w:line="44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 xml:space="preserve">                           委托代理</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电子签章</w:t>
      </w:r>
      <w:r>
        <w:rPr>
          <w:rFonts w:hint="eastAsia" w:ascii="仿宋" w:hAnsi="仿宋" w:eastAsia="仿宋" w:cs="仿宋"/>
          <w:color w:val="auto"/>
          <w:sz w:val="24"/>
          <w:szCs w:val="24"/>
          <w:highlight w:val="none"/>
          <w:lang w:val="en-US" w:eastAsia="zh-CN"/>
        </w:rPr>
        <w:t>或签字</w:t>
      </w:r>
      <w:r>
        <w:rPr>
          <w:rFonts w:hint="eastAsia" w:ascii="仿宋" w:hAnsi="仿宋" w:eastAsia="仿宋" w:cs="仿宋"/>
          <w:bCs/>
          <w:color w:val="auto"/>
          <w:sz w:val="24"/>
          <w:szCs w:val="24"/>
          <w:highlight w:val="none"/>
        </w:rPr>
        <w:t>）</w:t>
      </w:r>
    </w:p>
    <w:p w14:paraId="240123CD">
      <w:pPr>
        <w:spacing w:line="440" w:lineRule="exact"/>
        <w:ind w:firstLine="3600" w:firstLineChars="15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身份证号码：</w:t>
      </w:r>
      <w:r>
        <w:rPr>
          <w:rFonts w:hint="eastAsia" w:ascii="仿宋" w:hAnsi="仿宋" w:eastAsia="仿宋" w:cs="仿宋"/>
          <w:bCs/>
          <w:color w:val="auto"/>
          <w:sz w:val="24"/>
          <w:szCs w:val="24"/>
          <w:highlight w:val="none"/>
          <w:u w:val="single"/>
        </w:rPr>
        <w:t xml:space="preserve">                            </w:t>
      </w:r>
    </w:p>
    <w:p w14:paraId="22B54B55">
      <w:pPr>
        <w:spacing w:line="44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委托代理人身份证号码：</w:t>
      </w:r>
      <w:r>
        <w:rPr>
          <w:rFonts w:hint="eastAsia" w:ascii="仿宋" w:hAnsi="仿宋" w:eastAsia="仿宋" w:cs="仿宋"/>
          <w:bCs/>
          <w:color w:val="auto"/>
          <w:sz w:val="24"/>
          <w:szCs w:val="24"/>
          <w:highlight w:val="none"/>
          <w:u w:val="single"/>
        </w:rPr>
        <w:t xml:space="preserve">                  </w:t>
      </w:r>
    </w:p>
    <w:p w14:paraId="72EDE805">
      <w:pPr>
        <w:spacing w:line="440" w:lineRule="exact"/>
        <w:ind w:firstLine="3600" w:firstLineChars="1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39B6966">
      <w:pPr>
        <w:spacing w:line="360" w:lineRule="auto"/>
        <w:jc w:val="center"/>
        <w:outlineLvl w:val="1"/>
        <w:rPr>
          <w:rFonts w:hint="eastAsia" w:ascii="仿宋" w:hAnsi="仿宋" w:eastAsia="仿宋" w:cs="仿宋"/>
          <w:b/>
          <w:bCs/>
          <w:color w:val="auto"/>
          <w:sz w:val="24"/>
          <w:highlight w:val="none"/>
          <w:lang w:eastAsia="zh-CN"/>
        </w:rPr>
      </w:pPr>
      <w:r>
        <w:rPr>
          <w:rFonts w:hint="eastAsia" w:ascii="仿宋" w:hAnsi="仿宋" w:eastAsia="仿宋" w:cs="仿宋"/>
          <w:color w:val="auto"/>
          <w:kern w:val="0"/>
          <w:sz w:val="24"/>
          <w:szCs w:val="24"/>
          <w:highlight w:val="none"/>
        </w:rPr>
        <w:br w:type="page"/>
      </w:r>
      <w:r>
        <w:rPr>
          <w:rFonts w:hint="eastAsia" w:ascii="仿宋" w:hAnsi="仿宋" w:eastAsia="仿宋" w:cs="仿宋"/>
          <w:b/>
          <w:color w:val="auto"/>
          <w:sz w:val="30"/>
          <w:szCs w:val="30"/>
          <w:highlight w:val="none"/>
        </w:rPr>
        <w:t>三、</w:t>
      </w:r>
      <w:r>
        <w:rPr>
          <w:rFonts w:hint="eastAsia" w:ascii="仿宋" w:hAnsi="仿宋" w:eastAsia="仿宋" w:cs="仿宋"/>
          <w:b/>
          <w:color w:val="auto"/>
          <w:sz w:val="30"/>
          <w:szCs w:val="30"/>
          <w:highlight w:val="none"/>
          <w:lang w:eastAsia="zh-CN"/>
        </w:rPr>
        <w:t>响应承诺函</w:t>
      </w:r>
    </w:p>
    <w:p w14:paraId="67B7707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(采购人名称</w:t>
      </w:r>
      <w:r>
        <w:rPr>
          <w:rFonts w:hint="eastAsia" w:ascii="仿宋" w:hAnsi="仿宋" w:eastAsia="仿宋" w:cs="仿宋"/>
          <w:color w:val="auto"/>
          <w:sz w:val="24"/>
          <w:szCs w:val="24"/>
          <w:highlight w:val="none"/>
          <w:u w:val="single"/>
          <w:lang w:val="en-US" w:eastAsia="zh-CN"/>
        </w:rPr>
        <w:t>和</w:t>
      </w:r>
      <w:r>
        <w:rPr>
          <w:rFonts w:hint="eastAsia" w:ascii="仿宋" w:hAnsi="仿宋" w:eastAsia="仿宋" w:cs="仿宋"/>
          <w:color w:val="auto"/>
          <w:sz w:val="24"/>
          <w:szCs w:val="24"/>
          <w:highlight w:val="none"/>
          <w:u w:val="single"/>
        </w:rPr>
        <w:t xml:space="preserve">采购代理机构名称）   </w:t>
      </w:r>
    </w:p>
    <w:p w14:paraId="0D9AE60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我们收到了</w:t>
      </w:r>
      <w:r>
        <w:rPr>
          <w:rFonts w:hint="eastAsia" w:ascii="仿宋" w:hAnsi="仿宋" w:eastAsia="仿宋" w:cs="仿宋"/>
          <w:color w:val="auto"/>
          <w:sz w:val="24"/>
          <w:szCs w:val="24"/>
          <w:highlight w:val="none"/>
          <w:lang w:val="en-US" w:eastAsia="zh-CN"/>
        </w:rPr>
        <w:t>项目编号</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rPr>
        <w:t>（项目名称</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的</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，已详细审查全部内容（含补遗文件，如有），我们完全理解并同意放弃对上述文件有不明及误解的权利。我方在此郑重承诺，如果我方在本次投标过程存在下述任一行为：</w:t>
      </w:r>
    </w:p>
    <w:p w14:paraId="190B8CAE">
      <w:pPr>
        <w:pStyle w:val="21"/>
        <w:numPr>
          <w:ilvl w:val="2"/>
          <w:numId w:val="5"/>
        </w:numPr>
        <w:tabs>
          <w:tab w:val="left" w:pos="1260"/>
          <w:tab w:val="clear" w:pos="1485"/>
        </w:tabs>
        <w:spacing w:line="360" w:lineRule="auto"/>
        <w:ind w:hanging="7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规定的</w:t>
      </w:r>
      <w:r>
        <w:rPr>
          <w:rFonts w:hint="eastAsia" w:ascii="仿宋" w:hAnsi="仿宋" w:eastAsia="仿宋" w:cs="仿宋"/>
          <w:color w:val="auto"/>
          <w:sz w:val="24"/>
          <w:szCs w:val="24"/>
          <w:highlight w:val="none"/>
          <w:lang w:eastAsia="zh-CN"/>
        </w:rPr>
        <w:t>磋商有效期</w:t>
      </w:r>
      <w:r>
        <w:rPr>
          <w:rFonts w:hint="eastAsia" w:ascii="仿宋" w:hAnsi="仿宋" w:eastAsia="仿宋" w:cs="仿宋"/>
          <w:color w:val="auto"/>
          <w:sz w:val="24"/>
          <w:szCs w:val="24"/>
          <w:highlight w:val="none"/>
        </w:rPr>
        <w:t>内撤回其投标；</w:t>
      </w:r>
    </w:p>
    <w:p w14:paraId="78B37B55">
      <w:pPr>
        <w:pStyle w:val="21"/>
        <w:numPr>
          <w:ilvl w:val="2"/>
          <w:numId w:val="5"/>
        </w:numPr>
        <w:tabs>
          <w:tab w:val="left" w:pos="1260"/>
          <w:tab w:val="clear" w:pos="1485"/>
        </w:tabs>
        <w:spacing w:line="360" w:lineRule="auto"/>
        <w:ind w:hanging="7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中提供虚假材料；</w:t>
      </w:r>
    </w:p>
    <w:p w14:paraId="44602CDC">
      <w:pPr>
        <w:pStyle w:val="21"/>
        <w:numPr>
          <w:ilvl w:val="2"/>
          <w:numId w:val="5"/>
        </w:numPr>
        <w:tabs>
          <w:tab w:val="left" w:pos="1260"/>
          <w:tab w:val="clear" w:pos="1485"/>
        </w:tabs>
        <w:spacing w:line="360" w:lineRule="auto"/>
        <w:ind w:hanging="7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供应商与采购人、其他供应商或者招标代理机构恶意串通的；</w:t>
      </w:r>
    </w:p>
    <w:p w14:paraId="6721A9D8">
      <w:pPr>
        <w:pStyle w:val="21"/>
        <w:numPr>
          <w:ilvl w:val="2"/>
          <w:numId w:val="5"/>
        </w:numPr>
        <w:tabs>
          <w:tab w:val="left" w:pos="1260"/>
          <w:tab w:val="clear" w:pos="1485"/>
        </w:tabs>
        <w:spacing w:line="360" w:lineRule="auto"/>
        <w:ind w:hanging="7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人除因不可抗力未在法律规定时间内签订合同；</w:t>
      </w:r>
    </w:p>
    <w:p w14:paraId="42A48819">
      <w:pPr>
        <w:pStyle w:val="21"/>
        <w:numPr>
          <w:ilvl w:val="2"/>
          <w:numId w:val="5"/>
        </w:numPr>
        <w:tabs>
          <w:tab w:val="left" w:pos="1260"/>
          <w:tab w:val="clear" w:pos="1485"/>
        </w:tabs>
        <w:spacing w:line="360" w:lineRule="auto"/>
        <w:ind w:left="1276" w:hanging="56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将</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项目转让给他人，或者在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中未说明，且未经采购人同意，将</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项目分包给他人的；</w:t>
      </w:r>
    </w:p>
    <w:p w14:paraId="75F87662">
      <w:pPr>
        <w:pStyle w:val="21"/>
        <w:numPr>
          <w:ilvl w:val="2"/>
          <w:numId w:val="5"/>
        </w:numPr>
        <w:tabs>
          <w:tab w:val="left" w:pos="1260"/>
          <w:tab w:val="clear" w:pos="1485"/>
        </w:tabs>
        <w:spacing w:line="360" w:lineRule="auto"/>
        <w:ind w:hanging="7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未按</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规定按时向招标代理机构交纳代理服务费；</w:t>
      </w:r>
    </w:p>
    <w:p w14:paraId="317E1B80">
      <w:pPr>
        <w:pStyle w:val="21"/>
        <w:numPr>
          <w:ilvl w:val="2"/>
          <w:numId w:val="5"/>
        </w:numPr>
        <w:tabs>
          <w:tab w:val="left" w:pos="1260"/>
          <w:tab w:val="clear" w:pos="1485"/>
        </w:tabs>
        <w:spacing w:line="360" w:lineRule="auto"/>
        <w:ind w:hanging="7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其他违反法律法规的情形。</w:t>
      </w:r>
    </w:p>
    <w:p w14:paraId="3C571660">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我方将承担相关责任和后果，并按照采购项目预算金额的2%支付给采购人或招标代理机构，以弥补对其造成的损失，不足部分我方将另行承担。同时，我方完全了解上述行为可能导致被记入失信或不良行为记录。</w:t>
      </w:r>
    </w:p>
    <w:p w14:paraId="0F90D58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28373237">
      <w:pPr>
        <w:spacing w:line="440" w:lineRule="exact"/>
        <w:rPr>
          <w:rFonts w:hint="eastAsia" w:ascii="仿宋" w:hAnsi="仿宋" w:eastAsia="仿宋" w:cs="仿宋"/>
          <w:b/>
          <w:bCs/>
          <w:color w:val="auto"/>
          <w:sz w:val="24"/>
          <w:szCs w:val="24"/>
          <w:highlight w:val="none"/>
        </w:rPr>
      </w:pPr>
    </w:p>
    <w:p w14:paraId="7C2E35FB">
      <w:pPr>
        <w:spacing w:line="440" w:lineRule="exact"/>
        <w:jc w:val="center"/>
        <w:rPr>
          <w:rFonts w:hint="eastAsia" w:ascii="仿宋" w:hAnsi="仿宋" w:eastAsia="仿宋" w:cs="仿宋"/>
          <w:b/>
          <w:bCs/>
          <w:color w:val="auto"/>
          <w:sz w:val="24"/>
          <w:szCs w:val="24"/>
          <w:highlight w:val="none"/>
        </w:rPr>
      </w:pPr>
    </w:p>
    <w:p w14:paraId="0D588B97">
      <w:pPr>
        <w:spacing w:line="440" w:lineRule="exact"/>
        <w:jc w:val="right"/>
        <w:rPr>
          <w:rFonts w:hint="eastAsia" w:ascii="仿宋" w:hAnsi="仿宋" w:eastAsia="仿宋" w:cs="仿宋"/>
          <w:b/>
          <w:bCs/>
          <w:color w:val="auto"/>
          <w:sz w:val="24"/>
          <w:szCs w:val="24"/>
          <w:highlight w:val="none"/>
        </w:rPr>
      </w:pPr>
    </w:p>
    <w:p w14:paraId="531CE7CC">
      <w:pPr>
        <w:wordWrap w:val="0"/>
        <w:spacing w:line="45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（电子签章）</w:t>
      </w:r>
    </w:p>
    <w:p w14:paraId="2BC5A18E">
      <w:pPr>
        <w:wordWrap w:val="0"/>
        <w:spacing w:line="45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（电子签章</w:t>
      </w:r>
      <w:r>
        <w:rPr>
          <w:rFonts w:hint="eastAsia" w:ascii="仿宋" w:hAnsi="仿宋" w:eastAsia="仿宋" w:cs="仿宋"/>
          <w:color w:val="auto"/>
          <w:sz w:val="24"/>
          <w:szCs w:val="24"/>
          <w:highlight w:val="none"/>
          <w:lang w:val="en-US" w:eastAsia="zh-CN"/>
        </w:rPr>
        <w:t>或签字</w:t>
      </w:r>
      <w:r>
        <w:rPr>
          <w:rFonts w:hint="eastAsia" w:ascii="仿宋" w:hAnsi="仿宋" w:eastAsia="仿宋" w:cs="仿宋"/>
          <w:color w:val="auto"/>
          <w:sz w:val="24"/>
          <w:szCs w:val="24"/>
          <w:highlight w:val="none"/>
        </w:rPr>
        <w:t>）</w:t>
      </w:r>
    </w:p>
    <w:p w14:paraId="0938FB3E">
      <w:pPr>
        <w:wordWrap w:val="0"/>
        <w:spacing w:line="45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27138F4">
      <w:pPr>
        <w:spacing w:line="440" w:lineRule="exact"/>
        <w:jc w:val="center"/>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br w:type="page"/>
      </w:r>
    </w:p>
    <w:p w14:paraId="03F1DE2B">
      <w:pPr>
        <w:numPr>
          <w:ilvl w:val="0"/>
          <w:numId w:val="6"/>
        </w:numPr>
        <w:tabs>
          <w:tab w:val="left" w:pos="540"/>
        </w:tabs>
        <w:jc w:val="center"/>
        <w:outlineLvl w:val="1"/>
        <w:rPr>
          <w:rFonts w:hint="eastAsia" w:ascii="仿宋" w:hAnsi="仿宋" w:eastAsia="仿宋" w:cs="仿宋"/>
          <w:b/>
          <w:color w:val="auto"/>
          <w:sz w:val="30"/>
          <w:szCs w:val="30"/>
          <w:highlight w:val="none"/>
          <w:lang w:val="zh-CN"/>
        </w:rPr>
      </w:pPr>
      <w:r>
        <w:rPr>
          <w:rFonts w:hint="eastAsia" w:ascii="仿宋" w:hAnsi="仿宋" w:eastAsia="仿宋" w:cs="仿宋"/>
          <w:b/>
          <w:color w:val="auto"/>
          <w:sz w:val="30"/>
          <w:szCs w:val="30"/>
          <w:highlight w:val="none"/>
          <w:lang w:val="zh-CN"/>
        </w:rPr>
        <w:t>服务方案</w:t>
      </w:r>
      <w:bookmarkStart w:id="568" w:name="_Toc12541"/>
      <w:bookmarkStart w:id="569" w:name="_Toc19619"/>
      <w:bookmarkStart w:id="570" w:name="_Toc29230"/>
      <w:bookmarkStart w:id="571" w:name="_Toc7397"/>
      <w:bookmarkStart w:id="572" w:name="_Toc10903"/>
      <w:bookmarkStart w:id="573" w:name="_Toc6714"/>
      <w:bookmarkStart w:id="574" w:name="_Toc8848"/>
    </w:p>
    <w:p w14:paraId="4B10BD53">
      <w:pPr>
        <w:numPr>
          <w:ilvl w:val="0"/>
          <w:numId w:val="0"/>
        </w:numPr>
        <w:tabs>
          <w:tab w:val="left" w:pos="540"/>
        </w:tabs>
        <w:spacing w:line="360" w:lineRule="auto"/>
        <w:ind w:firstLine="480" w:firstLineChars="200"/>
        <w:jc w:val="both"/>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各供应商请按照磋商办法涉及的技术部分、商务部分、采购需求等实质性内容自行编写服务方案。</w:t>
      </w:r>
    </w:p>
    <w:p w14:paraId="1634C3DF">
      <w:pPr>
        <w:numPr>
          <w:ilvl w:val="0"/>
          <w:numId w:val="0"/>
        </w:numPr>
        <w:tabs>
          <w:tab w:val="left" w:pos="540"/>
        </w:tabs>
        <w:ind w:firstLine="560" w:firstLineChars="200"/>
        <w:jc w:val="both"/>
        <w:outlineLvl w:val="9"/>
        <w:rPr>
          <w:rFonts w:hint="eastAsia" w:ascii="仿宋" w:hAnsi="仿宋" w:eastAsia="仿宋" w:cs="仿宋"/>
          <w:b w:val="0"/>
          <w:bCs/>
          <w:color w:val="auto"/>
          <w:sz w:val="28"/>
          <w:szCs w:val="28"/>
          <w:highlight w:val="none"/>
          <w:lang w:val="en-US" w:eastAsia="zh-CN"/>
        </w:rPr>
      </w:pPr>
    </w:p>
    <w:p w14:paraId="4FF13DFE">
      <w:pPr>
        <w:spacing w:line="560" w:lineRule="exact"/>
        <w:jc w:val="center"/>
        <w:outlineLvl w:val="9"/>
        <w:rPr>
          <w:rFonts w:hint="eastAsia" w:ascii="仿宋" w:hAnsi="仿宋" w:eastAsia="仿宋" w:cs="仿宋"/>
          <w:b/>
          <w:color w:val="auto"/>
          <w:sz w:val="30"/>
          <w:szCs w:val="30"/>
          <w:highlight w:val="none"/>
          <w:lang w:val="en-US" w:eastAsia="zh-CN"/>
        </w:rPr>
      </w:pPr>
      <w:bookmarkStart w:id="575" w:name="_Toc29990"/>
      <w:bookmarkStart w:id="576" w:name="_Toc7129"/>
    </w:p>
    <w:p w14:paraId="553F3335">
      <w:pPr>
        <w:spacing w:line="560" w:lineRule="exact"/>
        <w:jc w:val="center"/>
        <w:outlineLvl w:val="9"/>
        <w:rPr>
          <w:rFonts w:hint="eastAsia" w:ascii="仿宋" w:hAnsi="仿宋" w:eastAsia="仿宋" w:cs="仿宋"/>
          <w:b/>
          <w:color w:val="auto"/>
          <w:sz w:val="30"/>
          <w:szCs w:val="30"/>
          <w:highlight w:val="none"/>
          <w:lang w:val="en-US" w:eastAsia="zh-CN"/>
        </w:rPr>
      </w:pPr>
    </w:p>
    <w:p w14:paraId="30AC09EC">
      <w:pPr>
        <w:spacing w:line="560" w:lineRule="exact"/>
        <w:jc w:val="center"/>
        <w:outlineLvl w:val="9"/>
        <w:rPr>
          <w:rFonts w:hint="eastAsia" w:ascii="仿宋" w:hAnsi="仿宋" w:eastAsia="仿宋" w:cs="仿宋"/>
          <w:b/>
          <w:color w:val="auto"/>
          <w:sz w:val="30"/>
          <w:szCs w:val="30"/>
          <w:highlight w:val="none"/>
          <w:lang w:val="en-US" w:eastAsia="zh-CN"/>
        </w:rPr>
      </w:pPr>
    </w:p>
    <w:p w14:paraId="3A827FC0">
      <w:pPr>
        <w:spacing w:line="560" w:lineRule="exact"/>
        <w:jc w:val="center"/>
        <w:outlineLvl w:val="9"/>
        <w:rPr>
          <w:rFonts w:hint="eastAsia" w:ascii="仿宋" w:hAnsi="仿宋" w:eastAsia="仿宋" w:cs="仿宋"/>
          <w:b/>
          <w:color w:val="auto"/>
          <w:sz w:val="30"/>
          <w:szCs w:val="30"/>
          <w:highlight w:val="none"/>
          <w:lang w:val="en-US" w:eastAsia="zh-CN"/>
        </w:rPr>
      </w:pPr>
    </w:p>
    <w:p w14:paraId="51382916">
      <w:pPr>
        <w:spacing w:line="560" w:lineRule="exact"/>
        <w:jc w:val="center"/>
        <w:outlineLvl w:val="9"/>
        <w:rPr>
          <w:rFonts w:hint="eastAsia" w:ascii="仿宋" w:hAnsi="仿宋" w:eastAsia="仿宋" w:cs="仿宋"/>
          <w:b/>
          <w:color w:val="auto"/>
          <w:sz w:val="30"/>
          <w:szCs w:val="30"/>
          <w:highlight w:val="none"/>
          <w:lang w:val="en-US" w:eastAsia="zh-CN"/>
        </w:rPr>
      </w:pPr>
    </w:p>
    <w:p w14:paraId="6A0562D9">
      <w:pPr>
        <w:spacing w:line="560" w:lineRule="exact"/>
        <w:jc w:val="center"/>
        <w:outlineLvl w:val="9"/>
        <w:rPr>
          <w:rFonts w:hint="eastAsia" w:ascii="仿宋" w:hAnsi="仿宋" w:eastAsia="仿宋" w:cs="仿宋"/>
          <w:b/>
          <w:color w:val="auto"/>
          <w:sz w:val="30"/>
          <w:szCs w:val="30"/>
          <w:highlight w:val="none"/>
          <w:lang w:val="en-US" w:eastAsia="zh-CN"/>
        </w:rPr>
      </w:pPr>
    </w:p>
    <w:p w14:paraId="4021EC76">
      <w:pPr>
        <w:spacing w:line="560" w:lineRule="exact"/>
        <w:jc w:val="center"/>
        <w:outlineLvl w:val="9"/>
        <w:rPr>
          <w:rFonts w:hint="eastAsia" w:ascii="仿宋" w:hAnsi="仿宋" w:eastAsia="仿宋" w:cs="仿宋"/>
          <w:b/>
          <w:color w:val="auto"/>
          <w:sz w:val="30"/>
          <w:szCs w:val="30"/>
          <w:highlight w:val="none"/>
          <w:lang w:val="en-US" w:eastAsia="zh-CN"/>
        </w:rPr>
      </w:pPr>
    </w:p>
    <w:p w14:paraId="7F7CF90B">
      <w:pPr>
        <w:spacing w:line="560" w:lineRule="exact"/>
        <w:jc w:val="center"/>
        <w:outlineLvl w:val="9"/>
        <w:rPr>
          <w:rFonts w:hint="eastAsia" w:ascii="仿宋" w:hAnsi="仿宋" w:eastAsia="仿宋" w:cs="仿宋"/>
          <w:b/>
          <w:color w:val="auto"/>
          <w:sz w:val="30"/>
          <w:szCs w:val="30"/>
          <w:highlight w:val="none"/>
          <w:lang w:val="en-US" w:eastAsia="zh-CN"/>
        </w:rPr>
      </w:pPr>
    </w:p>
    <w:p w14:paraId="0BEF5D52">
      <w:pPr>
        <w:spacing w:line="560" w:lineRule="exact"/>
        <w:jc w:val="center"/>
        <w:outlineLvl w:val="9"/>
        <w:rPr>
          <w:rFonts w:hint="eastAsia" w:ascii="仿宋" w:hAnsi="仿宋" w:eastAsia="仿宋" w:cs="仿宋"/>
          <w:b/>
          <w:color w:val="auto"/>
          <w:sz w:val="30"/>
          <w:szCs w:val="30"/>
          <w:highlight w:val="none"/>
          <w:lang w:val="en-US" w:eastAsia="zh-CN"/>
        </w:rPr>
      </w:pPr>
    </w:p>
    <w:p w14:paraId="53B8D0FA">
      <w:pPr>
        <w:spacing w:line="560" w:lineRule="exact"/>
        <w:jc w:val="center"/>
        <w:outlineLvl w:val="9"/>
        <w:rPr>
          <w:rFonts w:hint="eastAsia" w:ascii="仿宋" w:hAnsi="仿宋" w:eastAsia="仿宋" w:cs="仿宋"/>
          <w:b/>
          <w:color w:val="auto"/>
          <w:sz w:val="30"/>
          <w:szCs w:val="30"/>
          <w:highlight w:val="none"/>
          <w:lang w:val="en-US" w:eastAsia="zh-CN"/>
        </w:rPr>
      </w:pPr>
    </w:p>
    <w:p w14:paraId="0DFBC7CD">
      <w:pPr>
        <w:spacing w:line="560" w:lineRule="exact"/>
        <w:jc w:val="center"/>
        <w:outlineLvl w:val="9"/>
        <w:rPr>
          <w:rFonts w:hint="eastAsia" w:ascii="仿宋" w:hAnsi="仿宋" w:eastAsia="仿宋" w:cs="仿宋"/>
          <w:b/>
          <w:color w:val="auto"/>
          <w:sz w:val="30"/>
          <w:szCs w:val="30"/>
          <w:highlight w:val="none"/>
          <w:lang w:val="en-US" w:eastAsia="zh-CN"/>
        </w:rPr>
      </w:pPr>
    </w:p>
    <w:p w14:paraId="01CD3C9A">
      <w:pPr>
        <w:spacing w:line="560" w:lineRule="exact"/>
        <w:jc w:val="center"/>
        <w:outlineLvl w:val="9"/>
        <w:rPr>
          <w:rFonts w:hint="eastAsia" w:ascii="仿宋" w:hAnsi="仿宋" w:eastAsia="仿宋" w:cs="仿宋"/>
          <w:b/>
          <w:color w:val="auto"/>
          <w:sz w:val="30"/>
          <w:szCs w:val="30"/>
          <w:highlight w:val="none"/>
          <w:lang w:val="en-US" w:eastAsia="zh-CN"/>
        </w:rPr>
      </w:pPr>
    </w:p>
    <w:p w14:paraId="7E85B8F3">
      <w:pPr>
        <w:spacing w:line="560" w:lineRule="exact"/>
        <w:jc w:val="center"/>
        <w:outlineLvl w:val="9"/>
        <w:rPr>
          <w:rFonts w:hint="eastAsia" w:ascii="仿宋" w:hAnsi="仿宋" w:eastAsia="仿宋" w:cs="仿宋"/>
          <w:b/>
          <w:color w:val="auto"/>
          <w:sz w:val="30"/>
          <w:szCs w:val="30"/>
          <w:highlight w:val="none"/>
          <w:lang w:val="en-US" w:eastAsia="zh-CN"/>
        </w:rPr>
      </w:pPr>
    </w:p>
    <w:p w14:paraId="2AE348E6">
      <w:pPr>
        <w:spacing w:line="560" w:lineRule="exact"/>
        <w:jc w:val="center"/>
        <w:outlineLvl w:val="9"/>
        <w:rPr>
          <w:rFonts w:hint="eastAsia" w:ascii="仿宋" w:hAnsi="仿宋" w:eastAsia="仿宋" w:cs="仿宋"/>
          <w:b/>
          <w:color w:val="auto"/>
          <w:sz w:val="30"/>
          <w:szCs w:val="30"/>
          <w:highlight w:val="none"/>
          <w:lang w:val="en-US" w:eastAsia="zh-CN"/>
        </w:rPr>
      </w:pPr>
    </w:p>
    <w:p w14:paraId="7C4A37BF">
      <w:pPr>
        <w:spacing w:line="560" w:lineRule="exact"/>
        <w:jc w:val="center"/>
        <w:outlineLvl w:val="9"/>
        <w:rPr>
          <w:rFonts w:hint="eastAsia" w:ascii="仿宋" w:hAnsi="仿宋" w:eastAsia="仿宋" w:cs="仿宋"/>
          <w:b/>
          <w:color w:val="auto"/>
          <w:sz w:val="30"/>
          <w:szCs w:val="30"/>
          <w:highlight w:val="none"/>
          <w:lang w:val="en-US" w:eastAsia="zh-CN"/>
        </w:rPr>
      </w:pPr>
    </w:p>
    <w:p w14:paraId="7561A85C">
      <w:pPr>
        <w:spacing w:line="560" w:lineRule="exact"/>
        <w:jc w:val="center"/>
        <w:outlineLvl w:val="9"/>
        <w:rPr>
          <w:rFonts w:hint="eastAsia" w:ascii="仿宋" w:hAnsi="仿宋" w:eastAsia="仿宋" w:cs="仿宋"/>
          <w:b/>
          <w:color w:val="auto"/>
          <w:sz w:val="30"/>
          <w:szCs w:val="30"/>
          <w:highlight w:val="none"/>
          <w:lang w:val="en-US" w:eastAsia="zh-CN"/>
        </w:rPr>
      </w:pPr>
    </w:p>
    <w:p w14:paraId="6FA3DBB9">
      <w:pPr>
        <w:spacing w:line="560" w:lineRule="exact"/>
        <w:jc w:val="center"/>
        <w:outlineLvl w:val="9"/>
        <w:rPr>
          <w:rFonts w:hint="eastAsia" w:ascii="仿宋" w:hAnsi="仿宋" w:eastAsia="仿宋" w:cs="仿宋"/>
          <w:b/>
          <w:color w:val="auto"/>
          <w:sz w:val="30"/>
          <w:szCs w:val="30"/>
          <w:highlight w:val="none"/>
          <w:lang w:val="en-US" w:eastAsia="zh-CN"/>
        </w:rPr>
      </w:pPr>
    </w:p>
    <w:p w14:paraId="091F8204">
      <w:pPr>
        <w:spacing w:line="560" w:lineRule="exact"/>
        <w:jc w:val="center"/>
        <w:outlineLvl w:val="9"/>
        <w:rPr>
          <w:rFonts w:hint="eastAsia" w:ascii="仿宋" w:hAnsi="仿宋" w:eastAsia="仿宋" w:cs="仿宋"/>
          <w:b/>
          <w:color w:val="auto"/>
          <w:sz w:val="30"/>
          <w:szCs w:val="30"/>
          <w:highlight w:val="none"/>
          <w:lang w:val="en-US" w:eastAsia="zh-CN"/>
        </w:rPr>
      </w:pPr>
    </w:p>
    <w:p w14:paraId="0B07CBF1">
      <w:pPr>
        <w:spacing w:line="560" w:lineRule="exact"/>
        <w:jc w:val="center"/>
        <w:outlineLvl w:val="9"/>
        <w:rPr>
          <w:rFonts w:hint="eastAsia" w:ascii="仿宋" w:hAnsi="仿宋" w:eastAsia="仿宋" w:cs="仿宋"/>
          <w:b/>
          <w:color w:val="auto"/>
          <w:sz w:val="30"/>
          <w:szCs w:val="30"/>
          <w:highlight w:val="none"/>
          <w:lang w:val="en-US" w:eastAsia="zh-CN"/>
        </w:rPr>
      </w:pPr>
    </w:p>
    <w:p w14:paraId="792CBBD8">
      <w:pPr>
        <w:rPr>
          <w:rFonts w:hint="eastAsia" w:ascii="仿宋" w:hAnsi="仿宋" w:eastAsia="仿宋" w:cs="仿宋"/>
          <w:b/>
          <w:color w:val="auto"/>
          <w:sz w:val="30"/>
          <w:szCs w:val="30"/>
          <w:highlight w:val="none"/>
          <w:lang w:val="en-US" w:eastAsia="zh-CN"/>
        </w:rPr>
      </w:pPr>
      <w:r>
        <w:rPr>
          <w:rFonts w:hint="eastAsia" w:ascii="仿宋" w:hAnsi="仿宋" w:eastAsia="仿宋" w:cs="仿宋"/>
          <w:b/>
          <w:color w:val="auto"/>
          <w:sz w:val="30"/>
          <w:szCs w:val="30"/>
          <w:highlight w:val="none"/>
          <w:lang w:val="en-US" w:eastAsia="zh-CN"/>
        </w:rPr>
        <w:br w:type="page"/>
      </w:r>
    </w:p>
    <w:p w14:paraId="6AC0032F">
      <w:pPr>
        <w:spacing w:line="560" w:lineRule="exact"/>
        <w:jc w:val="center"/>
        <w:outlineLvl w:val="1"/>
        <w:rPr>
          <w:rFonts w:hint="eastAsia" w:ascii="仿宋" w:hAnsi="仿宋" w:eastAsia="仿宋" w:cs="仿宋"/>
          <w:b/>
          <w:color w:val="auto"/>
          <w:sz w:val="30"/>
          <w:szCs w:val="30"/>
          <w:highlight w:val="none"/>
          <w:lang w:val="zh-CN" w:eastAsia="zh-CN"/>
        </w:rPr>
      </w:pPr>
      <w:r>
        <w:rPr>
          <w:rFonts w:hint="eastAsia" w:ascii="仿宋" w:hAnsi="仿宋" w:eastAsia="仿宋" w:cs="仿宋"/>
          <w:b/>
          <w:color w:val="auto"/>
          <w:sz w:val="30"/>
          <w:szCs w:val="30"/>
          <w:highlight w:val="none"/>
          <w:lang w:val="en-US" w:eastAsia="zh-CN"/>
        </w:rPr>
        <w:t>五</w:t>
      </w:r>
      <w:r>
        <w:rPr>
          <w:rFonts w:hint="eastAsia" w:ascii="仿宋" w:hAnsi="仿宋" w:eastAsia="仿宋" w:cs="仿宋"/>
          <w:b/>
          <w:color w:val="auto"/>
          <w:sz w:val="30"/>
          <w:szCs w:val="30"/>
          <w:highlight w:val="none"/>
          <w:lang w:val="zh-CN"/>
        </w:rPr>
        <w:t>、</w:t>
      </w:r>
      <w:bookmarkStart w:id="577" w:name="_Toc247514299"/>
      <w:bookmarkEnd w:id="577"/>
      <w:bookmarkStart w:id="578" w:name="_Toc144974875"/>
      <w:bookmarkEnd w:id="578"/>
      <w:bookmarkStart w:id="579" w:name="_Toc247527847"/>
      <w:bookmarkEnd w:id="579"/>
      <w:bookmarkStart w:id="580" w:name="_Toc152042596"/>
      <w:bookmarkEnd w:id="580"/>
      <w:bookmarkStart w:id="581" w:name="_Toc152045807"/>
      <w:bookmarkEnd w:id="581"/>
      <w:r>
        <w:rPr>
          <w:rFonts w:hint="eastAsia" w:ascii="仿宋" w:hAnsi="仿宋" w:eastAsia="仿宋" w:cs="仿宋"/>
          <w:b/>
          <w:color w:val="auto"/>
          <w:sz w:val="30"/>
          <w:szCs w:val="30"/>
          <w:highlight w:val="none"/>
          <w:lang w:val="zh-CN"/>
        </w:rPr>
        <w:t>资格</w:t>
      </w:r>
      <w:bookmarkEnd w:id="568"/>
      <w:bookmarkEnd w:id="569"/>
      <w:bookmarkEnd w:id="570"/>
      <w:bookmarkEnd w:id="571"/>
      <w:r>
        <w:rPr>
          <w:rFonts w:hint="eastAsia" w:ascii="仿宋" w:hAnsi="仿宋" w:eastAsia="仿宋" w:cs="仿宋"/>
          <w:b/>
          <w:color w:val="auto"/>
          <w:sz w:val="30"/>
          <w:szCs w:val="30"/>
          <w:highlight w:val="none"/>
          <w:lang w:val="zh-CN" w:eastAsia="zh-CN"/>
        </w:rPr>
        <w:t>证明文件</w:t>
      </w:r>
      <w:bookmarkEnd w:id="572"/>
      <w:bookmarkEnd w:id="573"/>
      <w:bookmarkEnd w:id="574"/>
      <w:bookmarkEnd w:id="575"/>
      <w:bookmarkEnd w:id="576"/>
      <w:bookmarkStart w:id="582" w:name="_Toc152042597"/>
      <w:bookmarkEnd w:id="582"/>
      <w:bookmarkStart w:id="583" w:name="_Toc247514300"/>
      <w:bookmarkEnd w:id="583"/>
      <w:bookmarkStart w:id="584" w:name="_Toc144974876"/>
      <w:bookmarkEnd w:id="584"/>
      <w:bookmarkStart w:id="585" w:name="_Toc152045808"/>
      <w:bookmarkEnd w:id="585"/>
      <w:bookmarkStart w:id="586" w:name="_Toc247527848"/>
      <w:bookmarkEnd w:id="586"/>
      <w:bookmarkStart w:id="587" w:name="_Toc7020"/>
      <w:bookmarkStart w:id="588" w:name="_Toc32361"/>
      <w:bookmarkStart w:id="589" w:name="_Toc9918"/>
      <w:bookmarkStart w:id="590" w:name="_Toc7716_WPSOffice_Level2"/>
      <w:bookmarkStart w:id="591" w:name="_Toc494321544"/>
      <w:bookmarkStart w:id="592" w:name="_Toc13056_WPSOffice_Level2"/>
      <w:bookmarkStart w:id="593" w:name="_Toc31804_WPSOffice_Level2"/>
    </w:p>
    <w:p w14:paraId="1C355B9E">
      <w:pPr>
        <w:pStyle w:val="4"/>
        <w:numPr>
          <w:ilvl w:val="0"/>
          <w:numId w:val="0"/>
        </w:numPr>
        <w:spacing w:line="240" w:lineRule="auto"/>
        <w:jc w:val="center"/>
        <w:rPr>
          <w:rFonts w:hint="eastAsia" w:ascii="仿宋" w:hAnsi="仿宋" w:eastAsia="仿宋" w:cs="仿宋"/>
          <w:b/>
          <w:bCs/>
          <w:color w:val="auto"/>
          <w:kern w:val="2"/>
          <w:sz w:val="24"/>
          <w:szCs w:val="24"/>
          <w:highlight w:val="none"/>
          <w:lang w:val="en-US" w:eastAsia="zh-CN" w:bidi="ar-SA"/>
        </w:rPr>
      </w:pPr>
      <w:bookmarkStart w:id="594" w:name="_Toc27542"/>
      <w:bookmarkStart w:id="595" w:name="_Toc29146"/>
      <w:bookmarkStart w:id="596" w:name="_Toc27065"/>
      <w:bookmarkStart w:id="597" w:name="_Toc3212"/>
      <w:r>
        <w:rPr>
          <w:rFonts w:hint="eastAsia" w:ascii="仿宋" w:hAnsi="仿宋" w:eastAsia="仿宋" w:cs="仿宋"/>
          <w:color w:val="auto"/>
          <w:sz w:val="24"/>
          <w:szCs w:val="24"/>
          <w:highlight w:val="none"/>
        </w:rPr>
        <w:t>（一）</w:t>
      </w:r>
      <w:r>
        <w:rPr>
          <w:rFonts w:hint="eastAsia" w:ascii="仿宋" w:hAnsi="仿宋" w:eastAsia="仿宋" w:cs="仿宋"/>
          <w:b/>
          <w:bCs/>
          <w:color w:val="auto"/>
          <w:kern w:val="2"/>
          <w:sz w:val="24"/>
          <w:szCs w:val="24"/>
          <w:highlight w:val="none"/>
          <w:lang w:val="en-US" w:eastAsia="zh-CN" w:bidi="ar-SA"/>
        </w:rPr>
        <w:t>资格承诺声明函</w:t>
      </w:r>
    </w:p>
    <w:p w14:paraId="7B41B4CE">
      <w:pPr>
        <w:keepNext w:val="0"/>
        <w:keepLines w:val="0"/>
        <w:pageBreakBefore w:val="0"/>
        <w:widowControl w:val="0"/>
        <w:kinsoku w:val="0"/>
        <w:wordWrap/>
        <w:overflowPunct/>
        <w:topLinePunct w:val="0"/>
        <w:autoSpaceDE w:val="0"/>
        <w:autoSpaceDN w:val="0"/>
        <w:bidi w:val="0"/>
        <w:adjustRightInd w:val="0"/>
        <w:snapToGrid/>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lang w:bidi="zh-CN"/>
        </w:rPr>
        <w:t xml:space="preserve">           </w:t>
      </w:r>
      <w:r>
        <w:rPr>
          <w:rFonts w:hint="eastAsia" w:ascii="仿宋" w:hAnsi="仿宋" w:eastAsia="仿宋" w:cs="仿宋"/>
          <w:color w:val="auto"/>
          <w:sz w:val="24"/>
          <w:szCs w:val="24"/>
          <w:highlight w:val="none"/>
          <w:lang w:bidi="zh-CN"/>
        </w:rPr>
        <w:t>（采购人名称）：</w:t>
      </w:r>
    </w:p>
    <w:p w14:paraId="77F37144">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我单位自愿参加本次政府采购活动，严格遵守《中华人民共和国政府采购法》及相关法律法规，依法诚信经营，依法遵守本次政府采购活动的各项规定。我单位郑重承诺声明如下：</w:t>
      </w:r>
    </w:p>
    <w:p w14:paraId="3B5FBE34">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一、我单位全称为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，注册地点为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，统一社会信用代码为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，法定代表人（单位负责人）为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，联系方式为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64F6AC08">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二、我单位具有独立承担民事责任的能力。</w:t>
      </w:r>
    </w:p>
    <w:p w14:paraId="310D2CCE">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三、我单位具有良好的商业信誉和健全的财务会计制度。</w:t>
      </w:r>
    </w:p>
    <w:p w14:paraId="32A98F02">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四、我单位具有履行合同所必需的设备和专业技术能力。</w:t>
      </w:r>
    </w:p>
    <w:p w14:paraId="65294096">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五、我单位有依法缴纳税收和社会保障资金的良好记录。</w:t>
      </w:r>
    </w:p>
    <w:p w14:paraId="2B4EC973">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六、我单位参加政府采购活动前三年内，在经营活动中没有重大违法记录。（重大违法记录，是指供应商因违法经营受到刑事处罚或者责令停产停业、吊销许可证或者执照、较大数额罚款等行政处罚。）</w:t>
      </w:r>
    </w:p>
    <w:p w14:paraId="5CCBFE71">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七、我单位具备法律、行政法规规定的其他条件。</w:t>
      </w:r>
    </w:p>
    <w:p w14:paraId="5979B717">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保证上述声明的事项都是真实的，符合《中华人民共和国政府采购法》规定的供应商资格条件。如有弄虚作假，我单位愿意按照“提供虚假材料谋取中标、成交”承担相应的法律责任，同意将违背承诺行为作为失信行为记录到社会信用信息平台，并承担因此所造成的一切损失。</w:t>
      </w:r>
    </w:p>
    <w:p w14:paraId="68CEF92B">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0BB780B0">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承诺单位（盖单位公章）：</w:t>
      </w:r>
    </w:p>
    <w:p w14:paraId="65CA90F6">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法定代表人或授权代表（签字或盖章）：</w:t>
      </w:r>
    </w:p>
    <w:p w14:paraId="2118237C">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日期：    年   月   日</w:t>
      </w:r>
    </w:p>
    <w:p w14:paraId="5EE518C3">
      <w:pPr>
        <w:keepNext w:val="0"/>
        <w:keepLines w:val="0"/>
        <w:pageBreakBefore w:val="0"/>
        <w:widowControl w:val="0"/>
        <w:kinsoku w:val="0"/>
        <w:wordWrap/>
        <w:overflowPunct/>
        <w:topLinePunct w:val="0"/>
        <w:autoSpaceDE w:val="0"/>
        <w:autoSpaceDN w:val="0"/>
        <w:bidi w:val="0"/>
        <w:adjustRightInd w:val="0"/>
        <w:snapToGrid/>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供应商须在响应文件中按此模板提供承诺函，未提供视为未实质性响应磋商文件要求，按无效投标处理。</w:t>
      </w:r>
    </w:p>
    <w:p w14:paraId="5C9EA137">
      <w:pPr>
        <w:keepNext w:val="0"/>
        <w:keepLines w:val="0"/>
        <w:pageBreakBefore w:val="0"/>
        <w:widowControl w:val="0"/>
        <w:numPr>
          <w:ilvl w:val="0"/>
          <w:numId w:val="0"/>
        </w:numPr>
        <w:kinsoku w:val="0"/>
        <w:wordWrap/>
        <w:overflowPunct/>
        <w:topLinePunct w:val="0"/>
        <w:autoSpaceDE w:val="0"/>
        <w:autoSpaceDN w:val="0"/>
        <w:bidi w:val="0"/>
        <w:adjustRightInd w:val="0"/>
        <w:snapToGrid/>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rPr>
        <w:t>供应商的法定代表人或者授权代表的签字或盖章应真实、有效。</w:t>
      </w:r>
    </w:p>
    <w:p w14:paraId="54CBC68A">
      <w:pPr>
        <w:spacing w:line="360" w:lineRule="auto"/>
        <w:jc w:val="center"/>
        <w:outlineLvl w:val="9"/>
        <w:rPr>
          <w:rFonts w:hint="eastAsia" w:ascii="仿宋" w:hAnsi="仿宋" w:eastAsia="仿宋" w:cs="仿宋"/>
          <w:color w:val="auto"/>
          <w:sz w:val="24"/>
          <w:szCs w:val="24"/>
          <w:highlight w:val="none"/>
        </w:rPr>
      </w:pPr>
    </w:p>
    <w:p w14:paraId="560C625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7A7630A6">
      <w:pPr>
        <w:pStyle w:val="4"/>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基本情况表</w:t>
      </w:r>
      <w:bookmarkEnd w:id="587"/>
      <w:bookmarkEnd w:id="588"/>
      <w:bookmarkEnd w:id="589"/>
      <w:bookmarkEnd w:id="590"/>
      <w:bookmarkEnd w:id="591"/>
      <w:bookmarkEnd w:id="592"/>
      <w:bookmarkEnd w:id="593"/>
      <w:bookmarkEnd w:id="594"/>
      <w:bookmarkEnd w:id="595"/>
      <w:bookmarkEnd w:id="596"/>
      <w:bookmarkEnd w:id="597"/>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323"/>
        <w:gridCol w:w="1894"/>
        <w:gridCol w:w="1476"/>
        <w:gridCol w:w="1080"/>
        <w:gridCol w:w="1730"/>
      </w:tblGrid>
      <w:tr w14:paraId="02EB7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803" w:type="dxa"/>
            <w:tcBorders>
              <w:top w:val="single" w:color="auto" w:sz="4" w:space="0"/>
              <w:left w:val="single" w:color="auto" w:sz="4" w:space="0"/>
              <w:bottom w:val="single" w:color="auto" w:sz="4" w:space="0"/>
              <w:right w:val="single" w:color="auto" w:sz="4" w:space="0"/>
            </w:tcBorders>
            <w:noWrap w:val="0"/>
            <w:vAlign w:val="center"/>
          </w:tcPr>
          <w:p w14:paraId="4B933F3B">
            <w:pPr>
              <w:autoSpaceDE w:val="0"/>
              <w:autoSpaceDN w:val="0"/>
              <w:adjustRightInd w:val="0"/>
              <w:spacing w:line="360" w:lineRule="exact"/>
              <w:jc w:val="center"/>
              <w:rPr>
                <w:rFonts w:hint="eastAsia" w:ascii="仿宋" w:hAnsi="仿宋" w:eastAsia="仿宋" w:cs="仿宋"/>
                <w:color w:val="auto"/>
                <w:kern w:val="0"/>
                <w:sz w:val="24"/>
                <w:szCs w:val="24"/>
                <w:highlight w:val="none"/>
              </w:rPr>
            </w:pPr>
            <w:bookmarkStart w:id="598" w:name="_Toc16517"/>
            <w:r>
              <w:rPr>
                <w:rFonts w:hint="eastAsia" w:ascii="仿宋" w:hAnsi="仿宋" w:eastAsia="仿宋" w:cs="仿宋"/>
                <w:color w:val="auto"/>
                <w:kern w:val="0"/>
                <w:sz w:val="24"/>
                <w:szCs w:val="24"/>
                <w:highlight w:val="none"/>
                <w:lang w:bidi="ar"/>
              </w:rPr>
              <w:t>供应商名称</w:t>
            </w:r>
          </w:p>
        </w:tc>
        <w:tc>
          <w:tcPr>
            <w:tcW w:w="7503" w:type="dxa"/>
            <w:gridSpan w:val="5"/>
            <w:tcBorders>
              <w:top w:val="single" w:color="auto" w:sz="4" w:space="0"/>
              <w:left w:val="single" w:color="auto" w:sz="4" w:space="0"/>
              <w:bottom w:val="single" w:color="auto" w:sz="4" w:space="0"/>
              <w:right w:val="single" w:color="auto" w:sz="4" w:space="0"/>
            </w:tcBorders>
            <w:noWrap w:val="0"/>
            <w:vAlign w:val="center"/>
          </w:tcPr>
          <w:p w14:paraId="42F5004F">
            <w:pPr>
              <w:autoSpaceDE w:val="0"/>
              <w:autoSpaceDN w:val="0"/>
              <w:adjustRightInd w:val="0"/>
              <w:spacing w:line="360" w:lineRule="exact"/>
              <w:jc w:val="center"/>
              <w:rPr>
                <w:rFonts w:hint="eastAsia" w:ascii="仿宋" w:hAnsi="仿宋" w:eastAsia="仿宋" w:cs="仿宋"/>
                <w:color w:val="auto"/>
                <w:kern w:val="0"/>
                <w:sz w:val="24"/>
                <w:szCs w:val="24"/>
                <w:highlight w:val="none"/>
              </w:rPr>
            </w:pPr>
          </w:p>
        </w:tc>
      </w:tr>
      <w:tr w14:paraId="534E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03" w:type="dxa"/>
            <w:tcBorders>
              <w:top w:val="single" w:color="auto" w:sz="4" w:space="0"/>
              <w:left w:val="single" w:color="auto" w:sz="4" w:space="0"/>
              <w:bottom w:val="single" w:color="auto" w:sz="4" w:space="0"/>
              <w:right w:val="single" w:color="auto" w:sz="4" w:space="0"/>
            </w:tcBorders>
            <w:noWrap w:val="0"/>
            <w:vAlign w:val="center"/>
          </w:tcPr>
          <w:p w14:paraId="16CE4A56">
            <w:pPr>
              <w:autoSpaceDE w:val="0"/>
              <w:autoSpaceDN w:val="0"/>
              <w:adjustRightInd w:val="0"/>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注册地址</w:t>
            </w:r>
          </w:p>
        </w:tc>
        <w:tc>
          <w:tcPr>
            <w:tcW w:w="3217" w:type="dxa"/>
            <w:gridSpan w:val="2"/>
            <w:tcBorders>
              <w:top w:val="single" w:color="auto" w:sz="4" w:space="0"/>
              <w:left w:val="single" w:color="auto" w:sz="4" w:space="0"/>
              <w:bottom w:val="single" w:color="auto" w:sz="4" w:space="0"/>
              <w:right w:val="single" w:color="auto" w:sz="4" w:space="0"/>
            </w:tcBorders>
            <w:noWrap w:val="0"/>
            <w:vAlign w:val="center"/>
          </w:tcPr>
          <w:p w14:paraId="7B5286DF">
            <w:pPr>
              <w:autoSpaceDE w:val="0"/>
              <w:autoSpaceDN w:val="0"/>
              <w:adjustRightInd w:val="0"/>
              <w:spacing w:line="360" w:lineRule="exact"/>
              <w:jc w:val="center"/>
              <w:rPr>
                <w:rFonts w:hint="eastAsia" w:ascii="仿宋" w:hAnsi="仿宋" w:eastAsia="仿宋" w:cs="仿宋"/>
                <w:color w:val="auto"/>
                <w:kern w:val="0"/>
                <w:sz w:val="24"/>
                <w:szCs w:val="24"/>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14:paraId="56C888ED">
            <w:pPr>
              <w:autoSpaceDE w:val="0"/>
              <w:autoSpaceDN w:val="0"/>
              <w:adjustRightInd w:val="0"/>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邮政编码</w:t>
            </w:r>
          </w:p>
        </w:tc>
        <w:tc>
          <w:tcPr>
            <w:tcW w:w="2810" w:type="dxa"/>
            <w:gridSpan w:val="2"/>
            <w:tcBorders>
              <w:top w:val="single" w:color="auto" w:sz="4" w:space="0"/>
              <w:left w:val="single" w:color="auto" w:sz="4" w:space="0"/>
              <w:bottom w:val="single" w:color="auto" w:sz="4" w:space="0"/>
              <w:right w:val="single" w:color="auto" w:sz="4" w:space="0"/>
            </w:tcBorders>
            <w:noWrap w:val="0"/>
            <w:vAlign w:val="center"/>
          </w:tcPr>
          <w:p w14:paraId="6644303C">
            <w:pPr>
              <w:autoSpaceDE w:val="0"/>
              <w:autoSpaceDN w:val="0"/>
              <w:adjustRightInd w:val="0"/>
              <w:spacing w:line="360" w:lineRule="exact"/>
              <w:jc w:val="center"/>
              <w:rPr>
                <w:rFonts w:hint="eastAsia" w:ascii="仿宋" w:hAnsi="仿宋" w:eastAsia="仿宋" w:cs="仿宋"/>
                <w:color w:val="auto"/>
                <w:kern w:val="0"/>
                <w:sz w:val="24"/>
                <w:szCs w:val="24"/>
                <w:highlight w:val="none"/>
              </w:rPr>
            </w:pPr>
          </w:p>
        </w:tc>
      </w:tr>
      <w:tr w14:paraId="1E86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803" w:type="dxa"/>
            <w:tcBorders>
              <w:top w:val="single" w:color="auto" w:sz="4" w:space="0"/>
              <w:left w:val="single" w:color="auto" w:sz="4" w:space="0"/>
              <w:bottom w:val="single" w:color="auto" w:sz="4" w:space="0"/>
              <w:right w:val="single" w:color="auto" w:sz="4" w:space="0"/>
            </w:tcBorders>
            <w:noWrap w:val="0"/>
            <w:vAlign w:val="center"/>
          </w:tcPr>
          <w:p w14:paraId="0775ED39">
            <w:pPr>
              <w:autoSpaceDE w:val="0"/>
              <w:autoSpaceDN w:val="0"/>
              <w:adjustRightInd w:val="0"/>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联系人</w:t>
            </w:r>
          </w:p>
        </w:tc>
        <w:tc>
          <w:tcPr>
            <w:tcW w:w="3217" w:type="dxa"/>
            <w:gridSpan w:val="2"/>
            <w:tcBorders>
              <w:top w:val="single" w:color="auto" w:sz="4" w:space="0"/>
              <w:left w:val="single" w:color="auto" w:sz="4" w:space="0"/>
              <w:bottom w:val="single" w:color="auto" w:sz="4" w:space="0"/>
              <w:right w:val="single" w:color="auto" w:sz="4" w:space="0"/>
            </w:tcBorders>
            <w:noWrap w:val="0"/>
            <w:vAlign w:val="center"/>
          </w:tcPr>
          <w:p w14:paraId="7BBB7C14">
            <w:pPr>
              <w:autoSpaceDE w:val="0"/>
              <w:autoSpaceDN w:val="0"/>
              <w:adjustRightInd w:val="0"/>
              <w:spacing w:line="360" w:lineRule="exact"/>
              <w:jc w:val="center"/>
              <w:rPr>
                <w:rFonts w:hint="eastAsia" w:ascii="仿宋" w:hAnsi="仿宋" w:eastAsia="仿宋" w:cs="仿宋"/>
                <w:color w:val="auto"/>
                <w:kern w:val="0"/>
                <w:sz w:val="24"/>
                <w:szCs w:val="24"/>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14:paraId="3B838908">
            <w:pPr>
              <w:autoSpaceDE w:val="0"/>
              <w:autoSpaceDN w:val="0"/>
              <w:adjustRightInd w:val="0"/>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电 话</w:t>
            </w:r>
          </w:p>
        </w:tc>
        <w:tc>
          <w:tcPr>
            <w:tcW w:w="2810" w:type="dxa"/>
            <w:gridSpan w:val="2"/>
            <w:tcBorders>
              <w:top w:val="single" w:color="auto" w:sz="4" w:space="0"/>
              <w:left w:val="single" w:color="auto" w:sz="4" w:space="0"/>
              <w:bottom w:val="single" w:color="auto" w:sz="4" w:space="0"/>
              <w:right w:val="single" w:color="auto" w:sz="4" w:space="0"/>
            </w:tcBorders>
            <w:noWrap w:val="0"/>
            <w:vAlign w:val="center"/>
          </w:tcPr>
          <w:p w14:paraId="1D711A57">
            <w:pPr>
              <w:autoSpaceDE w:val="0"/>
              <w:autoSpaceDN w:val="0"/>
              <w:adjustRightInd w:val="0"/>
              <w:spacing w:line="360" w:lineRule="exact"/>
              <w:jc w:val="center"/>
              <w:rPr>
                <w:rFonts w:hint="eastAsia" w:ascii="仿宋" w:hAnsi="仿宋" w:eastAsia="仿宋" w:cs="仿宋"/>
                <w:color w:val="auto"/>
                <w:kern w:val="0"/>
                <w:sz w:val="24"/>
                <w:szCs w:val="24"/>
                <w:highlight w:val="none"/>
              </w:rPr>
            </w:pPr>
          </w:p>
        </w:tc>
      </w:tr>
      <w:tr w14:paraId="691F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03" w:type="dxa"/>
            <w:tcBorders>
              <w:top w:val="single" w:color="auto" w:sz="4" w:space="0"/>
              <w:left w:val="single" w:color="auto" w:sz="4" w:space="0"/>
              <w:bottom w:val="single" w:color="auto" w:sz="4" w:space="0"/>
              <w:right w:val="single" w:color="auto" w:sz="4" w:space="0"/>
            </w:tcBorders>
            <w:noWrap w:val="0"/>
            <w:vAlign w:val="center"/>
          </w:tcPr>
          <w:p w14:paraId="5B8F0B06">
            <w:pPr>
              <w:autoSpaceDE w:val="0"/>
              <w:autoSpaceDN w:val="0"/>
              <w:adjustRightInd w:val="0"/>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法定代表人</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641B133F">
            <w:pPr>
              <w:autoSpaceDE w:val="0"/>
              <w:autoSpaceDN w:val="0"/>
              <w:adjustRightInd w:val="0"/>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姓名</w:t>
            </w:r>
          </w:p>
        </w:tc>
        <w:tc>
          <w:tcPr>
            <w:tcW w:w="3370" w:type="dxa"/>
            <w:gridSpan w:val="2"/>
            <w:tcBorders>
              <w:top w:val="single" w:color="auto" w:sz="4" w:space="0"/>
              <w:left w:val="single" w:color="auto" w:sz="4" w:space="0"/>
              <w:bottom w:val="single" w:color="auto" w:sz="4" w:space="0"/>
              <w:right w:val="single" w:color="auto" w:sz="4" w:space="0"/>
            </w:tcBorders>
            <w:noWrap w:val="0"/>
            <w:vAlign w:val="center"/>
          </w:tcPr>
          <w:p w14:paraId="4BC1E7F6">
            <w:pPr>
              <w:autoSpaceDE w:val="0"/>
              <w:autoSpaceDN w:val="0"/>
              <w:adjustRightInd w:val="0"/>
              <w:spacing w:line="360" w:lineRule="exact"/>
              <w:jc w:val="center"/>
              <w:rPr>
                <w:rFonts w:hint="eastAsia" w:ascii="仿宋" w:hAnsi="仿宋" w:eastAsia="仿宋" w:cs="仿宋"/>
                <w:color w:val="auto"/>
                <w:kern w:val="0"/>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ACB2A51">
            <w:pPr>
              <w:autoSpaceDE w:val="0"/>
              <w:autoSpaceDN w:val="0"/>
              <w:adjustRightInd w:val="0"/>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电话</w:t>
            </w:r>
          </w:p>
        </w:tc>
        <w:tc>
          <w:tcPr>
            <w:tcW w:w="1730" w:type="dxa"/>
            <w:tcBorders>
              <w:top w:val="single" w:color="auto" w:sz="4" w:space="0"/>
              <w:left w:val="single" w:color="auto" w:sz="4" w:space="0"/>
              <w:bottom w:val="single" w:color="auto" w:sz="4" w:space="0"/>
              <w:right w:val="single" w:color="auto" w:sz="4" w:space="0"/>
            </w:tcBorders>
            <w:noWrap w:val="0"/>
            <w:vAlign w:val="center"/>
          </w:tcPr>
          <w:p w14:paraId="49226B9F">
            <w:pPr>
              <w:autoSpaceDE w:val="0"/>
              <w:autoSpaceDN w:val="0"/>
              <w:adjustRightInd w:val="0"/>
              <w:spacing w:line="360" w:lineRule="exact"/>
              <w:jc w:val="center"/>
              <w:rPr>
                <w:rFonts w:hint="eastAsia" w:ascii="仿宋" w:hAnsi="仿宋" w:eastAsia="仿宋" w:cs="仿宋"/>
                <w:color w:val="auto"/>
                <w:kern w:val="0"/>
                <w:sz w:val="24"/>
                <w:szCs w:val="24"/>
                <w:highlight w:val="none"/>
              </w:rPr>
            </w:pPr>
          </w:p>
        </w:tc>
      </w:tr>
      <w:tr w14:paraId="5566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803" w:type="dxa"/>
            <w:tcBorders>
              <w:top w:val="single" w:color="auto" w:sz="4" w:space="0"/>
              <w:left w:val="single" w:color="auto" w:sz="4" w:space="0"/>
              <w:bottom w:val="single" w:color="auto" w:sz="4" w:space="0"/>
              <w:right w:val="single" w:color="auto" w:sz="4" w:space="0"/>
            </w:tcBorders>
            <w:noWrap w:val="0"/>
            <w:vAlign w:val="center"/>
          </w:tcPr>
          <w:p w14:paraId="773FC41D">
            <w:pPr>
              <w:autoSpaceDE w:val="0"/>
              <w:autoSpaceDN w:val="0"/>
              <w:adjustRightInd w:val="0"/>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技术负责人</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6ECFD956">
            <w:pPr>
              <w:autoSpaceDE w:val="0"/>
              <w:autoSpaceDN w:val="0"/>
              <w:adjustRightInd w:val="0"/>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姓名</w:t>
            </w:r>
          </w:p>
        </w:tc>
        <w:tc>
          <w:tcPr>
            <w:tcW w:w="3370" w:type="dxa"/>
            <w:gridSpan w:val="2"/>
            <w:tcBorders>
              <w:top w:val="single" w:color="auto" w:sz="4" w:space="0"/>
              <w:left w:val="single" w:color="auto" w:sz="4" w:space="0"/>
              <w:bottom w:val="single" w:color="auto" w:sz="4" w:space="0"/>
              <w:right w:val="single" w:color="auto" w:sz="4" w:space="0"/>
            </w:tcBorders>
            <w:noWrap w:val="0"/>
            <w:vAlign w:val="center"/>
          </w:tcPr>
          <w:p w14:paraId="300893B1">
            <w:pPr>
              <w:autoSpaceDE w:val="0"/>
              <w:autoSpaceDN w:val="0"/>
              <w:adjustRightInd w:val="0"/>
              <w:spacing w:line="360" w:lineRule="exact"/>
              <w:jc w:val="center"/>
              <w:rPr>
                <w:rFonts w:hint="eastAsia" w:ascii="仿宋" w:hAnsi="仿宋" w:eastAsia="仿宋" w:cs="仿宋"/>
                <w:color w:val="auto"/>
                <w:kern w:val="0"/>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BBE9133">
            <w:pPr>
              <w:autoSpaceDE w:val="0"/>
              <w:autoSpaceDN w:val="0"/>
              <w:adjustRightInd w:val="0"/>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电话</w:t>
            </w:r>
          </w:p>
        </w:tc>
        <w:tc>
          <w:tcPr>
            <w:tcW w:w="1730" w:type="dxa"/>
            <w:tcBorders>
              <w:top w:val="single" w:color="auto" w:sz="4" w:space="0"/>
              <w:left w:val="single" w:color="auto" w:sz="4" w:space="0"/>
              <w:bottom w:val="single" w:color="auto" w:sz="4" w:space="0"/>
              <w:right w:val="single" w:color="auto" w:sz="4" w:space="0"/>
            </w:tcBorders>
            <w:noWrap w:val="0"/>
            <w:vAlign w:val="center"/>
          </w:tcPr>
          <w:p w14:paraId="63AECCC6">
            <w:pPr>
              <w:autoSpaceDE w:val="0"/>
              <w:autoSpaceDN w:val="0"/>
              <w:adjustRightInd w:val="0"/>
              <w:spacing w:line="360" w:lineRule="exact"/>
              <w:jc w:val="center"/>
              <w:rPr>
                <w:rFonts w:hint="eastAsia" w:ascii="仿宋" w:hAnsi="仿宋" w:eastAsia="仿宋" w:cs="仿宋"/>
                <w:color w:val="auto"/>
                <w:kern w:val="0"/>
                <w:sz w:val="24"/>
                <w:szCs w:val="24"/>
                <w:highlight w:val="none"/>
              </w:rPr>
            </w:pPr>
          </w:p>
        </w:tc>
      </w:tr>
      <w:tr w14:paraId="033C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03" w:type="dxa"/>
            <w:tcBorders>
              <w:top w:val="single" w:color="auto" w:sz="4" w:space="0"/>
              <w:left w:val="single" w:color="auto" w:sz="4" w:space="0"/>
              <w:bottom w:val="single" w:color="auto" w:sz="4" w:space="0"/>
              <w:right w:val="single" w:color="auto" w:sz="4" w:space="0"/>
            </w:tcBorders>
            <w:noWrap w:val="0"/>
            <w:vAlign w:val="center"/>
          </w:tcPr>
          <w:p w14:paraId="495B0A6B">
            <w:pPr>
              <w:autoSpaceDE w:val="0"/>
              <w:autoSpaceDN w:val="0"/>
              <w:adjustRightInd w:val="0"/>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成立时间</w:t>
            </w:r>
          </w:p>
        </w:tc>
        <w:tc>
          <w:tcPr>
            <w:tcW w:w="7503" w:type="dxa"/>
            <w:gridSpan w:val="5"/>
            <w:tcBorders>
              <w:top w:val="single" w:color="auto" w:sz="4" w:space="0"/>
              <w:left w:val="single" w:color="auto" w:sz="4" w:space="0"/>
              <w:bottom w:val="single" w:color="auto" w:sz="4" w:space="0"/>
              <w:right w:val="single" w:color="auto" w:sz="4" w:space="0"/>
            </w:tcBorders>
            <w:noWrap w:val="0"/>
            <w:vAlign w:val="center"/>
          </w:tcPr>
          <w:p w14:paraId="30A19345">
            <w:pPr>
              <w:autoSpaceDE w:val="0"/>
              <w:autoSpaceDN w:val="0"/>
              <w:adjustRightInd w:val="0"/>
              <w:spacing w:line="360" w:lineRule="exact"/>
              <w:jc w:val="center"/>
              <w:rPr>
                <w:rFonts w:hint="eastAsia" w:ascii="仿宋" w:hAnsi="仿宋" w:eastAsia="仿宋" w:cs="仿宋"/>
                <w:color w:val="auto"/>
                <w:kern w:val="0"/>
                <w:sz w:val="24"/>
                <w:szCs w:val="24"/>
                <w:highlight w:val="none"/>
              </w:rPr>
            </w:pPr>
          </w:p>
        </w:tc>
      </w:tr>
      <w:tr w14:paraId="76B5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03" w:type="dxa"/>
            <w:tcBorders>
              <w:top w:val="single" w:color="auto" w:sz="4" w:space="0"/>
              <w:left w:val="single" w:color="auto" w:sz="4" w:space="0"/>
              <w:bottom w:val="single" w:color="auto" w:sz="4" w:space="0"/>
              <w:right w:val="single" w:color="auto" w:sz="4" w:space="0"/>
            </w:tcBorders>
            <w:noWrap w:val="0"/>
            <w:vAlign w:val="center"/>
          </w:tcPr>
          <w:p w14:paraId="0D6D7FC4">
            <w:pPr>
              <w:autoSpaceDE w:val="0"/>
              <w:autoSpaceDN w:val="0"/>
              <w:adjustRightInd w:val="0"/>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员工总人数</w:t>
            </w:r>
          </w:p>
        </w:tc>
        <w:tc>
          <w:tcPr>
            <w:tcW w:w="7503" w:type="dxa"/>
            <w:gridSpan w:val="5"/>
            <w:tcBorders>
              <w:top w:val="single" w:color="auto" w:sz="4" w:space="0"/>
              <w:left w:val="single" w:color="auto" w:sz="4" w:space="0"/>
              <w:bottom w:val="single" w:color="auto" w:sz="4" w:space="0"/>
              <w:right w:val="single" w:color="auto" w:sz="4" w:space="0"/>
            </w:tcBorders>
            <w:noWrap w:val="0"/>
            <w:vAlign w:val="center"/>
          </w:tcPr>
          <w:p w14:paraId="75334AC0">
            <w:pPr>
              <w:autoSpaceDE w:val="0"/>
              <w:autoSpaceDN w:val="0"/>
              <w:adjustRightInd w:val="0"/>
              <w:spacing w:line="360" w:lineRule="exact"/>
              <w:jc w:val="center"/>
              <w:rPr>
                <w:rFonts w:hint="eastAsia" w:ascii="仿宋" w:hAnsi="仿宋" w:eastAsia="仿宋" w:cs="仿宋"/>
                <w:color w:val="auto"/>
                <w:kern w:val="0"/>
                <w:sz w:val="24"/>
                <w:szCs w:val="24"/>
                <w:highlight w:val="none"/>
              </w:rPr>
            </w:pPr>
          </w:p>
        </w:tc>
      </w:tr>
      <w:tr w14:paraId="38E7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03" w:type="dxa"/>
            <w:tcBorders>
              <w:top w:val="single" w:color="auto" w:sz="4" w:space="0"/>
              <w:left w:val="single" w:color="auto" w:sz="4" w:space="0"/>
              <w:bottom w:val="single" w:color="auto" w:sz="4" w:space="0"/>
              <w:right w:val="single" w:color="auto" w:sz="4" w:space="0"/>
            </w:tcBorders>
            <w:noWrap w:val="0"/>
            <w:vAlign w:val="center"/>
          </w:tcPr>
          <w:p w14:paraId="1244413A">
            <w:pPr>
              <w:autoSpaceDE w:val="0"/>
              <w:autoSpaceDN w:val="0"/>
              <w:adjustRightInd w:val="0"/>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营业执照号</w:t>
            </w:r>
          </w:p>
        </w:tc>
        <w:tc>
          <w:tcPr>
            <w:tcW w:w="7503" w:type="dxa"/>
            <w:gridSpan w:val="5"/>
            <w:tcBorders>
              <w:top w:val="single" w:color="auto" w:sz="4" w:space="0"/>
              <w:left w:val="single" w:color="auto" w:sz="4" w:space="0"/>
              <w:bottom w:val="single" w:color="auto" w:sz="4" w:space="0"/>
              <w:right w:val="single" w:color="auto" w:sz="4" w:space="0"/>
            </w:tcBorders>
            <w:noWrap w:val="0"/>
            <w:vAlign w:val="center"/>
          </w:tcPr>
          <w:p w14:paraId="1E1C06F9">
            <w:pPr>
              <w:autoSpaceDE w:val="0"/>
              <w:autoSpaceDN w:val="0"/>
              <w:adjustRightInd w:val="0"/>
              <w:spacing w:line="360" w:lineRule="exact"/>
              <w:jc w:val="center"/>
              <w:rPr>
                <w:rFonts w:hint="eastAsia" w:ascii="仿宋" w:hAnsi="仿宋" w:eastAsia="仿宋" w:cs="仿宋"/>
                <w:color w:val="auto"/>
                <w:kern w:val="0"/>
                <w:sz w:val="24"/>
                <w:szCs w:val="24"/>
                <w:highlight w:val="none"/>
              </w:rPr>
            </w:pPr>
          </w:p>
        </w:tc>
      </w:tr>
      <w:tr w14:paraId="45AA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03" w:type="dxa"/>
            <w:tcBorders>
              <w:top w:val="single" w:color="auto" w:sz="4" w:space="0"/>
              <w:left w:val="single" w:color="auto" w:sz="4" w:space="0"/>
              <w:bottom w:val="single" w:color="auto" w:sz="4" w:space="0"/>
              <w:right w:val="single" w:color="auto" w:sz="4" w:space="0"/>
            </w:tcBorders>
            <w:noWrap w:val="0"/>
            <w:vAlign w:val="center"/>
          </w:tcPr>
          <w:p w14:paraId="0187D443">
            <w:pPr>
              <w:autoSpaceDE w:val="0"/>
              <w:autoSpaceDN w:val="0"/>
              <w:adjustRightInd w:val="0"/>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注册资金</w:t>
            </w:r>
          </w:p>
        </w:tc>
        <w:tc>
          <w:tcPr>
            <w:tcW w:w="7503" w:type="dxa"/>
            <w:gridSpan w:val="5"/>
            <w:tcBorders>
              <w:top w:val="single" w:color="auto" w:sz="4" w:space="0"/>
              <w:left w:val="single" w:color="auto" w:sz="4" w:space="0"/>
              <w:bottom w:val="single" w:color="auto" w:sz="4" w:space="0"/>
              <w:right w:val="single" w:color="auto" w:sz="4" w:space="0"/>
            </w:tcBorders>
            <w:noWrap w:val="0"/>
            <w:vAlign w:val="center"/>
          </w:tcPr>
          <w:p w14:paraId="593933B2">
            <w:pPr>
              <w:autoSpaceDE w:val="0"/>
              <w:autoSpaceDN w:val="0"/>
              <w:adjustRightInd w:val="0"/>
              <w:spacing w:line="360" w:lineRule="exact"/>
              <w:jc w:val="center"/>
              <w:rPr>
                <w:rFonts w:hint="eastAsia" w:ascii="仿宋" w:hAnsi="仿宋" w:eastAsia="仿宋" w:cs="仿宋"/>
                <w:color w:val="auto"/>
                <w:kern w:val="0"/>
                <w:sz w:val="24"/>
                <w:szCs w:val="24"/>
                <w:highlight w:val="none"/>
              </w:rPr>
            </w:pPr>
          </w:p>
        </w:tc>
      </w:tr>
      <w:tr w14:paraId="6A3B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7" w:hRule="atLeast"/>
          <w:jc w:val="center"/>
        </w:trPr>
        <w:tc>
          <w:tcPr>
            <w:tcW w:w="1803" w:type="dxa"/>
            <w:tcBorders>
              <w:top w:val="single" w:color="auto" w:sz="4" w:space="0"/>
              <w:left w:val="single" w:color="auto" w:sz="4" w:space="0"/>
              <w:bottom w:val="single" w:color="auto" w:sz="4" w:space="0"/>
              <w:right w:val="single" w:color="auto" w:sz="4" w:space="0"/>
            </w:tcBorders>
            <w:noWrap w:val="0"/>
            <w:vAlign w:val="center"/>
          </w:tcPr>
          <w:p w14:paraId="12C261C9">
            <w:pPr>
              <w:autoSpaceDE w:val="0"/>
              <w:autoSpaceDN w:val="0"/>
              <w:adjustRightInd w:val="0"/>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经营范围</w:t>
            </w:r>
          </w:p>
        </w:tc>
        <w:tc>
          <w:tcPr>
            <w:tcW w:w="7503" w:type="dxa"/>
            <w:gridSpan w:val="5"/>
            <w:tcBorders>
              <w:top w:val="single" w:color="auto" w:sz="4" w:space="0"/>
              <w:left w:val="single" w:color="auto" w:sz="4" w:space="0"/>
              <w:bottom w:val="single" w:color="auto" w:sz="4" w:space="0"/>
              <w:right w:val="single" w:color="auto" w:sz="4" w:space="0"/>
            </w:tcBorders>
            <w:noWrap w:val="0"/>
            <w:vAlign w:val="center"/>
          </w:tcPr>
          <w:p w14:paraId="59C84B7E">
            <w:pPr>
              <w:autoSpaceDE w:val="0"/>
              <w:autoSpaceDN w:val="0"/>
              <w:adjustRightInd w:val="0"/>
              <w:spacing w:line="360" w:lineRule="exact"/>
              <w:jc w:val="center"/>
              <w:rPr>
                <w:rFonts w:hint="eastAsia" w:ascii="仿宋" w:hAnsi="仿宋" w:eastAsia="仿宋" w:cs="仿宋"/>
                <w:color w:val="auto"/>
                <w:kern w:val="0"/>
                <w:sz w:val="24"/>
                <w:szCs w:val="24"/>
                <w:highlight w:val="none"/>
              </w:rPr>
            </w:pPr>
          </w:p>
          <w:p w14:paraId="18B16753">
            <w:pPr>
              <w:autoSpaceDE w:val="0"/>
              <w:autoSpaceDN w:val="0"/>
              <w:adjustRightInd w:val="0"/>
              <w:spacing w:line="360" w:lineRule="exact"/>
              <w:jc w:val="center"/>
              <w:rPr>
                <w:rFonts w:hint="eastAsia" w:ascii="仿宋" w:hAnsi="仿宋" w:eastAsia="仿宋" w:cs="仿宋"/>
                <w:color w:val="auto"/>
                <w:kern w:val="0"/>
                <w:sz w:val="24"/>
                <w:szCs w:val="24"/>
                <w:highlight w:val="none"/>
              </w:rPr>
            </w:pPr>
          </w:p>
          <w:p w14:paraId="014083D7">
            <w:pPr>
              <w:autoSpaceDE w:val="0"/>
              <w:autoSpaceDN w:val="0"/>
              <w:adjustRightInd w:val="0"/>
              <w:spacing w:line="360" w:lineRule="exact"/>
              <w:jc w:val="center"/>
              <w:rPr>
                <w:rFonts w:hint="eastAsia" w:ascii="仿宋" w:hAnsi="仿宋" w:eastAsia="仿宋" w:cs="仿宋"/>
                <w:color w:val="auto"/>
                <w:kern w:val="0"/>
                <w:sz w:val="24"/>
                <w:szCs w:val="24"/>
                <w:highlight w:val="none"/>
              </w:rPr>
            </w:pPr>
          </w:p>
          <w:p w14:paraId="113437CC">
            <w:pPr>
              <w:autoSpaceDE w:val="0"/>
              <w:autoSpaceDN w:val="0"/>
              <w:adjustRightInd w:val="0"/>
              <w:spacing w:line="360" w:lineRule="exact"/>
              <w:jc w:val="center"/>
              <w:rPr>
                <w:rFonts w:hint="eastAsia" w:ascii="仿宋" w:hAnsi="仿宋" w:eastAsia="仿宋" w:cs="仿宋"/>
                <w:color w:val="auto"/>
                <w:kern w:val="0"/>
                <w:sz w:val="24"/>
                <w:szCs w:val="24"/>
                <w:highlight w:val="none"/>
              </w:rPr>
            </w:pPr>
          </w:p>
          <w:p w14:paraId="2A191F91">
            <w:pPr>
              <w:autoSpaceDE w:val="0"/>
              <w:autoSpaceDN w:val="0"/>
              <w:adjustRightInd w:val="0"/>
              <w:spacing w:line="360" w:lineRule="exact"/>
              <w:jc w:val="center"/>
              <w:rPr>
                <w:rFonts w:hint="eastAsia" w:ascii="仿宋" w:hAnsi="仿宋" w:eastAsia="仿宋" w:cs="仿宋"/>
                <w:color w:val="auto"/>
                <w:kern w:val="0"/>
                <w:sz w:val="24"/>
                <w:szCs w:val="24"/>
                <w:highlight w:val="none"/>
              </w:rPr>
            </w:pPr>
          </w:p>
          <w:p w14:paraId="136EF133">
            <w:pPr>
              <w:autoSpaceDE w:val="0"/>
              <w:autoSpaceDN w:val="0"/>
              <w:adjustRightInd w:val="0"/>
              <w:spacing w:line="360" w:lineRule="exact"/>
              <w:jc w:val="center"/>
              <w:rPr>
                <w:rFonts w:hint="eastAsia" w:ascii="仿宋" w:hAnsi="仿宋" w:eastAsia="仿宋" w:cs="仿宋"/>
                <w:color w:val="auto"/>
                <w:kern w:val="0"/>
                <w:sz w:val="24"/>
                <w:szCs w:val="24"/>
                <w:highlight w:val="none"/>
              </w:rPr>
            </w:pPr>
          </w:p>
          <w:p w14:paraId="36F958B9">
            <w:pPr>
              <w:autoSpaceDE w:val="0"/>
              <w:autoSpaceDN w:val="0"/>
              <w:adjustRightInd w:val="0"/>
              <w:spacing w:line="360" w:lineRule="exact"/>
              <w:jc w:val="center"/>
              <w:rPr>
                <w:rFonts w:hint="eastAsia" w:ascii="仿宋" w:hAnsi="仿宋" w:eastAsia="仿宋" w:cs="仿宋"/>
                <w:color w:val="auto"/>
                <w:kern w:val="0"/>
                <w:sz w:val="24"/>
                <w:szCs w:val="24"/>
                <w:highlight w:val="none"/>
              </w:rPr>
            </w:pPr>
          </w:p>
          <w:p w14:paraId="7B625322">
            <w:pPr>
              <w:autoSpaceDE w:val="0"/>
              <w:autoSpaceDN w:val="0"/>
              <w:adjustRightInd w:val="0"/>
              <w:spacing w:line="360" w:lineRule="exact"/>
              <w:jc w:val="center"/>
              <w:rPr>
                <w:rFonts w:hint="eastAsia" w:ascii="仿宋" w:hAnsi="仿宋" w:eastAsia="仿宋" w:cs="仿宋"/>
                <w:color w:val="auto"/>
                <w:kern w:val="0"/>
                <w:sz w:val="24"/>
                <w:szCs w:val="24"/>
                <w:highlight w:val="none"/>
              </w:rPr>
            </w:pPr>
          </w:p>
          <w:p w14:paraId="5ED17D95">
            <w:pPr>
              <w:autoSpaceDE w:val="0"/>
              <w:autoSpaceDN w:val="0"/>
              <w:adjustRightInd w:val="0"/>
              <w:spacing w:line="360" w:lineRule="exact"/>
              <w:jc w:val="center"/>
              <w:rPr>
                <w:rFonts w:hint="eastAsia" w:ascii="仿宋" w:hAnsi="仿宋" w:eastAsia="仿宋" w:cs="仿宋"/>
                <w:color w:val="auto"/>
                <w:kern w:val="0"/>
                <w:sz w:val="24"/>
                <w:szCs w:val="24"/>
                <w:highlight w:val="none"/>
              </w:rPr>
            </w:pPr>
          </w:p>
          <w:p w14:paraId="441745BB">
            <w:pPr>
              <w:autoSpaceDE w:val="0"/>
              <w:autoSpaceDN w:val="0"/>
              <w:adjustRightInd w:val="0"/>
              <w:spacing w:line="360" w:lineRule="exact"/>
              <w:jc w:val="center"/>
              <w:rPr>
                <w:rFonts w:hint="eastAsia" w:ascii="仿宋" w:hAnsi="仿宋" w:eastAsia="仿宋" w:cs="仿宋"/>
                <w:color w:val="auto"/>
                <w:kern w:val="0"/>
                <w:sz w:val="24"/>
                <w:szCs w:val="24"/>
                <w:highlight w:val="none"/>
              </w:rPr>
            </w:pPr>
          </w:p>
          <w:p w14:paraId="77E71697">
            <w:pPr>
              <w:autoSpaceDE w:val="0"/>
              <w:autoSpaceDN w:val="0"/>
              <w:adjustRightInd w:val="0"/>
              <w:spacing w:line="360" w:lineRule="exact"/>
              <w:jc w:val="center"/>
              <w:rPr>
                <w:rFonts w:hint="eastAsia" w:ascii="仿宋" w:hAnsi="仿宋" w:eastAsia="仿宋" w:cs="仿宋"/>
                <w:color w:val="auto"/>
                <w:kern w:val="0"/>
                <w:sz w:val="24"/>
                <w:szCs w:val="24"/>
                <w:highlight w:val="none"/>
              </w:rPr>
            </w:pPr>
          </w:p>
          <w:p w14:paraId="7057B914">
            <w:pPr>
              <w:autoSpaceDE w:val="0"/>
              <w:autoSpaceDN w:val="0"/>
              <w:adjustRightInd w:val="0"/>
              <w:spacing w:line="360" w:lineRule="exact"/>
              <w:jc w:val="center"/>
              <w:rPr>
                <w:rFonts w:hint="eastAsia" w:ascii="仿宋" w:hAnsi="仿宋" w:eastAsia="仿宋" w:cs="仿宋"/>
                <w:color w:val="auto"/>
                <w:kern w:val="0"/>
                <w:sz w:val="24"/>
                <w:szCs w:val="24"/>
                <w:highlight w:val="none"/>
              </w:rPr>
            </w:pPr>
          </w:p>
          <w:p w14:paraId="60FC96AF">
            <w:pPr>
              <w:autoSpaceDE w:val="0"/>
              <w:autoSpaceDN w:val="0"/>
              <w:adjustRightInd w:val="0"/>
              <w:spacing w:line="360" w:lineRule="exact"/>
              <w:jc w:val="center"/>
              <w:rPr>
                <w:rFonts w:hint="eastAsia" w:ascii="仿宋" w:hAnsi="仿宋" w:eastAsia="仿宋" w:cs="仿宋"/>
                <w:color w:val="auto"/>
                <w:kern w:val="0"/>
                <w:sz w:val="24"/>
                <w:szCs w:val="24"/>
                <w:highlight w:val="none"/>
              </w:rPr>
            </w:pPr>
          </w:p>
          <w:p w14:paraId="7154729E">
            <w:pPr>
              <w:autoSpaceDE w:val="0"/>
              <w:autoSpaceDN w:val="0"/>
              <w:adjustRightInd w:val="0"/>
              <w:spacing w:line="360" w:lineRule="exact"/>
              <w:jc w:val="center"/>
              <w:rPr>
                <w:rFonts w:hint="eastAsia" w:ascii="仿宋" w:hAnsi="仿宋" w:eastAsia="仿宋" w:cs="仿宋"/>
                <w:color w:val="auto"/>
                <w:kern w:val="0"/>
                <w:sz w:val="24"/>
                <w:szCs w:val="24"/>
                <w:highlight w:val="none"/>
              </w:rPr>
            </w:pPr>
          </w:p>
        </w:tc>
      </w:tr>
      <w:tr w14:paraId="439B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803" w:type="dxa"/>
            <w:tcBorders>
              <w:top w:val="single" w:color="auto" w:sz="4" w:space="0"/>
              <w:left w:val="single" w:color="auto" w:sz="4" w:space="0"/>
              <w:bottom w:val="single" w:color="auto" w:sz="4" w:space="0"/>
              <w:right w:val="single" w:color="auto" w:sz="4" w:space="0"/>
            </w:tcBorders>
            <w:noWrap w:val="0"/>
            <w:vAlign w:val="center"/>
          </w:tcPr>
          <w:p w14:paraId="6F3A61A4">
            <w:pPr>
              <w:autoSpaceDE w:val="0"/>
              <w:autoSpaceDN w:val="0"/>
              <w:adjustRightInd w:val="0"/>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备注</w:t>
            </w:r>
          </w:p>
        </w:tc>
        <w:tc>
          <w:tcPr>
            <w:tcW w:w="7503" w:type="dxa"/>
            <w:gridSpan w:val="5"/>
            <w:tcBorders>
              <w:top w:val="single" w:color="auto" w:sz="4" w:space="0"/>
              <w:left w:val="single" w:color="auto" w:sz="4" w:space="0"/>
              <w:bottom w:val="single" w:color="auto" w:sz="4" w:space="0"/>
              <w:right w:val="single" w:color="auto" w:sz="4" w:space="0"/>
            </w:tcBorders>
            <w:noWrap w:val="0"/>
            <w:vAlign w:val="center"/>
          </w:tcPr>
          <w:p w14:paraId="562C5819">
            <w:pPr>
              <w:spacing w:line="360" w:lineRule="auto"/>
              <w:rPr>
                <w:rFonts w:hint="eastAsia" w:ascii="仿宋" w:hAnsi="仿宋" w:eastAsia="仿宋" w:cs="仿宋"/>
                <w:color w:val="auto"/>
                <w:kern w:val="0"/>
                <w:sz w:val="24"/>
                <w:szCs w:val="24"/>
                <w:highlight w:val="none"/>
              </w:rPr>
            </w:pPr>
          </w:p>
        </w:tc>
      </w:tr>
    </w:tbl>
    <w:p w14:paraId="7B090021">
      <w:pPr>
        <w:rPr>
          <w:rFonts w:hint="eastAsia" w:ascii="仿宋" w:hAnsi="仿宋" w:eastAsia="仿宋" w:cs="仿宋"/>
          <w:color w:val="auto"/>
          <w:highlight w:val="none"/>
        </w:rPr>
      </w:pPr>
      <w:r>
        <w:rPr>
          <w:rFonts w:hint="eastAsia" w:ascii="仿宋" w:hAnsi="仿宋" w:eastAsia="仿宋" w:cs="仿宋"/>
          <w:color w:val="auto"/>
          <w:sz w:val="24"/>
          <w:szCs w:val="24"/>
          <w:highlight w:val="none"/>
        </w:rPr>
        <w:br w:type="page"/>
      </w:r>
    </w:p>
    <w:bookmarkEnd w:id="598"/>
    <w:p w14:paraId="47ADAD9C">
      <w:pPr>
        <w:pStyle w:val="4"/>
        <w:numPr>
          <w:ilvl w:val="0"/>
          <w:numId w:val="0"/>
        </w:numPr>
        <w:spacing w:line="240" w:lineRule="auto"/>
        <w:jc w:val="center"/>
        <w:rPr>
          <w:rFonts w:hint="eastAsia" w:ascii="仿宋" w:hAnsi="仿宋" w:eastAsia="仿宋" w:cs="仿宋"/>
          <w:b/>
          <w:bCs/>
          <w:color w:val="auto"/>
          <w:kern w:val="2"/>
          <w:sz w:val="24"/>
          <w:szCs w:val="24"/>
          <w:highlight w:val="none"/>
          <w:lang w:val="en-US" w:eastAsia="zh-CN" w:bidi="ar-SA"/>
        </w:rPr>
      </w:pPr>
      <w:bookmarkStart w:id="599" w:name="_Toc12020"/>
      <w:r>
        <w:rPr>
          <w:rFonts w:hint="eastAsia" w:ascii="仿宋" w:hAnsi="仿宋" w:eastAsia="仿宋" w:cs="仿宋"/>
          <w:b/>
          <w:bCs/>
          <w:color w:val="auto"/>
          <w:kern w:val="2"/>
          <w:sz w:val="24"/>
          <w:szCs w:val="24"/>
          <w:highlight w:val="none"/>
          <w:lang w:val="en-US" w:eastAsia="zh-CN" w:bidi="ar-SA"/>
        </w:rPr>
        <w:t>（三）能证明供应商资格的其他资料</w:t>
      </w:r>
    </w:p>
    <w:bookmarkEnd w:id="599"/>
    <w:p w14:paraId="6CB8D2E2">
      <w:pPr>
        <w:pStyle w:val="46"/>
        <w:numPr>
          <w:ilvl w:val="0"/>
          <w:numId w:val="0"/>
        </w:num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（供应商资格证明材料包含但不仅限于以下内容）</w:t>
      </w:r>
    </w:p>
    <w:p w14:paraId="6B4ECB9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color w:val="auto"/>
          <w:sz w:val="24"/>
          <w:szCs w:val="24"/>
          <w:highlight w:val="none"/>
          <w:lang w:val="en-US" w:eastAsia="zh-CN"/>
        </w:rPr>
        <w:t>供应商</w:t>
      </w:r>
      <w:r>
        <w:rPr>
          <w:rFonts w:hint="eastAsia" w:ascii="仿宋" w:hAnsi="仿宋" w:eastAsia="仿宋" w:cs="仿宋"/>
          <w:b w:val="0"/>
          <w:color w:val="auto"/>
          <w:sz w:val="24"/>
          <w:szCs w:val="24"/>
          <w:highlight w:val="none"/>
        </w:rPr>
        <w:t>应具有合格有效的营业执照或其他证明材料</w:t>
      </w:r>
      <w:r>
        <w:rPr>
          <w:rFonts w:hint="eastAsia" w:ascii="仿宋" w:hAnsi="仿宋" w:eastAsia="仿宋" w:cs="仿宋"/>
          <w:color w:val="auto"/>
          <w:sz w:val="24"/>
          <w:szCs w:val="24"/>
          <w:highlight w:val="none"/>
          <w:lang w:val="en-US" w:eastAsia="zh-CN"/>
        </w:rPr>
        <w:t>；</w:t>
      </w:r>
    </w:p>
    <w:p w14:paraId="193BB55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2.供应商应具有银保监会或其授权的派出机构颁发的有效期内的保险许可证。</w:t>
      </w:r>
    </w:p>
    <w:p w14:paraId="0EB8B9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供应商可通过（查询渠道：“中国执行信息公开网（zxgk.court.gov.cn/shixin）”查询：失信被执行人；“信用中国”网站（www.creditchina.gov.cn）查询：重大税收违法失信主体、“中国政府采购网”www.ccgp.gov.cn）查询：政府采购严重违法失信行为记录名单）；可在响应文件中提供查询网页截图并加盖供应商电子签章（截图内容要完整清晰）。注：采购代理机构在开标当天根据需要对所有参与本项目的供应商的信用情况进行核查并以采购代理机构查询的结果为准。若在开标当天查询到供应商有相关负面信息的，则该供应商为无效供应商。</w:t>
      </w:r>
    </w:p>
    <w:p w14:paraId="0B33B87E">
      <w:pPr>
        <w:pStyle w:val="46"/>
        <w:numPr>
          <w:ilvl w:val="0"/>
          <w:numId w:val="0"/>
        </w:num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4.单位负责人为同一人或者存在直接控股、管理关系的不同响应人，不得参加同一合同项下的政府采购活动。（提供“国家企业信用信息公示系统”查询结果，查询日期在本公告发布日期之后，需包含公司基本信息、股东信息及股权变更信息等内容）。</w:t>
      </w:r>
    </w:p>
    <w:p w14:paraId="446F001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D68F705">
      <w:pPr>
        <w:keepNext/>
        <w:keepLines/>
        <w:numPr>
          <w:ilvl w:val="0"/>
          <w:numId w:val="0"/>
        </w:numPr>
        <w:spacing w:line="560" w:lineRule="exact"/>
        <w:jc w:val="both"/>
        <w:outlineLvl w:val="9"/>
        <w:rPr>
          <w:rFonts w:hint="eastAsia" w:ascii="仿宋" w:hAnsi="仿宋" w:eastAsia="仿宋" w:cs="仿宋"/>
          <w:b w:val="0"/>
          <w:bCs w:val="0"/>
          <w:color w:val="auto"/>
          <w:kern w:val="0"/>
          <w:sz w:val="24"/>
          <w:szCs w:val="24"/>
          <w:highlight w:val="none"/>
          <w:lang w:val="en-US" w:eastAsia="zh-CN"/>
        </w:rPr>
      </w:pPr>
    </w:p>
    <w:p w14:paraId="5D219D5B">
      <w:pPr>
        <w:numPr>
          <w:ilvl w:val="0"/>
          <w:numId w:val="0"/>
        </w:num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zh-CN"/>
        </w:rPr>
      </w:pPr>
      <w:bookmarkStart w:id="600" w:name="_Toc146"/>
      <w:bookmarkStart w:id="601" w:name="_Toc13920"/>
      <w:bookmarkStart w:id="602" w:name="_Toc17416"/>
      <w:bookmarkStart w:id="603" w:name="_Toc29127"/>
      <w:bookmarkStart w:id="604" w:name="_Toc8526"/>
      <w:bookmarkStart w:id="605" w:name="_Toc10215"/>
      <w:bookmarkStart w:id="606" w:name="_Toc512678462"/>
      <w:bookmarkStart w:id="607" w:name="_Toc514682764"/>
      <w:r>
        <w:rPr>
          <w:rFonts w:hint="eastAsia" w:ascii="仿宋" w:hAnsi="仿宋" w:eastAsia="仿宋" w:cs="仿宋"/>
          <w:b/>
          <w:color w:val="auto"/>
          <w:kern w:val="2"/>
          <w:sz w:val="30"/>
          <w:szCs w:val="30"/>
          <w:highlight w:val="none"/>
          <w:lang w:val="en-US" w:eastAsia="zh-CN" w:bidi="ar-SA"/>
        </w:rPr>
        <w:t>六</w:t>
      </w:r>
      <w:r>
        <w:rPr>
          <w:rFonts w:hint="eastAsia" w:ascii="仿宋" w:hAnsi="仿宋" w:eastAsia="仿宋" w:cs="仿宋"/>
          <w:b/>
          <w:color w:val="auto"/>
          <w:kern w:val="2"/>
          <w:sz w:val="30"/>
          <w:szCs w:val="30"/>
          <w:highlight w:val="none"/>
          <w:lang w:val="zh-CN" w:eastAsia="zh-CN" w:bidi="ar-SA"/>
        </w:rPr>
        <w:t>、</w:t>
      </w:r>
      <w:r>
        <w:rPr>
          <w:rFonts w:hint="eastAsia" w:ascii="仿宋" w:hAnsi="仿宋" w:eastAsia="仿宋" w:cs="仿宋"/>
          <w:b/>
          <w:color w:val="auto"/>
          <w:sz w:val="30"/>
          <w:szCs w:val="30"/>
          <w:highlight w:val="none"/>
          <w:lang w:val="zh-CN"/>
        </w:rPr>
        <w:t>近年类似项目情况表</w:t>
      </w:r>
      <w:bookmarkEnd w:id="600"/>
    </w:p>
    <w:tbl>
      <w:tblPr>
        <w:tblStyle w:val="28"/>
        <w:tblW w:w="9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59"/>
        <w:gridCol w:w="6784"/>
      </w:tblGrid>
      <w:tr w14:paraId="3E83B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2459" w:type="dxa"/>
            <w:tcBorders>
              <w:bottom w:val="single" w:color="000000" w:sz="6" w:space="0"/>
              <w:right w:val="single" w:color="000000" w:sz="6" w:space="0"/>
            </w:tcBorders>
            <w:noWrap w:val="0"/>
            <w:vAlign w:val="top"/>
          </w:tcPr>
          <w:p w14:paraId="14AEEEAD">
            <w:pPr>
              <w:pStyle w:val="52"/>
              <w:spacing w:before="173" w:line="360" w:lineRule="auto"/>
              <w:ind w:left="460"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6784" w:type="dxa"/>
            <w:tcBorders>
              <w:left w:val="single" w:color="000000" w:sz="6" w:space="0"/>
              <w:bottom w:val="single" w:color="000000" w:sz="6" w:space="0"/>
            </w:tcBorders>
            <w:noWrap w:val="0"/>
            <w:vAlign w:val="top"/>
          </w:tcPr>
          <w:p w14:paraId="67C69277">
            <w:pPr>
              <w:pStyle w:val="52"/>
              <w:spacing w:line="360" w:lineRule="auto"/>
              <w:rPr>
                <w:rFonts w:hint="eastAsia" w:ascii="仿宋" w:hAnsi="仿宋" w:eastAsia="仿宋" w:cs="仿宋"/>
                <w:color w:val="auto"/>
                <w:sz w:val="24"/>
                <w:szCs w:val="24"/>
                <w:highlight w:val="none"/>
              </w:rPr>
            </w:pPr>
          </w:p>
        </w:tc>
      </w:tr>
      <w:tr w14:paraId="3D47E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2459" w:type="dxa"/>
            <w:tcBorders>
              <w:top w:val="single" w:color="000000" w:sz="6" w:space="0"/>
              <w:bottom w:val="single" w:color="000000" w:sz="6" w:space="0"/>
              <w:right w:val="single" w:color="000000" w:sz="6" w:space="0"/>
            </w:tcBorders>
            <w:noWrap w:val="0"/>
            <w:vAlign w:val="top"/>
          </w:tcPr>
          <w:p w14:paraId="40D5055D">
            <w:pPr>
              <w:pStyle w:val="52"/>
              <w:spacing w:before="173" w:line="360" w:lineRule="auto"/>
              <w:ind w:left="460"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784" w:type="dxa"/>
            <w:tcBorders>
              <w:top w:val="single" w:color="000000" w:sz="6" w:space="0"/>
              <w:left w:val="single" w:color="000000" w:sz="6" w:space="0"/>
              <w:bottom w:val="single" w:color="000000" w:sz="6" w:space="0"/>
            </w:tcBorders>
            <w:noWrap w:val="0"/>
            <w:vAlign w:val="top"/>
          </w:tcPr>
          <w:p w14:paraId="26A55EFF">
            <w:pPr>
              <w:pStyle w:val="52"/>
              <w:spacing w:line="360" w:lineRule="auto"/>
              <w:rPr>
                <w:rFonts w:hint="eastAsia" w:ascii="仿宋" w:hAnsi="仿宋" w:eastAsia="仿宋" w:cs="仿宋"/>
                <w:color w:val="auto"/>
                <w:sz w:val="24"/>
                <w:szCs w:val="24"/>
                <w:highlight w:val="none"/>
              </w:rPr>
            </w:pPr>
          </w:p>
        </w:tc>
      </w:tr>
      <w:tr w14:paraId="2B6FC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2459" w:type="dxa"/>
            <w:tcBorders>
              <w:top w:val="single" w:color="000000" w:sz="6" w:space="0"/>
              <w:bottom w:val="single" w:color="000000" w:sz="6" w:space="0"/>
              <w:right w:val="single" w:color="000000" w:sz="6" w:space="0"/>
            </w:tcBorders>
            <w:noWrap w:val="0"/>
            <w:vAlign w:val="top"/>
          </w:tcPr>
          <w:p w14:paraId="30E60996">
            <w:pPr>
              <w:pStyle w:val="52"/>
              <w:spacing w:before="173" w:line="360" w:lineRule="auto"/>
              <w:ind w:left="460"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项目所在地</w:t>
            </w:r>
          </w:p>
        </w:tc>
        <w:tc>
          <w:tcPr>
            <w:tcW w:w="6784" w:type="dxa"/>
            <w:tcBorders>
              <w:top w:val="single" w:color="000000" w:sz="6" w:space="0"/>
              <w:left w:val="single" w:color="000000" w:sz="6" w:space="0"/>
              <w:bottom w:val="single" w:color="000000" w:sz="6" w:space="0"/>
            </w:tcBorders>
            <w:noWrap w:val="0"/>
            <w:vAlign w:val="top"/>
          </w:tcPr>
          <w:p w14:paraId="765B3E13">
            <w:pPr>
              <w:pStyle w:val="52"/>
              <w:spacing w:line="360" w:lineRule="auto"/>
              <w:rPr>
                <w:rFonts w:hint="eastAsia" w:ascii="仿宋" w:hAnsi="仿宋" w:eastAsia="仿宋" w:cs="仿宋"/>
                <w:color w:val="auto"/>
                <w:sz w:val="24"/>
                <w:szCs w:val="24"/>
                <w:highlight w:val="none"/>
              </w:rPr>
            </w:pPr>
          </w:p>
        </w:tc>
      </w:tr>
      <w:tr w14:paraId="3E691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2459" w:type="dxa"/>
            <w:tcBorders>
              <w:top w:val="single" w:color="000000" w:sz="6" w:space="0"/>
              <w:bottom w:val="single" w:color="000000" w:sz="6" w:space="0"/>
              <w:right w:val="single" w:color="000000" w:sz="6" w:space="0"/>
            </w:tcBorders>
            <w:noWrap w:val="0"/>
            <w:vAlign w:val="top"/>
          </w:tcPr>
          <w:p w14:paraId="3DA8C1CF">
            <w:pPr>
              <w:pStyle w:val="52"/>
              <w:spacing w:before="173" w:line="360" w:lineRule="auto"/>
              <w:ind w:left="460"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发包人名称</w:t>
            </w:r>
          </w:p>
        </w:tc>
        <w:tc>
          <w:tcPr>
            <w:tcW w:w="6784" w:type="dxa"/>
            <w:tcBorders>
              <w:top w:val="single" w:color="000000" w:sz="6" w:space="0"/>
              <w:left w:val="single" w:color="000000" w:sz="6" w:space="0"/>
              <w:bottom w:val="single" w:color="000000" w:sz="6" w:space="0"/>
            </w:tcBorders>
            <w:noWrap w:val="0"/>
            <w:vAlign w:val="top"/>
          </w:tcPr>
          <w:p w14:paraId="43950588">
            <w:pPr>
              <w:pStyle w:val="52"/>
              <w:spacing w:line="360" w:lineRule="auto"/>
              <w:rPr>
                <w:rFonts w:hint="eastAsia" w:ascii="仿宋" w:hAnsi="仿宋" w:eastAsia="仿宋" w:cs="仿宋"/>
                <w:color w:val="auto"/>
                <w:sz w:val="24"/>
                <w:szCs w:val="24"/>
                <w:highlight w:val="none"/>
              </w:rPr>
            </w:pPr>
          </w:p>
        </w:tc>
      </w:tr>
      <w:tr w14:paraId="1DD55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2459" w:type="dxa"/>
            <w:tcBorders>
              <w:top w:val="single" w:color="000000" w:sz="6" w:space="0"/>
              <w:bottom w:val="single" w:color="000000" w:sz="6" w:space="0"/>
              <w:right w:val="single" w:color="000000" w:sz="6" w:space="0"/>
            </w:tcBorders>
            <w:noWrap w:val="0"/>
            <w:vAlign w:val="top"/>
          </w:tcPr>
          <w:p w14:paraId="406FC64B">
            <w:pPr>
              <w:pStyle w:val="52"/>
              <w:spacing w:before="173" w:line="360" w:lineRule="auto"/>
              <w:ind w:left="460"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发包人地址</w:t>
            </w:r>
          </w:p>
        </w:tc>
        <w:tc>
          <w:tcPr>
            <w:tcW w:w="6784" w:type="dxa"/>
            <w:tcBorders>
              <w:top w:val="single" w:color="000000" w:sz="6" w:space="0"/>
              <w:left w:val="single" w:color="000000" w:sz="6" w:space="0"/>
              <w:bottom w:val="single" w:color="000000" w:sz="6" w:space="0"/>
            </w:tcBorders>
            <w:noWrap w:val="0"/>
            <w:vAlign w:val="top"/>
          </w:tcPr>
          <w:p w14:paraId="3C417D28">
            <w:pPr>
              <w:pStyle w:val="52"/>
              <w:spacing w:line="360" w:lineRule="auto"/>
              <w:rPr>
                <w:rFonts w:hint="eastAsia" w:ascii="仿宋" w:hAnsi="仿宋" w:eastAsia="仿宋" w:cs="仿宋"/>
                <w:color w:val="auto"/>
                <w:sz w:val="24"/>
                <w:szCs w:val="24"/>
                <w:highlight w:val="none"/>
              </w:rPr>
            </w:pPr>
          </w:p>
        </w:tc>
      </w:tr>
      <w:tr w14:paraId="7427A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2459" w:type="dxa"/>
            <w:tcBorders>
              <w:top w:val="single" w:color="000000" w:sz="6" w:space="0"/>
              <w:bottom w:val="single" w:color="000000" w:sz="6" w:space="0"/>
              <w:right w:val="single" w:color="000000" w:sz="6" w:space="0"/>
            </w:tcBorders>
            <w:noWrap w:val="0"/>
            <w:vAlign w:val="top"/>
          </w:tcPr>
          <w:p w14:paraId="7457C734">
            <w:pPr>
              <w:pStyle w:val="52"/>
              <w:spacing w:before="173" w:line="360" w:lineRule="auto"/>
              <w:ind w:left="460"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发包人电话</w:t>
            </w:r>
          </w:p>
        </w:tc>
        <w:tc>
          <w:tcPr>
            <w:tcW w:w="6784" w:type="dxa"/>
            <w:tcBorders>
              <w:top w:val="single" w:color="000000" w:sz="6" w:space="0"/>
              <w:left w:val="single" w:color="000000" w:sz="6" w:space="0"/>
              <w:bottom w:val="single" w:color="000000" w:sz="6" w:space="0"/>
            </w:tcBorders>
            <w:noWrap w:val="0"/>
            <w:vAlign w:val="top"/>
          </w:tcPr>
          <w:p w14:paraId="3AFE5F46">
            <w:pPr>
              <w:pStyle w:val="52"/>
              <w:spacing w:line="360" w:lineRule="auto"/>
              <w:rPr>
                <w:rFonts w:hint="eastAsia" w:ascii="仿宋" w:hAnsi="仿宋" w:eastAsia="仿宋" w:cs="仿宋"/>
                <w:color w:val="auto"/>
                <w:sz w:val="24"/>
                <w:szCs w:val="24"/>
                <w:highlight w:val="none"/>
              </w:rPr>
            </w:pPr>
          </w:p>
        </w:tc>
      </w:tr>
      <w:tr w14:paraId="7AF62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2459" w:type="dxa"/>
            <w:tcBorders>
              <w:top w:val="single" w:color="000000" w:sz="6" w:space="0"/>
              <w:bottom w:val="single" w:color="000000" w:sz="6" w:space="0"/>
              <w:right w:val="single" w:color="000000" w:sz="6" w:space="0"/>
            </w:tcBorders>
            <w:noWrap w:val="0"/>
            <w:vAlign w:val="top"/>
          </w:tcPr>
          <w:p w14:paraId="4A032FC5">
            <w:pPr>
              <w:pStyle w:val="52"/>
              <w:spacing w:before="173" w:line="360" w:lineRule="auto"/>
              <w:ind w:left="460"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合同价格</w:t>
            </w:r>
          </w:p>
        </w:tc>
        <w:tc>
          <w:tcPr>
            <w:tcW w:w="6784" w:type="dxa"/>
            <w:tcBorders>
              <w:top w:val="single" w:color="000000" w:sz="6" w:space="0"/>
              <w:left w:val="single" w:color="000000" w:sz="6" w:space="0"/>
              <w:bottom w:val="single" w:color="000000" w:sz="6" w:space="0"/>
            </w:tcBorders>
            <w:noWrap w:val="0"/>
            <w:vAlign w:val="top"/>
          </w:tcPr>
          <w:p w14:paraId="12B99D16">
            <w:pPr>
              <w:pStyle w:val="52"/>
              <w:spacing w:line="360" w:lineRule="auto"/>
              <w:rPr>
                <w:rFonts w:hint="eastAsia" w:ascii="仿宋" w:hAnsi="仿宋" w:eastAsia="仿宋" w:cs="仿宋"/>
                <w:color w:val="auto"/>
                <w:sz w:val="24"/>
                <w:szCs w:val="24"/>
                <w:highlight w:val="none"/>
              </w:rPr>
            </w:pPr>
          </w:p>
        </w:tc>
      </w:tr>
      <w:tr w14:paraId="0784B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2459" w:type="dxa"/>
            <w:tcBorders>
              <w:top w:val="single" w:color="000000" w:sz="6" w:space="0"/>
              <w:bottom w:val="single" w:color="000000" w:sz="6" w:space="0"/>
              <w:right w:val="single" w:color="000000" w:sz="6" w:space="0"/>
            </w:tcBorders>
            <w:noWrap w:val="0"/>
            <w:vAlign w:val="top"/>
          </w:tcPr>
          <w:p w14:paraId="2E57397F">
            <w:pPr>
              <w:pStyle w:val="52"/>
              <w:spacing w:before="173" w:line="360" w:lineRule="auto"/>
              <w:ind w:left="460"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承担的工作</w:t>
            </w:r>
          </w:p>
        </w:tc>
        <w:tc>
          <w:tcPr>
            <w:tcW w:w="6784" w:type="dxa"/>
            <w:tcBorders>
              <w:top w:val="single" w:color="000000" w:sz="6" w:space="0"/>
              <w:left w:val="single" w:color="000000" w:sz="6" w:space="0"/>
              <w:bottom w:val="single" w:color="000000" w:sz="6" w:space="0"/>
            </w:tcBorders>
            <w:noWrap w:val="0"/>
            <w:vAlign w:val="top"/>
          </w:tcPr>
          <w:p w14:paraId="2C6802F9">
            <w:pPr>
              <w:pStyle w:val="52"/>
              <w:spacing w:line="360" w:lineRule="auto"/>
              <w:rPr>
                <w:rFonts w:hint="eastAsia" w:ascii="仿宋" w:hAnsi="仿宋" w:eastAsia="仿宋" w:cs="仿宋"/>
                <w:color w:val="auto"/>
                <w:sz w:val="24"/>
                <w:szCs w:val="24"/>
                <w:highlight w:val="none"/>
              </w:rPr>
            </w:pPr>
          </w:p>
        </w:tc>
      </w:tr>
      <w:tr w14:paraId="1938F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1" w:hRule="atLeast"/>
          <w:jc w:val="center"/>
        </w:trPr>
        <w:tc>
          <w:tcPr>
            <w:tcW w:w="2459" w:type="dxa"/>
            <w:tcBorders>
              <w:top w:val="single" w:color="000000" w:sz="6" w:space="0"/>
              <w:bottom w:val="single" w:color="000000" w:sz="6" w:space="0"/>
              <w:right w:val="single" w:color="000000" w:sz="6" w:space="0"/>
            </w:tcBorders>
            <w:noWrap w:val="0"/>
            <w:vAlign w:val="top"/>
          </w:tcPr>
          <w:p w14:paraId="20ABD5A0">
            <w:pPr>
              <w:pStyle w:val="52"/>
              <w:spacing w:before="1" w:line="360" w:lineRule="auto"/>
              <w:jc w:val="center"/>
              <w:rPr>
                <w:rFonts w:hint="eastAsia" w:ascii="仿宋" w:hAnsi="仿宋" w:eastAsia="仿宋" w:cs="仿宋"/>
                <w:b/>
                <w:color w:val="auto"/>
                <w:sz w:val="24"/>
                <w:szCs w:val="24"/>
                <w:highlight w:val="none"/>
              </w:rPr>
            </w:pPr>
          </w:p>
          <w:p w14:paraId="692CB772">
            <w:pPr>
              <w:pStyle w:val="52"/>
              <w:spacing w:line="360" w:lineRule="auto"/>
              <w:ind w:left="460"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项目描述</w:t>
            </w:r>
          </w:p>
        </w:tc>
        <w:tc>
          <w:tcPr>
            <w:tcW w:w="6784" w:type="dxa"/>
            <w:tcBorders>
              <w:top w:val="single" w:color="000000" w:sz="6" w:space="0"/>
              <w:left w:val="single" w:color="000000" w:sz="6" w:space="0"/>
              <w:bottom w:val="single" w:color="000000" w:sz="6" w:space="0"/>
            </w:tcBorders>
            <w:noWrap w:val="0"/>
            <w:vAlign w:val="top"/>
          </w:tcPr>
          <w:p w14:paraId="79D715E8">
            <w:pPr>
              <w:pStyle w:val="52"/>
              <w:spacing w:line="360" w:lineRule="auto"/>
              <w:rPr>
                <w:rFonts w:hint="eastAsia" w:ascii="仿宋" w:hAnsi="仿宋" w:eastAsia="仿宋" w:cs="仿宋"/>
                <w:color w:val="auto"/>
                <w:sz w:val="24"/>
                <w:szCs w:val="24"/>
                <w:highlight w:val="none"/>
              </w:rPr>
            </w:pPr>
          </w:p>
        </w:tc>
      </w:tr>
      <w:tr w14:paraId="6F226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2459" w:type="dxa"/>
            <w:tcBorders>
              <w:top w:val="single" w:color="000000" w:sz="6" w:space="0"/>
              <w:right w:val="single" w:color="000000" w:sz="6" w:space="0"/>
            </w:tcBorders>
            <w:noWrap w:val="0"/>
            <w:vAlign w:val="top"/>
          </w:tcPr>
          <w:p w14:paraId="301CB7BE">
            <w:pPr>
              <w:pStyle w:val="52"/>
              <w:spacing w:before="1" w:line="360" w:lineRule="auto"/>
              <w:ind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6784" w:type="dxa"/>
            <w:tcBorders>
              <w:top w:val="single" w:color="000000" w:sz="6" w:space="0"/>
              <w:left w:val="single" w:color="000000" w:sz="6" w:space="0"/>
            </w:tcBorders>
            <w:noWrap w:val="0"/>
            <w:vAlign w:val="top"/>
          </w:tcPr>
          <w:p w14:paraId="7A976112">
            <w:pPr>
              <w:pStyle w:val="52"/>
              <w:spacing w:line="360" w:lineRule="auto"/>
              <w:rPr>
                <w:rFonts w:hint="eastAsia" w:ascii="仿宋" w:hAnsi="仿宋" w:eastAsia="仿宋" w:cs="仿宋"/>
                <w:color w:val="auto"/>
                <w:sz w:val="24"/>
                <w:szCs w:val="24"/>
                <w:highlight w:val="none"/>
              </w:rPr>
            </w:pPr>
          </w:p>
        </w:tc>
      </w:tr>
    </w:tbl>
    <w:p w14:paraId="48F98B88">
      <w:pPr>
        <w:spacing w:line="5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注：后附</w:t>
      </w:r>
      <w:r>
        <w:rPr>
          <w:rFonts w:hint="eastAsia" w:ascii="仿宋" w:hAnsi="仿宋" w:eastAsia="仿宋" w:cs="仿宋"/>
          <w:color w:val="auto"/>
          <w:sz w:val="24"/>
          <w:szCs w:val="24"/>
          <w:highlight w:val="none"/>
          <w:lang w:val="en-US" w:eastAsia="zh-CN"/>
        </w:rPr>
        <w:t>业绩证明</w:t>
      </w:r>
      <w:r>
        <w:rPr>
          <w:rFonts w:hint="eastAsia" w:ascii="仿宋" w:hAnsi="仿宋" w:eastAsia="仿宋" w:cs="仿宋"/>
          <w:color w:val="auto"/>
          <w:sz w:val="24"/>
          <w:szCs w:val="24"/>
          <w:highlight w:val="none"/>
          <w:lang w:eastAsia="zh-CN"/>
        </w:rPr>
        <w:t>资料等。</w:t>
      </w:r>
    </w:p>
    <w:p w14:paraId="07CDA2AA">
      <w:pPr>
        <w:numPr>
          <w:ilvl w:val="0"/>
          <w:numId w:val="0"/>
        </w:numPr>
        <w:autoSpaceDE w:val="0"/>
        <w:autoSpaceDN w:val="0"/>
        <w:adjustRightInd w:val="0"/>
        <w:snapToGrid w:val="0"/>
        <w:spacing w:line="360" w:lineRule="auto"/>
        <w:jc w:val="both"/>
        <w:outlineLvl w:val="9"/>
        <w:rPr>
          <w:rFonts w:hint="eastAsia" w:ascii="仿宋" w:hAnsi="仿宋" w:eastAsia="仿宋" w:cs="仿宋"/>
          <w:b/>
          <w:color w:val="auto"/>
          <w:sz w:val="30"/>
          <w:szCs w:val="30"/>
          <w:highlight w:val="none"/>
          <w:lang w:val="zh-CN"/>
        </w:rPr>
      </w:pPr>
    </w:p>
    <w:p w14:paraId="538DF023">
      <w:pPr>
        <w:autoSpaceDE w:val="0"/>
        <w:autoSpaceDN w:val="0"/>
        <w:adjustRightInd w:val="0"/>
        <w:snapToGrid w:val="0"/>
        <w:spacing w:line="360" w:lineRule="auto"/>
        <w:jc w:val="center"/>
        <w:outlineLvl w:val="9"/>
        <w:rPr>
          <w:rFonts w:hint="eastAsia" w:ascii="仿宋" w:hAnsi="仿宋" w:eastAsia="仿宋" w:cs="仿宋"/>
          <w:b/>
          <w:color w:val="auto"/>
          <w:sz w:val="30"/>
          <w:szCs w:val="30"/>
          <w:highlight w:val="none"/>
          <w:lang w:val="en-US" w:eastAsia="zh-CN"/>
        </w:rPr>
      </w:pPr>
    </w:p>
    <w:p w14:paraId="1C7D7FAC">
      <w:pPr>
        <w:outlineLvl w:val="9"/>
        <w:rPr>
          <w:rFonts w:hint="eastAsia" w:ascii="仿宋" w:hAnsi="仿宋" w:eastAsia="仿宋" w:cs="仿宋"/>
          <w:b/>
          <w:color w:val="auto"/>
          <w:sz w:val="30"/>
          <w:szCs w:val="30"/>
          <w:highlight w:val="none"/>
          <w:lang w:val="en-US" w:eastAsia="zh-CN"/>
        </w:rPr>
      </w:pPr>
      <w:bookmarkStart w:id="608" w:name="_Toc1297"/>
      <w:r>
        <w:rPr>
          <w:rFonts w:hint="eastAsia" w:ascii="仿宋" w:hAnsi="仿宋" w:eastAsia="仿宋" w:cs="仿宋"/>
          <w:b/>
          <w:color w:val="auto"/>
          <w:sz w:val="30"/>
          <w:szCs w:val="30"/>
          <w:highlight w:val="none"/>
          <w:lang w:val="en-US" w:eastAsia="zh-CN"/>
        </w:rPr>
        <w:br w:type="page"/>
      </w:r>
    </w:p>
    <w:p w14:paraId="605C5727">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r>
        <w:rPr>
          <w:rFonts w:hint="eastAsia" w:ascii="仿宋" w:hAnsi="仿宋" w:eastAsia="仿宋" w:cs="仿宋"/>
          <w:b/>
          <w:color w:val="auto"/>
          <w:sz w:val="30"/>
          <w:szCs w:val="30"/>
          <w:highlight w:val="none"/>
          <w:lang w:val="en-US" w:eastAsia="zh-CN"/>
        </w:rPr>
        <w:t>七</w:t>
      </w:r>
      <w:r>
        <w:rPr>
          <w:rFonts w:hint="eastAsia" w:ascii="仿宋" w:hAnsi="仿宋" w:eastAsia="仿宋" w:cs="仿宋"/>
          <w:b/>
          <w:color w:val="auto"/>
          <w:sz w:val="30"/>
          <w:szCs w:val="30"/>
          <w:highlight w:val="none"/>
          <w:lang w:val="zh-CN"/>
        </w:rPr>
        <w:t>、</w:t>
      </w:r>
      <w:r>
        <w:rPr>
          <w:rFonts w:hint="eastAsia" w:ascii="仿宋" w:hAnsi="仿宋" w:eastAsia="仿宋" w:cs="仿宋"/>
          <w:b/>
          <w:color w:val="auto"/>
          <w:sz w:val="30"/>
          <w:szCs w:val="30"/>
          <w:highlight w:val="none"/>
          <w:lang w:val="en-US" w:eastAsia="zh-CN"/>
        </w:rPr>
        <w:t>服务承诺</w:t>
      </w:r>
      <w:bookmarkEnd w:id="608"/>
      <w:r>
        <w:rPr>
          <w:rFonts w:hint="eastAsia" w:ascii="仿宋" w:hAnsi="仿宋" w:eastAsia="仿宋" w:cs="仿宋"/>
          <w:b/>
          <w:color w:val="auto"/>
          <w:sz w:val="30"/>
          <w:szCs w:val="30"/>
          <w:highlight w:val="none"/>
          <w:lang w:val="en-US" w:eastAsia="zh-CN"/>
        </w:rPr>
        <w:t>、优惠条件</w:t>
      </w:r>
    </w:p>
    <w:p w14:paraId="3C109CEA">
      <w:pPr>
        <w:autoSpaceDE w:val="0"/>
        <w:autoSpaceDN w:val="0"/>
        <w:adjustRightInd w:val="0"/>
        <w:snapToGrid w:val="0"/>
        <w:spacing w:line="360" w:lineRule="auto"/>
        <w:jc w:val="center"/>
        <w:outlineLvl w:val="9"/>
        <w:rPr>
          <w:rFonts w:hint="eastAsia" w:ascii="仿宋" w:hAnsi="仿宋" w:eastAsia="仿宋" w:cs="仿宋"/>
          <w:b/>
          <w:color w:val="auto"/>
          <w:sz w:val="30"/>
          <w:szCs w:val="30"/>
          <w:highlight w:val="none"/>
          <w:lang w:val="en-US" w:eastAsia="zh-CN"/>
        </w:rPr>
      </w:pPr>
    </w:p>
    <w:p w14:paraId="26BB48B5">
      <w:pPr>
        <w:autoSpaceDE w:val="0"/>
        <w:autoSpaceDN w:val="0"/>
        <w:adjustRightInd w:val="0"/>
        <w:snapToGrid w:val="0"/>
        <w:spacing w:line="360" w:lineRule="auto"/>
        <w:jc w:val="center"/>
        <w:outlineLvl w:val="9"/>
        <w:rPr>
          <w:rFonts w:hint="eastAsia" w:ascii="仿宋" w:hAnsi="仿宋" w:eastAsia="仿宋" w:cs="仿宋"/>
          <w:b/>
          <w:color w:val="auto"/>
          <w:sz w:val="30"/>
          <w:szCs w:val="30"/>
          <w:highlight w:val="none"/>
          <w:lang w:val="en-US" w:eastAsia="zh-CN"/>
        </w:rPr>
      </w:pPr>
    </w:p>
    <w:p w14:paraId="0C7C081F">
      <w:pPr>
        <w:autoSpaceDE w:val="0"/>
        <w:autoSpaceDN w:val="0"/>
        <w:adjustRightInd w:val="0"/>
        <w:snapToGrid w:val="0"/>
        <w:spacing w:line="360" w:lineRule="auto"/>
        <w:jc w:val="center"/>
        <w:outlineLvl w:val="9"/>
        <w:rPr>
          <w:rFonts w:hint="eastAsia" w:ascii="仿宋" w:hAnsi="仿宋" w:eastAsia="仿宋" w:cs="仿宋"/>
          <w:b w:val="0"/>
          <w:bCs/>
          <w:color w:val="auto"/>
          <w:sz w:val="24"/>
          <w:szCs w:val="24"/>
          <w:highlight w:val="none"/>
          <w:lang w:val="en-US" w:eastAsia="zh-CN"/>
        </w:rPr>
      </w:pPr>
      <w:bookmarkStart w:id="609" w:name="_Toc240"/>
      <w:r>
        <w:rPr>
          <w:rFonts w:hint="eastAsia" w:ascii="仿宋" w:hAnsi="仿宋" w:eastAsia="仿宋" w:cs="仿宋"/>
          <w:b w:val="0"/>
          <w:bCs/>
          <w:color w:val="auto"/>
          <w:sz w:val="24"/>
          <w:szCs w:val="24"/>
          <w:highlight w:val="none"/>
          <w:lang w:val="en-US" w:eastAsia="zh-CN"/>
        </w:rPr>
        <w:t>结合磋商办法，自行编制。</w:t>
      </w:r>
      <w:bookmarkEnd w:id="609"/>
    </w:p>
    <w:p w14:paraId="34236453">
      <w:pPr>
        <w:autoSpaceDE w:val="0"/>
        <w:autoSpaceDN w:val="0"/>
        <w:adjustRightInd w:val="0"/>
        <w:snapToGrid w:val="0"/>
        <w:spacing w:line="360" w:lineRule="auto"/>
        <w:jc w:val="center"/>
        <w:outlineLvl w:val="9"/>
        <w:rPr>
          <w:rFonts w:hint="eastAsia" w:ascii="仿宋" w:hAnsi="仿宋" w:eastAsia="仿宋" w:cs="仿宋"/>
          <w:b/>
          <w:color w:val="auto"/>
          <w:sz w:val="30"/>
          <w:szCs w:val="30"/>
          <w:highlight w:val="none"/>
          <w:lang w:val="en-US" w:eastAsia="zh-CN"/>
        </w:rPr>
      </w:pPr>
    </w:p>
    <w:p w14:paraId="0B3F1095">
      <w:pPr>
        <w:autoSpaceDE w:val="0"/>
        <w:autoSpaceDN w:val="0"/>
        <w:adjustRightInd w:val="0"/>
        <w:snapToGrid w:val="0"/>
        <w:spacing w:line="360" w:lineRule="auto"/>
        <w:jc w:val="center"/>
        <w:outlineLvl w:val="9"/>
        <w:rPr>
          <w:rFonts w:hint="eastAsia" w:ascii="仿宋" w:hAnsi="仿宋" w:eastAsia="仿宋" w:cs="仿宋"/>
          <w:b/>
          <w:color w:val="auto"/>
          <w:sz w:val="30"/>
          <w:szCs w:val="30"/>
          <w:highlight w:val="none"/>
          <w:lang w:val="en-US" w:eastAsia="zh-CN"/>
        </w:rPr>
      </w:pPr>
    </w:p>
    <w:p w14:paraId="2894BA6F">
      <w:pPr>
        <w:autoSpaceDE w:val="0"/>
        <w:autoSpaceDN w:val="0"/>
        <w:adjustRightInd w:val="0"/>
        <w:snapToGrid w:val="0"/>
        <w:spacing w:line="360" w:lineRule="auto"/>
        <w:jc w:val="center"/>
        <w:outlineLvl w:val="9"/>
        <w:rPr>
          <w:rFonts w:hint="eastAsia" w:ascii="仿宋" w:hAnsi="仿宋" w:eastAsia="仿宋" w:cs="仿宋"/>
          <w:b/>
          <w:color w:val="auto"/>
          <w:sz w:val="30"/>
          <w:szCs w:val="30"/>
          <w:highlight w:val="none"/>
          <w:lang w:val="en-US" w:eastAsia="zh-CN"/>
        </w:rPr>
      </w:pPr>
    </w:p>
    <w:p w14:paraId="1830BD4B">
      <w:pPr>
        <w:autoSpaceDE w:val="0"/>
        <w:autoSpaceDN w:val="0"/>
        <w:adjustRightInd w:val="0"/>
        <w:snapToGrid w:val="0"/>
        <w:spacing w:line="360" w:lineRule="auto"/>
        <w:jc w:val="center"/>
        <w:outlineLvl w:val="9"/>
        <w:rPr>
          <w:rFonts w:hint="eastAsia" w:ascii="仿宋" w:hAnsi="仿宋" w:eastAsia="仿宋" w:cs="仿宋"/>
          <w:b/>
          <w:color w:val="auto"/>
          <w:sz w:val="30"/>
          <w:szCs w:val="30"/>
          <w:highlight w:val="none"/>
          <w:lang w:val="en-US" w:eastAsia="zh-CN"/>
        </w:rPr>
      </w:pPr>
    </w:p>
    <w:p w14:paraId="121D95D0">
      <w:pPr>
        <w:autoSpaceDE w:val="0"/>
        <w:autoSpaceDN w:val="0"/>
        <w:adjustRightInd w:val="0"/>
        <w:snapToGrid w:val="0"/>
        <w:spacing w:line="360" w:lineRule="auto"/>
        <w:jc w:val="center"/>
        <w:outlineLvl w:val="9"/>
        <w:rPr>
          <w:rFonts w:hint="eastAsia" w:ascii="仿宋" w:hAnsi="仿宋" w:eastAsia="仿宋" w:cs="仿宋"/>
          <w:b/>
          <w:color w:val="auto"/>
          <w:sz w:val="30"/>
          <w:szCs w:val="30"/>
          <w:highlight w:val="none"/>
          <w:lang w:val="en-US" w:eastAsia="zh-CN"/>
        </w:rPr>
      </w:pPr>
    </w:p>
    <w:p w14:paraId="03A9C559">
      <w:pPr>
        <w:autoSpaceDE w:val="0"/>
        <w:autoSpaceDN w:val="0"/>
        <w:adjustRightInd w:val="0"/>
        <w:snapToGrid w:val="0"/>
        <w:spacing w:line="360" w:lineRule="auto"/>
        <w:jc w:val="center"/>
        <w:outlineLvl w:val="9"/>
        <w:rPr>
          <w:rFonts w:hint="eastAsia" w:ascii="仿宋" w:hAnsi="仿宋" w:eastAsia="仿宋" w:cs="仿宋"/>
          <w:b/>
          <w:color w:val="auto"/>
          <w:sz w:val="30"/>
          <w:szCs w:val="30"/>
          <w:highlight w:val="none"/>
          <w:lang w:val="en-US" w:eastAsia="zh-CN"/>
        </w:rPr>
      </w:pPr>
    </w:p>
    <w:p w14:paraId="3D43C056">
      <w:pPr>
        <w:autoSpaceDE w:val="0"/>
        <w:autoSpaceDN w:val="0"/>
        <w:adjustRightInd w:val="0"/>
        <w:snapToGrid w:val="0"/>
        <w:spacing w:line="360" w:lineRule="auto"/>
        <w:jc w:val="center"/>
        <w:outlineLvl w:val="9"/>
        <w:rPr>
          <w:rFonts w:hint="eastAsia" w:ascii="仿宋" w:hAnsi="仿宋" w:eastAsia="仿宋" w:cs="仿宋"/>
          <w:b/>
          <w:color w:val="auto"/>
          <w:sz w:val="30"/>
          <w:szCs w:val="30"/>
          <w:highlight w:val="none"/>
          <w:lang w:val="en-US" w:eastAsia="zh-CN"/>
        </w:rPr>
      </w:pPr>
    </w:p>
    <w:p w14:paraId="54C74E88">
      <w:pPr>
        <w:autoSpaceDE w:val="0"/>
        <w:autoSpaceDN w:val="0"/>
        <w:adjustRightInd w:val="0"/>
        <w:snapToGrid w:val="0"/>
        <w:spacing w:line="360" w:lineRule="auto"/>
        <w:jc w:val="center"/>
        <w:outlineLvl w:val="9"/>
        <w:rPr>
          <w:rFonts w:hint="eastAsia" w:ascii="仿宋" w:hAnsi="仿宋" w:eastAsia="仿宋" w:cs="仿宋"/>
          <w:b/>
          <w:color w:val="auto"/>
          <w:sz w:val="30"/>
          <w:szCs w:val="30"/>
          <w:highlight w:val="none"/>
          <w:lang w:val="en-US" w:eastAsia="zh-CN"/>
        </w:rPr>
      </w:pPr>
    </w:p>
    <w:p w14:paraId="6E83D37F">
      <w:pPr>
        <w:autoSpaceDE w:val="0"/>
        <w:autoSpaceDN w:val="0"/>
        <w:adjustRightInd w:val="0"/>
        <w:snapToGrid w:val="0"/>
        <w:spacing w:line="360" w:lineRule="auto"/>
        <w:jc w:val="center"/>
        <w:outlineLvl w:val="9"/>
        <w:rPr>
          <w:rFonts w:hint="eastAsia" w:ascii="仿宋" w:hAnsi="仿宋" w:eastAsia="仿宋" w:cs="仿宋"/>
          <w:b/>
          <w:color w:val="auto"/>
          <w:sz w:val="30"/>
          <w:szCs w:val="30"/>
          <w:highlight w:val="none"/>
          <w:lang w:val="en-US" w:eastAsia="zh-CN"/>
        </w:rPr>
      </w:pPr>
    </w:p>
    <w:p w14:paraId="686A6F49">
      <w:pPr>
        <w:autoSpaceDE w:val="0"/>
        <w:autoSpaceDN w:val="0"/>
        <w:adjustRightInd w:val="0"/>
        <w:snapToGrid w:val="0"/>
        <w:spacing w:line="360" w:lineRule="auto"/>
        <w:jc w:val="center"/>
        <w:outlineLvl w:val="9"/>
        <w:rPr>
          <w:rFonts w:hint="eastAsia" w:ascii="仿宋" w:hAnsi="仿宋" w:eastAsia="仿宋" w:cs="仿宋"/>
          <w:b/>
          <w:color w:val="auto"/>
          <w:sz w:val="30"/>
          <w:szCs w:val="30"/>
          <w:highlight w:val="none"/>
          <w:lang w:val="en-US" w:eastAsia="zh-CN"/>
        </w:rPr>
      </w:pPr>
    </w:p>
    <w:p w14:paraId="287AD626">
      <w:pPr>
        <w:autoSpaceDE w:val="0"/>
        <w:autoSpaceDN w:val="0"/>
        <w:adjustRightInd w:val="0"/>
        <w:snapToGrid w:val="0"/>
        <w:spacing w:line="360" w:lineRule="auto"/>
        <w:jc w:val="center"/>
        <w:outlineLvl w:val="9"/>
        <w:rPr>
          <w:rFonts w:hint="eastAsia" w:ascii="仿宋" w:hAnsi="仿宋" w:eastAsia="仿宋" w:cs="仿宋"/>
          <w:b/>
          <w:color w:val="auto"/>
          <w:sz w:val="30"/>
          <w:szCs w:val="30"/>
          <w:highlight w:val="none"/>
          <w:lang w:val="en-US" w:eastAsia="zh-CN"/>
        </w:rPr>
      </w:pPr>
    </w:p>
    <w:p w14:paraId="6075A691">
      <w:pPr>
        <w:autoSpaceDE w:val="0"/>
        <w:autoSpaceDN w:val="0"/>
        <w:adjustRightInd w:val="0"/>
        <w:snapToGrid w:val="0"/>
        <w:spacing w:line="360" w:lineRule="auto"/>
        <w:jc w:val="center"/>
        <w:outlineLvl w:val="9"/>
        <w:rPr>
          <w:rFonts w:hint="eastAsia" w:ascii="仿宋" w:hAnsi="仿宋" w:eastAsia="仿宋" w:cs="仿宋"/>
          <w:b/>
          <w:color w:val="auto"/>
          <w:sz w:val="30"/>
          <w:szCs w:val="30"/>
          <w:highlight w:val="none"/>
          <w:lang w:val="en-US" w:eastAsia="zh-CN"/>
        </w:rPr>
      </w:pPr>
    </w:p>
    <w:p w14:paraId="0F893797">
      <w:pPr>
        <w:autoSpaceDE w:val="0"/>
        <w:autoSpaceDN w:val="0"/>
        <w:adjustRightInd w:val="0"/>
        <w:snapToGrid w:val="0"/>
        <w:spacing w:line="360" w:lineRule="auto"/>
        <w:jc w:val="center"/>
        <w:outlineLvl w:val="9"/>
        <w:rPr>
          <w:rFonts w:hint="eastAsia" w:ascii="仿宋" w:hAnsi="仿宋" w:eastAsia="仿宋" w:cs="仿宋"/>
          <w:b/>
          <w:color w:val="auto"/>
          <w:sz w:val="30"/>
          <w:szCs w:val="30"/>
          <w:highlight w:val="none"/>
          <w:lang w:val="en-US" w:eastAsia="zh-CN"/>
        </w:rPr>
      </w:pPr>
    </w:p>
    <w:p w14:paraId="43792B48">
      <w:pPr>
        <w:autoSpaceDE w:val="0"/>
        <w:autoSpaceDN w:val="0"/>
        <w:adjustRightInd w:val="0"/>
        <w:snapToGrid w:val="0"/>
        <w:spacing w:line="360" w:lineRule="auto"/>
        <w:jc w:val="center"/>
        <w:outlineLvl w:val="9"/>
        <w:rPr>
          <w:rFonts w:hint="eastAsia" w:ascii="仿宋" w:hAnsi="仿宋" w:eastAsia="仿宋" w:cs="仿宋"/>
          <w:b/>
          <w:color w:val="auto"/>
          <w:sz w:val="30"/>
          <w:szCs w:val="30"/>
          <w:highlight w:val="none"/>
          <w:lang w:val="en-US" w:eastAsia="zh-CN"/>
        </w:rPr>
      </w:pPr>
    </w:p>
    <w:p w14:paraId="1DDD7199">
      <w:pPr>
        <w:autoSpaceDE w:val="0"/>
        <w:autoSpaceDN w:val="0"/>
        <w:adjustRightInd w:val="0"/>
        <w:snapToGrid w:val="0"/>
        <w:spacing w:line="360" w:lineRule="auto"/>
        <w:jc w:val="center"/>
        <w:outlineLvl w:val="9"/>
        <w:rPr>
          <w:rFonts w:hint="eastAsia" w:ascii="仿宋" w:hAnsi="仿宋" w:eastAsia="仿宋" w:cs="仿宋"/>
          <w:b/>
          <w:color w:val="auto"/>
          <w:sz w:val="30"/>
          <w:szCs w:val="30"/>
          <w:highlight w:val="none"/>
          <w:lang w:val="en-US" w:eastAsia="zh-CN"/>
        </w:rPr>
      </w:pPr>
    </w:p>
    <w:p w14:paraId="534D85CB">
      <w:pPr>
        <w:autoSpaceDE w:val="0"/>
        <w:autoSpaceDN w:val="0"/>
        <w:adjustRightInd w:val="0"/>
        <w:snapToGrid w:val="0"/>
        <w:spacing w:line="360" w:lineRule="auto"/>
        <w:jc w:val="center"/>
        <w:outlineLvl w:val="9"/>
        <w:rPr>
          <w:rFonts w:hint="eastAsia" w:ascii="仿宋" w:hAnsi="仿宋" w:eastAsia="仿宋" w:cs="仿宋"/>
          <w:b/>
          <w:color w:val="auto"/>
          <w:sz w:val="30"/>
          <w:szCs w:val="30"/>
          <w:highlight w:val="none"/>
          <w:lang w:val="en-US" w:eastAsia="zh-CN"/>
        </w:rPr>
      </w:pPr>
    </w:p>
    <w:p w14:paraId="0FDDC8E9">
      <w:pPr>
        <w:autoSpaceDE w:val="0"/>
        <w:autoSpaceDN w:val="0"/>
        <w:adjustRightInd w:val="0"/>
        <w:snapToGrid w:val="0"/>
        <w:spacing w:line="360" w:lineRule="auto"/>
        <w:jc w:val="center"/>
        <w:outlineLvl w:val="9"/>
        <w:rPr>
          <w:rFonts w:hint="eastAsia" w:ascii="仿宋" w:hAnsi="仿宋" w:eastAsia="仿宋" w:cs="仿宋"/>
          <w:b/>
          <w:color w:val="auto"/>
          <w:sz w:val="30"/>
          <w:szCs w:val="30"/>
          <w:highlight w:val="none"/>
          <w:lang w:val="en-US" w:eastAsia="zh-CN"/>
        </w:rPr>
      </w:pPr>
    </w:p>
    <w:p w14:paraId="7D60D9FA">
      <w:pPr>
        <w:autoSpaceDE w:val="0"/>
        <w:autoSpaceDN w:val="0"/>
        <w:adjustRightInd w:val="0"/>
        <w:snapToGrid w:val="0"/>
        <w:spacing w:line="360" w:lineRule="auto"/>
        <w:jc w:val="center"/>
        <w:outlineLvl w:val="9"/>
        <w:rPr>
          <w:rFonts w:hint="eastAsia" w:ascii="仿宋" w:hAnsi="仿宋" w:eastAsia="仿宋" w:cs="仿宋"/>
          <w:b/>
          <w:color w:val="auto"/>
          <w:sz w:val="30"/>
          <w:szCs w:val="30"/>
          <w:highlight w:val="none"/>
          <w:lang w:val="en-US" w:eastAsia="zh-CN"/>
        </w:rPr>
      </w:pPr>
    </w:p>
    <w:p w14:paraId="3EC2EFE8">
      <w:pPr>
        <w:autoSpaceDE w:val="0"/>
        <w:autoSpaceDN w:val="0"/>
        <w:adjustRightInd w:val="0"/>
        <w:snapToGrid w:val="0"/>
        <w:spacing w:line="360" w:lineRule="auto"/>
        <w:jc w:val="center"/>
        <w:outlineLvl w:val="9"/>
        <w:rPr>
          <w:rFonts w:hint="eastAsia" w:ascii="仿宋" w:hAnsi="仿宋" w:eastAsia="仿宋" w:cs="仿宋"/>
          <w:b/>
          <w:color w:val="auto"/>
          <w:sz w:val="30"/>
          <w:szCs w:val="30"/>
          <w:highlight w:val="none"/>
          <w:lang w:val="en-US" w:eastAsia="zh-CN"/>
        </w:rPr>
      </w:pPr>
    </w:p>
    <w:p w14:paraId="7D34AEC2">
      <w:pPr>
        <w:autoSpaceDE w:val="0"/>
        <w:autoSpaceDN w:val="0"/>
        <w:adjustRightInd w:val="0"/>
        <w:snapToGrid w:val="0"/>
        <w:spacing w:line="360" w:lineRule="auto"/>
        <w:jc w:val="center"/>
        <w:outlineLvl w:val="9"/>
        <w:rPr>
          <w:rFonts w:hint="eastAsia" w:ascii="仿宋" w:hAnsi="仿宋" w:eastAsia="仿宋" w:cs="仿宋"/>
          <w:b/>
          <w:color w:val="auto"/>
          <w:sz w:val="30"/>
          <w:szCs w:val="30"/>
          <w:highlight w:val="none"/>
          <w:lang w:val="en-US" w:eastAsia="zh-CN"/>
        </w:rPr>
      </w:pPr>
    </w:p>
    <w:p w14:paraId="1FAB56FE">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zh-CN"/>
        </w:rPr>
      </w:pPr>
      <w:bookmarkStart w:id="610" w:name="_Toc1460"/>
      <w:r>
        <w:rPr>
          <w:rFonts w:hint="eastAsia" w:ascii="仿宋" w:hAnsi="仿宋" w:eastAsia="仿宋" w:cs="仿宋"/>
          <w:b/>
          <w:color w:val="auto"/>
          <w:sz w:val="30"/>
          <w:szCs w:val="30"/>
          <w:highlight w:val="none"/>
          <w:lang w:val="en-US" w:eastAsia="zh-CN"/>
        </w:rPr>
        <w:t>八</w:t>
      </w:r>
      <w:r>
        <w:rPr>
          <w:rFonts w:hint="eastAsia" w:ascii="仿宋" w:hAnsi="仿宋" w:eastAsia="仿宋" w:cs="仿宋"/>
          <w:b/>
          <w:color w:val="auto"/>
          <w:sz w:val="30"/>
          <w:szCs w:val="30"/>
          <w:highlight w:val="none"/>
          <w:lang w:val="zh-CN"/>
        </w:rPr>
        <w:t>、</w:t>
      </w:r>
      <w:bookmarkEnd w:id="601"/>
      <w:bookmarkEnd w:id="602"/>
      <w:bookmarkEnd w:id="603"/>
      <w:r>
        <w:rPr>
          <w:rFonts w:hint="eastAsia" w:ascii="仿宋" w:hAnsi="仿宋" w:eastAsia="仿宋" w:cs="仿宋"/>
          <w:b/>
          <w:color w:val="auto"/>
          <w:sz w:val="30"/>
          <w:szCs w:val="30"/>
          <w:highlight w:val="none"/>
          <w:lang w:val="zh-CN"/>
        </w:rPr>
        <w:t>供应商认为与本次项目有关的其他材料</w:t>
      </w:r>
      <w:bookmarkEnd w:id="604"/>
      <w:bookmarkEnd w:id="605"/>
      <w:bookmarkEnd w:id="610"/>
    </w:p>
    <w:p w14:paraId="31D8285B">
      <w:pPr>
        <w:numPr>
          <w:ilvl w:val="0"/>
          <w:numId w:val="0"/>
        </w:numPr>
        <w:spacing w:line="360" w:lineRule="auto"/>
        <w:jc w:val="center"/>
        <w:rPr>
          <w:rFonts w:hint="eastAsia" w:ascii="仿宋" w:hAnsi="仿宋" w:eastAsia="仿宋" w:cs="仿宋"/>
          <w:color w:val="auto"/>
          <w:spacing w:val="8"/>
          <w:sz w:val="24"/>
          <w:szCs w:val="24"/>
          <w:highlight w:val="none"/>
        </w:rPr>
      </w:pPr>
      <w:bookmarkStart w:id="611" w:name="_Toc26264"/>
      <w:bookmarkStart w:id="612" w:name="_Toc8472"/>
      <w:bookmarkStart w:id="613" w:name="_Toc14278"/>
      <w:bookmarkStart w:id="614" w:name="_Toc22361"/>
      <w:bookmarkStart w:id="615" w:name="_Toc15665"/>
      <w:bookmarkStart w:id="616" w:name="_Toc19627"/>
      <w:bookmarkStart w:id="617" w:name="_Toc25505"/>
      <w:bookmarkStart w:id="618" w:name="_Toc14796"/>
      <w:bookmarkStart w:id="619" w:name="_Toc2968"/>
      <w:bookmarkStart w:id="620" w:name="_Toc1378"/>
      <w:r>
        <w:rPr>
          <w:rStyle w:val="67"/>
          <w:rFonts w:hint="eastAsia" w:ascii="仿宋" w:hAnsi="仿宋" w:eastAsia="仿宋" w:cs="仿宋"/>
          <w:b/>
          <w:color w:val="auto"/>
          <w:sz w:val="24"/>
          <w:szCs w:val="24"/>
          <w:highlight w:val="none"/>
          <w:lang w:val="en-US" w:eastAsia="zh-CN"/>
        </w:rPr>
        <w:t>代理服务费承诺函</w:t>
      </w:r>
      <w:bookmarkEnd w:id="611"/>
      <w:bookmarkEnd w:id="612"/>
      <w:bookmarkEnd w:id="613"/>
      <w:bookmarkEnd w:id="614"/>
      <w:bookmarkEnd w:id="615"/>
      <w:bookmarkEnd w:id="616"/>
      <w:bookmarkEnd w:id="617"/>
      <w:bookmarkEnd w:id="618"/>
      <w:bookmarkEnd w:id="619"/>
      <w:bookmarkEnd w:id="620"/>
    </w:p>
    <w:p w14:paraId="68A554B0">
      <w:pPr>
        <w:pStyle w:val="24"/>
        <w:widowControl/>
        <w:spacing w:line="360" w:lineRule="auto"/>
        <w:jc w:val="both"/>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shd w:val="clear" w:color="auto" w:fill="FFFFFF"/>
        </w:rPr>
        <w:t>致</w:t>
      </w:r>
      <w:r>
        <w:rPr>
          <w:rFonts w:hint="eastAsia" w:ascii="仿宋" w:hAnsi="仿宋" w:eastAsia="仿宋" w:cs="仿宋"/>
          <w:color w:val="auto"/>
          <w:spacing w:val="8"/>
          <w:sz w:val="24"/>
          <w:szCs w:val="24"/>
          <w:highlight w:val="none"/>
          <w:shd w:val="clear" w:color="auto" w:fill="FFFFFF"/>
          <w:lang w:eastAsia="zh-CN"/>
        </w:rPr>
        <w:t>（</w:t>
      </w:r>
      <w:r>
        <w:rPr>
          <w:rFonts w:hint="eastAsia" w:ascii="仿宋" w:hAnsi="仿宋" w:eastAsia="仿宋" w:cs="仿宋"/>
          <w:color w:val="auto"/>
          <w:spacing w:val="8"/>
          <w:sz w:val="24"/>
          <w:szCs w:val="24"/>
          <w:highlight w:val="none"/>
          <w:u w:val="single"/>
          <w:shd w:val="clear" w:color="auto" w:fill="FFFFFF"/>
          <w:lang w:val="en-US" w:eastAsia="zh-CN"/>
        </w:rPr>
        <w:t>采购</w:t>
      </w:r>
      <w:r>
        <w:rPr>
          <w:rFonts w:hint="eastAsia" w:ascii="仿宋" w:hAnsi="仿宋" w:eastAsia="仿宋" w:cs="仿宋"/>
          <w:color w:val="auto"/>
          <w:spacing w:val="8"/>
          <w:sz w:val="24"/>
          <w:szCs w:val="24"/>
          <w:highlight w:val="none"/>
          <w:u w:val="single"/>
          <w:shd w:val="clear" w:color="auto" w:fill="FFFFFF"/>
        </w:rPr>
        <w:t>代理机构</w:t>
      </w:r>
      <w:r>
        <w:rPr>
          <w:rFonts w:hint="eastAsia" w:ascii="仿宋" w:hAnsi="仿宋" w:eastAsia="仿宋" w:cs="仿宋"/>
          <w:color w:val="auto"/>
          <w:spacing w:val="8"/>
          <w:sz w:val="24"/>
          <w:szCs w:val="24"/>
          <w:highlight w:val="none"/>
          <w:shd w:val="clear" w:color="auto" w:fill="FFFFFF"/>
          <w:lang w:eastAsia="zh-CN"/>
        </w:rPr>
        <w:t>）</w:t>
      </w:r>
      <w:r>
        <w:rPr>
          <w:rFonts w:hint="eastAsia" w:ascii="仿宋" w:hAnsi="仿宋" w:eastAsia="仿宋" w:cs="仿宋"/>
          <w:color w:val="auto"/>
          <w:spacing w:val="8"/>
          <w:sz w:val="24"/>
          <w:szCs w:val="24"/>
          <w:highlight w:val="none"/>
          <w:shd w:val="clear" w:color="auto" w:fill="FFFFFF"/>
        </w:rPr>
        <w:t>：</w:t>
      </w:r>
    </w:p>
    <w:p w14:paraId="1FB14BD8">
      <w:pPr>
        <w:pStyle w:val="24"/>
        <w:widowControl/>
        <w:spacing w:line="360" w:lineRule="auto"/>
        <w:ind w:firstLine="480"/>
        <w:jc w:val="both"/>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shd w:val="clear" w:color="auto" w:fill="FFFFFF"/>
        </w:rPr>
        <w:t>我们在贵公司组织的（项目名称：</w:t>
      </w:r>
      <w:r>
        <w:rPr>
          <w:rFonts w:hint="eastAsia" w:ascii="仿宋" w:hAnsi="仿宋" w:eastAsia="仿宋" w:cs="仿宋"/>
          <w:color w:val="auto"/>
          <w:spacing w:val="8"/>
          <w:sz w:val="24"/>
          <w:szCs w:val="24"/>
          <w:highlight w:val="none"/>
          <w:u w:val="single"/>
          <w:shd w:val="clear" w:color="auto" w:fill="FFFFFF"/>
        </w:rPr>
        <w:t xml:space="preserve">      </w:t>
      </w:r>
      <w:r>
        <w:rPr>
          <w:rFonts w:hint="eastAsia" w:ascii="仿宋" w:hAnsi="仿宋" w:eastAsia="仿宋" w:cs="仿宋"/>
          <w:color w:val="auto"/>
          <w:spacing w:val="8"/>
          <w:sz w:val="24"/>
          <w:szCs w:val="24"/>
          <w:highlight w:val="none"/>
          <w:shd w:val="clear" w:color="auto" w:fill="FFFFFF"/>
        </w:rPr>
        <w:t>，项目编号：</w:t>
      </w:r>
      <w:r>
        <w:rPr>
          <w:rFonts w:hint="eastAsia" w:ascii="仿宋" w:hAnsi="仿宋" w:eastAsia="仿宋" w:cs="仿宋"/>
          <w:color w:val="auto"/>
          <w:spacing w:val="8"/>
          <w:sz w:val="24"/>
          <w:szCs w:val="24"/>
          <w:highlight w:val="none"/>
          <w:u w:val="single"/>
          <w:shd w:val="clear" w:color="auto" w:fill="FFFFFF"/>
        </w:rPr>
        <w:t xml:space="preserve">      </w:t>
      </w:r>
      <w:r>
        <w:rPr>
          <w:rFonts w:hint="eastAsia" w:ascii="仿宋" w:hAnsi="仿宋" w:eastAsia="仿宋" w:cs="仿宋"/>
          <w:color w:val="auto"/>
          <w:spacing w:val="8"/>
          <w:sz w:val="24"/>
          <w:szCs w:val="24"/>
          <w:highlight w:val="none"/>
          <w:shd w:val="clear" w:color="auto" w:fill="FFFFFF"/>
        </w:rPr>
        <w:t>）招标中若获</w:t>
      </w:r>
      <w:r>
        <w:rPr>
          <w:rFonts w:hint="eastAsia" w:ascii="仿宋" w:hAnsi="仿宋" w:eastAsia="仿宋" w:cs="仿宋"/>
          <w:color w:val="auto"/>
          <w:spacing w:val="8"/>
          <w:sz w:val="24"/>
          <w:szCs w:val="24"/>
          <w:highlight w:val="none"/>
          <w:shd w:val="clear" w:color="auto" w:fill="FFFFFF"/>
          <w:lang w:val="en-US" w:eastAsia="zh-CN"/>
        </w:rPr>
        <w:t>中标（成交）</w:t>
      </w:r>
      <w:r>
        <w:rPr>
          <w:rFonts w:hint="eastAsia" w:ascii="仿宋" w:hAnsi="仿宋" w:eastAsia="仿宋" w:cs="仿宋"/>
          <w:color w:val="auto"/>
          <w:spacing w:val="8"/>
          <w:sz w:val="24"/>
          <w:szCs w:val="24"/>
          <w:highlight w:val="none"/>
          <w:shd w:val="clear" w:color="auto" w:fill="FFFFFF"/>
        </w:rPr>
        <w:t>，我们保证在</w:t>
      </w:r>
      <w:r>
        <w:rPr>
          <w:rFonts w:hint="eastAsia" w:ascii="仿宋" w:hAnsi="仿宋" w:eastAsia="仿宋" w:cs="仿宋"/>
          <w:color w:val="auto"/>
          <w:spacing w:val="8"/>
          <w:sz w:val="24"/>
          <w:szCs w:val="24"/>
          <w:highlight w:val="none"/>
          <w:shd w:val="clear" w:color="auto" w:fill="FFFFFF"/>
          <w:lang w:val="en-US" w:eastAsia="zh-CN"/>
        </w:rPr>
        <w:t>中标（成交）</w:t>
      </w:r>
      <w:r>
        <w:rPr>
          <w:rFonts w:hint="eastAsia" w:ascii="仿宋" w:hAnsi="仿宋" w:eastAsia="仿宋" w:cs="仿宋"/>
          <w:color w:val="auto"/>
          <w:spacing w:val="8"/>
          <w:sz w:val="24"/>
          <w:szCs w:val="24"/>
          <w:highlight w:val="none"/>
          <w:shd w:val="clear" w:color="auto" w:fill="FFFFFF"/>
        </w:rPr>
        <w:t>公告发布后5个工作日内，按</w:t>
      </w:r>
      <w:r>
        <w:rPr>
          <w:rFonts w:hint="eastAsia" w:ascii="仿宋" w:hAnsi="仿宋" w:eastAsia="仿宋" w:cs="仿宋"/>
          <w:color w:val="auto"/>
          <w:sz w:val="24"/>
          <w:szCs w:val="24"/>
          <w:highlight w:val="none"/>
        </w:rPr>
        <w:t>文件</w:t>
      </w:r>
      <w:r>
        <w:rPr>
          <w:rFonts w:hint="eastAsia" w:ascii="仿宋" w:hAnsi="仿宋" w:eastAsia="仿宋" w:cs="仿宋"/>
          <w:color w:val="auto"/>
          <w:spacing w:val="8"/>
          <w:sz w:val="24"/>
          <w:szCs w:val="24"/>
          <w:highlight w:val="none"/>
          <w:shd w:val="clear" w:color="auto" w:fill="FFFFFF"/>
        </w:rPr>
        <w:t>的规定，以现金</w:t>
      </w:r>
      <w:r>
        <w:rPr>
          <w:rFonts w:hint="eastAsia" w:ascii="仿宋" w:hAnsi="仿宋" w:eastAsia="仿宋" w:cs="仿宋"/>
          <w:color w:val="auto"/>
          <w:spacing w:val="8"/>
          <w:sz w:val="24"/>
          <w:szCs w:val="24"/>
          <w:highlight w:val="none"/>
          <w:shd w:val="clear" w:color="auto" w:fill="FFFFFF"/>
          <w:lang w:val="en-US" w:eastAsia="zh-CN"/>
        </w:rPr>
        <w:t>或转账的</w:t>
      </w:r>
      <w:r>
        <w:rPr>
          <w:rFonts w:hint="eastAsia" w:ascii="仿宋" w:hAnsi="仿宋" w:eastAsia="仿宋" w:cs="仿宋"/>
          <w:color w:val="auto"/>
          <w:spacing w:val="8"/>
          <w:sz w:val="24"/>
          <w:szCs w:val="24"/>
          <w:highlight w:val="none"/>
          <w:shd w:val="clear" w:color="auto" w:fill="FFFFFF"/>
        </w:rPr>
        <w:t>形式向贵公司一次性支付代理服务费用。否则，由此产生的一切法律后果和责任由我公司承担。我公司声明放弃对此提出任何异议和追索的权利。</w:t>
      </w:r>
    </w:p>
    <w:p w14:paraId="7D86A5E2">
      <w:pPr>
        <w:pStyle w:val="24"/>
        <w:widowControl/>
        <w:spacing w:line="360" w:lineRule="auto"/>
        <w:ind w:firstLine="512" w:firstLineChars="200"/>
        <w:jc w:val="both"/>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shd w:val="clear" w:color="auto" w:fill="FFFFFF"/>
        </w:rPr>
        <w:t>特此承诺。 </w:t>
      </w:r>
    </w:p>
    <w:p w14:paraId="29D1CC87">
      <w:pPr>
        <w:pStyle w:val="24"/>
        <w:widowControl/>
        <w:spacing w:line="360" w:lineRule="auto"/>
        <w:jc w:val="both"/>
        <w:rPr>
          <w:rFonts w:hint="eastAsia" w:ascii="仿宋" w:hAnsi="仿宋" w:eastAsia="仿宋" w:cs="仿宋"/>
          <w:color w:val="auto"/>
          <w:spacing w:val="8"/>
          <w:sz w:val="24"/>
          <w:szCs w:val="24"/>
          <w:highlight w:val="none"/>
          <w:shd w:val="clear" w:color="auto" w:fill="FFFFFF"/>
        </w:rPr>
      </w:pPr>
      <w:r>
        <w:rPr>
          <w:rFonts w:hint="eastAsia" w:ascii="仿宋" w:hAnsi="仿宋" w:eastAsia="仿宋" w:cs="仿宋"/>
          <w:color w:val="auto"/>
          <w:spacing w:val="8"/>
          <w:sz w:val="24"/>
          <w:szCs w:val="24"/>
          <w:highlight w:val="none"/>
          <w:shd w:val="clear" w:color="auto" w:fill="FFFFFF"/>
        </w:rPr>
        <w:t> </w:t>
      </w:r>
    </w:p>
    <w:p w14:paraId="5AFC175D">
      <w:pPr>
        <w:wordWrap w:val="0"/>
        <w:spacing w:line="480" w:lineRule="auto"/>
        <w:ind w:firstLine="3360" w:firstLineChars="14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（电子签章）</w:t>
      </w:r>
    </w:p>
    <w:p w14:paraId="77E3D96C">
      <w:pPr>
        <w:wordWrap w:val="0"/>
        <w:spacing w:line="48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（电子签章</w:t>
      </w:r>
      <w:r>
        <w:rPr>
          <w:rFonts w:hint="eastAsia" w:ascii="仿宋" w:hAnsi="仿宋" w:eastAsia="仿宋" w:cs="仿宋"/>
          <w:color w:val="auto"/>
          <w:sz w:val="24"/>
          <w:szCs w:val="24"/>
          <w:highlight w:val="none"/>
          <w:lang w:val="en-US" w:eastAsia="zh-CN"/>
        </w:rPr>
        <w:t>或签字</w:t>
      </w:r>
      <w:r>
        <w:rPr>
          <w:rFonts w:hint="eastAsia" w:ascii="仿宋" w:hAnsi="仿宋" w:eastAsia="仿宋" w:cs="仿宋"/>
          <w:color w:val="auto"/>
          <w:sz w:val="24"/>
          <w:szCs w:val="24"/>
          <w:highlight w:val="none"/>
        </w:rPr>
        <w:t>）</w:t>
      </w:r>
    </w:p>
    <w:p w14:paraId="34048B13">
      <w:pPr>
        <w:snapToGrid w:val="0"/>
        <w:spacing w:line="360" w:lineRule="auto"/>
        <w:jc w:val="center"/>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72B27BA">
      <w:pPr>
        <w:outlineLvl w:val="9"/>
        <w:rPr>
          <w:rFonts w:hint="eastAsia" w:ascii="仿宋" w:hAnsi="仿宋" w:eastAsia="仿宋" w:cs="仿宋"/>
          <w:color w:val="auto"/>
          <w:highlight w:val="none"/>
        </w:rPr>
      </w:pPr>
    </w:p>
    <w:p w14:paraId="148CFBA3">
      <w:pPr>
        <w:pStyle w:val="7"/>
        <w:outlineLvl w:val="9"/>
        <w:rPr>
          <w:rFonts w:hint="eastAsia" w:ascii="仿宋" w:hAnsi="仿宋" w:eastAsia="仿宋" w:cs="仿宋"/>
          <w:color w:val="auto"/>
          <w:highlight w:val="none"/>
        </w:rPr>
      </w:pPr>
    </w:p>
    <w:p w14:paraId="138D35FF">
      <w:pPr>
        <w:outlineLvl w:val="9"/>
        <w:rPr>
          <w:rFonts w:hint="eastAsia" w:ascii="仿宋" w:hAnsi="仿宋" w:eastAsia="仿宋" w:cs="仿宋"/>
          <w:color w:val="auto"/>
          <w:highlight w:val="none"/>
        </w:rPr>
      </w:pPr>
    </w:p>
    <w:p w14:paraId="5946AF9B">
      <w:pPr>
        <w:outlineLvl w:val="9"/>
        <w:rPr>
          <w:rFonts w:hint="eastAsia" w:ascii="仿宋" w:hAnsi="仿宋" w:eastAsia="仿宋" w:cs="仿宋"/>
          <w:color w:val="auto"/>
          <w:highlight w:val="none"/>
        </w:rPr>
      </w:pPr>
    </w:p>
    <w:p w14:paraId="0FA7D8A9">
      <w:pPr>
        <w:outlineLvl w:val="9"/>
        <w:rPr>
          <w:rFonts w:hint="eastAsia" w:ascii="仿宋" w:hAnsi="仿宋" w:eastAsia="仿宋" w:cs="仿宋"/>
          <w:color w:val="auto"/>
          <w:highlight w:val="none"/>
        </w:rPr>
      </w:pPr>
    </w:p>
    <w:p w14:paraId="2597B469">
      <w:pPr>
        <w:outlineLvl w:val="9"/>
        <w:rPr>
          <w:rFonts w:hint="eastAsia" w:ascii="仿宋" w:hAnsi="仿宋" w:eastAsia="仿宋" w:cs="仿宋"/>
          <w:color w:val="auto"/>
          <w:highlight w:val="none"/>
        </w:rPr>
      </w:pPr>
    </w:p>
    <w:p w14:paraId="4ED79460">
      <w:pPr>
        <w:outlineLvl w:val="9"/>
        <w:rPr>
          <w:rFonts w:hint="eastAsia" w:ascii="仿宋" w:hAnsi="仿宋" w:eastAsia="仿宋" w:cs="仿宋"/>
          <w:color w:val="auto"/>
          <w:highlight w:val="none"/>
        </w:rPr>
      </w:pPr>
    </w:p>
    <w:p w14:paraId="3D07888F">
      <w:pPr>
        <w:rPr>
          <w:rFonts w:hint="eastAsia" w:ascii="仿宋" w:hAnsi="仿宋" w:eastAsia="仿宋" w:cs="仿宋"/>
          <w:color w:val="auto"/>
          <w:highlight w:val="none"/>
        </w:rPr>
      </w:pPr>
    </w:p>
    <w:p w14:paraId="652D0B30">
      <w:pPr>
        <w:rPr>
          <w:rFonts w:hint="eastAsia" w:ascii="仿宋" w:hAnsi="仿宋" w:eastAsia="仿宋" w:cs="仿宋"/>
          <w:color w:val="auto"/>
          <w:highlight w:val="none"/>
        </w:rPr>
      </w:pPr>
    </w:p>
    <w:p w14:paraId="45830CAE">
      <w:pPr>
        <w:rPr>
          <w:rFonts w:hint="eastAsia" w:ascii="仿宋" w:hAnsi="仿宋" w:eastAsia="仿宋" w:cs="仿宋"/>
          <w:color w:val="auto"/>
          <w:highlight w:val="none"/>
        </w:rPr>
      </w:pPr>
    </w:p>
    <w:p w14:paraId="3472248A">
      <w:pPr>
        <w:rPr>
          <w:rFonts w:hint="eastAsia" w:ascii="仿宋" w:hAnsi="仿宋" w:eastAsia="仿宋" w:cs="仿宋"/>
          <w:color w:val="auto"/>
          <w:highlight w:val="none"/>
        </w:rPr>
      </w:pPr>
    </w:p>
    <w:p w14:paraId="7D181507">
      <w:pPr>
        <w:rPr>
          <w:rFonts w:hint="eastAsia" w:ascii="仿宋" w:hAnsi="仿宋" w:eastAsia="仿宋" w:cs="仿宋"/>
          <w:color w:val="auto"/>
          <w:highlight w:val="none"/>
        </w:rPr>
      </w:pPr>
    </w:p>
    <w:p w14:paraId="1640ED00">
      <w:pPr>
        <w:rPr>
          <w:rFonts w:hint="eastAsia" w:ascii="仿宋" w:hAnsi="仿宋" w:eastAsia="仿宋" w:cs="仿宋"/>
          <w:color w:val="auto"/>
          <w:highlight w:val="none"/>
        </w:rPr>
      </w:pPr>
    </w:p>
    <w:p w14:paraId="7CC60D07">
      <w:pPr>
        <w:rPr>
          <w:rFonts w:hint="eastAsia" w:ascii="仿宋" w:hAnsi="仿宋" w:eastAsia="仿宋" w:cs="仿宋"/>
          <w:color w:val="auto"/>
          <w:highlight w:val="none"/>
        </w:rPr>
      </w:pPr>
    </w:p>
    <w:p w14:paraId="34AA1347">
      <w:pPr>
        <w:rPr>
          <w:rFonts w:hint="eastAsia" w:ascii="仿宋" w:hAnsi="仿宋" w:eastAsia="仿宋" w:cs="仿宋"/>
          <w:color w:val="auto"/>
          <w:highlight w:val="none"/>
        </w:rPr>
      </w:pPr>
    </w:p>
    <w:p w14:paraId="06D4D6D6">
      <w:pPr>
        <w:rPr>
          <w:rFonts w:hint="eastAsia" w:ascii="仿宋" w:hAnsi="仿宋" w:eastAsia="仿宋" w:cs="仿宋"/>
          <w:color w:val="auto"/>
          <w:highlight w:val="none"/>
        </w:rPr>
      </w:pPr>
    </w:p>
    <w:p w14:paraId="61820AEA">
      <w:pPr>
        <w:rPr>
          <w:rFonts w:hint="eastAsia" w:ascii="仿宋" w:hAnsi="仿宋" w:eastAsia="仿宋" w:cs="仿宋"/>
          <w:color w:val="auto"/>
          <w:highlight w:val="none"/>
        </w:rPr>
      </w:pPr>
    </w:p>
    <w:p w14:paraId="43FB5199">
      <w:pPr>
        <w:rPr>
          <w:rFonts w:hint="eastAsia" w:ascii="仿宋" w:hAnsi="仿宋" w:eastAsia="仿宋" w:cs="仿宋"/>
          <w:color w:val="auto"/>
          <w:highlight w:val="none"/>
        </w:rPr>
      </w:pPr>
    </w:p>
    <w:p w14:paraId="408B9062">
      <w:pPr>
        <w:rPr>
          <w:rFonts w:hint="eastAsia" w:ascii="仿宋" w:hAnsi="仿宋" w:eastAsia="仿宋" w:cs="仿宋"/>
          <w:color w:val="auto"/>
          <w:highlight w:val="none"/>
        </w:rPr>
      </w:pPr>
    </w:p>
    <w:p w14:paraId="05319319">
      <w:pPr>
        <w:rPr>
          <w:rFonts w:hint="eastAsia" w:ascii="仿宋" w:hAnsi="仿宋" w:eastAsia="仿宋" w:cs="仿宋"/>
          <w:color w:val="auto"/>
          <w:highlight w:val="none"/>
        </w:rPr>
      </w:pPr>
    </w:p>
    <w:p w14:paraId="5A8FE18D">
      <w:pPr>
        <w:pStyle w:val="49"/>
        <w:rPr>
          <w:rFonts w:hint="eastAsia" w:ascii="仿宋" w:hAnsi="仿宋" w:eastAsia="仿宋" w:cs="仿宋"/>
          <w:color w:val="auto"/>
          <w:highlight w:val="none"/>
        </w:rPr>
      </w:pPr>
    </w:p>
    <w:p w14:paraId="156A5174">
      <w:pPr>
        <w:rPr>
          <w:rFonts w:hint="eastAsia" w:ascii="仿宋" w:hAnsi="仿宋" w:eastAsia="仿宋" w:cs="仿宋"/>
          <w:color w:val="auto"/>
          <w:highlight w:val="none"/>
        </w:rPr>
      </w:pPr>
    </w:p>
    <w:bookmarkEnd w:id="606"/>
    <w:bookmarkEnd w:id="607"/>
    <w:p w14:paraId="76F69649">
      <w:pPr>
        <w:pStyle w:val="7"/>
        <w:spacing w:line="360" w:lineRule="auto"/>
        <w:ind w:left="0" w:leftChars="0" w:firstLine="0" w:firstLineChars="0"/>
        <w:rPr>
          <w:rFonts w:hint="eastAsia" w:ascii="仿宋" w:hAnsi="仿宋" w:eastAsia="仿宋" w:cs="仿宋"/>
          <w:color w:val="auto"/>
          <w:highlight w:val="none"/>
        </w:rPr>
      </w:pPr>
    </w:p>
    <w:p w14:paraId="4E97C521">
      <w:pPr>
        <w:rPr>
          <w:rFonts w:hint="eastAsia" w:ascii="仿宋" w:hAnsi="仿宋" w:eastAsia="仿宋" w:cs="仿宋"/>
          <w:b w:val="0"/>
          <w:bCs w:val="0"/>
          <w:color w:val="auto"/>
          <w:sz w:val="28"/>
          <w:szCs w:val="28"/>
          <w:highlight w:val="none"/>
        </w:rPr>
      </w:pPr>
      <w:bookmarkStart w:id="621" w:name="_Toc25690"/>
      <w:bookmarkStart w:id="622" w:name="_Toc7744"/>
      <w:bookmarkStart w:id="623" w:name="_Toc20983"/>
      <w:r>
        <w:rPr>
          <w:rFonts w:hint="eastAsia" w:ascii="仿宋" w:hAnsi="仿宋" w:eastAsia="仿宋" w:cs="仿宋"/>
          <w:b w:val="0"/>
          <w:bCs w:val="0"/>
          <w:color w:val="auto"/>
          <w:sz w:val="28"/>
          <w:szCs w:val="28"/>
          <w:highlight w:val="none"/>
        </w:rPr>
        <w:br w:type="page"/>
      </w:r>
    </w:p>
    <w:bookmarkEnd w:id="621"/>
    <w:bookmarkEnd w:id="622"/>
    <w:bookmarkEnd w:id="623"/>
    <w:p w14:paraId="167D3B6C">
      <w:pPr>
        <w:pStyle w:val="55"/>
        <w:jc w:val="left"/>
        <w:outlineLvl w:val="1"/>
        <w:rPr>
          <w:rFonts w:hint="eastAsia" w:ascii="仿宋" w:hAnsi="仿宋" w:eastAsia="仿宋" w:cs="仿宋"/>
          <w:b/>
          <w:bCs/>
          <w:color w:val="auto"/>
          <w:sz w:val="28"/>
          <w:szCs w:val="28"/>
          <w:highlight w:val="none"/>
          <w:lang w:val="en-GB"/>
        </w:rPr>
      </w:pPr>
      <w:r>
        <w:rPr>
          <w:rFonts w:hint="eastAsia" w:ascii="仿宋" w:hAnsi="仿宋" w:eastAsia="仿宋" w:cs="仿宋"/>
          <w:b/>
          <w:bCs/>
          <w:color w:val="auto"/>
          <w:sz w:val="28"/>
          <w:szCs w:val="28"/>
          <w:highlight w:val="none"/>
          <w:lang w:val="en-GB"/>
        </w:rPr>
        <w:t>附件</w:t>
      </w: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lang w:val="en-GB"/>
        </w:rPr>
        <w:t>：中小企业声明函</w:t>
      </w:r>
    </w:p>
    <w:p w14:paraId="74806649">
      <w:pPr>
        <w:jc w:val="center"/>
        <w:rPr>
          <w:rFonts w:hint="eastAsia" w:ascii="仿宋" w:hAnsi="仿宋" w:eastAsia="仿宋" w:cs="仿宋"/>
          <w:color w:val="auto"/>
          <w:szCs w:val="21"/>
          <w:highlight w:val="none"/>
        </w:rPr>
      </w:pPr>
    </w:p>
    <w:p w14:paraId="6297C57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（属于中小微企业的填写，不属于的无需填写此项内容）</w:t>
      </w:r>
    </w:p>
    <w:p w14:paraId="40E7CE8B">
      <w:pPr>
        <w:autoSpaceDE w:val="0"/>
        <w:autoSpaceDN w:val="0"/>
        <w:adjustRightInd w:val="0"/>
        <w:spacing w:line="560" w:lineRule="exact"/>
        <w:jc w:val="center"/>
        <w:outlineLvl w:val="9"/>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 </w:t>
      </w:r>
    </w:p>
    <w:p w14:paraId="5AD93F8B">
      <w:pPr>
        <w:autoSpaceDE w:val="0"/>
        <w:autoSpaceDN w:val="0"/>
        <w:adjustRightInd w:val="0"/>
        <w:spacing w:line="560" w:lineRule="exact"/>
        <w:jc w:val="center"/>
        <w:outlineLvl w:val="2"/>
        <w:rPr>
          <w:rFonts w:hint="eastAsia" w:ascii="仿宋" w:hAnsi="仿宋" w:eastAsia="仿宋" w:cs="仿宋"/>
          <w:color w:val="auto"/>
          <w:sz w:val="24"/>
          <w:szCs w:val="24"/>
          <w:highlight w:val="none"/>
        </w:rPr>
      </w:pPr>
      <w:bookmarkStart w:id="624" w:name="_Toc4340"/>
      <w:bookmarkStart w:id="625" w:name="_Toc8036"/>
      <w:r>
        <w:rPr>
          <w:rFonts w:hint="eastAsia" w:ascii="仿宋" w:hAnsi="仿宋" w:eastAsia="仿宋" w:cs="仿宋"/>
          <w:color w:val="auto"/>
          <w:kern w:val="2"/>
          <w:sz w:val="24"/>
          <w:szCs w:val="24"/>
          <w:highlight w:val="none"/>
        </w:rPr>
        <w:t>中小企业声明函</w:t>
      </w:r>
      <w:bookmarkEnd w:id="624"/>
      <w:bookmarkEnd w:id="625"/>
    </w:p>
    <w:p w14:paraId="42DEED2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本公司（联合体）郑重声明，根据《政府采购促进中小企业发展管理办法》（财库﹝2020﹞46号）的规定，本公司（联合体）参加</w:t>
      </w:r>
      <w:r>
        <w:rPr>
          <w:rFonts w:hint="eastAsia" w:ascii="仿宋" w:hAnsi="仿宋" w:eastAsia="仿宋" w:cs="仿宋"/>
          <w:color w:val="auto"/>
          <w:sz w:val="24"/>
          <w:szCs w:val="24"/>
          <w:highlight w:val="none"/>
          <w:u w:val="single"/>
          <w:lang w:val="en-US" w:eastAsia="zh-CN"/>
        </w:rPr>
        <w:t>（单位名称）</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u w:val="single"/>
          <w:lang w:val="en-US" w:eastAsia="zh-CN"/>
        </w:rPr>
        <w:t>（项目名称）</w:t>
      </w:r>
      <w:r>
        <w:rPr>
          <w:rFonts w:hint="eastAsia" w:ascii="仿宋" w:hAnsi="仿宋" w:eastAsia="仿宋" w:cs="仿宋"/>
          <w:color w:val="auto"/>
          <w:sz w:val="24"/>
          <w:szCs w:val="24"/>
          <w:highlight w:val="none"/>
          <w:lang w:val="en-US" w:eastAsia="zh-CN"/>
        </w:rPr>
        <w:t>采购活动，工程的施工单位全部为符合政策要求的中小企业（或者：服务全部由符合政策要求的中小企业承接）。相关企业（含联合 体中的中小企业、签订分包意向协议的中小企业）的具体情况如下：</w:t>
      </w:r>
    </w:p>
    <w:p w14:paraId="6A7845B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u w:val="single"/>
          <w:lang w:val="en-US" w:eastAsia="zh-CN"/>
        </w:rPr>
        <w:t>（标的名称）</w:t>
      </w:r>
      <w:r>
        <w:rPr>
          <w:rFonts w:hint="eastAsia" w:ascii="仿宋" w:hAnsi="仿宋" w:eastAsia="仿宋" w:cs="仿宋"/>
          <w:color w:val="auto"/>
          <w:sz w:val="24"/>
          <w:szCs w:val="24"/>
          <w:highlight w:val="none"/>
          <w:lang w:val="en-US" w:eastAsia="zh-CN"/>
        </w:rPr>
        <w:t>，属于</w:t>
      </w:r>
      <w:r>
        <w:rPr>
          <w:rFonts w:hint="eastAsia" w:ascii="仿宋" w:hAnsi="仿宋" w:eastAsia="仿宋" w:cs="仿宋"/>
          <w:color w:val="auto"/>
          <w:sz w:val="24"/>
          <w:szCs w:val="24"/>
          <w:highlight w:val="none"/>
          <w:u w:val="single"/>
          <w:lang w:val="en-US" w:eastAsia="zh-CN"/>
        </w:rPr>
        <w:t>（采购文件中明确的所属行业）</w:t>
      </w:r>
      <w:r>
        <w:rPr>
          <w:rFonts w:hint="eastAsia" w:ascii="仿宋" w:hAnsi="仿宋" w:eastAsia="仿宋" w:cs="仿宋"/>
          <w:color w:val="auto"/>
          <w:sz w:val="24"/>
          <w:szCs w:val="24"/>
          <w:highlight w:val="none"/>
          <w:lang w:val="en-US" w:eastAsia="zh-CN"/>
        </w:rPr>
        <w:t>；承建（承接）企业为</w:t>
      </w:r>
      <w:r>
        <w:rPr>
          <w:rFonts w:hint="eastAsia" w:ascii="仿宋" w:hAnsi="仿宋" w:eastAsia="仿宋" w:cs="仿宋"/>
          <w:color w:val="auto"/>
          <w:sz w:val="24"/>
          <w:szCs w:val="24"/>
          <w:highlight w:val="none"/>
          <w:u w:val="single"/>
          <w:lang w:val="en-US" w:eastAsia="zh-CN"/>
        </w:rPr>
        <w:t>（企业名称）</w:t>
      </w:r>
      <w:r>
        <w:rPr>
          <w:rFonts w:hint="eastAsia" w:ascii="仿宋" w:hAnsi="仿宋" w:eastAsia="仿宋" w:cs="仿宋"/>
          <w:color w:val="auto"/>
          <w:sz w:val="24"/>
          <w:szCs w:val="24"/>
          <w:highlight w:val="none"/>
          <w:lang w:val="en-US" w:eastAsia="zh-CN"/>
        </w:rPr>
        <w:t>，从业人员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人，营业收入为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万元，资产总额为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万元，属于</w:t>
      </w:r>
      <w:r>
        <w:rPr>
          <w:rFonts w:hint="eastAsia" w:ascii="仿宋" w:hAnsi="仿宋" w:eastAsia="仿宋" w:cs="仿宋"/>
          <w:color w:val="auto"/>
          <w:sz w:val="24"/>
          <w:szCs w:val="24"/>
          <w:highlight w:val="none"/>
          <w:u w:val="single"/>
          <w:lang w:val="en-US" w:eastAsia="zh-CN"/>
        </w:rPr>
        <w:t>（中型企业、小型企业、微型企业）</w:t>
      </w:r>
      <w:r>
        <w:rPr>
          <w:rFonts w:hint="eastAsia" w:ascii="仿宋" w:hAnsi="仿宋" w:eastAsia="仿宋" w:cs="仿宋"/>
          <w:color w:val="auto"/>
          <w:sz w:val="24"/>
          <w:szCs w:val="24"/>
          <w:highlight w:val="none"/>
          <w:lang w:val="en-US" w:eastAsia="zh-CN"/>
        </w:rPr>
        <w:t>；</w:t>
      </w:r>
    </w:p>
    <w:p w14:paraId="7366771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u w:val="single"/>
          <w:lang w:val="en-US" w:eastAsia="zh-CN"/>
        </w:rPr>
        <w:t>（标的名称）</w:t>
      </w:r>
      <w:r>
        <w:rPr>
          <w:rFonts w:hint="eastAsia" w:ascii="仿宋" w:hAnsi="仿宋" w:eastAsia="仿宋" w:cs="仿宋"/>
          <w:color w:val="auto"/>
          <w:sz w:val="24"/>
          <w:szCs w:val="24"/>
          <w:highlight w:val="none"/>
          <w:lang w:val="en-US" w:eastAsia="zh-CN"/>
        </w:rPr>
        <w:t>，属于</w:t>
      </w:r>
      <w:r>
        <w:rPr>
          <w:rFonts w:hint="eastAsia" w:ascii="仿宋" w:hAnsi="仿宋" w:eastAsia="仿宋" w:cs="仿宋"/>
          <w:color w:val="auto"/>
          <w:sz w:val="24"/>
          <w:szCs w:val="24"/>
          <w:highlight w:val="none"/>
          <w:u w:val="single"/>
          <w:lang w:val="en-US" w:eastAsia="zh-CN"/>
        </w:rPr>
        <w:t>（采购文件中明确的所属行业）</w:t>
      </w:r>
      <w:r>
        <w:rPr>
          <w:rFonts w:hint="eastAsia" w:ascii="仿宋" w:hAnsi="仿宋" w:eastAsia="仿宋" w:cs="仿宋"/>
          <w:color w:val="auto"/>
          <w:sz w:val="24"/>
          <w:szCs w:val="24"/>
          <w:highlight w:val="none"/>
          <w:lang w:val="en-US" w:eastAsia="zh-CN"/>
        </w:rPr>
        <w:t>；承建（承接）企业为</w:t>
      </w:r>
      <w:r>
        <w:rPr>
          <w:rFonts w:hint="eastAsia" w:ascii="仿宋" w:hAnsi="仿宋" w:eastAsia="仿宋" w:cs="仿宋"/>
          <w:color w:val="auto"/>
          <w:sz w:val="24"/>
          <w:szCs w:val="24"/>
          <w:highlight w:val="none"/>
          <w:u w:val="single"/>
          <w:lang w:val="en-US" w:eastAsia="zh-CN"/>
        </w:rPr>
        <w:t>（企业名称）</w:t>
      </w:r>
      <w:r>
        <w:rPr>
          <w:rFonts w:hint="eastAsia" w:ascii="仿宋" w:hAnsi="仿宋" w:eastAsia="仿宋" w:cs="仿宋"/>
          <w:color w:val="auto"/>
          <w:sz w:val="24"/>
          <w:szCs w:val="24"/>
          <w:highlight w:val="none"/>
          <w:lang w:val="en-US" w:eastAsia="zh-CN"/>
        </w:rPr>
        <w:t>，从业人员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人，营业收入为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万元，资产总额为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万元，属于</w:t>
      </w:r>
      <w:r>
        <w:rPr>
          <w:rFonts w:hint="eastAsia" w:ascii="仿宋" w:hAnsi="仿宋" w:eastAsia="仿宋" w:cs="仿宋"/>
          <w:color w:val="auto"/>
          <w:sz w:val="24"/>
          <w:szCs w:val="24"/>
          <w:highlight w:val="none"/>
          <w:u w:val="single"/>
          <w:lang w:val="en-US" w:eastAsia="zh-CN"/>
        </w:rPr>
        <w:t>（中型企业、小型企业、微型企业）</w:t>
      </w:r>
      <w:r>
        <w:rPr>
          <w:rFonts w:hint="eastAsia" w:ascii="仿宋" w:hAnsi="仿宋" w:eastAsia="仿宋" w:cs="仿宋"/>
          <w:color w:val="auto"/>
          <w:sz w:val="24"/>
          <w:szCs w:val="24"/>
          <w:highlight w:val="none"/>
          <w:lang w:val="en-US" w:eastAsia="zh-CN"/>
        </w:rPr>
        <w:t>。</w:t>
      </w:r>
    </w:p>
    <w:p w14:paraId="332FB97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p w14:paraId="7AD1B339">
      <w:pPr>
        <w:pStyle w:val="9"/>
        <w:keepNext w:val="0"/>
        <w:keepLines w:val="0"/>
        <w:pageBreakBefore w:val="0"/>
        <w:kinsoku/>
        <w:wordWrap/>
        <w:overflowPunct/>
        <w:topLinePunct w:val="0"/>
        <w:autoSpaceDE/>
        <w:autoSpaceDN/>
        <w:bidi w:val="0"/>
        <w:adjustRightInd/>
        <w:snapToGrid/>
        <w:spacing w:before="108" w:line="360" w:lineRule="auto"/>
        <w:ind w:left="0" w:leftChars="0" w:right="417"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以上企业，不属于大企业的分支机构，不存在控股股东为大企业的情形，也不存在与大企业的负责人为同一人的情形。</w:t>
      </w:r>
    </w:p>
    <w:p w14:paraId="321E07F6">
      <w:pPr>
        <w:pStyle w:val="9"/>
        <w:keepNext w:val="0"/>
        <w:keepLines w:val="0"/>
        <w:pageBreakBefore w:val="0"/>
        <w:kinsoku/>
        <w:wordWrap/>
        <w:overflowPunct/>
        <w:topLinePunct w:val="0"/>
        <w:autoSpaceDE/>
        <w:autoSpaceDN/>
        <w:bidi w:val="0"/>
        <w:adjustRightInd/>
        <w:snapToGrid/>
        <w:spacing w:line="360" w:lineRule="auto"/>
        <w:ind w:right="375"/>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本企业对上述声明内容的真实性负责。如有虚假，将依法承担相应责任。</w:t>
      </w:r>
    </w:p>
    <w:p w14:paraId="348F85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6480" w:firstLineChars="2700"/>
        <w:textAlignment w:val="auto"/>
        <w:rPr>
          <w:rFonts w:hint="eastAsia" w:ascii="仿宋" w:hAnsi="仿宋" w:eastAsia="仿宋" w:cs="仿宋"/>
          <w:color w:val="auto"/>
          <w:kern w:val="2"/>
          <w:sz w:val="24"/>
          <w:szCs w:val="24"/>
          <w:highlight w:val="none"/>
          <w:lang w:val="en-US" w:eastAsia="zh-CN" w:bidi="ar-SA"/>
        </w:rPr>
      </w:pPr>
    </w:p>
    <w:p w14:paraId="1775D7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6480" w:firstLineChars="27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企业名称（盖章）：</w:t>
      </w:r>
    </w:p>
    <w:p w14:paraId="66E105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6480" w:firstLineChars="27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日期：</w:t>
      </w:r>
    </w:p>
    <w:p w14:paraId="20EB0F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6480" w:firstLineChars="2700"/>
        <w:textAlignment w:val="auto"/>
        <w:rPr>
          <w:rFonts w:hint="eastAsia" w:ascii="仿宋" w:hAnsi="仿宋" w:eastAsia="仿宋" w:cs="仿宋"/>
          <w:color w:val="auto"/>
          <w:kern w:val="2"/>
          <w:sz w:val="24"/>
          <w:szCs w:val="24"/>
          <w:highlight w:val="none"/>
          <w:lang w:val="en-US" w:eastAsia="zh-CN" w:bidi="ar-SA"/>
        </w:rPr>
      </w:pPr>
    </w:p>
    <w:p w14:paraId="2874AA5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符合中小企业划分标准（见工业和信息化部国家统计局国家发展和改革委员会财政部《关于印发中小企业划型标准规定的通知》（工信部联企业〔2011〕300号)）；</w:t>
      </w:r>
    </w:p>
    <w:p w14:paraId="5906E13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本办法所称中小企业划分标准，是指国务院有关部门根据企业从业人员、营业收入、资产总额等指标制定的中小企业划型标准。</w:t>
      </w:r>
    </w:p>
    <w:p w14:paraId="24F07C23">
      <w:pPr>
        <w:spacing w:line="360" w:lineRule="auto"/>
        <w:ind w:firstLine="48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4"/>
          <w:szCs w:val="24"/>
          <w:highlight w:val="none"/>
          <w:lang w:val="en-US" w:eastAsia="zh-CN"/>
        </w:rPr>
        <w:t>3.注：从业人员、营业收入、资产总额填报上一年度数据，无上一年度数据的新成立企业可不填报。</w:t>
      </w:r>
    </w:p>
    <w:p w14:paraId="0DA2BACF">
      <w:pPr>
        <w:pageBreakBefore/>
        <w:spacing w:line="588" w:lineRule="exact"/>
        <w:jc w:val="left"/>
        <w:rPr>
          <w:rFonts w:hint="eastAsia" w:ascii="仿宋" w:hAnsi="仿宋" w:eastAsia="仿宋" w:cs="仿宋"/>
          <w:b/>
          <w:color w:val="auto"/>
          <w:spacing w:val="6"/>
          <w:sz w:val="28"/>
          <w:szCs w:val="28"/>
          <w:highlight w:val="none"/>
        </w:rPr>
      </w:pPr>
      <w:r>
        <w:rPr>
          <w:rFonts w:hint="eastAsia" w:ascii="仿宋" w:hAnsi="仿宋" w:eastAsia="仿宋" w:cs="仿宋"/>
          <w:b/>
          <w:color w:val="auto"/>
          <w:spacing w:val="6"/>
          <w:sz w:val="28"/>
          <w:szCs w:val="28"/>
          <w:highlight w:val="none"/>
        </w:rPr>
        <w:t>附件</w:t>
      </w:r>
      <w:r>
        <w:rPr>
          <w:rFonts w:hint="eastAsia" w:ascii="仿宋" w:hAnsi="仿宋" w:eastAsia="仿宋" w:cs="仿宋"/>
          <w:b/>
          <w:color w:val="auto"/>
          <w:spacing w:val="6"/>
          <w:sz w:val="28"/>
          <w:szCs w:val="28"/>
          <w:highlight w:val="none"/>
          <w:lang w:val="en-US" w:eastAsia="zh-CN"/>
        </w:rPr>
        <w:t>2</w:t>
      </w:r>
      <w:r>
        <w:rPr>
          <w:rFonts w:hint="eastAsia" w:ascii="仿宋" w:hAnsi="仿宋" w:eastAsia="仿宋" w:cs="仿宋"/>
          <w:b/>
          <w:color w:val="auto"/>
          <w:spacing w:val="6"/>
          <w:sz w:val="28"/>
          <w:szCs w:val="28"/>
          <w:highlight w:val="none"/>
        </w:rPr>
        <w:t>：残疾人福利性单位声明函</w:t>
      </w:r>
    </w:p>
    <w:p w14:paraId="5888440A">
      <w:pPr>
        <w:spacing w:line="588" w:lineRule="exact"/>
        <w:jc w:val="center"/>
        <w:rPr>
          <w:rFonts w:hint="eastAsia" w:ascii="仿宋" w:hAnsi="仿宋" w:eastAsia="仿宋" w:cs="仿宋"/>
          <w:b/>
          <w:color w:val="auto"/>
          <w:spacing w:val="6"/>
          <w:sz w:val="24"/>
          <w:szCs w:val="24"/>
          <w:highlight w:val="none"/>
        </w:rPr>
      </w:pPr>
      <w:r>
        <w:rPr>
          <w:rFonts w:hint="eastAsia" w:ascii="仿宋" w:hAnsi="仿宋" w:eastAsia="仿宋" w:cs="仿宋"/>
          <w:color w:val="auto"/>
          <w:sz w:val="24"/>
          <w:szCs w:val="24"/>
          <w:highlight w:val="none"/>
        </w:rPr>
        <w:t>（属于残疾人福利性单位的填写，不属于的无需填写此项内容）</w:t>
      </w:r>
    </w:p>
    <w:p w14:paraId="1870647B">
      <w:pPr>
        <w:spacing w:line="588"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4CB5785">
      <w:pPr>
        <w:spacing w:line="588"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14:paraId="330DF68A">
      <w:pPr>
        <w:spacing w:line="588" w:lineRule="exact"/>
        <w:ind w:firstLine="480" w:firstLineChars="200"/>
        <w:rPr>
          <w:rFonts w:hint="eastAsia" w:ascii="仿宋" w:hAnsi="仿宋" w:eastAsia="仿宋" w:cs="仿宋"/>
          <w:color w:val="auto"/>
          <w:sz w:val="24"/>
          <w:szCs w:val="24"/>
          <w:highlight w:val="none"/>
        </w:rPr>
      </w:pPr>
    </w:p>
    <w:p w14:paraId="5E511EDD">
      <w:pPr>
        <w:spacing w:line="588" w:lineRule="exact"/>
        <w:ind w:firstLine="480" w:firstLineChars="200"/>
        <w:rPr>
          <w:rFonts w:hint="eastAsia" w:ascii="仿宋" w:hAnsi="仿宋" w:eastAsia="仿宋" w:cs="仿宋"/>
          <w:color w:val="auto"/>
          <w:sz w:val="24"/>
          <w:szCs w:val="24"/>
          <w:highlight w:val="none"/>
        </w:rPr>
      </w:pPr>
    </w:p>
    <w:p w14:paraId="1A6709BE">
      <w:pPr>
        <w:wordWrap w:val="0"/>
        <w:spacing w:line="45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电子签章</w:t>
      </w:r>
      <w:r>
        <w:rPr>
          <w:rFonts w:hint="eastAsia" w:ascii="仿宋" w:hAnsi="仿宋" w:eastAsia="仿宋" w:cs="仿宋"/>
          <w:color w:val="auto"/>
          <w:sz w:val="24"/>
          <w:szCs w:val="24"/>
          <w:highlight w:val="none"/>
        </w:rPr>
        <w:t>）</w:t>
      </w:r>
    </w:p>
    <w:p w14:paraId="54EFD075">
      <w:pPr>
        <w:wordWrap w:val="0"/>
        <w:spacing w:line="450" w:lineRule="atLeast"/>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电子签章</w:t>
      </w:r>
      <w:r>
        <w:rPr>
          <w:rFonts w:hint="eastAsia" w:ascii="仿宋" w:hAnsi="仿宋" w:eastAsia="仿宋" w:cs="仿宋"/>
          <w:color w:val="auto"/>
          <w:sz w:val="24"/>
          <w:szCs w:val="24"/>
          <w:highlight w:val="none"/>
        </w:rPr>
        <w:t>）</w:t>
      </w:r>
    </w:p>
    <w:p w14:paraId="51D45979">
      <w:pPr>
        <w:wordWrap w:val="0"/>
        <w:spacing w:line="45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610068F">
      <w:pPr>
        <w:pStyle w:val="7"/>
        <w:spacing w:line="360" w:lineRule="auto"/>
        <w:ind w:left="0" w:leftChars="0" w:firstLine="0" w:firstLineChars="0"/>
        <w:rPr>
          <w:rFonts w:hint="eastAsia" w:ascii="仿宋" w:hAnsi="仿宋" w:eastAsia="仿宋" w:cs="仿宋"/>
          <w:b/>
          <w:color w:val="auto"/>
          <w:sz w:val="24"/>
          <w:szCs w:val="24"/>
          <w:highlight w:val="none"/>
        </w:rPr>
      </w:pPr>
    </w:p>
    <w:p w14:paraId="24C5431C">
      <w:pPr>
        <w:pStyle w:val="7"/>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若供应商属于监狱企业/残疾人福利性单位/小/微型企业，须提供由省级以上监狱管理局、戒毒管理局（含新疆生产建设兵团）出具的属于监狱企业的证明文件或由企业所在地的县级以上中小企业主管部门出具的中小企业认定证书和中小企业声明函\残疾人福利性单位声明函，否则不予认可。</w:t>
      </w:r>
    </w:p>
    <w:p w14:paraId="34DC014D">
      <w:pPr>
        <w:pStyle w:val="7"/>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2.中小企业划分标准，是指国务院有关部门根据企业从业人员、营业收入、资产总额等指标制定的中小企业划型标准进行核定。</w:t>
      </w:r>
    </w:p>
    <w:p w14:paraId="35711C90">
      <w:pPr>
        <w:pStyle w:val="7"/>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3.对于监狱企业/残疾人福利性单位和供应商及响应产品生产商均为小型、微型企业的，评标价格扣除按财库[2011]181号文件中最低比例20%扣除。</w:t>
      </w:r>
    </w:p>
    <w:p w14:paraId="3337549F">
      <w:pPr>
        <w:pStyle w:val="7"/>
        <w:spacing w:line="360" w:lineRule="auto"/>
        <w:rPr>
          <w:rFonts w:hint="eastAsia" w:ascii="仿宋" w:hAnsi="仿宋" w:eastAsia="仿宋" w:cs="仿宋"/>
          <w:color w:val="auto"/>
          <w:highlight w:val="none"/>
        </w:rPr>
      </w:pPr>
      <w:r>
        <w:rPr>
          <w:rFonts w:hint="eastAsia" w:ascii="仿宋" w:hAnsi="仿宋" w:eastAsia="仿宋" w:cs="仿宋"/>
          <w:color w:val="auto"/>
          <w:kern w:val="2"/>
          <w:sz w:val="24"/>
          <w:szCs w:val="24"/>
          <w:highlight w:val="none"/>
          <w:lang w:val="en-US" w:eastAsia="zh-CN" w:bidi="ar-SA"/>
        </w:rPr>
        <w:t>4.小型、微型企业提供中型企业制造的货物的，视同为中型企业。</w:t>
      </w:r>
    </w:p>
    <w:p w14:paraId="212C8693">
      <w:pPr>
        <w:pageBreakBefore/>
        <w:spacing w:line="588" w:lineRule="exact"/>
        <w:jc w:val="left"/>
        <w:rPr>
          <w:rFonts w:hint="eastAsia" w:ascii="仿宋" w:hAnsi="仿宋" w:eastAsia="仿宋" w:cs="仿宋"/>
          <w:b/>
          <w:color w:val="auto"/>
          <w:spacing w:val="6"/>
          <w:sz w:val="28"/>
          <w:szCs w:val="28"/>
          <w:highlight w:val="none"/>
        </w:rPr>
      </w:pPr>
      <w:r>
        <w:rPr>
          <w:rFonts w:hint="eastAsia" w:ascii="仿宋" w:hAnsi="仿宋" w:eastAsia="仿宋" w:cs="仿宋"/>
          <w:b/>
          <w:color w:val="auto"/>
          <w:spacing w:val="6"/>
          <w:sz w:val="28"/>
          <w:szCs w:val="28"/>
          <w:highlight w:val="none"/>
        </w:rPr>
        <w:t>附件</w:t>
      </w:r>
      <w:r>
        <w:rPr>
          <w:rFonts w:hint="eastAsia" w:ascii="仿宋" w:hAnsi="仿宋" w:eastAsia="仿宋" w:cs="仿宋"/>
          <w:b/>
          <w:color w:val="auto"/>
          <w:spacing w:val="6"/>
          <w:sz w:val="28"/>
          <w:szCs w:val="28"/>
          <w:highlight w:val="none"/>
          <w:lang w:val="en-US" w:eastAsia="zh-CN"/>
        </w:rPr>
        <w:t>3</w:t>
      </w:r>
      <w:r>
        <w:rPr>
          <w:rFonts w:hint="eastAsia" w:ascii="仿宋" w:hAnsi="仿宋" w:eastAsia="仿宋" w:cs="仿宋"/>
          <w:b/>
          <w:color w:val="auto"/>
          <w:spacing w:val="6"/>
          <w:sz w:val="28"/>
          <w:szCs w:val="28"/>
          <w:highlight w:val="none"/>
        </w:rPr>
        <w:t>：监狱企业证明材料</w:t>
      </w:r>
    </w:p>
    <w:p w14:paraId="7B9B2B15">
      <w:pPr>
        <w:spacing w:line="588" w:lineRule="exact"/>
        <w:jc w:val="center"/>
        <w:rPr>
          <w:rFonts w:hint="eastAsia" w:ascii="仿宋" w:hAnsi="仿宋" w:eastAsia="仿宋" w:cs="仿宋"/>
          <w:b/>
          <w:color w:val="auto"/>
          <w:spacing w:val="6"/>
          <w:sz w:val="24"/>
          <w:szCs w:val="24"/>
          <w:highlight w:val="none"/>
        </w:rPr>
      </w:pPr>
      <w:r>
        <w:rPr>
          <w:rFonts w:hint="eastAsia" w:ascii="仿宋" w:hAnsi="仿宋" w:eastAsia="仿宋" w:cs="仿宋"/>
          <w:color w:val="auto"/>
          <w:sz w:val="24"/>
          <w:szCs w:val="24"/>
          <w:highlight w:val="none"/>
        </w:rPr>
        <w:t>（属于监狱企业的填写，不属于的无需填写此项内容）</w:t>
      </w:r>
    </w:p>
    <w:p w14:paraId="17D33AF5">
      <w:pPr>
        <w:rPr>
          <w:rFonts w:hint="eastAsia" w:ascii="仿宋" w:hAnsi="仿宋" w:eastAsia="仿宋" w:cs="仿宋"/>
          <w:color w:val="auto"/>
          <w:sz w:val="24"/>
          <w:szCs w:val="32"/>
          <w:highlight w:val="none"/>
        </w:rPr>
      </w:pPr>
    </w:p>
    <w:p w14:paraId="67E29E4B">
      <w:pPr>
        <w:rPr>
          <w:rFonts w:hint="eastAsia" w:ascii="仿宋" w:hAnsi="仿宋" w:eastAsia="仿宋" w:cs="仿宋"/>
          <w:color w:val="auto"/>
          <w:sz w:val="24"/>
          <w:szCs w:val="32"/>
          <w:highlight w:val="none"/>
        </w:rPr>
      </w:pPr>
    </w:p>
    <w:p w14:paraId="55CECC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监狱企业证明材料</w:t>
      </w:r>
    </w:p>
    <w:p w14:paraId="0E84B9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lang w:val="en-GB"/>
        </w:rPr>
      </w:pPr>
      <w:r>
        <w:rPr>
          <w:rFonts w:hint="eastAsia" w:ascii="仿宋" w:hAnsi="仿宋" w:eastAsia="仿宋" w:cs="仿宋"/>
          <w:color w:val="auto"/>
          <w:sz w:val="24"/>
          <w:szCs w:val="32"/>
          <w:highlight w:val="none"/>
          <w:lang w:val="en-GB"/>
        </w:rPr>
        <w:t>监狱企业参加政府采购活动时，应当提供由省级以上监狱管理局、戒毒管理局（含新疆生产建设兵团）出具的属于监狱企业的证明文件。</w:t>
      </w:r>
    </w:p>
    <w:p w14:paraId="7A8D6B24">
      <w:pPr>
        <w:rPr>
          <w:rFonts w:hint="eastAsia" w:ascii="仿宋" w:hAnsi="仿宋" w:eastAsia="仿宋" w:cs="仿宋"/>
          <w:color w:val="auto"/>
          <w:highlight w:val="none"/>
        </w:rPr>
      </w:pPr>
    </w:p>
    <w:sectPr>
      <w:footerReference r:id="rId18"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FEC2B9CC-5D63-47A3-A106-CA2FF99A757D}"/>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3126E">
    <w:pPr>
      <w:pStyle w:val="16"/>
      <w:tabs>
        <w:tab w:val="left" w:pos="828"/>
        <w:tab w:val="clear" w:pos="4153"/>
      </w:tabs>
      <w:rPr>
        <w:rFonts w:hint="eastAsia"/>
      </w:rPr>
    </w:pPr>
  </w:p>
  <w:p w14:paraId="41F479BE">
    <w:pPr>
      <w:pStyle w:val="16"/>
      <w:tabs>
        <w:tab w:val="left" w:pos="828"/>
        <w:tab w:val="clear" w:pos="4153"/>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593A">
    <w:pPr>
      <w:spacing w:line="176" w:lineRule="auto"/>
      <w:ind w:left="39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EB5FAB">
                          <w:pPr>
                            <w:pStyle w:val="1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68EB5FAB">
                    <w:pPr>
                      <w:pStyle w:val="16"/>
                    </w:pPr>
                    <w:r>
                      <w:fldChar w:fldCharType="begin"/>
                    </w:r>
                    <w:r>
                      <w:instrText xml:space="preserve"> PAGE  \* MERGEFORMAT </w:instrText>
                    </w:r>
                    <w:r>
                      <w:fldChar w:fldCharType="separate"/>
                    </w:r>
                    <w:r>
                      <w:t>33</w:t>
                    </w:r>
                    <w:r>
                      <w:fldChar w:fldCharType="end"/>
                    </w:r>
                  </w:p>
                </w:txbxContent>
              </v:textbox>
            </v:shape>
          </w:pict>
        </mc:Fallback>
      </mc:AlternateContent>
    </w: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F6D97">
    <w:pPr>
      <w:pStyle w:val="16"/>
      <w:tabs>
        <w:tab w:val="left" w:pos="6442"/>
        <w:tab w:val="clear" w:pos="4153"/>
      </w:tabs>
      <w:rPr>
        <w:rFonts w:hint="eastAsia" w:eastAsia="宋体"/>
        <w:lang w:eastAsia="zh-CN"/>
      </w:rPr>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1E321">
    <w:pPr>
      <w:pStyle w:val="16"/>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41F8C">
                          <w:pPr>
                            <w:pStyle w:val="1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2B441F8C">
                    <w:pPr>
                      <w:pStyle w:val="1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842F0">
    <w:pPr>
      <w:pStyle w:val="16"/>
      <w:tabs>
        <w:tab w:val="left" w:pos="6442"/>
        <w:tab w:val="clear" w:pos="4153"/>
      </w:tabs>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6984C">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56D6984C">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2BCD3">
    <w:pPr>
      <w:pStyle w:val="16"/>
      <w:ind w:right="360"/>
      <w:rPr>
        <w:rFonts w:hint="eastAsia"/>
        <w:szCs w:val="2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1EF1A">
                          <w:pPr>
                            <w:pStyle w:val="1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4C1EF1A">
                    <w:pPr>
                      <w:pStyle w:val="16"/>
                    </w:pPr>
                    <w:r>
                      <w:fldChar w:fldCharType="begin"/>
                    </w:r>
                    <w:r>
                      <w:instrText xml:space="preserve"> PAGE  \* MERGEFORMAT </w:instrText>
                    </w:r>
                    <w:r>
                      <w:fldChar w:fldCharType="separate"/>
                    </w:r>
                    <w:r>
                      <w:t>22</w:t>
                    </w:r>
                    <w:r>
                      <w:fldChar w:fldCharType="end"/>
                    </w:r>
                  </w:p>
                </w:txbxContent>
              </v:textbox>
            </v:shape>
          </w:pict>
        </mc:Fallback>
      </mc:AlternateContent>
    </w:r>
  </w:p>
  <w:p w14:paraId="49D43DBE">
    <w:pPr>
      <w:pStyle w:val="16"/>
      <w:ind w:right="360"/>
      <w:rPr>
        <w:rFonts w:hint="eastAsia" w:ascii="宋体" w:hAnsi="宋体"/>
      </w:rPr>
    </w:pPr>
    <w:r>
      <w:rPr>
        <w:rFonts w:hint="eastAsia" w:ascii="宋体" w:hAnsi="宋体"/>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79DCF">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4C594">
                          <w:pPr>
                            <w:pStyle w:val="1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8B4C594">
                    <w:pPr>
                      <w:pStyle w:val="1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8486F">
    <w:pPr>
      <w:spacing w:after="128" w:line="236" w:lineRule="exact"/>
      <w:ind w:right="19"/>
      <w:jc w:val="right"/>
      <w:rPr>
        <w:rFonts w:ascii="Times New Roman" w:hAnsi="Times New Roman" w:eastAsia="Times New Roman"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7B94C">
    <w:pPr>
      <w:spacing w:after="128" w:line="236" w:lineRule="exact"/>
      <w:ind w:right="19"/>
      <w:jc w:val="right"/>
      <w:rPr>
        <w:rFonts w:ascii="Times New Roman" w:hAnsi="Times New Roman" w:eastAsia="Times New Roman" w:cs="Times New Roman"/>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454D9">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29143">
                          <w:pPr>
                            <w:pStyle w:val="16"/>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69429143">
                    <w:pPr>
                      <w:pStyle w:val="16"/>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3EF34">
    <w:pPr>
      <w:pStyle w:val="1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FB7EC">
    <w:pPr>
      <w:pStyle w:val="18"/>
      <w:tabs>
        <w:tab w:val="left" w:pos="0"/>
        <w:tab w:val="left" w:pos="1021"/>
        <w:tab w:val="clear" w:pos="4153"/>
        <w:tab w:val="clear" w:pos="8306"/>
      </w:tabs>
      <w:ind w:right="9917"/>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E5A64">
    <w:pPr>
      <w:pStyle w:val="1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B4E37">
    <w:pPr>
      <w:spacing w:before="21" w:line="76"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A42E7">
    <w:pPr>
      <w:spacing w:before="21" w:line="76"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8316E">
    <w:pPr>
      <w:spacing w:before="21" w:line="76"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047AEA"/>
    <w:multiLevelType w:val="singleLevel"/>
    <w:tmpl w:val="DB047AEA"/>
    <w:lvl w:ilvl="0" w:tentative="0">
      <w:start w:val="1"/>
      <w:numFmt w:val="decimal"/>
      <w:suff w:val="nothing"/>
      <w:lvlText w:val="%1、"/>
      <w:lvlJc w:val="left"/>
    </w:lvl>
  </w:abstractNum>
  <w:abstractNum w:abstractNumId="1">
    <w:nsid w:val="F8D3B60B"/>
    <w:multiLevelType w:val="singleLevel"/>
    <w:tmpl w:val="F8D3B60B"/>
    <w:lvl w:ilvl="0" w:tentative="0">
      <w:start w:val="4"/>
      <w:numFmt w:val="chineseCounting"/>
      <w:suff w:val="nothing"/>
      <w:lvlText w:val="%1、"/>
      <w:lvlJc w:val="left"/>
      <w:rPr>
        <w:rFonts w:hint="eastAsia"/>
      </w:rPr>
    </w:lvl>
  </w:abstractNum>
  <w:abstractNum w:abstractNumId="2">
    <w:nsid w:val="0000000F"/>
    <w:multiLevelType w:val="multilevel"/>
    <w:tmpl w:val="0000000F"/>
    <w:lvl w:ilvl="0" w:tentative="0">
      <w:start w:val="1"/>
      <w:numFmt w:val="decimal"/>
      <w:pStyle w:val="45"/>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6F9476D"/>
    <w:multiLevelType w:val="singleLevel"/>
    <w:tmpl w:val="06F9476D"/>
    <w:lvl w:ilvl="0" w:tentative="0">
      <w:start w:val="1"/>
      <w:numFmt w:val="decimal"/>
      <w:lvlText w:val="%1."/>
      <w:lvlJc w:val="left"/>
      <w:pPr>
        <w:tabs>
          <w:tab w:val="left" w:pos="312"/>
        </w:tabs>
      </w:pPr>
    </w:lvl>
  </w:abstractNum>
  <w:abstractNum w:abstractNumId="4">
    <w:nsid w:val="57F8DF82"/>
    <w:multiLevelType w:val="singleLevel"/>
    <w:tmpl w:val="57F8DF82"/>
    <w:lvl w:ilvl="0" w:tentative="0">
      <w:start w:val="1"/>
      <w:numFmt w:val="chineseCounting"/>
      <w:suff w:val="space"/>
      <w:lvlText w:val="第%1章"/>
      <w:lvlJc w:val="left"/>
    </w:lvl>
  </w:abstractNum>
  <w:abstractNum w:abstractNumId="5">
    <w:nsid w:val="77303788"/>
    <w:multiLevelType w:val="multilevel"/>
    <w:tmpl w:val="77303788"/>
    <w:lvl w:ilvl="0" w:tentative="0">
      <w:start w:val="1"/>
      <w:numFmt w:val="decimal"/>
      <w:lvlText w:val="第%1章"/>
      <w:lvlJc w:val="left"/>
      <w:pPr>
        <w:tabs>
          <w:tab w:val="left" w:pos="3060"/>
        </w:tabs>
        <w:ind w:left="3060" w:hanging="1260"/>
      </w:pPr>
      <w:rPr>
        <w:rFonts w:hint="eastAsia"/>
      </w:rPr>
    </w:lvl>
    <w:lvl w:ilvl="1" w:tentative="0">
      <w:start w:val="1"/>
      <w:numFmt w:val="chineseCountingThousand"/>
      <w:lvlText w:val="第%2章 "/>
      <w:lvlJc w:val="left"/>
      <w:pPr>
        <w:tabs>
          <w:tab w:val="left" w:pos="5410"/>
        </w:tabs>
        <w:ind w:left="4390" w:hanging="420"/>
      </w:pPr>
      <w:rPr>
        <w:rFonts w:hint="eastAsia"/>
      </w:rPr>
    </w:lvl>
    <w:lvl w:ilvl="2" w:tentative="0">
      <w:start w:val="1"/>
      <w:numFmt w:val="decimal"/>
      <w:lvlText w:val="(%3)"/>
      <w:lvlJc w:val="left"/>
      <w:pPr>
        <w:tabs>
          <w:tab w:val="left" w:pos="1485"/>
        </w:tabs>
        <w:ind w:left="1485" w:hanging="360"/>
      </w:pPr>
      <w:rPr>
        <w:rFonts w:hint="eastAsia"/>
        <w:b w:val="0"/>
      </w:rPr>
    </w:lvl>
    <w:lvl w:ilvl="3" w:tentative="0">
      <w:start w:val="1"/>
      <w:numFmt w:val="decimal"/>
      <w:lvlText w:val="%4、"/>
      <w:lvlJc w:val="left"/>
      <w:pPr>
        <w:tabs>
          <w:tab w:val="left" w:pos="2062"/>
        </w:tabs>
        <w:ind w:left="2062" w:hanging="360"/>
      </w:pPr>
      <w:rPr>
        <w:rFonts w:hint="eastAsia"/>
      </w:rPr>
    </w:lvl>
    <w:lvl w:ilvl="4" w:tentative="0">
      <w:start w:val="1"/>
      <w:numFmt w:val="lowerLetter"/>
      <w:lvlText w:val="%5)"/>
      <w:lvlJc w:val="left"/>
      <w:pPr>
        <w:tabs>
          <w:tab w:val="left" w:pos="2385"/>
        </w:tabs>
        <w:ind w:left="2385" w:hanging="420"/>
      </w:pPr>
      <w:rPr>
        <w:rFonts w:hint="eastAsia"/>
      </w:rPr>
    </w:lvl>
    <w:lvl w:ilvl="5" w:tentative="0">
      <w:start w:val="1"/>
      <w:numFmt w:val="lowerRoman"/>
      <w:lvlText w:val="%6."/>
      <w:lvlJc w:val="right"/>
      <w:pPr>
        <w:tabs>
          <w:tab w:val="left" w:pos="2805"/>
        </w:tabs>
        <w:ind w:left="2805" w:hanging="420"/>
      </w:pPr>
      <w:rPr>
        <w:rFonts w:hint="eastAsia"/>
      </w:rPr>
    </w:lvl>
    <w:lvl w:ilvl="6" w:tentative="0">
      <w:start w:val="1"/>
      <w:numFmt w:val="decimal"/>
      <w:lvlText w:val="%7."/>
      <w:lvlJc w:val="left"/>
      <w:pPr>
        <w:tabs>
          <w:tab w:val="left" w:pos="3225"/>
        </w:tabs>
        <w:ind w:left="3225" w:hanging="420"/>
      </w:pPr>
      <w:rPr>
        <w:rFonts w:hint="eastAsia"/>
      </w:rPr>
    </w:lvl>
    <w:lvl w:ilvl="7" w:tentative="0">
      <w:start w:val="1"/>
      <w:numFmt w:val="lowerLetter"/>
      <w:lvlText w:val="%8)"/>
      <w:lvlJc w:val="left"/>
      <w:pPr>
        <w:tabs>
          <w:tab w:val="left" w:pos="3645"/>
        </w:tabs>
        <w:ind w:left="3645" w:hanging="420"/>
      </w:pPr>
      <w:rPr>
        <w:rFonts w:hint="eastAsia"/>
      </w:rPr>
    </w:lvl>
    <w:lvl w:ilvl="8" w:tentative="0">
      <w:start w:val="1"/>
      <w:numFmt w:val="lowerRoman"/>
      <w:lvlText w:val="%9."/>
      <w:lvlJc w:val="right"/>
      <w:pPr>
        <w:tabs>
          <w:tab w:val="left" w:pos="4065"/>
        </w:tabs>
        <w:ind w:left="4065" w:hanging="420"/>
      </w:pPr>
      <w:rPr>
        <w:rFonts w:hint="eastAsia"/>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iMzRlZmE5M2M0YWE5ZTA3MTI3OWJiZDAwMmI5YWYifQ=="/>
  </w:docVars>
  <w:rsids>
    <w:rsidRoot w:val="73043F04"/>
    <w:rsid w:val="00047F56"/>
    <w:rsid w:val="004A1E70"/>
    <w:rsid w:val="00DC7C1D"/>
    <w:rsid w:val="01334DBA"/>
    <w:rsid w:val="01527EDF"/>
    <w:rsid w:val="01981D96"/>
    <w:rsid w:val="01AB42B5"/>
    <w:rsid w:val="01DB1C83"/>
    <w:rsid w:val="01F3521E"/>
    <w:rsid w:val="01F45FBB"/>
    <w:rsid w:val="021F7472"/>
    <w:rsid w:val="025A16D1"/>
    <w:rsid w:val="025C2867"/>
    <w:rsid w:val="027D71DE"/>
    <w:rsid w:val="0288009A"/>
    <w:rsid w:val="028F590D"/>
    <w:rsid w:val="02E1151B"/>
    <w:rsid w:val="030D030F"/>
    <w:rsid w:val="0314369E"/>
    <w:rsid w:val="031B2270"/>
    <w:rsid w:val="03393105"/>
    <w:rsid w:val="039B5B6E"/>
    <w:rsid w:val="039F0875"/>
    <w:rsid w:val="03BE1F1F"/>
    <w:rsid w:val="03DE5DE4"/>
    <w:rsid w:val="049F1C4E"/>
    <w:rsid w:val="04C11604"/>
    <w:rsid w:val="05065269"/>
    <w:rsid w:val="0543026B"/>
    <w:rsid w:val="058D65B3"/>
    <w:rsid w:val="064D7720"/>
    <w:rsid w:val="074C448E"/>
    <w:rsid w:val="07685043"/>
    <w:rsid w:val="083D3319"/>
    <w:rsid w:val="08B82D1E"/>
    <w:rsid w:val="08E41D65"/>
    <w:rsid w:val="09016473"/>
    <w:rsid w:val="095E38C5"/>
    <w:rsid w:val="095F763D"/>
    <w:rsid w:val="097E3F67"/>
    <w:rsid w:val="098A290C"/>
    <w:rsid w:val="0A2B422F"/>
    <w:rsid w:val="0A34590C"/>
    <w:rsid w:val="0A590531"/>
    <w:rsid w:val="0A726EFC"/>
    <w:rsid w:val="0AB15C77"/>
    <w:rsid w:val="0AC37758"/>
    <w:rsid w:val="0AD57BB7"/>
    <w:rsid w:val="0AFE7E14"/>
    <w:rsid w:val="0B034CBA"/>
    <w:rsid w:val="0B462D36"/>
    <w:rsid w:val="0BC241ED"/>
    <w:rsid w:val="0BDE7619"/>
    <w:rsid w:val="0C13553C"/>
    <w:rsid w:val="0C25415B"/>
    <w:rsid w:val="0C2B2AE6"/>
    <w:rsid w:val="0C491161"/>
    <w:rsid w:val="0C6C6688"/>
    <w:rsid w:val="0C71026A"/>
    <w:rsid w:val="0C7E39F6"/>
    <w:rsid w:val="0CF167FE"/>
    <w:rsid w:val="0D0007F1"/>
    <w:rsid w:val="0D0061F7"/>
    <w:rsid w:val="0D0517F5"/>
    <w:rsid w:val="0D2E1801"/>
    <w:rsid w:val="0D634A19"/>
    <w:rsid w:val="0D6B4803"/>
    <w:rsid w:val="0DFE7425"/>
    <w:rsid w:val="0E0334AE"/>
    <w:rsid w:val="0E370248"/>
    <w:rsid w:val="0E394F38"/>
    <w:rsid w:val="0E5253B3"/>
    <w:rsid w:val="0E7476E7"/>
    <w:rsid w:val="0E7E2314"/>
    <w:rsid w:val="0EB14497"/>
    <w:rsid w:val="0EB46916"/>
    <w:rsid w:val="0EFD592E"/>
    <w:rsid w:val="0F96744E"/>
    <w:rsid w:val="0FEC489C"/>
    <w:rsid w:val="100E0BB9"/>
    <w:rsid w:val="10C5422A"/>
    <w:rsid w:val="116869B5"/>
    <w:rsid w:val="11F0177A"/>
    <w:rsid w:val="120945EA"/>
    <w:rsid w:val="1234702B"/>
    <w:rsid w:val="12743A81"/>
    <w:rsid w:val="1299596E"/>
    <w:rsid w:val="13631AD8"/>
    <w:rsid w:val="138A3509"/>
    <w:rsid w:val="14492FC5"/>
    <w:rsid w:val="148937C0"/>
    <w:rsid w:val="151237B6"/>
    <w:rsid w:val="1574685F"/>
    <w:rsid w:val="15B8435D"/>
    <w:rsid w:val="161A6DC6"/>
    <w:rsid w:val="16C1295D"/>
    <w:rsid w:val="16C263D8"/>
    <w:rsid w:val="16C44F84"/>
    <w:rsid w:val="16D63DD3"/>
    <w:rsid w:val="16E318AE"/>
    <w:rsid w:val="17D64F6F"/>
    <w:rsid w:val="17DF02C7"/>
    <w:rsid w:val="18025D64"/>
    <w:rsid w:val="18330C72"/>
    <w:rsid w:val="187529D9"/>
    <w:rsid w:val="18820C92"/>
    <w:rsid w:val="188E513C"/>
    <w:rsid w:val="189D27A6"/>
    <w:rsid w:val="18C63235"/>
    <w:rsid w:val="1910625E"/>
    <w:rsid w:val="196547FC"/>
    <w:rsid w:val="196565AA"/>
    <w:rsid w:val="197902A7"/>
    <w:rsid w:val="1981715C"/>
    <w:rsid w:val="19B412DF"/>
    <w:rsid w:val="19DE635C"/>
    <w:rsid w:val="19DF78EB"/>
    <w:rsid w:val="19DF7A68"/>
    <w:rsid w:val="19E5699B"/>
    <w:rsid w:val="1A705206"/>
    <w:rsid w:val="1A8717FA"/>
    <w:rsid w:val="1AC457C1"/>
    <w:rsid w:val="1B114760"/>
    <w:rsid w:val="1B6635E4"/>
    <w:rsid w:val="1B8C0323"/>
    <w:rsid w:val="1C0C74DD"/>
    <w:rsid w:val="1C1815F1"/>
    <w:rsid w:val="1C1E75AD"/>
    <w:rsid w:val="1C2A3ADB"/>
    <w:rsid w:val="1C36141C"/>
    <w:rsid w:val="1C4E77C9"/>
    <w:rsid w:val="1CB35660"/>
    <w:rsid w:val="1CB82F98"/>
    <w:rsid w:val="1CF679F8"/>
    <w:rsid w:val="1D6B43AB"/>
    <w:rsid w:val="1D6D3C7F"/>
    <w:rsid w:val="1D7274E7"/>
    <w:rsid w:val="1DA9587F"/>
    <w:rsid w:val="1DE11A32"/>
    <w:rsid w:val="1E002D45"/>
    <w:rsid w:val="1EEE3B4E"/>
    <w:rsid w:val="1EF66B10"/>
    <w:rsid w:val="1F354FC8"/>
    <w:rsid w:val="1F3F1D34"/>
    <w:rsid w:val="1F6B41EE"/>
    <w:rsid w:val="1F9D55DF"/>
    <w:rsid w:val="1FAF4A23"/>
    <w:rsid w:val="1FCA360B"/>
    <w:rsid w:val="200A7EAB"/>
    <w:rsid w:val="20CF7019"/>
    <w:rsid w:val="20DA0BF2"/>
    <w:rsid w:val="20F052F3"/>
    <w:rsid w:val="2110329F"/>
    <w:rsid w:val="212935C1"/>
    <w:rsid w:val="21323EAA"/>
    <w:rsid w:val="21914E23"/>
    <w:rsid w:val="21A2172C"/>
    <w:rsid w:val="21F77FBB"/>
    <w:rsid w:val="22460F43"/>
    <w:rsid w:val="22AC349C"/>
    <w:rsid w:val="22AE332E"/>
    <w:rsid w:val="22C95DFC"/>
    <w:rsid w:val="22DC0A1F"/>
    <w:rsid w:val="23311535"/>
    <w:rsid w:val="239F6B5C"/>
    <w:rsid w:val="23CB03C2"/>
    <w:rsid w:val="23D30BAB"/>
    <w:rsid w:val="23E66539"/>
    <w:rsid w:val="241237D2"/>
    <w:rsid w:val="244119C2"/>
    <w:rsid w:val="24A4022F"/>
    <w:rsid w:val="24FC55E9"/>
    <w:rsid w:val="25253091"/>
    <w:rsid w:val="255F2A47"/>
    <w:rsid w:val="25870E2E"/>
    <w:rsid w:val="25B66E03"/>
    <w:rsid w:val="25D55A37"/>
    <w:rsid w:val="2639590B"/>
    <w:rsid w:val="267A740D"/>
    <w:rsid w:val="26964247"/>
    <w:rsid w:val="26CA0394"/>
    <w:rsid w:val="26F31699"/>
    <w:rsid w:val="26FB054E"/>
    <w:rsid w:val="27602AA7"/>
    <w:rsid w:val="27F87689"/>
    <w:rsid w:val="28583D0D"/>
    <w:rsid w:val="286966F0"/>
    <w:rsid w:val="288A7DDB"/>
    <w:rsid w:val="28B05368"/>
    <w:rsid w:val="28C332ED"/>
    <w:rsid w:val="28D01566"/>
    <w:rsid w:val="29253E38"/>
    <w:rsid w:val="294934E1"/>
    <w:rsid w:val="298B7E31"/>
    <w:rsid w:val="299B2C5B"/>
    <w:rsid w:val="2A1D6A2D"/>
    <w:rsid w:val="2A500BB0"/>
    <w:rsid w:val="2A654D71"/>
    <w:rsid w:val="2A8B6DDD"/>
    <w:rsid w:val="2AE67194"/>
    <w:rsid w:val="2AFC2AE6"/>
    <w:rsid w:val="2B4B0F2E"/>
    <w:rsid w:val="2B4D2D54"/>
    <w:rsid w:val="2B542978"/>
    <w:rsid w:val="2B8B0802"/>
    <w:rsid w:val="2B9F33B7"/>
    <w:rsid w:val="2C487BB6"/>
    <w:rsid w:val="2C9254B0"/>
    <w:rsid w:val="2D253883"/>
    <w:rsid w:val="2D7CD6B8"/>
    <w:rsid w:val="2D9338A1"/>
    <w:rsid w:val="2DB25481"/>
    <w:rsid w:val="2E354194"/>
    <w:rsid w:val="2E380B85"/>
    <w:rsid w:val="2E6C1D31"/>
    <w:rsid w:val="2E8E614B"/>
    <w:rsid w:val="2EB2197F"/>
    <w:rsid w:val="2EEB70FA"/>
    <w:rsid w:val="2EEF14B5"/>
    <w:rsid w:val="2EF4306A"/>
    <w:rsid w:val="2F0106CB"/>
    <w:rsid w:val="2F4245AA"/>
    <w:rsid w:val="2F5729E1"/>
    <w:rsid w:val="2F7D6C8C"/>
    <w:rsid w:val="2F8110B2"/>
    <w:rsid w:val="2F866CC6"/>
    <w:rsid w:val="2FA23C5C"/>
    <w:rsid w:val="30222700"/>
    <w:rsid w:val="304B42F4"/>
    <w:rsid w:val="309A6C2A"/>
    <w:rsid w:val="309F0AA3"/>
    <w:rsid w:val="30B71989"/>
    <w:rsid w:val="30ED53AB"/>
    <w:rsid w:val="31427DE9"/>
    <w:rsid w:val="318059EC"/>
    <w:rsid w:val="31DB16A7"/>
    <w:rsid w:val="3228737A"/>
    <w:rsid w:val="32A12A53"/>
    <w:rsid w:val="3322153D"/>
    <w:rsid w:val="33421FB2"/>
    <w:rsid w:val="33DB773D"/>
    <w:rsid w:val="33FB7DDF"/>
    <w:rsid w:val="3451531E"/>
    <w:rsid w:val="346A3393"/>
    <w:rsid w:val="346A6C0D"/>
    <w:rsid w:val="34756D7D"/>
    <w:rsid w:val="347F27BE"/>
    <w:rsid w:val="3491376E"/>
    <w:rsid w:val="34A102AB"/>
    <w:rsid w:val="34F470B1"/>
    <w:rsid w:val="35061640"/>
    <w:rsid w:val="3544296F"/>
    <w:rsid w:val="358A32CD"/>
    <w:rsid w:val="35C71F1B"/>
    <w:rsid w:val="35DB22CF"/>
    <w:rsid w:val="35EA1144"/>
    <w:rsid w:val="36160EF2"/>
    <w:rsid w:val="36274EBB"/>
    <w:rsid w:val="366A0E18"/>
    <w:rsid w:val="369D679E"/>
    <w:rsid w:val="37215DAE"/>
    <w:rsid w:val="372F2F1C"/>
    <w:rsid w:val="37403D5B"/>
    <w:rsid w:val="379876F3"/>
    <w:rsid w:val="380745A5"/>
    <w:rsid w:val="381C5B77"/>
    <w:rsid w:val="38455ACD"/>
    <w:rsid w:val="38616DD9"/>
    <w:rsid w:val="38DC7C84"/>
    <w:rsid w:val="38EF5A38"/>
    <w:rsid w:val="390037A2"/>
    <w:rsid w:val="390B0AC4"/>
    <w:rsid w:val="39691347"/>
    <w:rsid w:val="39756E28"/>
    <w:rsid w:val="39D4535A"/>
    <w:rsid w:val="3AC54CA3"/>
    <w:rsid w:val="3AC86541"/>
    <w:rsid w:val="3ADE3E5D"/>
    <w:rsid w:val="3AE67426"/>
    <w:rsid w:val="3B0E03F7"/>
    <w:rsid w:val="3B5A363D"/>
    <w:rsid w:val="3BA743A8"/>
    <w:rsid w:val="3BC913F2"/>
    <w:rsid w:val="3C0E4427"/>
    <w:rsid w:val="3C2A3F6A"/>
    <w:rsid w:val="3CA01523"/>
    <w:rsid w:val="3CAA23A2"/>
    <w:rsid w:val="3CB2620D"/>
    <w:rsid w:val="3D4C3459"/>
    <w:rsid w:val="3E0E4BB3"/>
    <w:rsid w:val="3E135D25"/>
    <w:rsid w:val="3E466EA7"/>
    <w:rsid w:val="3E8A248B"/>
    <w:rsid w:val="3EB87A49"/>
    <w:rsid w:val="3F3643C1"/>
    <w:rsid w:val="3F6E3B5B"/>
    <w:rsid w:val="3F9335C1"/>
    <w:rsid w:val="3FA15684"/>
    <w:rsid w:val="3FAE21A9"/>
    <w:rsid w:val="3FD57736"/>
    <w:rsid w:val="3FE97B45"/>
    <w:rsid w:val="40096808"/>
    <w:rsid w:val="40510CD6"/>
    <w:rsid w:val="408053CA"/>
    <w:rsid w:val="40811FBA"/>
    <w:rsid w:val="40A1586A"/>
    <w:rsid w:val="40B14030"/>
    <w:rsid w:val="40E51BFB"/>
    <w:rsid w:val="4193231D"/>
    <w:rsid w:val="41986C6D"/>
    <w:rsid w:val="41D63C39"/>
    <w:rsid w:val="41F63994"/>
    <w:rsid w:val="424620FB"/>
    <w:rsid w:val="42486CDF"/>
    <w:rsid w:val="42642972"/>
    <w:rsid w:val="427B64E3"/>
    <w:rsid w:val="42815953"/>
    <w:rsid w:val="42975177"/>
    <w:rsid w:val="42B03FC9"/>
    <w:rsid w:val="42D404A5"/>
    <w:rsid w:val="42E26BEB"/>
    <w:rsid w:val="437E6337"/>
    <w:rsid w:val="43A01E09"/>
    <w:rsid w:val="43D900EB"/>
    <w:rsid w:val="44064AC4"/>
    <w:rsid w:val="44264157"/>
    <w:rsid w:val="447876B9"/>
    <w:rsid w:val="44815CE3"/>
    <w:rsid w:val="44D75CFE"/>
    <w:rsid w:val="45442347"/>
    <w:rsid w:val="454B3DD8"/>
    <w:rsid w:val="45873581"/>
    <w:rsid w:val="45BB5620"/>
    <w:rsid w:val="464556BD"/>
    <w:rsid w:val="467F664E"/>
    <w:rsid w:val="46A63BDA"/>
    <w:rsid w:val="472844BA"/>
    <w:rsid w:val="47394A4E"/>
    <w:rsid w:val="47B777FA"/>
    <w:rsid w:val="47C57917"/>
    <w:rsid w:val="47D429C9"/>
    <w:rsid w:val="47DC48D8"/>
    <w:rsid w:val="48050DD4"/>
    <w:rsid w:val="48073451"/>
    <w:rsid w:val="48335942"/>
    <w:rsid w:val="484106AC"/>
    <w:rsid w:val="48753959"/>
    <w:rsid w:val="490966A2"/>
    <w:rsid w:val="49315BA3"/>
    <w:rsid w:val="49555444"/>
    <w:rsid w:val="49BA52D4"/>
    <w:rsid w:val="49EB3779"/>
    <w:rsid w:val="4A0155CC"/>
    <w:rsid w:val="4A265BF7"/>
    <w:rsid w:val="4A6729F7"/>
    <w:rsid w:val="4A6D0359"/>
    <w:rsid w:val="4ACB00B3"/>
    <w:rsid w:val="4AE53583"/>
    <w:rsid w:val="4AEB42B2"/>
    <w:rsid w:val="4B0E650B"/>
    <w:rsid w:val="4B3B2C1B"/>
    <w:rsid w:val="4B447E66"/>
    <w:rsid w:val="4B6642D2"/>
    <w:rsid w:val="4B9B1571"/>
    <w:rsid w:val="4BB07669"/>
    <w:rsid w:val="4BB9615E"/>
    <w:rsid w:val="4BFB6776"/>
    <w:rsid w:val="4BFC24EE"/>
    <w:rsid w:val="4C1B2032"/>
    <w:rsid w:val="4C4105CF"/>
    <w:rsid w:val="4C4E0DDC"/>
    <w:rsid w:val="4C59349D"/>
    <w:rsid w:val="4C9412BB"/>
    <w:rsid w:val="4D044AE5"/>
    <w:rsid w:val="4D5325E2"/>
    <w:rsid w:val="4DDC52F3"/>
    <w:rsid w:val="4DFE06B2"/>
    <w:rsid w:val="4E21448E"/>
    <w:rsid w:val="4E360841"/>
    <w:rsid w:val="4E372E33"/>
    <w:rsid w:val="4E487C6D"/>
    <w:rsid w:val="4E7607F1"/>
    <w:rsid w:val="4E9764FE"/>
    <w:rsid w:val="4EE2069C"/>
    <w:rsid w:val="4F0127D6"/>
    <w:rsid w:val="4F1E48E5"/>
    <w:rsid w:val="4FC96D47"/>
    <w:rsid w:val="4FF97471"/>
    <w:rsid w:val="501C3A12"/>
    <w:rsid w:val="506643DA"/>
    <w:rsid w:val="50BC6D19"/>
    <w:rsid w:val="50C35389"/>
    <w:rsid w:val="50DE5F67"/>
    <w:rsid w:val="517719EF"/>
    <w:rsid w:val="51A96C75"/>
    <w:rsid w:val="522022B5"/>
    <w:rsid w:val="522B3A0C"/>
    <w:rsid w:val="5272350A"/>
    <w:rsid w:val="52C8137C"/>
    <w:rsid w:val="52E31F77"/>
    <w:rsid w:val="53B91B3A"/>
    <w:rsid w:val="53FB4F29"/>
    <w:rsid w:val="5435659E"/>
    <w:rsid w:val="54752E3E"/>
    <w:rsid w:val="54B723CC"/>
    <w:rsid w:val="54B75204"/>
    <w:rsid w:val="54D67D81"/>
    <w:rsid w:val="54E17ACE"/>
    <w:rsid w:val="54F5788D"/>
    <w:rsid w:val="54FB14A2"/>
    <w:rsid w:val="55057688"/>
    <w:rsid w:val="554D7917"/>
    <w:rsid w:val="5550664E"/>
    <w:rsid w:val="5557523D"/>
    <w:rsid w:val="55833605"/>
    <w:rsid w:val="558A2919"/>
    <w:rsid w:val="55AA60DF"/>
    <w:rsid w:val="55AC7554"/>
    <w:rsid w:val="569F12FA"/>
    <w:rsid w:val="56C20BE3"/>
    <w:rsid w:val="56F664B8"/>
    <w:rsid w:val="57482A8C"/>
    <w:rsid w:val="57746636"/>
    <w:rsid w:val="57A35F14"/>
    <w:rsid w:val="57B222B1"/>
    <w:rsid w:val="57CC546B"/>
    <w:rsid w:val="57E05667"/>
    <w:rsid w:val="596A6CE9"/>
    <w:rsid w:val="597D4C6F"/>
    <w:rsid w:val="5A5543CE"/>
    <w:rsid w:val="5AFE3B8D"/>
    <w:rsid w:val="5B1433B1"/>
    <w:rsid w:val="5B63716B"/>
    <w:rsid w:val="5B6E1A16"/>
    <w:rsid w:val="5BA04C44"/>
    <w:rsid w:val="5BB21C63"/>
    <w:rsid w:val="5BE014E5"/>
    <w:rsid w:val="5BE3631D"/>
    <w:rsid w:val="5BE508A9"/>
    <w:rsid w:val="5C0E2C3B"/>
    <w:rsid w:val="5C2138BE"/>
    <w:rsid w:val="5C2515ED"/>
    <w:rsid w:val="5C4F0418"/>
    <w:rsid w:val="5C8E3027"/>
    <w:rsid w:val="5D0C00B7"/>
    <w:rsid w:val="5DE057CC"/>
    <w:rsid w:val="5E36363E"/>
    <w:rsid w:val="5E457D25"/>
    <w:rsid w:val="5E830E19"/>
    <w:rsid w:val="5EBB66D0"/>
    <w:rsid w:val="5EBB7FE7"/>
    <w:rsid w:val="5EC1211C"/>
    <w:rsid w:val="5ED93E8E"/>
    <w:rsid w:val="5EEB4428"/>
    <w:rsid w:val="5F150845"/>
    <w:rsid w:val="5F5F4E16"/>
    <w:rsid w:val="5FAF3D2D"/>
    <w:rsid w:val="5FB23198"/>
    <w:rsid w:val="5FB863A2"/>
    <w:rsid w:val="5FD70E51"/>
    <w:rsid w:val="5FD87405"/>
    <w:rsid w:val="5FED7D81"/>
    <w:rsid w:val="6051475F"/>
    <w:rsid w:val="60591866"/>
    <w:rsid w:val="60791F08"/>
    <w:rsid w:val="60DF1F92"/>
    <w:rsid w:val="60DF4DDA"/>
    <w:rsid w:val="60EC26DA"/>
    <w:rsid w:val="6126799A"/>
    <w:rsid w:val="617167E5"/>
    <w:rsid w:val="61750B52"/>
    <w:rsid w:val="617973DD"/>
    <w:rsid w:val="618C7D93"/>
    <w:rsid w:val="61B01959"/>
    <w:rsid w:val="61F23D20"/>
    <w:rsid w:val="61F44167"/>
    <w:rsid w:val="623A6A84"/>
    <w:rsid w:val="62C20114"/>
    <w:rsid w:val="62D376AD"/>
    <w:rsid w:val="63927568"/>
    <w:rsid w:val="63CC1360"/>
    <w:rsid w:val="63D556A7"/>
    <w:rsid w:val="63DD36F2"/>
    <w:rsid w:val="645879BB"/>
    <w:rsid w:val="64713622"/>
    <w:rsid w:val="64754CBD"/>
    <w:rsid w:val="647F5C5E"/>
    <w:rsid w:val="64A34499"/>
    <w:rsid w:val="64D70FAB"/>
    <w:rsid w:val="65112C9F"/>
    <w:rsid w:val="657C355B"/>
    <w:rsid w:val="65A215B9"/>
    <w:rsid w:val="65C717C5"/>
    <w:rsid w:val="65DA6FA5"/>
    <w:rsid w:val="660F10B3"/>
    <w:rsid w:val="66957455"/>
    <w:rsid w:val="67564D51"/>
    <w:rsid w:val="677E7B44"/>
    <w:rsid w:val="679338AF"/>
    <w:rsid w:val="67BB3B59"/>
    <w:rsid w:val="67DC109F"/>
    <w:rsid w:val="67EB3250"/>
    <w:rsid w:val="68011A87"/>
    <w:rsid w:val="68796C5E"/>
    <w:rsid w:val="68E85E7D"/>
    <w:rsid w:val="690B2100"/>
    <w:rsid w:val="6922138F"/>
    <w:rsid w:val="693E784B"/>
    <w:rsid w:val="6942733B"/>
    <w:rsid w:val="69805C96"/>
    <w:rsid w:val="699D2428"/>
    <w:rsid w:val="69A10C49"/>
    <w:rsid w:val="69B817AA"/>
    <w:rsid w:val="69C064B2"/>
    <w:rsid w:val="6A1A3E14"/>
    <w:rsid w:val="6A995680"/>
    <w:rsid w:val="6AC12A76"/>
    <w:rsid w:val="6AE3506D"/>
    <w:rsid w:val="6B0F76F1"/>
    <w:rsid w:val="6B43739A"/>
    <w:rsid w:val="6B4F5D3F"/>
    <w:rsid w:val="6B581098"/>
    <w:rsid w:val="6BB81B36"/>
    <w:rsid w:val="6C0528A2"/>
    <w:rsid w:val="6C3D278A"/>
    <w:rsid w:val="6C3D64DF"/>
    <w:rsid w:val="6C7A4419"/>
    <w:rsid w:val="6CE453A5"/>
    <w:rsid w:val="6D3671B7"/>
    <w:rsid w:val="6D7777CF"/>
    <w:rsid w:val="6D7C0AB9"/>
    <w:rsid w:val="6DD93FE6"/>
    <w:rsid w:val="6DE44E65"/>
    <w:rsid w:val="6DE60F2E"/>
    <w:rsid w:val="6DED135C"/>
    <w:rsid w:val="6E2B64EF"/>
    <w:rsid w:val="6E3A2CD6"/>
    <w:rsid w:val="6E92162A"/>
    <w:rsid w:val="6EBA5747"/>
    <w:rsid w:val="6EBB0BBA"/>
    <w:rsid w:val="6EFF6FDB"/>
    <w:rsid w:val="6EFF7A7C"/>
    <w:rsid w:val="6F383B72"/>
    <w:rsid w:val="6F634103"/>
    <w:rsid w:val="6FEC7EC8"/>
    <w:rsid w:val="6FF46241"/>
    <w:rsid w:val="700E61C9"/>
    <w:rsid w:val="7030591F"/>
    <w:rsid w:val="70730722"/>
    <w:rsid w:val="70757FF6"/>
    <w:rsid w:val="70782B05"/>
    <w:rsid w:val="70DD5B9B"/>
    <w:rsid w:val="70F353BF"/>
    <w:rsid w:val="71317458"/>
    <w:rsid w:val="71820EF5"/>
    <w:rsid w:val="71950224"/>
    <w:rsid w:val="71A64E1C"/>
    <w:rsid w:val="72177E12"/>
    <w:rsid w:val="7232250B"/>
    <w:rsid w:val="72F84F0E"/>
    <w:rsid w:val="72FE56F0"/>
    <w:rsid w:val="73043F04"/>
    <w:rsid w:val="73216213"/>
    <w:rsid w:val="73236F4C"/>
    <w:rsid w:val="73424E40"/>
    <w:rsid w:val="734E60D6"/>
    <w:rsid w:val="73507BCC"/>
    <w:rsid w:val="735A654E"/>
    <w:rsid w:val="737E2AB0"/>
    <w:rsid w:val="73D41540"/>
    <w:rsid w:val="73D47729"/>
    <w:rsid w:val="740E3ADC"/>
    <w:rsid w:val="742E38E8"/>
    <w:rsid w:val="74485A21"/>
    <w:rsid w:val="748D1686"/>
    <w:rsid w:val="751344DF"/>
    <w:rsid w:val="75F50835"/>
    <w:rsid w:val="764612B4"/>
    <w:rsid w:val="764C7A4B"/>
    <w:rsid w:val="76E51E17"/>
    <w:rsid w:val="76FE0A2E"/>
    <w:rsid w:val="77407E24"/>
    <w:rsid w:val="776B3F01"/>
    <w:rsid w:val="77BB3AC3"/>
    <w:rsid w:val="77DE1AD1"/>
    <w:rsid w:val="780A52E1"/>
    <w:rsid w:val="782C3C84"/>
    <w:rsid w:val="78511348"/>
    <w:rsid w:val="785A744C"/>
    <w:rsid w:val="78A91184"/>
    <w:rsid w:val="78BE4153"/>
    <w:rsid w:val="78D05504"/>
    <w:rsid w:val="79964022"/>
    <w:rsid w:val="7A08012D"/>
    <w:rsid w:val="7A560E98"/>
    <w:rsid w:val="7A6C06BC"/>
    <w:rsid w:val="7AFA50A8"/>
    <w:rsid w:val="7B1D7E1E"/>
    <w:rsid w:val="7B2D37ED"/>
    <w:rsid w:val="7B472CC6"/>
    <w:rsid w:val="7B5C2AB9"/>
    <w:rsid w:val="7B9A2223"/>
    <w:rsid w:val="7BBD4F47"/>
    <w:rsid w:val="7BFA1CF7"/>
    <w:rsid w:val="7C042B76"/>
    <w:rsid w:val="7C320E22"/>
    <w:rsid w:val="7C88297F"/>
    <w:rsid w:val="7C914409"/>
    <w:rsid w:val="7C991510"/>
    <w:rsid w:val="7CC270BB"/>
    <w:rsid w:val="7CCF4F32"/>
    <w:rsid w:val="7CDC7F18"/>
    <w:rsid w:val="7D07647A"/>
    <w:rsid w:val="7D511E64"/>
    <w:rsid w:val="7D831878"/>
    <w:rsid w:val="7E357016"/>
    <w:rsid w:val="7E374B3D"/>
    <w:rsid w:val="7E437015"/>
    <w:rsid w:val="7E6960ED"/>
    <w:rsid w:val="7E6B6D1F"/>
    <w:rsid w:val="7F5B2AAD"/>
    <w:rsid w:val="7F7E5AC0"/>
    <w:rsid w:val="7F8A15E4"/>
    <w:rsid w:val="7F8E2E82"/>
    <w:rsid w:val="7F9D2967"/>
    <w:rsid w:val="7FA3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67"/>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paragraph" w:styleId="6">
    <w:name w:val="heading 4"/>
    <w:basedOn w:val="1"/>
    <w:next w:val="1"/>
    <w:qFormat/>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360" w:lineRule="auto"/>
      <w:ind w:left="1140"/>
    </w:pPr>
    <w:rPr>
      <w:rFonts w:ascii="宋体" w:hAnsi="宋体"/>
      <w:kern w:val="1"/>
      <w:sz w:val="24"/>
    </w:rPr>
  </w:style>
  <w:style w:type="paragraph" w:styleId="7">
    <w:name w:val="Normal Indent"/>
    <w:basedOn w:val="1"/>
    <w:next w:val="1"/>
    <w:qFormat/>
    <w:uiPriority w:val="0"/>
    <w:pPr>
      <w:ind w:firstLine="420" w:firstLineChars="200"/>
    </w:pPr>
    <w:rPr>
      <w:rFonts w:ascii="Times New Roman" w:hAnsi="Times New Roman" w:eastAsia="宋体"/>
    </w:rPr>
  </w:style>
  <w:style w:type="paragraph" w:styleId="8">
    <w:name w:val="annotation text"/>
    <w:basedOn w:val="1"/>
    <w:qFormat/>
    <w:uiPriority w:val="0"/>
    <w:pPr>
      <w:jc w:val="left"/>
    </w:pPr>
  </w:style>
  <w:style w:type="paragraph" w:styleId="9">
    <w:name w:val="Body Text"/>
    <w:basedOn w:val="1"/>
    <w:next w:val="10"/>
    <w:qFormat/>
    <w:uiPriority w:val="0"/>
    <w:rPr>
      <w:rFonts w:eastAsia="Tahoma"/>
      <w:sz w:val="28"/>
    </w:rPr>
  </w:style>
  <w:style w:type="paragraph" w:customStyle="1" w:styleId="10">
    <w:name w:val="style4"/>
    <w:basedOn w:val="1"/>
    <w:next w:val="11"/>
    <w:qFormat/>
    <w:uiPriority w:val="0"/>
    <w:pPr>
      <w:widowControl/>
      <w:autoSpaceDE/>
      <w:autoSpaceDN/>
      <w:spacing w:before="280" w:after="280" w:line="240" w:lineRule="auto"/>
      <w:ind w:left="0" w:firstLine="0"/>
      <w:jc w:val="both"/>
    </w:pPr>
    <w:rPr>
      <w:rFonts w:ascii="宋体" w:eastAsia="宋体"/>
      <w:sz w:val="18"/>
    </w:rPr>
  </w:style>
  <w:style w:type="paragraph" w:customStyle="1" w:styleId="11">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2">
    <w:name w:val="Body Text Indent"/>
    <w:basedOn w:val="1"/>
    <w:qFormat/>
    <w:uiPriority w:val="0"/>
    <w:pPr>
      <w:tabs>
        <w:tab w:val="left" w:pos="945"/>
        <w:tab w:val="left" w:pos="1155"/>
      </w:tabs>
      <w:ind w:firstLine="435"/>
    </w:pPr>
    <w:rPr>
      <w:rFonts w:ascii="宋体"/>
      <w:sz w:val="24"/>
    </w:rPr>
  </w:style>
  <w:style w:type="paragraph" w:styleId="13">
    <w:name w:val="List 2"/>
    <w:basedOn w:val="1"/>
    <w:unhideWhenUsed/>
    <w:qFormat/>
    <w:uiPriority w:val="99"/>
    <w:pPr>
      <w:ind w:left="100" w:leftChars="200" w:hanging="200" w:hangingChars="200"/>
      <w:contextualSpacing/>
    </w:pPr>
  </w:style>
  <w:style w:type="paragraph" w:styleId="14">
    <w:name w:val="toc 3"/>
    <w:basedOn w:val="1"/>
    <w:next w:val="1"/>
    <w:qFormat/>
    <w:uiPriority w:val="0"/>
    <w:pPr>
      <w:ind w:left="840" w:leftChars="400"/>
    </w:pPr>
  </w:style>
  <w:style w:type="paragraph" w:styleId="15">
    <w:name w:val="Plain Text"/>
    <w:basedOn w:val="1"/>
    <w:next w:val="1"/>
    <w:qFormat/>
    <w:uiPriority w:val="0"/>
    <w:rPr>
      <w:rFonts w:ascii="宋体" w:hAnsi="Courier New" w:eastAsia="宋体" w:cs="Courier New"/>
      <w:szCs w:val="21"/>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envelope return"/>
    <w:basedOn w:val="1"/>
    <w:qFormat/>
    <w:uiPriority w:val="0"/>
    <w:pPr>
      <w:snapToGrid w:val="0"/>
    </w:pPr>
    <w:rPr>
      <w:rFonts w:ascii="Arial" w:hAnsi="Arial"/>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line="440" w:lineRule="exact"/>
      <w:jc w:val="center"/>
    </w:pPr>
    <w:rPr>
      <w:rFonts w:ascii="Times New Roman" w:hAnsi="Times New Roman" w:eastAsia="宋体" w:cs="Times New Roman"/>
    </w:rPr>
  </w:style>
  <w:style w:type="paragraph" w:styleId="20">
    <w:name w:val="footnote text"/>
    <w:basedOn w:val="1"/>
    <w:qFormat/>
    <w:uiPriority w:val="0"/>
    <w:pPr>
      <w:snapToGrid w:val="0"/>
      <w:spacing w:line="360" w:lineRule="auto"/>
      <w:ind w:firstLine="200" w:firstLineChars="200"/>
      <w:jc w:val="left"/>
    </w:pPr>
    <w:rPr>
      <w:rFonts w:eastAsia="仿宋_GB2312"/>
      <w:kern w:val="2"/>
      <w:sz w:val="18"/>
      <w:szCs w:val="18"/>
    </w:rPr>
  </w:style>
  <w:style w:type="paragraph" w:styleId="21">
    <w:name w:val="List 5"/>
    <w:basedOn w:val="1"/>
    <w:qFormat/>
    <w:uiPriority w:val="0"/>
    <w:pPr>
      <w:ind w:left="2100" w:hanging="420"/>
    </w:pPr>
    <w:rPr>
      <w:rFonts w:eastAsia="楷体_GB2312"/>
      <w:sz w:val="32"/>
      <w:szCs w:val="20"/>
    </w:rPr>
  </w:style>
  <w:style w:type="paragraph" w:styleId="22">
    <w:name w:val="toc 2"/>
    <w:basedOn w:val="1"/>
    <w:next w:val="1"/>
    <w:qFormat/>
    <w:uiPriority w:val="39"/>
    <w:pPr>
      <w:ind w:left="420" w:leftChars="200"/>
    </w:pPr>
    <w:rPr>
      <w:rFonts w:ascii="Times New Roman" w:hAnsi="Times New Roman" w:eastAsia="宋体" w:cs="Times New Roman"/>
    </w:rPr>
  </w:style>
  <w:style w:type="paragraph" w:styleId="23">
    <w:name w:val="Body Text 2"/>
    <w:basedOn w:val="1"/>
    <w:qFormat/>
    <w:uiPriority w:val="99"/>
    <w:pPr>
      <w:spacing w:after="120" w:line="480" w:lineRule="auto"/>
    </w:pPr>
  </w:style>
  <w:style w:type="paragraph" w:styleId="2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paragraph" w:styleId="25">
    <w:name w:val="Title"/>
    <w:basedOn w:val="1"/>
    <w:next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26">
    <w:name w:val="Body Text First Indent"/>
    <w:basedOn w:val="9"/>
    <w:next w:val="27"/>
    <w:qFormat/>
    <w:uiPriority w:val="0"/>
    <w:pPr>
      <w:widowControl/>
      <w:spacing w:after="120" w:afterLines="0"/>
      <w:ind w:firstLine="420" w:firstLineChars="100"/>
      <w:jc w:val="left"/>
    </w:pPr>
    <w:rPr>
      <w:kern w:val="0"/>
      <w:sz w:val="20"/>
    </w:rPr>
  </w:style>
  <w:style w:type="paragraph" w:styleId="27">
    <w:name w:val="Body Text First Indent 2"/>
    <w:basedOn w:val="12"/>
    <w:qFormat/>
    <w:uiPriority w:val="99"/>
    <w:pPr>
      <w:ind w:firstLine="420"/>
    </w:pPr>
  </w:style>
  <w:style w:type="table" w:styleId="29">
    <w:name w:val="Table Grid"/>
    <w:basedOn w:val="2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style>
  <w:style w:type="character" w:styleId="32">
    <w:name w:val="page number"/>
    <w:basedOn w:val="30"/>
    <w:qFormat/>
    <w:uiPriority w:val="0"/>
  </w:style>
  <w:style w:type="character" w:styleId="33">
    <w:name w:val="FollowedHyperlink"/>
    <w:basedOn w:val="30"/>
    <w:qFormat/>
    <w:uiPriority w:val="0"/>
    <w:rPr>
      <w:color w:val="444444"/>
      <w:sz w:val="21"/>
      <w:szCs w:val="21"/>
      <w:u w:val="none"/>
    </w:rPr>
  </w:style>
  <w:style w:type="character" w:styleId="34">
    <w:name w:val="Emphasis"/>
    <w:basedOn w:val="30"/>
    <w:qFormat/>
    <w:uiPriority w:val="0"/>
  </w:style>
  <w:style w:type="character" w:styleId="35">
    <w:name w:val="HTML Definition"/>
    <w:basedOn w:val="30"/>
    <w:qFormat/>
    <w:uiPriority w:val="0"/>
  </w:style>
  <w:style w:type="character" w:styleId="36">
    <w:name w:val="HTML Typewriter"/>
    <w:basedOn w:val="30"/>
    <w:qFormat/>
    <w:uiPriority w:val="0"/>
    <w:rPr>
      <w:rFonts w:hint="default" w:ascii="monospace" w:hAnsi="monospace" w:eastAsia="monospace" w:cs="monospace"/>
      <w:sz w:val="20"/>
    </w:rPr>
  </w:style>
  <w:style w:type="character" w:styleId="37">
    <w:name w:val="HTML Acronym"/>
    <w:basedOn w:val="30"/>
    <w:qFormat/>
    <w:uiPriority w:val="0"/>
  </w:style>
  <w:style w:type="character" w:styleId="38">
    <w:name w:val="HTML Variable"/>
    <w:basedOn w:val="30"/>
    <w:qFormat/>
    <w:uiPriority w:val="0"/>
  </w:style>
  <w:style w:type="character" w:styleId="39">
    <w:name w:val="Hyperlink"/>
    <w:qFormat/>
    <w:uiPriority w:val="99"/>
    <w:rPr>
      <w:rFonts w:ascii="Times New Roman" w:hAnsi="Times New Roman" w:eastAsia="宋体" w:cs="Times New Roman"/>
      <w:color w:val="333333"/>
      <w:u w:val="none"/>
    </w:rPr>
  </w:style>
  <w:style w:type="character" w:styleId="40">
    <w:name w:val="HTML Code"/>
    <w:basedOn w:val="30"/>
    <w:qFormat/>
    <w:uiPriority w:val="0"/>
    <w:rPr>
      <w:rFonts w:hint="default" w:ascii="monospace" w:hAnsi="monospace" w:eastAsia="monospace" w:cs="monospace"/>
      <w:sz w:val="20"/>
    </w:rPr>
  </w:style>
  <w:style w:type="character" w:styleId="41">
    <w:name w:val="HTML Cite"/>
    <w:basedOn w:val="30"/>
    <w:qFormat/>
    <w:uiPriority w:val="0"/>
  </w:style>
  <w:style w:type="character" w:styleId="42">
    <w:name w:val="HTML Keyboard"/>
    <w:basedOn w:val="30"/>
    <w:qFormat/>
    <w:uiPriority w:val="0"/>
    <w:rPr>
      <w:rFonts w:hint="default" w:ascii="monospace" w:hAnsi="monospace" w:eastAsia="monospace" w:cs="monospace"/>
      <w:sz w:val="20"/>
    </w:rPr>
  </w:style>
  <w:style w:type="character" w:styleId="43">
    <w:name w:val="HTML Sample"/>
    <w:basedOn w:val="30"/>
    <w:qFormat/>
    <w:uiPriority w:val="0"/>
    <w:rPr>
      <w:rFonts w:ascii="monospace" w:hAnsi="monospace" w:eastAsia="monospace" w:cs="monospace"/>
    </w:rPr>
  </w:style>
  <w:style w:type="paragraph" w:customStyle="1" w:styleId="44">
    <w:name w:val="引言二级条标题"/>
    <w:basedOn w:val="45"/>
    <w:next w:val="46"/>
    <w:qFormat/>
    <w:uiPriority w:val="0"/>
    <w:pPr>
      <w:tabs>
        <w:tab w:val="left" w:pos="360"/>
        <w:tab w:val="left" w:pos="1200"/>
        <w:tab w:val="left" w:pos="1320"/>
      </w:tabs>
      <w:ind w:left="0" w:firstLine="0"/>
    </w:pPr>
    <w:rPr>
      <w:szCs w:val="20"/>
    </w:rPr>
  </w:style>
  <w:style w:type="paragraph" w:customStyle="1" w:styleId="45">
    <w:name w:val="引言一级条标题"/>
    <w:basedOn w:val="1"/>
    <w:next w:val="46"/>
    <w:qFormat/>
    <w:uiPriority w:val="0"/>
    <w:pPr>
      <w:widowControl/>
      <w:numPr>
        <w:ilvl w:val="0"/>
        <w:numId w:val="1"/>
      </w:numPr>
    </w:pPr>
    <w:rPr>
      <w:rFonts w:eastAsia="黑体"/>
      <w:b/>
    </w:rPr>
  </w:style>
  <w:style w:type="paragraph" w:customStyle="1" w:styleId="46">
    <w:name w:val="段"/>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7">
    <w:name w:val="无间隔1"/>
    <w:basedOn w:val="48"/>
    <w:qFormat/>
    <w:uiPriority w:val="1"/>
    <w:pPr>
      <w:spacing w:line="400" w:lineRule="exact"/>
    </w:pPr>
    <w:rPr>
      <w:sz w:val="24"/>
    </w:rPr>
  </w:style>
  <w:style w:type="paragraph" w:customStyle="1" w:styleId="48">
    <w:name w:val="正文_0"/>
    <w:next w:val="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Default"/>
    <w:basedOn w:val="50"/>
    <w:next w:val="2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0">
    <w:name w:val="Plain Text1"/>
    <w:basedOn w:val="1"/>
    <w:qFormat/>
    <w:uiPriority w:val="0"/>
    <w:rPr>
      <w:rFonts w:ascii="宋体" w:hAnsi="Courier New" w:cs="黑体"/>
      <w:szCs w:val="22"/>
    </w:rPr>
  </w:style>
  <w:style w:type="paragraph" w:customStyle="1" w:styleId="51">
    <w:name w:val="样式 标题 2 + Times New Roman 四号 非加粗 段前: 5 磅 段后: 0 磅 行距: 固定值 20..."/>
    <w:basedOn w:val="4"/>
    <w:next w:val="1"/>
    <w:qFormat/>
    <w:uiPriority w:val="0"/>
    <w:pPr>
      <w:spacing w:before="100" w:beforeLines="0" w:after="0" w:afterLines="0" w:line="400" w:lineRule="exact"/>
    </w:pPr>
    <w:rPr>
      <w:rFonts w:ascii="Times New Roman" w:hAnsi="Times New Roman" w:eastAsia="宋体" w:cs="宋体"/>
      <w:b w:val="0"/>
      <w:bCs w:val="0"/>
      <w:sz w:val="28"/>
      <w:szCs w:val="20"/>
    </w:rPr>
  </w:style>
  <w:style w:type="paragraph" w:customStyle="1" w:styleId="52">
    <w:name w:val="Table Paragraph"/>
    <w:basedOn w:val="1"/>
    <w:qFormat/>
    <w:uiPriority w:val="0"/>
    <w:rPr>
      <w:rFonts w:ascii="Times New Roman" w:hAnsi="Times New Roman" w:eastAsia="宋体" w:cs="Times New Roman"/>
    </w:rPr>
  </w:style>
  <w:style w:type="paragraph" w:customStyle="1" w:styleId="53">
    <w:name w:val="样式 标题 3 + (中文) 黑体 小四 非加粗 段前: 7.8 磅 段后: 0 磅 行距: 固定值 20 磅"/>
    <w:basedOn w:val="5"/>
    <w:qFormat/>
    <w:uiPriority w:val="0"/>
    <w:pPr>
      <w:spacing w:before="0" w:beforeLines="0" w:after="0" w:afterLines="0" w:line="400" w:lineRule="exact"/>
    </w:pPr>
    <w:rPr>
      <w:rFonts w:ascii="Times New Roman" w:hAnsi="Times New Roman" w:eastAsia="黑体" w:cs="宋体"/>
      <w:b w:val="0"/>
      <w:bCs w:val="0"/>
      <w:sz w:val="24"/>
      <w:szCs w:val="20"/>
    </w:rPr>
  </w:style>
  <w:style w:type="paragraph" w:styleId="54">
    <w:name w:val="No Spacing"/>
    <w:qFormat/>
    <w:uiPriority w:val="1"/>
    <w:pPr>
      <w:spacing w:before="100" w:beforeAutospacing="1"/>
      <w:ind w:left="249" w:right="720"/>
      <w:jc w:val="center"/>
    </w:pPr>
    <w:rPr>
      <w:rFonts w:ascii="Calibri" w:hAnsi="Calibri" w:eastAsia="宋体" w:cs="Times New Roman"/>
      <w:sz w:val="22"/>
      <w:szCs w:val="22"/>
      <w:lang w:val="en-US" w:eastAsia="en-US" w:bidi="en-US"/>
    </w:rPr>
  </w:style>
  <w:style w:type="paragraph" w:customStyle="1" w:styleId="55">
    <w:name w:val="正文_13_0"/>
    <w:next w:val="1"/>
    <w:qFormat/>
    <w:uiPriority w:val="0"/>
    <w:pPr>
      <w:widowControl w:val="0"/>
      <w:jc w:val="both"/>
    </w:pPr>
    <w:rPr>
      <w:rFonts w:ascii="Calibri" w:hAnsi="Calibri" w:eastAsia="宋体" w:cs="Times New Roman"/>
      <w:kern w:val="2"/>
      <w:sz w:val="21"/>
      <w:szCs w:val="24"/>
      <w:lang w:val="en-US" w:eastAsia="zh-CN" w:bidi="ar-SA"/>
    </w:rPr>
  </w:style>
  <w:style w:type="paragraph" w:styleId="56">
    <w:name w:val="List Paragraph"/>
    <w:basedOn w:val="1"/>
    <w:qFormat/>
    <w:uiPriority w:val="99"/>
    <w:pPr>
      <w:ind w:firstLine="420" w:firstLineChars="200"/>
    </w:pPr>
  </w:style>
  <w:style w:type="character" w:customStyle="1" w:styleId="57">
    <w:name w:val="hover15"/>
    <w:basedOn w:val="30"/>
    <w:qFormat/>
    <w:uiPriority w:val="0"/>
  </w:style>
  <w:style w:type="character" w:customStyle="1" w:styleId="58">
    <w:name w:val="mini-outputtext1"/>
    <w:basedOn w:val="30"/>
    <w:qFormat/>
    <w:uiPriority w:val="0"/>
  </w:style>
  <w:style w:type="character" w:customStyle="1" w:styleId="59">
    <w:name w:val="font31"/>
    <w:basedOn w:val="30"/>
    <w:qFormat/>
    <w:uiPriority w:val="0"/>
    <w:rPr>
      <w:rFonts w:ascii="宋体" w:hAnsi="宋体" w:eastAsia="宋体" w:cs="宋体"/>
      <w:b/>
      <w:bCs/>
      <w:color w:val="000000"/>
      <w:sz w:val="36"/>
      <w:szCs w:val="36"/>
      <w:u w:val="none"/>
    </w:rPr>
  </w:style>
  <w:style w:type="character" w:customStyle="1" w:styleId="60">
    <w:name w:val="font41"/>
    <w:basedOn w:val="30"/>
    <w:qFormat/>
    <w:uiPriority w:val="0"/>
    <w:rPr>
      <w:rFonts w:ascii="宋体" w:hAnsi="宋体" w:eastAsia="宋体" w:cs="宋体"/>
      <w:color w:val="000000"/>
      <w:sz w:val="16"/>
      <w:szCs w:val="16"/>
      <w:u w:val="none"/>
    </w:rPr>
  </w:style>
  <w:style w:type="character" w:customStyle="1" w:styleId="61">
    <w:name w:val="font51"/>
    <w:basedOn w:val="30"/>
    <w:qFormat/>
    <w:uiPriority w:val="0"/>
    <w:rPr>
      <w:rFonts w:ascii="宋体" w:hAnsi="宋体" w:eastAsia="宋体" w:cs="宋体"/>
      <w:b/>
      <w:bCs/>
      <w:color w:val="000000"/>
      <w:sz w:val="24"/>
      <w:szCs w:val="24"/>
      <w:u w:val="none"/>
    </w:rPr>
  </w:style>
  <w:style w:type="character" w:customStyle="1" w:styleId="62">
    <w:name w:val="font61"/>
    <w:basedOn w:val="30"/>
    <w:qFormat/>
    <w:uiPriority w:val="0"/>
    <w:rPr>
      <w:rFonts w:ascii="宋体" w:hAnsi="宋体" w:eastAsia="宋体" w:cs="宋体"/>
      <w:color w:val="000000"/>
      <w:sz w:val="24"/>
      <w:szCs w:val="24"/>
      <w:u w:val="none"/>
    </w:rPr>
  </w:style>
  <w:style w:type="character" w:customStyle="1" w:styleId="63">
    <w:name w:val="font71"/>
    <w:basedOn w:val="30"/>
    <w:qFormat/>
    <w:uiPriority w:val="0"/>
    <w:rPr>
      <w:rFonts w:ascii="宋体" w:hAnsi="宋体" w:eastAsia="宋体" w:cs="宋体"/>
      <w:b/>
      <w:bCs/>
      <w:color w:val="000000"/>
      <w:sz w:val="16"/>
      <w:szCs w:val="16"/>
      <w:u w:val="none"/>
    </w:rPr>
  </w:style>
  <w:style w:type="paragraph" w:customStyle="1" w:styleId="64">
    <w:name w:val="列出段落1"/>
    <w:basedOn w:val="1"/>
    <w:qFormat/>
    <w:uiPriority w:val="1"/>
    <w:pPr>
      <w:ind w:left="220" w:firstLine="420"/>
    </w:pPr>
  </w:style>
  <w:style w:type="paragraph" w:customStyle="1" w:styleId="65">
    <w:name w:val="p0"/>
    <w:basedOn w:val="1"/>
    <w:qFormat/>
    <w:uiPriority w:val="0"/>
    <w:pPr>
      <w:jc w:val="both"/>
    </w:pPr>
    <w:rPr>
      <w:rFonts w:cs="宋体"/>
      <w:sz w:val="21"/>
      <w:szCs w:val="21"/>
    </w:rPr>
  </w:style>
  <w:style w:type="table" w:customStyle="1" w:styleId="66">
    <w:name w:val="Table Normal"/>
    <w:semiHidden/>
    <w:unhideWhenUsed/>
    <w:qFormat/>
    <w:uiPriority w:val="0"/>
    <w:tblPr>
      <w:tblCellMar>
        <w:top w:w="0" w:type="dxa"/>
        <w:left w:w="0" w:type="dxa"/>
        <w:bottom w:w="0" w:type="dxa"/>
        <w:right w:w="0" w:type="dxa"/>
      </w:tblCellMar>
    </w:tblPr>
  </w:style>
  <w:style w:type="character" w:customStyle="1" w:styleId="67">
    <w:name w:val="标题 3 Char"/>
    <w:link w:val="5"/>
    <w:qFormat/>
    <w:uiPriority w:val="0"/>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18486</Words>
  <Characters>20276</Characters>
  <Lines>0</Lines>
  <Paragraphs>0</Paragraphs>
  <TotalTime>1</TotalTime>
  <ScaleCrop>false</ScaleCrop>
  <LinksUpToDate>false</LinksUpToDate>
  <CharactersWithSpaces>21041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2020-07-22T19:38:00Z</dcterms:created>
  <dc:creator>毛黑胖</dc:creator>
  <cp:lastModifiedBy>蔡先生</cp:lastModifiedBy>
  <cp:lastPrinted>2026-01-05T09:35:00Z</cp:lastPrinted>
  <dcterms:modified xsi:type="dcterms:W3CDTF">2026-01-08T08:14:02Z</dcterms:modified>
  <dc:title>荥阳市园林中心园林管护工人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F8C2CEDD0094CE2872375A6937C70908</vt:lpwstr>
  </property>
  <property fmtid="{D5CDD505-2E9C-101B-9397-08002B2CF9AE}" pid="4" name="KSOTemplateDocerSaveRecord">
    <vt:lpwstr>eyJoZGlkIjoiYzkwOTNmNWE0OGM5NjFhYmE3YjlmYzQxNTQ3ZDRkYmQiLCJ1c2VySWQiOiIzNjI2Njg1MzQifQ==</vt:lpwstr>
  </property>
</Properties>
</file>